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4FD002" w14:textId="6DBCC2CC" w:rsidR="00031563" w:rsidRDefault="00B9564D">
      <w:pPr>
        <w:spacing w:after="0" w:line="276" w:lineRule="auto"/>
        <w:jc w:val="center"/>
        <w:rPr>
          <w:rFonts w:ascii="Times New Roman" w:eastAsia="Times New Roman" w:hAnsi="Times New Roman" w:cs="Times New Roman"/>
          <w:b/>
          <w:sz w:val="36"/>
          <w:szCs w:val="36"/>
        </w:rPr>
      </w:pPr>
      <w:r w:rsidRPr="005F44EF">
        <w:rPr>
          <w:rFonts w:ascii="Times New Roman" w:eastAsia="Times New Roman" w:hAnsi="Times New Roman" w:cs="Times New Roman"/>
          <w:b/>
          <w:sz w:val="36"/>
          <w:szCs w:val="36"/>
        </w:rPr>
        <w:t xml:space="preserve">Humans in Africa’s </w:t>
      </w:r>
      <w:r w:rsidR="00802679">
        <w:rPr>
          <w:rFonts w:ascii="Times New Roman" w:eastAsia="Times New Roman" w:hAnsi="Times New Roman" w:cs="Times New Roman"/>
          <w:b/>
          <w:sz w:val="36"/>
          <w:szCs w:val="36"/>
        </w:rPr>
        <w:t xml:space="preserve">wet </w:t>
      </w:r>
      <w:r w:rsidRPr="005F44EF">
        <w:rPr>
          <w:rFonts w:ascii="Times New Roman" w:eastAsia="Times New Roman" w:hAnsi="Times New Roman" w:cs="Times New Roman"/>
          <w:b/>
          <w:sz w:val="36"/>
          <w:szCs w:val="36"/>
        </w:rPr>
        <w:t xml:space="preserve">tropical forests </w:t>
      </w:r>
    </w:p>
    <w:p w14:paraId="6BDB58C4" w14:textId="6000D748" w:rsidR="00BB7AA9" w:rsidRPr="005F44EF" w:rsidRDefault="008911DC">
      <w:pPr>
        <w:spacing w:after="0" w:line="276" w:lineRule="auto"/>
        <w:jc w:val="center"/>
        <w:rPr>
          <w:rFonts w:ascii="Times New Roman" w:eastAsia="Times New Roman" w:hAnsi="Times New Roman" w:cs="Times New Roman"/>
          <w:b/>
          <w:sz w:val="36"/>
          <w:szCs w:val="36"/>
        </w:rPr>
      </w:pPr>
      <w:r w:rsidRPr="005F44EF">
        <w:rPr>
          <w:rFonts w:ascii="Times New Roman" w:eastAsia="Times New Roman" w:hAnsi="Times New Roman" w:cs="Times New Roman"/>
          <w:b/>
          <w:sz w:val="36"/>
          <w:szCs w:val="36"/>
        </w:rPr>
        <w:t>150</w:t>
      </w:r>
      <w:r w:rsidR="00B9564D" w:rsidRPr="005F44EF">
        <w:rPr>
          <w:rFonts w:ascii="Times New Roman" w:eastAsia="Times New Roman" w:hAnsi="Times New Roman" w:cs="Times New Roman"/>
          <w:b/>
          <w:sz w:val="36"/>
          <w:szCs w:val="36"/>
        </w:rPr>
        <w:t xml:space="preserve"> thousand years ago</w:t>
      </w:r>
    </w:p>
    <w:bookmarkStart w:id="0" w:name="_Hlk170653789" w:displacedByCustomXml="next"/>
    <w:sdt>
      <w:sdtPr>
        <w:rPr>
          <w:rFonts w:ascii="Times New Roman" w:eastAsia="Calibri" w:hAnsi="Times New Roman" w:cs="Times New Roman"/>
          <w:color w:val="auto"/>
          <w:sz w:val="22"/>
          <w:szCs w:val="22"/>
          <w:lang w:val="en-GB" w:eastAsia="fr-FR"/>
        </w:rPr>
        <w:id w:val="1926142815"/>
        <w:docPartObj>
          <w:docPartGallery w:val="Table of Contents"/>
          <w:docPartUnique/>
        </w:docPartObj>
      </w:sdtPr>
      <w:sdtEndPr>
        <w:rPr>
          <w:b/>
          <w:bCs/>
          <w:noProof/>
        </w:rPr>
      </w:sdtEndPr>
      <w:sdtContent>
        <w:p w14:paraId="0AC2384F" w14:textId="36B7B8BB" w:rsidR="00B00D87" w:rsidRDefault="00B00D87" w:rsidP="002E6245">
          <w:pPr>
            <w:pStyle w:val="TOCHeading"/>
            <w:spacing w:before="0" w:line="240" w:lineRule="auto"/>
            <w:jc w:val="center"/>
            <w:rPr>
              <w:rFonts w:ascii="Times New Roman" w:hAnsi="Times New Roman" w:cs="Times New Roman"/>
              <w:b/>
              <w:color w:val="auto"/>
              <w:sz w:val="22"/>
              <w:szCs w:val="22"/>
            </w:rPr>
          </w:pPr>
          <w:r w:rsidRPr="002E6245">
            <w:rPr>
              <w:rFonts w:ascii="Times New Roman" w:hAnsi="Times New Roman" w:cs="Times New Roman"/>
              <w:b/>
              <w:color w:val="auto"/>
              <w:sz w:val="22"/>
              <w:szCs w:val="22"/>
            </w:rPr>
            <w:t>Supporting Information</w:t>
          </w:r>
        </w:p>
        <w:p w14:paraId="4136B693" w14:textId="77777777" w:rsidR="00704D22" w:rsidRPr="00704D22" w:rsidRDefault="00704D22" w:rsidP="00704D22">
          <w:pPr>
            <w:rPr>
              <w:lang w:val="en-US" w:eastAsia="en-US"/>
            </w:rPr>
          </w:pPr>
        </w:p>
        <w:p w14:paraId="0DD36B39" w14:textId="77777777" w:rsidR="002E6245" w:rsidRPr="002E6245" w:rsidRDefault="004E61D1" w:rsidP="002E6245">
          <w:pPr>
            <w:pStyle w:val="TOC1"/>
            <w:tabs>
              <w:tab w:val="right" w:leader="dot" w:pos="9396"/>
            </w:tabs>
            <w:spacing w:line="240" w:lineRule="auto"/>
            <w:rPr>
              <w:rFonts w:ascii="Times New Roman" w:eastAsiaTheme="minorEastAsia" w:hAnsi="Times New Roman" w:cs="Times New Roman"/>
              <w:noProof/>
              <w:lang w:val="fr-FR"/>
            </w:rPr>
          </w:pPr>
          <w:r w:rsidRPr="002E6245">
            <w:rPr>
              <w:rFonts w:ascii="Times New Roman" w:hAnsi="Times New Roman" w:cs="Times New Roman"/>
            </w:rPr>
            <w:fldChar w:fldCharType="begin"/>
          </w:r>
          <w:r w:rsidRPr="002E6245">
            <w:rPr>
              <w:rFonts w:ascii="Times New Roman" w:hAnsi="Times New Roman" w:cs="Times New Roman"/>
            </w:rPr>
            <w:instrText xml:space="preserve"> TOC \o "1-3" \n \h \z \u </w:instrText>
          </w:r>
          <w:r w:rsidRPr="002E6245">
            <w:rPr>
              <w:rFonts w:ascii="Times New Roman" w:hAnsi="Times New Roman" w:cs="Times New Roman"/>
            </w:rPr>
            <w:fldChar w:fldCharType="separate"/>
          </w:r>
          <w:hyperlink w:anchor="_Toc178429920" w:history="1">
            <w:r w:rsidR="002E6245" w:rsidRPr="002E6245">
              <w:rPr>
                <w:rStyle w:val="Hyperlink"/>
                <w:rFonts w:ascii="Times New Roman" w:hAnsi="Times New Roman" w:cs="Times New Roman"/>
                <w:noProof/>
              </w:rPr>
              <w:t>SI 1 - Background Information</w:t>
            </w:r>
          </w:hyperlink>
        </w:p>
        <w:p w14:paraId="02C51026" w14:textId="77777777" w:rsidR="002E6245" w:rsidRPr="002E6245" w:rsidRDefault="00782780" w:rsidP="002E6245">
          <w:pPr>
            <w:pStyle w:val="TOC2"/>
            <w:tabs>
              <w:tab w:val="right" w:leader="dot" w:pos="9396"/>
            </w:tabs>
            <w:spacing w:line="240" w:lineRule="auto"/>
            <w:rPr>
              <w:rFonts w:ascii="Times New Roman" w:eastAsiaTheme="minorEastAsia" w:hAnsi="Times New Roman" w:cs="Times New Roman"/>
              <w:noProof/>
              <w:lang w:val="fr-FR"/>
            </w:rPr>
          </w:pPr>
          <w:hyperlink w:anchor="_Toc178429921" w:history="1">
            <w:r w:rsidR="002E6245" w:rsidRPr="002E6245">
              <w:rPr>
                <w:rStyle w:val="Hyperlink"/>
                <w:rFonts w:ascii="Times New Roman" w:hAnsi="Times New Roman" w:cs="Times New Roman"/>
                <w:noProof/>
              </w:rPr>
              <w:t>1.2 Pleistocene stone tool assemblages from African tropical forests</w:t>
            </w:r>
          </w:hyperlink>
        </w:p>
        <w:p w14:paraId="5D093C3F" w14:textId="77777777" w:rsidR="002E6245" w:rsidRPr="002E6245" w:rsidRDefault="00782780" w:rsidP="002E6245">
          <w:pPr>
            <w:pStyle w:val="TOC2"/>
            <w:tabs>
              <w:tab w:val="right" w:leader="dot" w:pos="9396"/>
            </w:tabs>
            <w:spacing w:line="240" w:lineRule="auto"/>
            <w:rPr>
              <w:rFonts w:ascii="Times New Roman" w:eastAsiaTheme="minorEastAsia" w:hAnsi="Times New Roman" w:cs="Times New Roman"/>
              <w:noProof/>
              <w:lang w:val="fr-FR"/>
            </w:rPr>
          </w:pPr>
          <w:hyperlink w:anchor="_Toc178429922" w:history="1">
            <w:r w:rsidR="002E6245" w:rsidRPr="002E6245">
              <w:rPr>
                <w:rStyle w:val="Hyperlink"/>
                <w:rFonts w:ascii="Times New Roman" w:hAnsi="Times New Roman" w:cs="Times New Roman"/>
                <w:noProof/>
              </w:rPr>
              <w:t>1.3 Previous excavations and work at Bété I</w:t>
            </w:r>
          </w:hyperlink>
        </w:p>
        <w:p w14:paraId="465930CE" w14:textId="77777777" w:rsidR="002E6245" w:rsidRPr="002E6245" w:rsidRDefault="00782780" w:rsidP="002E6245">
          <w:pPr>
            <w:pStyle w:val="TOC2"/>
            <w:tabs>
              <w:tab w:val="right" w:leader="dot" w:pos="9396"/>
            </w:tabs>
            <w:spacing w:line="240" w:lineRule="auto"/>
            <w:rPr>
              <w:rFonts w:ascii="Times New Roman" w:eastAsiaTheme="minorEastAsia" w:hAnsi="Times New Roman" w:cs="Times New Roman"/>
              <w:noProof/>
              <w:lang w:val="fr-FR"/>
            </w:rPr>
          </w:pPr>
          <w:hyperlink w:anchor="_Toc178429923" w:history="1">
            <w:r w:rsidR="002E6245" w:rsidRPr="002E6245">
              <w:rPr>
                <w:rStyle w:val="Hyperlink"/>
                <w:rFonts w:ascii="Times New Roman" w:hAnsi="Times New Roman" w:cs="Times New Roman"/>
                <w:noProof/>
              </w:rPr>
              <w:t>1.4 Stone tool technology at Anyama</w:t>
            </w:r>
          </w:hyperlink>
        </w:p>
        <w:p w14:paraId="66B2193D" w14:textId="77777777" w:rsidR="002E6245" w:rsidRPr="002E6245" w:rsidRDefault="00782780" w:rsidP="002E6245">
          <w:pPr>
            <w:pStyle w:val="TOC1"/>
            <w:tabs>
              <w:tab w:val="right" w:leader="dot" w:pos="9396"/>
            </w:tabs>
            <w:spacing w:line="240" w:lineRule="auto"/>
            <w:rPr>
              <w:rFonts w:ascii="Times New Roman" w:eastAsiaTheme="minorEastAsia" w:hAnsi="Times New Roman" w:cs="Times New Roman"/>
              <w:noProof/>
              <w:lang w:val="fr-FR"/>
            </w:rPr>
          </w:pPr>
          <w:hyperlink w:anchor="_Toc178429924" w:history="1">
            <w:r w:rsidR="002E6245" w:rsidRPr="002E6245">
              <w:rPr>
                <w:rStyle w:val="Hyperlink"/>
                <w:rFonts w:ascii="Times New Roman" w:hAnsi="Times New Roman" w:cs="Times New Roman"/>
                <w:noProof/>
              </w:rPr>
              <w:t>SI 2 – Sedimentology</w:t>
            </w:r>
          </w:hyperlink>
        </w:p>
        <w:p w14:paraId="597F2129" w14:textId="77777777" w:rsidR="002E6245" w:rsidRPr="002E6245" w:rsidRDefault="00782780" w:rsidP="002E6245">
          <w:pPr>
            <w:pStyle w:val="TOC1"/>
            <w:tabs>
              <w:tab w:val="right" w:leader="dot" w:pos="9396"/>
            </w:tabs>
            <w:spacing w:line="240" w:lineRule="auto"/>
            <w:rPr>
              <w:rFonts w:ascii="Times New Roman" w:eastAsiaTheme="minorEastAsia" w:hAnsi="Times New Roman" w:cs="Times New Roman"/>
              <w:noProof/>
              <w:lang w:val="fr-FR"/>
            </w:rPr>
          </w:pPr>
          <w:hyperlink w:anchor="_Toc178429925" w:history="1">
            <w:r w:rsidR="002E6245" w:rsidRPr="002E6245">
              <w:rPr>
                <w:rStyle w:val="Hyperlink"/>
                <w:rFonts w:ascii="Times New Roman" w:hAnsi="Times New Roman" w:cs="Times New Roman"/>
                <w:noProof/>
              </w:rPr>
              <w:t>SI 3 - OSL and ESR dating of quartz grains</w:t>
            </w:r>
          </w:hyperlink>
        </w:p>
        <w:p w14:paraId="7D28003A" w14:textId="77777777" w:rsidR="002E6245" w:rsidRPr="002E6245" w:rsidRDefault="00782780" w:rsidP="002E6245">
          <w:pPr>
            <w:pStyle w:val="TOC2"/>
            <w:tabs>
              <w:tab w:val="right" w:leader="dot" w:pos="9396"/>
            </w:tabs>
            <w:spacing w:line="240" w:lineRule="auto"/>
            <w:rPr>
              <w:rFonts w:ascii="Times New Roman" w:eastAsiaTheme="minorEastAsia" w:hAnsi="Times New Roman" w:cs="Times New Roman"/>
              <w:noProof/>
              <w:lang w:val="fr-FR"/>
            </w:rPr>
          </w:pPr>
          <w:hyperlink w:anchor="_Toc178429926" w:history="1">
            <w:r w:rsidR="002E6245" w:rsidRPr="002E6245">
              <w:rPr>
                <w:rStyle w:val="Hyperlink"/>
                <w:rFonts w:ascii="Times New Roman" w:hAnsi="Times New Roman" w:cs="Times New Roman"/>
                <w:noProof/>
              </w:rPr>
              <w:t>3.1 Material</w:t>
            </w:r>
          </w:hyperlink>
        </w:p>
        <w:p w14:paraId="029DA537" w14:textId="77777777" w:rsidR="002E6245" w:rsidRPr="002E6245" w:rsidRDefault="00782780" w:rsidP="002E6245">
          <w:pPr>
            <w:pStyle w:val="TOC2"/>
            <w:tabs>
              <w:tab w:val="right" w:leader="dot" w:pos="9396"/>
            </w:tabs>
            <w:spacing w:line="240" w:lineRule="auto"/>
            <w:rPr>
              <w:rFonts w:ascii="Times New Roman" w:eastAsiaTheme="minorEastAsia" w:hAnsi="Times New Roman" w:cs="Times New Roman"/>
              <w:noProof/>
              <w:lang w:val="fr-FR"/>
            </w:rPr>
          </w:pPr>
          <w:hyperlink w:anchor="_Toc178429927" w:history="1">
            <w:r w:rsidR="002E6245" w:rsidRPr="002E6245">
              <w:rPr>
                <w:rStyle w:val="Hyperlink"/>
                <w:rFonts w:ascii="Times New Roman" w:hAnsi="Times New Roman" w:cs="Times New Roman"/>
                <w:noProof/>
              </w:rPr>
              <w:t>3.2 Luminescence analyses</w:t>
            </w:r>
          </w:hyperlink>
        </w:p>
        <w:p w14:paraId="74D7D112" w14:textId="77777777" w:rsidR="002E6245" w:rsidRPr="002E6245" w:rsidRDefault="00782780" w:rsidP="002E6245">
          <w:pPr>
            <w:pStyle w:val="TOC2"/>
            <w:tabs>
              <w:tab w:val="right" w:leader="dot" w:pos="9396"/>
            </w:tabs>
            <w:spacing w:line="240" w:lineRule="auto"/>
            <w:rPr>
              <w:rFonts w:ascii="Times New Roman" w:eastAsiaTheme="minorEastAsia" w:hAnsi="Times New Roman" w:cs="Times New Roman"/>
              <w:noProof/>
              <w:lang w:val="fr-FR"/>
            </w:rPr>
          </w:pPr>
          <w:hyperlink w:anchor="_Toc178429928" w:history="1">
            <w:r w:rsidR="002E6245" w:rsidRPr="002E6245">
              <w:rPr>
                <w:rStyle w:val="Hyperlink"/>
                <w:rFonts w:ascii="Times New Roman" w:hAnsi="Times New Roman" w:cs="Times New Roman"/>
                <w:noProof/>
              </w:rPr>
              <w:t>3.3 ESR analyses</w:t>
            </w:r>
          </w:hyperlink>
        </w:p>
        <w:p w14:paraId="167C922F" w14:textId="77777777" w:rsidR="002E6245" w:rsidRPr="002E6245" w:rsidRDefault="00782780" w:rsidP="002E6245">
          <w:pPr>
            <w:pStyle w:val="TOC2"/>
            <w:tabs>
              <w:tab w:val="right" w:leader="dot" w:pos="9396"/>
            </w:tabs>
            <w:spacing w:line="240" w:lineRule="auto"/>
            <w:rPr>
              <w:rFonts w:ascii="Times New Roman" w:eastAsiaTheme="minorEastAsia" w:hAnsi="Times New Roman" w:cs="Times New Roman"/>
              <w:noProof/>
              <w:lang w:val="fr-FR"/>
            </w:rPr>
          </w:pPr>
          <w:hyperlink w:anchor="_Toc178429929" w:history="1">
            <w:r w:rsidR="002E6245" w:rsidRPr="002E6245">
              <w:rPr>
                <w:rStyle w:val="Hyperlink"/>
                <w:rFonts w:ascii="Times New Roman" w:hAnsi="Times New Roman" w:cs="Times New Roman"/>
                <w:noProof/>
              </w:rPr>
              <w:t>3.4 Dose rate evaluation</w:t>
            </w:r>
          </w:hyperlink>
        </w:p>
        <w:p w14:paraId="4400DC2E" w14:textId="77777777" w:rsidR="002E6245" w:rsidRPr="002E6245" w:rsidRDefault="00782780" w:rsidP="002E6245">
          <w:pPr>
            <w:pStyle w:val="TOC2"/>
            <w:tabs>
              <w:tab w:val="right" w:leader="dot" w:pos="9396"/>
            </w:tabs>
            <w:spacing w:line="240" w:lineRule="auto"/>
            <w:rPr>
              <w:rFonts w:ascii="Times New Roman" w:eastAsiaTheme="minorEastAsia" w:hAnsi="Times New Roman" w:cs="Times New Roman"/>
              <w:noProof/>
              <w:lang w:val="fr-FR"/>
            </w:rPr>
          </w:pPr>
          <w:hyperlink w:anchor="_Toc178429930" w:history="1">
            <w:r w:rsidR="002E6245" w:rsidRPr="002E6245">
              <w:rPr>
                <w:rStyle w:val="Hyperlink"/>
                <w:rFonts w:ascii="Times New Roman" w:hAnsi="Times New Roman" w:cs="Times New Roman"/>
                <w:noProof/>
              </w:rPr>
              <w:t>3.5. Extended discussion of the chronological results</w:t>
            </w:r>
          </w:hyperlink>
        </w:p>
        <w:p w14:paraId="700BB902" w14:textId="77777777" w:rsidR="002E6245" w:rsidRPr="002E6245" w:rsidRDefault="00782780" w:rsidP="002E6245">
          <w:pPr>
            <w:pStyle w:val="TOC3"/>
            <w:tabs>
              <w:tab w:val="right" w:leader="dot" w:pos="9396"/>
            </w:tabs>
            <w:spacing w:line="240" w:lineRule="auto"/>
            <w:rPr>
              <w:rFonts w:ascii="Times New Roman" w:eastAsiaTheme="minorEastAsia" w:hAnsi="Times New Roman" w:cs="Times New Roman"/>
              <w:noProof/>
              <w:lang w:val="fr-FR"/>
            </w:rPr>
          </w:pPr>
          <w:hyperlink w:anchor="_Toc178429931" w:history="1">
            <w:r w:rsidR="002E6245" w:rsidRPr="002E6245">
              <w:rPr>
                <w:rStyle w:val="Hyperlink"/>
                <w:rFonts w:ascii="Times New Roman" w:hAnsi="Times New Roman" w:cs="Times New Roman"/>
                <w:noProof/>
              </w:rPr>
              <w:t>3.5.2. Ti ESR D</w:t>
            </w:r>
            <w:r w:rsidR="002E6245" w:rsidRPr="002E6245">
              <w:rPr>
                <w:rStyle w:val="Hyperlink"/>
                <w:rFonts w:ascii="Times New Roman" w:hAnsi="Times New Roman" w:cs="Times New Roman"/>
                <w:noProof/>
                <w:vertAlign w:val="subscript"/>
              </w:rPr>
              <w:t>e</w:t>
            </w:r>
            <w:r w:rsidR="002E6245" w:rsidRPr="002E6245">
              <w:rPr>
                <w:rStyle w:val="Hyperlink"/>
                <w:rFonts w:ascii="Times New Roman" w:hAnsi="Times New Roman" w:cs="Times New Roman"/>
                <w:noProof/>
              </w:rPr>
              <w:t xml:space="preserve"> evaluation</w:t>
            </w:r>
          </w:hyperlink>
        </w:p>
        <w:p w14:paraId="0CC57BF0" w14:textId="77777777" w:rsidR="002E6245" w:rsidRPr="002E6245" w:rsidRDefault="00782780" w:rsidP="002E6245">
          <w:pPr>
            <w:pStyle w:val="TOC3"/>
            <w:tabs>
              <w:tab w:val="right" w:leader="dot" w:pos="9396"/>
            </w:tabs>
            <w:spacing w:line="240" w:lineRule="auto"/>
            <w:rPr>
              <w:rFonts w:ascii="Times New Roman" w:eastAsiaTheme="minorEastAsia" w:hAnsi="Times New Roman" w:cs="Times New Roman"/>
              <w:noProof/>
              <w:lang w:val="fr-FR"/>
            </w:rPr>
          </w:pPr>
          <w:hyperlink w:anchor="_Toc178429932" w:history="1">
            <w:r w:rsidR="002E6245" w:rsidRPr="002E6245">
              <w:rPr>
                <w:rStyle w:val="Hyperlink"/>
                <w:rFonts w:ascii="Times New Roman" w:hAnsi="Times New Roman" w:cs="Times New Roman"/>
                <w:noProof/>
              </w:rPr>
              <w:t>3.5.3. Comparison of the D</w:t>
            </w:r>
            <w:r w:rsidR="002E6245" w:rsidRPr="002E6245">
              <w:rPr>
                <w:rStyle w:val="Hyperlink"/>
                <w:rFonts w:ascii="Times New Roman" w:hAnsi="Times New Roman" w:cs="Times New Roman"/>
                <w:noProof/>
                <w:vertAlign w:val="subscript"/>
              </w:rPr>
              <w:t>e</w:t>
            </w:r>
          </w:hyperlink>
        </w:p>
        <w:p w14:paraId="0F30638F" w14:textId="77777777" w:rsidR="002E6245" w:rsidRPr="002E6245" w:rsidRDefault="00782780" w:rsidP="002E6245">
          <w:pPr>
            <w:pStyle w:val="TOC3"/>
            <w:tabs>
              <w:tab w:val="right" w:leader="dot" w:pos="9396"/>
            </w:tabs>
            <w:spacing w:line="240" w:lineRule="auto"/>
            <w:rPr>
              <w:rFonts w:ascii="Times New Roman" w:eastAsiaTheme="minorEastAsia" w:hAnsi="Times New Roman" w:cs="Times New Roman"/>
              <w:noProof/>
              <w:lang w:val="fr-FR"/>
            </w:rPr>
          </w:pPr>
          <w:hyperlink w:anchor="_Toc178429933" w:history="1">
            <w:r w:rsidR="002E6245" w:rsidRPr="002E6245">
              <w:rPr>
                <w:rStyle w:val="Hyperlink"/>
                <w:rFonts w:ascii="Times New Roman" w:hAnsi="Times New Roman" w:cs="Times New Roman"/>
                <w:noProof/>
              </w:rPr>
              <w:t>3.5.4. Dose rate evaluation</w:t>
            </w:r>
          </w:hyperlink>
        </w:p>
        <w:p w14:paraId="4E680F5C" w14:textId="77777777" w:rsidR="002E6245" w:rsidRPr="002E6245" w:rsidRDefault="00782780" w:rsidP="002E6245">
          <w:pPr>
            <w:pStyle w:val="TOC3"/>
            <w:tabs>
              <w:tab w:val="right" w:leader="dot" w:pos="9396"/>
            </w:tabs>
            <w:spacing w:line="240" w:lineRule="auto"/>
            <w:rPr>
              <w:rFonts w:ascii="Times New Roman" w:eastAsiaTheme="minorEastAsia" w:hAnsi="Times New Roman" w:cs="Times New Roman"/>
              <w:noProof/>
              <w:lang w:val="fr-FR"/>
            </w:rPr>
          </w:pPr>
          <w:hyperlink w:anchor="_Toc178429934" w:history="1">
            <w:r w:rsidR="002E6245" w:rsidRPr="002E6245">
              <w:rPr>
                <w:rStyle w:val="Hyperlink"/>
                <w:rFonts w:ascii="Times New Roman" w:hAnsi="Times New Roman" w:cs="Times New Roman"/>
                <w:noProof/>
              </w:rPr>
              <w:t>3.5.5 OSL equivalent dose evaluation</w:t>
            </w:r>
          </w:hyperlink>
        </w:p>
        <w:p w14:paraId="09220EEC" w14:textId="77777777" w:rsidR="002E6245" w:rsidRPr="002E6245" w:rsidRDefault="00782780" w:rsidP="002E6245">
          <w:pPr>
            <w:pStyle w:val="TOC3"/>
            <w:tabs>
              <w:tab w:val="right" w:leader="dot" w:pos="9396"/>
            </w:tabs>
            <w:spacing w:line="240" w:lineRule="auto"/>
            <w:rPr>
              <w:rFonts w:ascii="Times New Roman" w:eastAsiaTheme="minorEastAsia" w:hAnsi="Times New Roman" w:cs="Times New Roman"/>
              <w:noProof/>
              <w:lang w:val="fr-FR"/>
            </w:rPr>
          </w:pPr>
          <w:hyperlink w:anchor="_Toc178429935" w:history="1">
            <w:r w:rsidR="002E6245" w:rsidRPr="002E6245">
              <w:rPr>
                <w:rStyle w:val="Hyperlink"/>
                <w:rFonts w:ascii="Times New Roman" w:hAnsi="Times New Roman" w:cs="Times New Roman"/>
                <w:noProof/>
                <w:lang w:val="en-US"/>
              </w:rPr>
              <w:t>3.5.7. Sensitivity test with the variation of water content</w:t>
            </w:r>
          </w:hyperlink>
        </w:p>
        <w:p w14:paraId="7AA326AF" w14:textId="77777777" w:rsidR="002E6245" w:rsidRPr="002E6245" w:rsidRDefault="00782780" w:rsidP="002E6245">
          <w:pPr>
            <w:pStyle w:val="TOC1"/>
            <w:tabs>
              <w:tab w:val="right" w:leader="dot" w:pos="9396"/>
            </w:tabs>
            <w:spacing w:line="240" w:lineRule="auto"/>
            <w:rPr>
              <w:rFonts w:ascii="Times New Roman" w:eastAsiaTheme="minorEastAsia" w:hAnsi="Times New Roman" w:cs="Times New Roman"/>
              <w:noProof/>
              <w:lang w:val="fr-FR"/>
            </w:rPr>
          </w:pPr>
          <w:hyperlink w:anchor="_Toc178429936" w:history="1">
            <w:r w:rsidR="002E6245" w:rsidRPr="002E6245">
              <w:rPr>
                <w:rStyle w:val="Hyperlink"/>
                <w:rFonts w:ascii="Times New Roman" w:hAnsi="Times New Roman" w:cs="Times New Roman"/>
                <w:noProof/>
                <w:lang w:val="en-US"/>
              </w:rPr>
              <w:t>SI 4 - Palaeoecological Proxies</w:t>
            </w:r>
          </w:hyperlink>
        </w:p>
        <w:p w14:paraId="600FF531" w14:textId="77777777" w:rsidR="002E6245" w:rsidRPr="002E6245" w:rsidRDefault="00782780" w:rsidP="002E6245">
          <w:pPr>
            <w:pStyle w:val="TOC2"/>
            <w:tabs>
              <w:tab w:val="right" w:leader="dot" w:pos="9396"/>
            </w:tabs>
            <w:spacing w:line="240" w:lineRule="auto"/>
            <w:rPr>
              <w:rFonts w:ascii="Times New Roman" w:eastAsiaTheme="minorEastAsia" w:hAnsi="Times New Roman" w:cs="Times New Roman"/>
              <w:noProof/>
              <w:lang w:val="fr-FR"/>
            </w:rPr>
          </w:pPr>
          <w:hyperlink w:anchor="_Toc178429937" w:history="1">
            <w:r w:rsidR="002E6245" w:rsidRPr="002E6245">
              <w:rPr>
                <w:rStyle w:val="Hyperlink"/>
                <w:rFonts w:ascii="Times New Roman" w:hAnsi="Times New Roman" w:cs="Times New Roman"/>
                <w:noProof/>
              </w:rPr>
              <w:t>4.1 Bulk Isotope Analysis</w:t>
            </w:r>
          </w:hyperlink>
        </w:p>
        <w:p w14:paraId="5F3E4F1C" w14:textId="77777777" w:rsidR="002E6245" w:rsidRPr="002E6245" w:rsidRDefault="00782780" w:rsidP="002E6245">
          <w:pPr>
            <w:pStyle w:val="TOC2"/>
            <w:tabs>
              <w:tab w:val="right" w:leader="dot" w:pos="9396"/>
            </w:tabs>
            <w:spacing w:line="240" w:lineRule="auto"/>
            <w:rPr>
              <w:rFonts w:ascii="Times New Roman" w:eastAsiaTheme="minorEastAsia" w:hAnsi="Times New Roman" w:cs="Times New Roman"/>
              <w:noProof/>
              <w:lang w:val="fr-FR"/>
            </w:rPr>
          </w:pPr>
          <w:hyperlink w:anchor="_Toc178429938" w:history="1">
            <w:r w:rsidR="002E6245" w:rsidRPr="002E6245">
              <w:rPr>
                <w:rStyle w:val="Hyperlink"/>
                <w:rFonts w:ascii="Times New Roman" w:hAnsi="Times New Roman" w:cs="Times New Roman"/>
                <w:noProof/>
              </w:rPr>
              <w:t>4.2 Plant Wax Biomarker Analysis</w:t>
            </w:r>
          </w:hyperlink>
        </w:p>
        <w:p w14:paraId="746DDE1A" w14:textId="77777777" w:rsidR="002E6245" w:rsidRPr="002E6245" w:rsidRDefault="00782780" w:rsidP="002E6245">
          <w:pPr>
            <w:pStyle w:val="TOC3"/>
            <w:tabs>
              <w:tab w:val="right" w:leader="dot" w:pos="9396"/>
            </w:tabs>
            <w:spacing w:line="240" w:lineRule="auto"/>
            <w:rPr>
              <w:rFonts w:ascii="Times New Roman" w:eastAsiaTheme="minorEastAsia" w:hAnsi="Times New Roman" w:cs="Times New Roman"/>
              <w:noProof/>
              <w:lang w:val="fr-FR"/>
            </w:rPr>
          </w:pPr>
          <w:hyperlink w:anchor="_Toc178429939" w:history="1">
            <w:r w:rsidR="002E6245" w:rsidRPr="002E6245">
              <w:rPr>
                <w:rStyle w:val="Hyperlink"/>
                <w:rFonts w:ascii="Times New Roman" w:hAnsi="Times New Roman" w:cs="Times New Roman"/>
                <w:noProof/>
              </w:rPr>
              <w:t>4.2.1. Molecular Characterization</w:t>
            </w:r>
          </w:hyperlink>
        </w:p>
        <w:p w14:paraId="35EE9218" w14:textId="77777777" w:rsidR="002E6245" w:rsidRPr="002E6245" w:rsidRDefault="00782780" w:rsidP="002E6245">
          <w:pPr>
            <w:pStyle w:val="TOC3"/>
            <w:tabs>
              <w:tab w:val="right" w:leader="dot" w:pos="9396"/>
            </w:tabs>
            <w:spacing w:line="240" w:lineRule="auto"/>
            <w:rPr>
              <w:rFonts w:ascii="Times New Roman" w:eastAsiaTheme="minorEastAsia" w:hAnsi="Times New Roman" w:cs="Times New Roman"/>
              <w:noProof/>
              <w:lang w:val="fr-FR"/>
            </w:rPr>
          </w:pPr>
          <w:hyperlink w:anchor="_Toc178429940" w:history="1">
            <w:r w:rsidR="002E6245" w:rsidRPr="002E6245">
              <w:rPr>
                <w:rStyle w:val="Hyperlink"/>
                <w:rFonts w:ascii="Times New Roman" w:hAnsi="Times New Roman" w:cs="Times New Roman"/>
                <w:noProof/>
              </w:rPr>
              <w:t>4.2.2 Extended Results</w:t>
            </w:r>
          </w:hyperlink>
        </w:p>
        <w:p w14:paraId="1C6765EF" w14:textId="77777777" w:rsidR="002E6245" w:rsidRPr="002E6245" w:rsidRDefault="00782780" w:rsidP="002E6245">
          <w:pPr>
            <w:pStyle w:val="TOC2"/>
            <w:tabs>
              <w:tab w:val="right" w:leader="dot" w:pos="9396"/>
            </w:tabs>
            <w:spacing w:line="240" w:lineRule="auto"/>
            <w:rPr>
              <w:rFonts w:ascii="Times New Roman" w:eastAsiaTheme="minorEastAsia" w:hAnsi="Times New Roman" w:cs="Times New Roman"/>
              <w:noProof/>
              <w:lang w:val="fr-FR"/>
            </w:rPr>
          </w:pPr>
          <w:hyperlink w:anchor="_Toc178429941" w:history="1">
            <w:r w:rsidR="002E6245" w:rsidRPr="002E6245">
              <w:rPr>
                <w:rStyle w:val="Hyperlink"/>
                <w:rFonts w:ascii="Times New Roman" w:hAnsi="Times New Roman" w:cs="Times New Roman"/>
                <w:noProof/>
              </w:rPr>
              <w:t>4.2. Phytolith analyses</w:t>
            </w:r>
          </w:hyperlink>
        </w:p>
        <w:p w14:paraId="45BE32AD" w14:textId="77777777" w:rsidR="002E6245" w:rsidRPr="002E6245" w:rsidRDefault="00782780" w:rsidP="002E6245">
          <w:pPr>
            <w:pStyle w:val="TOC2"/>
            <w:tabs>
              <w:tab w:val="right" w:leader="dot" w:pos="9396"/>
            </w:tabs>
            <w:spacing w:line="240" w:lineRule="auto"/>
            <w:rPr>
              <w:rFonts w:ascii="Times New Roman" w:eastAsiaTheme="minorEastAsia" w:hAnsi="Times New Roman" w:cs="Times New Roman"/>
              <w:noProof/>
              <w:lang w:val="fr-FR"/>
            </w:rPr>
          </w:pPr>
          <w:hyperlink w:anchor="_Toc178429942" w:history="1">
            <w:r w:rsidR="002E6245" w:rsidRPr="002E6245">
              <w:rPr>
                <w:rStyle w:val="Hyperlink"/>
                <w:rFonts w:ascii="Times New Roman" w:hAnsi="Times New Roman" w:cs="Times New Roman"/>
                <w:noProof/>
              </w:rPr>
              <w:t>4.3. Pollen Analyses</w:t>
            </w:r>
          </w:hyperlink>
        </w:p>
        <w:p w14:paraId="2CAB012C" w14:textId="77777777" w:rsidR="002E6245" w:rsidRPr="002E6245" w:rsidRDefault="00782780" w:rsidP="002E6245">
          <w:pPr>
            <w:pStyle w:val="TOC3"/>
            <w:tabs>
              <w:tab w:val="right" w:leader="dot" w:pos="9396"/>
            </w:tabs>
            <w:spacing w:line="240" w:lineRule="auto"/>
            <w:rPr>
              <w:rFonts w:ascii="Times New Roman" w:eastAsiaTheme="minorEastAsia" w:hAnsi="Times New Roman" w:cs="Times New Roman"/>
              <w:noProof/>
              <w:lang w:val="fr-FR"/>
            </w:rPr>
          </w:pPr>
          <w:hyperlink w:anchor="_Toc178429943" w:history="1">
            <w:r w:rsidR="002E6245" w:rsidRPr="002E6245">
              <w:rPr>
                <w:rStyle w:val="Hyperlink"/>
                <w:rFonts w:ascii="Times New Roman" w:hAnsi="Times New Roman" w:cs="Times New Roman"/>
                <w:noProof/>
              </w:rPr>
              <w:t>4.3.1 Laboratory Methods</w:t>
            </w:r>
          </w:hyperlink>
        </w:p>
        <w:p w14:paraId="3758C529" w14:textId="77777777" w:rsidR="002E6245" w:rsidRPr="002E6245" w:rsidRDefault="00782780" w:rsidP="002E6245">
          <w:pPr>
            <w:pStyle w:val="TOC3"/>
            <w:tabs>
              <w:tab w:val="right" w:leader="dot" w:pos="9396"/>
            </w:tabs>
            <w:spacing w:line="240" w:lineRule="auto"/>
            <w:rPr>
              <w:rFonts w:ascii="Times New Roman" w:eastAsiaTheme="minorEastAsia" w:hAnsi="Times New Roman" w:cs="Times New Roman"/>
              <w:noProof/>
              <w:lang w:val="fr-FR"/>
            </w:rPr>
          </w:pPr>
          <w:hyperlink w:anchor="_Toc178429944" w:history="1">
            <w:r w:rsidR="002E6245" w:rsidRPr="002E6245">
              <w:rPr>
                <w:rStyle w:val="Hyperlink"/>
                <w:rFonts w:ascii="Times New Roman" w:hAnsi="Times New Roman" w:cs="Times New Roman"/>
                <w:noProof/>
              </w:rPr>
              <w:t>4.3.2 Analytical Methods</w:t>
            </w:r>
          </w:hyperlink>
        </w:p>
        <w:p w14:paraId="63907701" w14:textId="77777777" w:rsidR="002E6245" w:rsidRPr="002E6245" w:rsidRDefault="00782780" w:rsidP="002E6245">
          <w:pPr>
            <w:pStyle w:val="TOC3"/>
            <w:tabs>
              <w:tab w:val="right" w:leader="dot" w:pos="9396"/>
            </w:tabs>
            <w:spacing w:line="240" w:lineRule="auto"/>
            <w:rPr>
              <w:rFonts w:ascii="Times New Roman" w:eastAsiaTheme="minorEastAsia" w:hAnsi="Times New Roman" w:cs="Times New Roman"/>
              <w:noProof/>
              <w:lang w:val="fr-FR"/>
            </w:rPr>
          </w:pPr>
          <w:hyperlink w:anchor="_Toc178429945" w:history="1">
            <w:r w:rsidR="002E6245" w:rsidRPr="002E6245">
              <w:rPr>
                <w:rStyle w:val="Hyperlink"/>
                <w:rFonts w:ascii="Times New Roman" w:hAnsi="Times New Roman" w:cs="Times New Roman"/>
                <w:noProof/>
              </w:rPr>
              <w:t>4.3.3. Palynological Results</w:t>
            </w:r>
          </w:hyperlink>
        </w:p>
        <w:p w14:paraId="38325BA6" w14:textId="77777777" w:rsidR="002E6245" w:rsidRPr="002E6245" w:rsidRDefault="00782780" w:rsidP="002E6245">
          <w:pPr>
            <w:pStyle w:val="TOC3"/>
            <w:tabs>
              <w:tab w:val="right" w:leader="dot" w:pos="9396"/>
            </w:tabs>
            <w:spacing w:line="240" w:lineRule="auto"/>
            <w:rPr>
              <w:rFonts w:ascii="Times New Roman" w:eastAsiaTheme="minorEastAsia" w:hAnsi="Times New Roman" w:cs="Times New Roman"/>
              <w:noProof/>
              <w:lang w:val="fr-FR"/>
            </w:rPr>
          </w:pPr>
          <w:hyperlink w:anchor="_Toc178429946" w:history="1">
            <w:r w:rsidR="002E6245" w:rsidRPr="002E6245">
              <w:rPr>
                <w:rStyle w:val="Hyperlink"/>
                <w:rFonts w:ascii="Times New Roman" w:hAnsi="Times New Roman" w:cs="Times New Roman"/>
                <w:noProof/>
              </w:rPr>
              <w:t>4.3.4 Discussion</w:t>
            </w:r>
          </w:hyperlink>
        </w:p>
        <w:p w14:paraId="7EF2B390" w14:textId="77777777" w:rsidR="002E6245" w:rsidRPr="002E6245" w:rsidRDefault="00782780" w:rsidP="002E6245">
          <w:pPr>
            <w:pStyle w:val="TOC3"/>
            <w:tabs>
              <w:tab w:val="right" w:leader="dot" w:pos="9396"/>
            </w:tabs>
            <w:spacing w:line="240" w:lineRule="auto"/>
            <w:rPr>
              <w:rFonts w:ascii="Times New Roman" w:eastAsiaTheme="minorEastAsia" w:hAnsi="Times New Roman" w:cs="Times New Roman"/>
              <w:noProof/>
              <w:lang w:val="fr-FR"/>
            </w:rPr>
          </w:pPr>
          <w:hyperlink w:anchor="_Toc178429947" w:history="1">
            <w:r w:rsidR="002E6245" w:rsidRPr="002E6245">
              <w:rPr>
                <w:rStyle w:val="Hyperlink"/>
                <w:rFonts w:ascii="Times New Roman" w:hAnsi="Times New Roman" w:cs="Times New Roman"/>
                <w:noProof/>
              </w:rPr>
              <w:t>4.3.5 Conclusions</w:t>
            </w:r>
          </w:hyperlink>
        </w:p>
        <w:p w14:paraId="3FDF875C" w14:textId="77777777" w:rsidR="002E6245" w:rsidRPr="002E6245" w:rsidRDefault="00782780" w:rsidP="002E6245">
          <w:pPr>
            <w:pStyle w:val="TOC1"/>
            <w:tabs>
              <w:tab w:val="right" w:leader="dot" w:pos="9396"/>
            </w:tabs>
            <w:spacing w:line="240" w:lineRule="auto"/>
            <w:rPr>
              <w:rFonts w:ascii="Times New Roman" w:eastAsiaTheme="minorEastAsia" w:hAnsi="Times New Roman" w:cs="Times New Roman"/>
              <w:noProof/>
              <w:lang w:val="fr-FR"/>
            </w:rPr>
          </w:pPr>
          <w:hyperlink w:anchor="_Toc178429948" w:history="1">
            <w:r w:rsidR="002E6245" w:rsidRPr="002E6245">
              <w:rPr>
                <w:rStyle w:val="Hyperlink"/>
                <w:rFonts w:ascii="Times New Roman" w:hAnsi="Times New Roman" w:cs="Times New Roman"/>
                <w:noProof/>
              </w:rPr>
              <w:t>SI 5 – Chronological comparison with others African sites</w:t>
            </w:r>
          </w:hyperlink>
        </w:p>
        <w:p w14:paraId="57F6E59F" w14:textId="16E43B21" w:rsidR="00B00D87" w:rsidRPr="005F44EF" w:rsidRDefault="00782780" w:rsidP="002E6245">
          <w:pPr>
            <w:pStyle w:val="TOC1"/>
            <w:tabs>
              <w:tab w:val="right" w:leader="dot" w:pos="9396"/>
            </w:tabs>
            <w:spacing w:line="240" w:lineRule="auto"/>
            <w:rPr>
              <w:rFonts w:ascii="Times New Roman" w:hAnsi="Times New Roman" w:cs="Times New Roman"/>
              <w:sz w:val="24"/>
              <w:szCs w:val="24"/>
            </w:rPr>
          </w:pPr>
          <w:hyperlink w:anchor="_Toc178429949" w:history="1">
            <w:r w:rsidR="002E6245" w:rsidRPr="002E6245">
              <w:rPr>
                <w:rStyle w:val="Hyperlink"/>
                <w:rFonts w:ascii="Times New Roman" w:hAnsi="Times New Roman" w:cs="Times New Roman"/>
                <w:noProof/>
              </w:rPr>
              <w:t>References</w:t>
            </w:r>
          </w:hyperlink>
          <w:r w:rsidR="004E61D1" w:rsidRPr="002E6245">
            <w:rPr>
              <w:rFonts w:ascii="Times New Roman" w:hAnsi="Times New Roman" w:cs="Times New Roman"/>
            </w:rPr>
            <w:fldChar w:fldCharType="end"/>
          </w:r>
        </w:p>
      </w:sdtContent>
    </w:sdt>
    <w:p w14:paraId="24902AA2" w14:textId="77777777" w:rsidR="00BB7AA9" w:rsidRPr="005F44EF" w:rsidRDefault="00B9564D" w:rsidP="00D23247">
      <w:pPr>
        <w:pStyle w:val="Heading1"/>
        <w:rPr>
          <w:rFonts w:cs="Times New Roman"/>
        </w:rPr>
      </w:pPr>
      <w:bookmarkStart w:id="1" w:name="_Toc178429920"/>
      <w:bookmarkEnd w:id="0"/>
      <w:r w:rsidRPr="005F44EF">
        <w:rPr>
          <w:rFonts w:cs="Times New Roman"/>
        </w:rPr>
        <w:lastRenderedPageBreak/>
        <w:t>SI 1 - Background Information</w:t>
      </w:r>
      <w:bookmarkEnd w:id="1"/>
    </w:p>
    <w:p w14:paraId="49C05B7F" w14:textId="77777777" w:rsidR="00BB7AA9" w:rsidRPr="005F44EF" w:rsidRDefault="00BB7AA9">
      <w:pPr>
        <w:spacing w:after="0" w:line="276" w:lineRule="auto"/>
        <w:jc w:val="both"/>
        <w:rPr>
          <w:rFonts w:ascii="Times New Roman" w:eastAsia="Times New Roman" w:hAnsi="Times New Roman" w:cs="Times New Roman"/>
          <w:b/>
          <w:color w:val="000000"/>
          <w:sz w:val="24"/>
          <w:szCs w:val="24"/>
        </w:rPr>
      </w:pPr>
    </w:p>
    <w:p w14:paraId="7382FE63" w14:textId="77777777" w:rsidR="00BB7AA9" w:rsidRPr="005F44EF" w:rsidRDefault="00B9564D" w:rsidP="00AF21DC">
      <w:pPr>
        <w:spacing w:after="0" w:line="276" w:lineRule="auto"/>
        <w:jc w:val="both"/>
        <w:rPr>
          <w:rFonts w:ascii="Times New Roman" w:eastAsia="Times New Roman" w:hAnsi="Times New Roman" w:cs="Times New Roman"/>
          <w:b/>
          <w:i/>
          <w:color w:val="000000"/>
          <w:sz w:val="24"/>
          <w:szCs w:val="24"/>
        </w:rPr>
      </w:pPr>
      <w:r w:rsidRPr="005F44EF">
        <w:rPr>
          <w:rFonts w:ascii="Times New Roman" w:eastAsia="Times New Roman" w:hAnsi="Times New Roman" w:cs="Times New Roman"/>
          <w:b/>
          <w:i/>
          <w:color w:val="000000"/>
          <w:sz w:val="24"/>
          <w:szCs w:val="24"/>
        </w:rPr>
        <w:t xml:space="preserve">1.1 </w:t>
      </w:r>
      <w:r w:rsidRPr="005F44EF">
        <w:rPr>
          <w:rFonts w:ascii="Times New Roman" w:eastAsia="Times New Roman" w:hAnsi="Times New Roman" w:cs="Times New Roman"/>
          <w:b/>
          <w:i/>
          <w:sz w:val="24"/>
          <w:szCs w:val="24"/>
        </w:rPr>
        <w:t>Evidence for the</w:t>
      </w:r>
      <w:r w:rsidRPr="005F44EF">
        <w:rPr>
          <w:rFonts w:ascii="Times New Roman" w:eastAsia="Times New Roman" w:hAnsi="Times New Roman" w:cs="Times New Roman"/>
          <w:b/>
          <w:i/>
          <w:color w:val="000000"/>
          <w:sz w:val="24"/>
          <w:szCs w:val="24"/>
        </w:rPr>
        <w:t xml:space="preserve"> earliest habitation of Africa’s tropical forests</w:t>
      </w:r>
    </w:p>
    <w:p w14:paraId="03660159" w14:textId="77777777" w:rsidR="00BB7AA9" w:rsidRPr="005F44EF" w:rsidRDefault="00BB7AA9">
      <w:pPr>
        <w:spacing w:after="0" w:line="276" w:lineRule="auto"/>
        <w:jc w:val="both"/>
        <w:rPr>
          <w:rFonts w:ascii="Times New Roman" w:eastAsia="Times New Roman" w:hAnsi="Times New Roman" w:cs="Times New Roman"/>
          <w:b/>
          <w:i/>
          <w:sz w:val="24"/>
          <w:szCs w:val="24"/>
        </w:rPr>
      </w:pPr>
    </w:p>
    <w:p w14:paraId="7B4E5DAA" w14:textId="4C08CEB2"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color w:val="000000"/>
          <w:sz w:val="24"/>
          <w:szCs w:val="24"/>
        </w:rPr>
        <w:t xml:space="preserve">Our species, </w:t>
      </w:r>
      <w:r w:rsidRPr="005F44EF">
        <w:rPr>
          <w:rFonts w:ascii="Times New Roman" w:eastAsia="Times New Roman" w:hAnsi="Times New Roman" w:cs="Times New Roman"/>
          <w:i/>
          <w:color w:val="000000"/>
          <w:sz w:val="24"/>
          <w:szCs w:val="24"/>
        </w:rPr>
        <w:t>Homo sapiens</w:t>
      </w:r>
      <w:r w:rsidRPr="005F44EF">
        <w:rPr>
          <w:rFonts w:ascii="Times New Roman" w:eastAsia="Times New Roman" w:hAnsi="Times New Roman" w:cs="Times New Roman"/>
          <w:color w:val="000000"/>
          <w:sz w:val="24"/>
          <w:szCs w:val="24"/>
        </w:rPr>
        <w:t>, is thought to have emerged shortly before 300 thousand years ago (or ka) in Africa</w:t>
      </w:r>
      <w:r w:rsidR="003479BD" w:rsidRPr="005F44EF">
        <w:rPr>
          <w:rFonts w:ascii="Times New Roman" w:eastAsia="Times New Roman" w:hAnsi="Times New Roman" w:cs="Times New Roman"/>
          <w:color w:val="000000"/>
          <w:sz w:val="24"/>
          <w:szCs w:val="24"/>
        </w:rPr>
        <w:fldChar w:fldCharType="begin" w:fldLock="1"/>
      </w:r>
      <w:r w:rsidR="003479BD" w:rsidRPr="005F44EF">
        <w:rPr>
          <w:rFonts w:ascii="Times New Roman" w:eastAsia="Times New Roman" w:hAnsi="Times New Roman" w:cs="Times New Roman"/>
          <w:color w:val="000000"/>
          <w:sz w:val="24"/>
          <w:szCs w:val="24"/>
        </w:rPr>
        <w:instrText>ADDIN CSL_CITATION {"citationItems":[{"id":"ITEM-1","itemData":{"DOI":"10.1038/nature22336","ISSN":"0028-0836","abstract":"New human fossils from Jebel Irhoud (Morocco) document the earliest evolutionary stage of Homo sapiens and display modern conditions of the face and mandible combined with more primative features of the neurocranium.","author":[{"dropping-particle":"","family":"Hublin","given":"Jean-Jacques","non-dropping-particle":"","parse-names":false,"suffix":""},{"dropping-particle":"","family":"Ben-Ncer","given":"Abdelouahed","non-dropping-particle":"","parse-names":false,"suffix":""},{"dropping-particle":"","family":"Bailey","given":"Shara E.","non-dropping-particle":"","parse-names":false,"suffix":""},{"dropping-particle":"","family":"Freidline","given":"Sarah E.","non-dropping-particle":"","parse-names":false,"suffix":""},{"dropping-particle":"","family":"Neubauer","given":"Simon","non-dropping-particle":"","parse-names":false,"suffix":""},{"dropping-particle":"","family":"Skinner","given":"Matthew M.","non-dropping-particle":"","parse-names":false,"suffix":""},{"dropping-particle":"","family":"Bergmann","given":"Inga","non-dropping-particle":"","parse-names":false,"suffix":""},{"dropping-particle":"","family":"Cabec","given":"Adeline","non-dropping-particle":"Le","parse-names":false,"suffix":""},{"dropping-particle":"","family":"Benazzi","given":"Stefano","non-dropping-particle":"","parse-names":false,"suffix":""},{"dropping-particle":"","family":"Harvati","given":"Katerina","non-dropping-particle":"","parse-names":false,"suffix":""},{"dropping-particle":"","family":"Gunz","given":"Philipp","non-dropping-particle":"","parse-names":false,"suffix":""}],"container-title":"Nature","id":"ITEM-1","issue":"7657","issued":{"date-parts":[["2017","6","7"]]},"page":"289-292","publisher":"Nature Publishing Group","title":"New fossils from Jebel Irhoud, Morocco and the pan-African origin of Homo sapiens","type":"article-journal","volume":"546"},"uris":["http://www.mendeley.com/documents/?uuid=5d33c920-2409-304b-b91c-fd1347f8dec2"]},{"id":"ITEM-2","itemData":{"DOI":"10.1038/nature22335","ISSN":"0028-0836","PMID":"28593967","abstract":"The timing and location of the emergence of our species and of associated behavioural changes are crucial for our understanding of human evolution. The earliest fossil attributed to a modern form of Homo sapiens comes from eastern Africa and is approximately 195 thousand years old, therefore the emergence of modern human biology is commonly placed at around 200 thousand years ago. The earliest Middle Stone Age assemblages come from eastern and southern Africa but date much earlier. Here we report the ages, determined by thermoluminescence dating, of fire-heated flint artefacts obtained from new excavations at the Middle Stone Age site of Jebel Irhoud, Morocco, which are directly associated with newly discovered remains of H. sapiens. A weighted average age places these Middle Stone Age artefacts and fossils at 315 ± 34 thousand years ago. Support is obtained through the recalculated uranium series with electron spin resonance date of 286 ± 32 thousand years ago for a tooth from the Irhoud 3 hominin mandible. These ages are also consistent with the faunal and microfaunal assemblages and almost double the previous age estimates for the lower part of the deposits. The north African site of Jebel Irhoud contains one of the earliest directly dated Middle Stone Age assemblages, and its associated human remains are the oldest reported for H. sapiens. The emergence of our species and of the Middle Stone Age appear to be close in time, and these data suggest a larger scale, potentially pan-African, origin for both.","author":[{"dropping-particle":"","family":"Richter","given":"Daniel","non-dropping-particle":"","parse-names":false,"suffix":""},{"dropping-particle":"","family":"Grün","given":"Rainer","non-dropping-particle":"","parse-names":false,"suffix":""},{"dropping-particle":"","family":"Joannes-Boyau","given":"Renaud","non-dropping-particle":"","parse-names":false,"suffix":""},{"dropping-particle":"","family":"Steele","given":"Teresa E.","non-dropping-particle":"","parse-names":false,"suffix":""},{"dropping-particle":"","family":"Amani","given":"Fethi","non-dropping-particle":"","parse-names":false,"suffix":""},{"dropping-particle":"","family":"Rué","given":"Mathieu","non-dropping-particle":"","parse-names":false,"suffix":""},{"dropping-particle":"","family":"Fernandes","given":"Paul","non-dropping-particle":"","parse-names":false,"suffix":""},{"dropping-particle":"","family":"Raynal","given":"Jean-Paul","non-dropping-particle":"","parse-names":false,"suffix":""},{"dropping-particle":"","family":"Geraads","given":"Denis","non-dropping-particle":"","parse-names":false,"suffix":""},{"dropping-particle":"","family":"Ben-Ncer","given":"Abdelouahed","non-dropping-particle":"","parse-names":false,"suffix":""},{"dropping-particle":"","family":"Hublin","given":"Jean-Jacques","non-dropping-particle":"","parse-names":false,"suffix":""},{"dropping-particle":"","family":"McPherron","given":"Shannon P.","non-dropping-particle":"","parse-names":false,"suffix":""}],"container-title":"Nature","id":"ITEM-2","issue":"7657","issued":{"date-parts":[["2017","6","7"]]},"page":"293-296","title":"The age of the hominin fossils from Jebel Irhoud, Morocco, and the origins of the Middle Stone Age","type":"article-journal","volume":"546"},"uris":["http://www.mendeley.com/documents/?uuid=ebeddba1-24c7-3abb-ae94-2f247c0aa07d"]},{"id":"ITEM-3","itemData":{"DOI":"10.1016/j.tree.2018.05.005","ISSN":"01695347","abstract":"We challenge the view that our species, Homo sapiens, evolved within a single population and/or region of Africa. The chronology and physical diversity of Pleistocene human fossils suggest that morphologically varied populations pertaining to the H. sapiens clade lived throughout Africa. Similarly, the African archaeological record demonstrates the polycentric origin and persistence of regionally distinct Pleistocene material culture in a variety of paleoecological settings. Genetic studies also indicate that present-day population structure within Africa extends to deep times, paralleling a paleoenvironmental record of shifting and fractured habitable zones. We argue that these fields support an emerging view of a highly structured African prehistory that should be considered in human evolutionary inferences, prompting new interpretations, questions, and interdisciplinary research directions.","author":[{"dropping-particle":"","family":"Scerri","given":"Eleanor M.L.","non-dropping-particle":"","parse-names":false,"suffix":""},{"dropping-particle":"","family":"Thomas","given":"Mark G.","non-dropping-particle":"","parse-names":false,"suffix":""},{"dropping-particle":"","family":"Manica","given":"Andrea","non-dropping-particle":"","parse-names":false,"suffix":""},{"dropping-particle":"","family":"Gunz","given":"Philipp","non-dropping-particle":"","parse-names":false,"suffix":""},{"dropping-particle":"","family":"Stock","given":"Jay T.","non-dropping-particle":"","parse-names":false,"suffix":""},{"dropping-particle":"","family":"Stringer","given":"Chris","non-dropping-particle":"","parse-names":false,"suffix":""},{"dropping-particle":"","family":"Grove","given":"Matt","non-dropping-particle":"","parse-names":false,"suffix":""},{"dropping-particle":"","family":"Groucutt","given":"Huw S.","non-dropping-particle":"","parse-names":false,"suffix":""},{"dropping-particle":"","family":"Timmermann","given":"Axel","non-dropping-particle":"","parse-names":false,"suffix":""},{"dropping-particle":"","family":"Rightmire","given":"G. Philip","non-dropping-particle":"","parse-names":false,"suffix":""},{"dropping-particle":"","family":"D’Errico","given":"Francesco","non-dropping-particle":"","parse-names":false,"suffix":""},{"dropping-particle":"","family":"Tryon","given":"Christian A.","non-dropping-particle":"","parse-names":false,"suffix":""},{"dropping-particle":"","family":"Drake","given":"Nick A.","non-dropping-particle":"","parse-names":false,"suffix":""},{"dropping-particle":"","family":"Brooks","given":"Alison S.","non-dropping-particle":"","parse-names":false,"suffix":""},{"dropping-particle":"","family":"Dennell","given":"Robin W.","non-dropping-particle":"","parse-names":false,"suffix":""},{"dropping-particle":"","family":"Durbin","given":"Richard","non-dropping-particle":"","parse-names":false,"suffix":""},{"dropping-particle":"","family":"Henn","given":"Brenna M.","non-dropping-particle":"","parse-names":false,"suffix":""},{"dropping-particle":"","family":"Lee-Thorp","given":"Julia","non-dropping-particle":"","parse-names":false,"suffix":""},{"dropping-particle":"","family":"DeMenocal","given":"Peter","non-dropping-particle":"","parse-names":false,"suffix":""},{"dropping-particle":"","family":"Petraglia","given":"Michael D.","non-dropping-particle":"","parse-names":false,"suffix":""},{"dropping-particle":"","family":"Thompson","given":"Jessica C.","non-dropping-particle":"","parse-names":false,"suffix":""},{"dropping-particle":"","family":"Scally","given":"Aylwyn","non-dropping-particle":"","parse-names":false,"suffix":""},{"dropping-particle":"","family":"Chikhi","given":"Lounès","non-dropping-particle":"","parse-names":false,"suffix":""}],"container-title":"Trends in Ecology &amp; Evolution","id":"ITEM-3","issue":"8","issued":{"date-parts":[["2018","7"]]},"page":"582-594","publisher":"Elsevier","title":"Did our species evolve in subdivided populations across Africa, and why does it matter?","type":"article-journal","volume":"33"},"uris":["http://www.mendeley.com/documents/?uuid=3ac452d3-5a33-334c-9413-f7cc9787155d"]}],"mendeley":{"formattedCitation":"&lt;sup&gt;1–3&lt;/sup&gt;","plainTextFormattedCitation":"1–3","previouslyFormattedCitation":"&lt;sup&gt;1–3&lt;/sup&gt;"},"properties":{"noteIndex":0},"schema":"https://github.com/citation-style-language/schema/raw/master/csl-citation.json"}</w:instrText>
      </w:r>
      <w:r w:rsidR="003479BD" w:rsidRPr="005F44EF">
        <w:rPr>
          <w:rFonts w:ascii="Times New Roman" w:eastAsia="Times New Roman" w:hAnsi="Times New Roman" w:cs="Times New Roman"/>
          <w:color w:val="000000"/>
          <w:sz w:val="24"/>
          <w:szCs w:val="24"/>
        </w:rPr>
        <w:fldChar w:fldCharType="separate"/>
      </w:r>
      <w:r w:rsidR="003479BD" w:rsidRPr="005F44EF">
        <w:rPr>
          <w:rFonts w:ascii="Times New Roman" w:eastAsia="Times New Roman" w:hAnsi="Times New Roman" w:cs="Times New Roman"/>
          <w:noProof/>
          <w:color w:val="000000"/>
          <w:sz w:val="24"/>
          <w:szCs w:val="24"/>
          <w:vertAlign w:val="superscript"/>
        </w:rPr>
        <w:t>1–3</w:t>
      </w:r>
      <w:r w:rsidR="003479BD" w:rsidRPr="005F44EF">
        <w:rPr>
          <w:rFonts w:ascii="Times New Roman" w:eastAsia="Times New Roman" w:hAnsi="Times New Roman" w:cs="Times New Roman"/>
          <w:color w:val="000000"/>
          <w:sz w:val="24"/>
          <w:szCs w:val="24"/>
        </w:rPr>
        <w:fldChar w:fldCharType="end"/>
      </w:r>
      <w:r w:rsidRPr="005F44EF">
        <w:rPr>
          <w:rFonts w:ascii="Times New Roman" w:eastAsia="Times New Roman" w:hAnsi="Times New Roman" w:cs="Times New Roman"/>
          <w:sz w:val="24"/>
          <w:szCs w:val="24"/>
        </w:rPr>
        <w:t>. However</w:t>
      </w:r>
      <w:r w:rsidRPr="005F44EF">
        <w:rPr>
          <w:rFonts w:ascii="Times New Roman" w:eastAsia="Times New Roman" w:hAnsi="Times New Roman" w:cs="Times New Roman"/>
          <w:color w:val="000000"/>
          <w:sz w:val="24"/>
          <w:szCs w:val="24"/>
        </w:rPr>
        <w:t xml:space="preserve"> multiple regions of Africa are implicated in this process</w:t>
      </w:r>
      <w:r w:rsidR="003479BD" w:rsidRPr="005F44EF">
        <w:rPr>
          <w:rFonts w:ascii="Times New Roman" w:eastAsia="Times New Roman" w:hAnsi="Times New Roman" w:cs="Times New Roman"/>
          <w:color w:val="000000"/>
          <w:sz w:val="24"/>
          <w:szCs w:val="24"/>
        </w:rPr>
        <w:fldChar w:fldCharType="begin" w:fldLock="1"/>
      </w:r>
      <w:r w:rsidR="003479BD" w:rsidRPr="005F44EF">
        <w:rPr>
          <w:rFonts w:ascii="Times New Roman" w:eastAsia="Times New Roman" w:hAnsi="Times New Roman" w:cs="Times New Roman"/>
          <w:color w:val="000000"/>
          <w:sz w:val="24"/>
          <w:szCs w:val="24"/>
        </w:rPr>
        <w:instrText>ADDIN CSL_CITATION {"citationItems":[{"id":"ITEM-1","itemData":{"DOI":"10.1016/j.tree.2018.05.005","ISSN":"01695347","abstract":"We challenge the view that our species, Homo sapiens, evolved within a single population and/or region of Africa. The chronology and physical diversity of Pleistocene human fossils suggest that morphologically varied populations pertaining to the H. sapiens clade lived throughout Africa. Similarly, the African archaeological record demonstrates the polycentric origin and persistence of regionally distinct Pleistocene material culture in a variety of paleoecological settings. Genetic studies also indicate that present-day population structure within Africa extends to deep times, paralleling a paleoenvironmental record of shifting and fractured habitable zones. We argue that these fields support an emerging view of a highly structured African prehistory that should be considered in human evolutionary inferences, prompting new interpretations, questions, and interdisciplinary research directions.","author":[{"dropping-particle":"","family":"Scerri","given":"Eleanor M.L.","non-dropping-particle":"","parse-names":false,"suffix":""},{"dropping-particle":"","family":"Thomas","given":"Mark G.","non-dropping-particle":"","parse-names":false,"suffix":""},{"dropping-particle":"","family":"Manica","given":"Andrea","non-dropping-particle":"","parse-names":false,"suffix":""},{"dropping-particle":"","family":"Gunz","given":"Philipp","non-dropping-particle":"","parse-names":false,"suffix":""},{"dropping-particle":"","family":"Stock","given":"Jay T.","non-dropping-particle":"","parse-names":false,"suffix":""},{"dropping-particle":"","family":"Stringer","given":"Chris","non-dropping-particle":"","parse-names":false,"suffix":""},{"dropping-particle":"","family":"Grove","given":"Matt","non-dropping-particle":"","parse-names":false,"suffix":""},{"dropping-particle":"","family":"Groucutt","given":"Huw S.","non-dropping-particle":"","parse-names":false,"suffix":""},{"dropping-particle":"","family":"Timmermann","given":"Axel","non-dropping-particle":"","parse-names":false,"suffix":""},{"dropping-particle":"","family":"Rightmire","given":"G. Philip","non-dropping-particle":"","parse-names":false,"suffix":""},{"dropping-particle":"","family":"D’Errico","given":"Francesco","non-dropping-particle":"","parse-names":false,"suffix":""},{"dropping-particle":"","family":"Tryon","given":"Christian A.","non-dropping-particle":"","parse-names":false,"suffix":""},{"dropping-particle":"","family":"Drake","given":"Nick A.","non-dropping-particle":"","parse-names":false,"suffix":""},{"dropping-particle":"","family":"Brooks","given":"Alison S.","non-dropping-particle":"","parse-names":false,"suffix":""},{"dropping-particle":"","family":"Dennell","given":"Robin W.","non-dropping-particle":"","parse-names":false,"suffix":""},{"dropping-particle":"","family":"Durbin","given":"Richard","non-dropping-particle":"","parse-names":false,"suffix":""},{"dropping-particle":"","family":"Henn","given":"Brenna M.","non-dropping-particle":"","parse-names":false,"suffix":""},{"dropping-particle":"","family":"Lee-Thorp","given":"Julia","non-dropping-particle":"","parse-names":false,"suffix":""},{"dropping-particle":"","family":"DeMenocal","given":"Peter","non-dropping-particle":"","parse-names":false,"suffix":""},{"dropping-particle":"","family":"Petraglia","given":"Michael D.","non-dropping-particle":"","parse-names":false,"suffix":""},{"dropping-particle":"","family":"Thompson","given":"Jessica C.","non-dropping-particle":"","parse-names":false,"suffix":""},{"dropping-particle":"","family":"Scally","given":"Aylwyn","non-dropping-particle":"","parse-names":false,"suffix":""},{"dropping-particle":"","family":"Chikhi","given":"Lounès","non-dropping-particle":"","parse-names":false,"suffix":""}],"container-title":"Trends in Ecology &amp; Evolution","id":"ITEM-1","issue":"8","issued":{"date-parts":[["2018","7"]]},"page":"582-594","publisher":"Elsevier","title":"Did our species evolve in subdivided populations across Africa, and why does it matter?","type":"article-journal","volume":"33"},"uris":["http://www.mendeley.com/documents/?uuid=3ac452d3-5a33-334c-9413-f7cc9787155d"]},{"id":"ITEM-2","itemData":{"DOI":"10.1038/s41559-019-0992-1","ISSN":"2397334X","PMID":"31548642","author":[{"dropping-particle":"","family":"Scerri","given":"Eleanor M.L.","non-dropping-particle":"","parse-names":false,"suffix":""},{"dropping-particle":"","family":"Chikhi","given":"Lounès","non-dropping-particle":"","parse-names":false,"suffix":""},{"dropping-particle":"","family":"Thomas","given":"Mark G.","non-dropping-particle":"","parse-names":false,"suffix":""}],"container-title":"Nature Ecology and Evolution","id":"ITEM-2","issue":"10","issued":{"date-parts":[["2019","10","1"]]},"page":"1370-1372","publisher":"Nature Publishing Group","title":"Beyond multiregional and simple out-of-Africa models of human evolution","type":"article","volume":"3"},"uris":["http://www.mendeley.com/documents/?uuid=d61fa91e-2523-3245-8d98-83dad82e335a"]},{"id":"ITEM-3","itemData":{"DOI":"10.1038/s41586-023-06055-y","ISSN":"1476-4687","PMID":"37198480","abstract":"Despite broad agreement that Homo sapiens originated in Africa, considerable uncertainty surrounds specific models of divergence and migration across the continent1. Progress is hampered by a shortage of fossil and genomic data, as well as variability in previous estimates of divergence times1. Here we seek to discriminate among such models&amp;nbsp;by considering linkage disequilibrium and diversity-based statistics, optimized for rapid, complex demographic inference2. We infer detailed demographic models for populations across Africa, including eastern and western representatives, and newly sequenced whole genomes from 44 Nama (Khoe-San) individuals from southern Africa. We infer a reticulated African population history in which present-day population structure dates back to Marine Isotope Stage 5. The earliest population divergence among contemporary populations occurred 120,000 to&amp;nbsp;135,000 years ago and was preceded by links between two or more weakly differentiated ancestral Homo populations connected by gene flow over hundreds of thousands of years. Such weakly structured stem models explain patterns of polymorphism that had previously been attributed to contributions from archaic hominins in Africa2–7. In contrast to models with archaic introgression, we predict that fossil remains from coexisting ancestral populations should be genetically and morphologically similar, and that only&amp;nbsp;an inferred 1–4% of genetic differentiation among contemporary human populations can be attributed to genetic drift between stem populations. We show that model misspecification explains the variation in previous estimates of divergence times, and argue that studying a range of models is key to making robust inferences about deep history. An analysis of models of human populations in Africa, using some newly sequenced genomes, finds that human origins in the continent can best be described by a weakly structured stem model.","author":[{"dropping-particle":"","family":"Ragsdale","given":"Aaron P.","non-dropping-particle":"","parse-names":false,"suffix":""},{"dropping-particle":"","family":"Weaver","given":"Timothy D.","non-dropping-particle":"","parse-names":false,"suffix":""},{"dropping-particle":"","family":"Atkinson","given":"Elizabeth G.","non-dropping-particle":"","parse-names":false,"suffix":""},{"dropping-particle":"","family":"Hoal","given":"Eileen G.","non-dropping-particle":"","parse-names":false,"suffix":""},{"dropping-particle":"","family":"Möller","given":"Marlo","non-dropping-particle":"","parse-names":false,"suffix":""},{"dropping-particle":"","family":"Henn","given":"Brenna M.","non-dropping-particle":"","parse-names":false,"suffix":""},{"dropping-particle":"","family":"Gravel","given":"Simon","non-dropping-particle":"","parse-names":false,"suffix":""}],"container-title":"Nature 2023 617:7962","id":"ITEM-3","issue":"7962","issued":{"date-parts":[["2023","5","17"]]},"page":"755-763","publisher":"Nature Publishing Group","title":"A weakly structured stem for human origins in Africa","type":"article-journal","volume":"617"},"uris":["http://www.mendeley.com/documents/?uuid=47af9591-9987-3e22-9d81-cdb902b3e4a6"]},{"id":"ITEM-4","itemData":{"DOI":"10.1038/s41586-021-03244-5","ISSN":"14764687","PMID":"33568824","abstract":"New finds in the palaeoanthropological and genomic records have changed our view of the origins of modern human ancestry. Here we review our current understanding of how the ancestry of modern humans around the globe can be traced into the deep past, and which ancestors it passes through during our journey back in time. We identify three key phases that are surrounded by major questions, and which will be at the frontiers of future research. The most recent phase comprises the worldwide expansion of modern humans between 40 and 60 thousand years ago (ka) and their last known contacts with archaic groups such as Neanderthals and Denisovans. The second phase is associated with a broadly construed African origin of modern human diversity between 60 and 300 ka. The oldest phase comprises the complex separation of modern human ancestors from archaic human groups from 0.3 to 1 million years ago. We argue that no specific point in time can currently be identified at which modern human ancestry was confined to a limited birthplace, and that patterns of the first appearance of anatomical or behavioural traits that are used to define Homo sapiens are consistent with a range of evolutionary histories.","author":[{"dropping-particle":"","family":"Bergström","given":"Anders","non-dropping-particle":"","parse-names":false,"suffix":""},{"dropping-particle":"","family":"Stringer","given":"Chris","non-dropping-particle":"","parse-names":false,"suffix":""},{"dropping-particle":"","family":"Hajdinjak","given":"Mateja","non-dropping-particle":"","parse-names":false,"suffix":""},{"dropping-particle":"","family":"Scerri","given":"Eleanor M.L.","non-dropping-particle":"","parse-names":false,"suffix":""},{"dropping-particle":"","family":"Skoglund","given":"Pontus","non-dropping-particle":"","parse-names":false,"suffix":""}],"container-title":"Nature","id":"ITEM-4","issue":"7845","issued":{"date-parts":[["2021","2","11"]]},"page":"229-237","publisher":"Nature Research","title":"Origins of modern human ancestry","type":"article","volume":"590"},"uris":["http://www.mendeley.com/documents/?uuid=407a9201-8932-3adb-a1fe-68349f8b6cac"]}],"mendeley":{"formattedCitation":"&lt;sup&gt;3–6&lt;/sup&gt;","plainTextFormattedCitation":"3–6","previouslyFormattedCitation":"&lt;sup&gt;3–6&lt;/sup&gt;"},"properties":{"noteIndex":0},"schema":"https://github.com/citation-style-language/schema/raw/master/csl-citation.json"}</w:instrText>
      </w:r>
      <w:r w:rsidR="003479BD" w:rsidRPr="005F44EF">
        <w:rPr>
          <w:rFonts w:ascii="Times New Roman" w:eastAsia="Times New Roman" w:hAnsi="Times New Roman" w:cs="Times New Roman"/>
          <w:color w:val="000000"/>
          <w:sz w:val="24"/>
          <w:szCs w:val="24"/>
        </w:rPr>
        <w:fldChar w:fldCharType="separate"/>
      </w:r>
      <w:r w:rsidR="003479BD" w:rsidRPr="005F44EF">
        <w:rPr>
          <w:rFonts w:ascii="Times New Roman" w:eastAsia="Times New Roman" w:hAnsi="Times New Roman" w:cs="Times New Roman"/>
          <w:noProof/>
          <w:color w:val="000000"/>
          <w:sz w:val="24"/>
          <w:szCs w:val="24"/>
          <w:vertAlign w:val="superscript"/>
        </w:rPr>
        <w:t>3–6</w:t>
      </w:r>
      <w:r w:rsidR="003479BD" w:rsidRPr="005F44EF">
        <w:rPr>
          <w:rFonts w:ascii="Times New Roman" w:eastAsia="Times New Roman" w:hAnsi="Times New Roman" w:cs="Times New Roman"/>
          <w:color w:val="000000"/>
          <w:sz w:val="24"/>
          <w:szCs w:val="24"/>
        </w:rPr>
        <w:fldChar w:fldCharType="end"/>
      </w:r>
      <w:r w:rsidR="003479BD" w:rsidRPr="005F44EF">
        <w:rPr>
          <w:rFonts w:ascii="Times New Roman" w:eastAsia="Times New Roman" w:hAnsi="Times New Roman" w:cs="Times New Roman"/>
          <w:color w:val="000000"/>
          <w:sz w:val="24"/>
          <w:szCs w:val="24"/>
        </w:rPr>
        <w:t xml:space="preserve">. </w:t>
      </w:r>
      <w:r w:rsidRPr="005F44EF">
        <w:rPr>
          <w:rFonts w:ascii="Times New Roman" w:eastAsia="Times New Roman" w:hAnsi="Times New Roman" w:cs="Times New Roman"/>
          <w:color w:val="000000"/>
          <w:sz w:val="24"/>
          <w:szCs w:val="24"/>
        </w:rPr>
        <w:t>Middle Stone age (MSA) tools associated with the earliest fossils of our species</w:t>
      </w:r>
      <w:r w:rsidR="003479BD" w:rsidRPr="005F44EF">
        <w:rPr>
          <w:rFonts w:ascii="Times New Roman" w:eastAsia="Times New Roman" w:hAnsi="Times New Roman" w:cs="Times New Roman"/>
          <w:color w:val="000000"/>
          <w:sz w:val="24"/>
          <w:szCs w:val="24"/>
        </w:rPr>
        <w:fldChar w:fldCharType="begin" w:fldLock="1"/>
      </w:r>
      <w:r w:rsidR="003479BD" w:rsidRPr="005F44EF">
        <w:rPr>
          <w:rFonts w:ascii="Times New Roman" w:eastAsia="Times New Roman" w:hAnsi="Times New Roman" w:cs="Times New Roman"/>
          <w:color w:val="000000"/>
          <w:sz w:val="24"/>
          <w:szCs w:val="24"/>
        </w:rPr>
        <w:instrText>ADDIN CSL_CITATION {"citationItems":[{"id":"ITEM-1","itemData":{"DOI":"10.1038/nature22336","ISSN":"0028-0836","abstract":"New human fossils from Jebel Irhoud (Morocco) document the earliest evolutionary stage of Homo sapiens and display modern conditions of the face and mandible combined with more primative features of the neurocranium.","author":[{"dropping-particle":"","family":"Hublin","given":"Jean-Jacques","non-dropping-particle":"","parse-names":false,"suffix":""},{"dropping-particle":"","family":"Ben-Ncer","given":"Abdelouahed","non-dropping-particle":"","parse-names":false,"suffix":""},{"dropping-particle":"","family":"Bailey","given":"Shara E.","non-dropping-particle":"","parse-names":false,"suffix":""},{"dropping-particle":"","family":"Freidline","given":"Sarah E.","non-dropping-particle":"","parse-names":false,"suffix":""},{"dropping-particle":"","family":"Neubauer","given":"Simon","non-dropping-particle":"","parse-names":false,"suffix":""},{"dropping-particle":"","family":"Skinner","given":"Matthew M.","non-dropping-particle":"","parse-names":false,"suffix":""},{"dropping-particle":"","family":"Bergmann","given":"Inga","non-dropping-particle":"","parse-names":false,"suffix":""},{"dropping-particle":"","family":"Cabec","given":"Adeline","non-dropping-particle":"Le","parse-names":false,"suffix":""},{"dropping-particle":"","family":"Benazzi","given":"Stefano","non-dropping-particle":"","parse-names":false,"suffix":""},{"dropping-particle":"","family":"Harvati","given":"Katerina","non-dropping-particle":"","parse-names":false,"suffix":""},{"dropping-particle":"","family":"Gunz","given":"Philipp","non-dropping-particle":"","parse-names":false,"suffix":""}],"container-title":"Nature","id":"ITEM-1","issue":"7657","issued":{"date-parts":[["2017","6","7"]]},"page":"289-292","publisher":"Nature Publishing Group","title":"New fossils from Jebel Irhoud, Morocco and the pan-African origin of Homo sapiens","type":"article-journal","volume":"546"},"uris":["http://www.mendeley.com/documents/?uuid=5d33c920-2409-304b-b91c-fd1347f8dec2"]},{"id":"ITEM-2","itemData":{"DOI":"10.1038/nature22335","ISSN":"0028-0836","PMID":"28593967","abstract":"The timing and location of the emergence of our species and of associated behavioural changes are crucial for our understanding of human evolution. The earliest fossil attributed to a modern form of Homo sapiens comes from eastern Africa and is approximately 195 thousand years old, therefore the emergence of modern human biology is commonly placed at around 200 thousand years ago. The earliest Middle Stone Age assemblages come from eastern and southern Africa but date much earlier. Here we report the ages, determined by thermoluminescence dating, of fire-heated flint artefacts obtained from new excavations at the Middle Stone Age site of Jebel Irhoud, Morocco, which are directly associated with newly discovered remains of H. sapiens. A weighted average age places these Middle Stone Age artefacts and fossils at 315 ± 34 thousand years ago. Support is obtained through the recalculated uranium series with electron spin resonance date of 286 ± 32 thousand years ago for a tooth from the Irhoud 3 hominin mandible. These ages are also consistent with the faunal and microfaunal assemblages and almost double the previous age estimates for the lower part of the deposits. The north African site of Jebel Irhoud contains one of the earliest directly dated Middle Stone Age assemblages, and its associated human remains are the oldest reported for H. sapiens. The emergence of our species and of the Middle Stone Age appear to be close in time, and these data suggest a larger scale, potentially pan-African, origin for both.","author":[{"dropping-particle":"","family":"Richter","given":"Daniel","non-dropping-particle":"","parse-names":false,"suffix":""},{"dropping-particle":"","family":"Grün","given":"Rainer","non-dropping-particle":"","parse-names":false,"suffix":""},{"dropping-particle":"","family":"Joannes-Boyau","given":"Renaud","non-dropping-particle":"","parse-names":false,"suffix":""},{"dropping-particle":"","family":"Steele","given":"Teresa E.","non-dropping-particle":"","parse-names":false,"suffix":""},{"dropping-particle":"","family":"Amani","given":"Fethi","non-dropping-particle":"","parse-names":false,"suffix":""},{"dropping-particle":"","family":"Rué","given":"Mathieu","non-dropping-particle":"","parse-names":false,"suffix":""},{"dropping-particle":"","family":"Fernandes","given":"Paul","non-dropping-particle":"","parse-names":false,"suffix":""},{"dropping-particle":"","family":"Raynal","given":"Jean-Paul","non-dropping-particle":"","parse-names":false,"suffix":""},{"dropping-particle":"","family":"Geraads","given":"Denis","non-dropping-particle":"","parse-names":false,"suffix":""},{"dropping-particle":"","family":"Ben-Ncer","given":"Abdelouahed","non-dropping-particle":"","parse-names":false,"suffix":""},{"dropping-particle":"","family":"Hublin","given":"Jean-Jacques","non-dropping-particle":"","parse-names":false,"suffix":""},{"dropping-particle":"","family":"McPherron","given":"Shannon P.","non-dropping-particle":"","parse-names":false,"suffix":""}],"container-title":"Nature","id":"ITEM-2","issue":"7657","issued":{"date-parts":[["2017","6","7"]]},"page":"293-296","title":"The age of the hominin fossils from Jebel Irhoud, Morocco, and the origins of the Middle Stone Age","type":"article-journal","volume":"546"},"uris":["http://www.mendeley.com/documents/?uuid=ebeddba1-24c7-3abb-ae94-2f247c0aa07d"]}],"mendeley":{"formattedCitation":"&lt;sup&gt;1,2&lt;/sup&gt;","plainTextFormattedCitation":"1,2","previouslyFormattedCitation":"&lt;sup&gt;1,2&lt;/sup&gt;"},"properties":{"noteIndex":0},"schema":"https://github.com/citation-style-language/schema/raw/master/csl-citation.json"}</w:instrText>
      </w:r>
      <w:r w:rsidR="003479BD" w:rsidRPr="005F44EF">
        <w:rPr>
          <w:rFonts w:ascii="Times New Roman" w:eastAsia="Times New Roman" w:hAnsi="Times New Roman" w:cs="Times New Roman"/>
          <w:color w:val="000000"/>
          <w:sz w:val="24"/>
          <w:szCs w:val="24"/>
        </w:rPr>
        <w:fldChar w:fldCharType="separate"/>
      </w:r>
      <w:r w:rsidR="003479BD" w:rsidRPr="005F44EF">
        <w:rPr>
          <w:rFonts w:ascii="Times New Roman" w:eastAsia="Times New Roman" w:hAnsi="Times New Roman" w:cs="Times New Roman"/>
          <w:noProof/>
          <w:color w:val="000000"/>
          <w:sz w:val="24"/>
          <w:szCs w:val="24"/>
          <w:vertAlign w:val="superscript"/>
        </w:rPr>
        <w:t>1,2</w:t>
      </w:r>
      <w:r w:rsidR="003479BD" w:rsidRPr="005F44EF">
        <w:rPr>
          <w:rFonts w:ascii="Times New Roman" w:eastAsia="Times New Roman" w:hAnsi="Times New Roman" w:cs="Times New Roman"/>
          <w:color w:val="000000"/>
          <w:sz w:val="24"/>
          <w:szCs w:val="24"/>
        </w:rPr>
        <w:fldChar w:fldCharType="end"/>
      </w:r>
      <w:r w:rsidR="003479BD" w:rsidRPr="005F44EF">
        <w:rPr>
          <w:rFonts w:ascii="Times New Roman" w:eastAsia="Times New Roman" w:hAnsi="Times New Roman" w:cs="Times New Roman"/>
          <w:color w:val="000000"/>
          <w:sz w:val="24"/>
          <w:szCs w:val="24"/>
        </w:rPr>
        <w:t xml:space="preserve"> </w:t>
      </w:r>
      <w:r w:rsidRPr="005F44EF">
        <w:rPr>
          <w:rFonts w:ascii="Times New Roman" w:eastAsia="Times New Roman" w:hAnsi="Times New Roman" w:cs="Times New Roman"/>
          <w:color w:val="000000"/>
          <w:sz w:val="24"/>
          <w:szCs w:val="24"/>
        </w:rPr>
        <w:t>are found in many</w:t>
      </w:r>
      <w:r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color w:val="000000"/>
          <w:sz w:val="24"/>
          <w:szCs w:val="24"/>
        </w:rPr>
        <w:t>different regions of Africa from this stage onwards (e.g.</w:t>
      </w:r>
      <w:r w:rsidR="003479BD" w:rsidRPr="005F44EF">
        <w:rPr>
          <w:rFonts w:ascii="Times New Roman" w:eastAsia="Times New Roman" w:hAnsi="Times New Roman" w:cs="Times New Roman"/>
          <w:color w:val="000000"/>
          <w:sz w:val="24"/>
          <w:szCs w:val="24"/>
        </w:rPr>
        <w:fldChar w:fldCharType="begin" w:fldLock="1"/>
      </w:r>
      <w:r w:rsidR="003479BD" w:rsidRPr="005F44EF">
        <w:rPr>
          <w:rFonts w:ascii="Times New Roman" w:eastAsia="Times New Roman" w:hAnsi="Times New Roman" w:cs="Times New Roman"/>
          <w:color w:val="000000"/>
          <w:sz w:val="24"/>
          <w:szCs w:val="24"/>
        </w:rPr>
        <w:instrText>ADDIN CSL_CITATION {"citationItems":[{"id":"ITEM-1","itemData":{"DOI":"10.1126/science.aao2216","PMID":"29545510","abstract":"The origin of the Middle Stone Age (MSA) marks the transition from a highly persistent mode of stone toolmaking, the Acheulean, to a period of increasing technological innovation and cultural indicators associated with the evolution of Homo sapiens We used argon-40/argon-39 and uranium-series dating to calibrate the chronology of Acheulean and early MSA artifact-rich sedimentary deposits in the Olorgesailie basin, southern Kenya rift. We determined the age of late Acheulean tool assemblages from 615,000 to 499,000 years ago, after which a large technological and faunal transition occurred, with a definitive MSA lacking Acheulean elements beginning most likely by ~320,000 years ago, but at least by 305,000 years ago. These results establish the oldest repository of MSA artifacts in eastern Africa.","author":[{"dropping-particle":"","family":"Deino","given":"Alan L","non-dropping-particle":"","parse-names":false,"suffix":""},{"dropping-particle":"","family":"Behrensmeyer","given":"Anna K","non-dropping-particle":"","parse-names":false,"suffix":""},{"dropping-particle":"","family":"Brooks","given":"Alison S","non-dropping-particle":"","parse-names":false,"suffix":""},{"dropping-particle":"","family":"Yellen","given":"John E","non-dropping-particle":"","parse-names":false,"suffix":""},{"dropping-particle":"","family":"Sharp","given":"Warren D","non-dropping-particle":"","parse-names":false,"suffix":""},{"dropping-particle":"","family":"Potts","given":"Richard","non-dropping-particle":"","parse-names":false,"suffix":""}],"container-title":"Science","id":"ITEM-1","issue":"6384","issued":{"date-parts":[["2018","4","6"]]},"page":"95-98","publisher":"American Association for the Advancement of Science","title":"Chronology of the Acheulean to Middle Stone Age transition in eastern Africa.","type":"article-journal","volume":"360"},"uris":["http://www.mendeley.com/documents/?uuid=fe5fc5e8-91de-3136-a3a0-c9b485a07a11"]},{"id":"ITEM-2","itemData":{"DOI":"10.1016/J.JHEVOL.2023.103358","ISSN":"0047-2484","author":[{"dropping-particle":"","family":"Scerri","given":"Eleanor M.L.","non-dropping-particle":"","parse-names":false,"suffix":""},{"dropping-particle":"","family":"Will","given":"Manuel","non-dropping-particle":"","parse-names":false,"suffix":""}],"container-title":"Journal of Human Evolution","id":"ITEM-2","issue":"103358","issued":{"date-parts":[["2023","6","1"]]},"publisher":"Academic Press","title":"The revolution that still isn't: The origins of behavioral complexity in Homo sapiens","type":"article-journal","volume":"179"},"uris":["http://www.mendeley.com/documents/?uuid=703e8817-f045-3658-bf65-d251181ad68b"]}],"mendeley":{"formattedCitation":"&lt;sup&gt;7,8&lt;/sup&gt;","plainTextFormattedCitation":"7,8","previouslyFormattedCitation":"&lt;sup&gt;7,8&lt;/sup&gt;"},"properties":{"noteIndex":0},"schema":"https://github.com/citation-style-language/schema/raw/master/csl-citation.json"}</w:instrText>
      </w:r>
      <w:r w:rsidR="003479BD" w:rsidRPr="005F44EF">
        <w:rPr>
          <w:rFonts w:ascii="Times New Roman" w:eastAsia="Times New Roman" w:hAnsi="Times New Roman" w:cs="Times New Roman"/>
          <w:color w:val="000000"/>
          <w:sz w:val="24"/>
          <w:szCs w:val="24"/>
        </w:rPr>
        <w:fldChar w:fldCharType="separate"/>
      </w:r>
      <w:r w:rsidR="003479BD" w:rsidRPr="005F44EF">
        <w:rPr>
          <w:rFonts w:ascii="Times New Roman" w:eastAsia="Times New Roman" w:hAnsi="Times New Roman" w:cs="Times New Roman"/>
          <w:noProof/>
          <w:color w:val="000000"/>
          <w:sz w:val="24"/>
          <w:szCs w:val="24"/>
          <w:vertAlign w:val="superscript"/>
        </w:rPr>
        <w:t>7,8</w:t>
      </w:r>
      <w:r w:rsidR="003479BD" w:rsidRPr="005F44EF">
        <w:rPr>
          <w:rFonts w:ascii="Times New Roman" w:eastAsia="Times New Roman" w:hAnsi="Times New Roman" w:cs="Times New Roman"/>
          <w:color w:val="000000"/>
          <w:sz w:val="24"/>
          <w:szCs w:val="24"/>
        </w:rPr>
        <w:fldChar w:fldCharType="end"/>
      </w:r>
      <w:r w:rsidRPr="005F44EF">
        <w:rPr>
          <w:rFonts w:ascii="Times New Roman" w:eastAsia="Times New Roman" w:hAnsi="Times New Roman" w:cs="Times New Roman"/>
          <w:color w:val="000000"/>
          <w:sz w:val="24"/>
          <w:szCs w:val="24"/>
        </w:rPr>
        <w:t xml:space="preserve">). </w:t>
      </w:r>
      <w:r w:rsidR="00420FC1" w:rsidRPr="005F44EF">
        <w:rPr>
          <w:rFonts w:ascii="Times New Roman" w:eastAsia="Times New Roman" w:hAnsi="Times New Roman" w:cs="Times New Roman"/>
          <w:color w:val="000000"/>
          <w:sz w:val="24"/>
          <w:szCs w:val="24"/>
        </w:rPr>
        <w:t>Yet,</w:t>
      </w:r>
      <w:r w:rsidRPr="005F44EF">
        <w:rPr>
          <w:rFonts w:ascii="Times New Roman" w:eastAsia="Times New Roman" w:hAnsi="Times New Roman" w:cs="Times New Roman"/>
          <w:color w:val="000000"/>
          <w:sz w:val="24"/>
          <w:szCs w:val="24"/>
        </w:rPr>
        <w:t xml:space="preserve"> the lack of chronological constraints or clear </w:t>
      </w:r>
      <w:proofErr w:type="spellStart"/>
      <w:r w:rsidRPr="005F44EF">
        <w:rPr>
          <w:rFonts w:ascii="Times New Roman" w:eastAsia="Times New Roman" w:hAnsi="Times New Roman" w:cs="Times New Roman"/>
          <w:sz w:val="24"/>
          <w:szCs w:val="24"/>
        </w:rPr>
        <w:t>palaeoenvironmental</w:t>
      </w:r>
      <w:proofErr w:type="spellEnd"/>
      <w:r w:rsidRPr="005F44EF">
        <w:rPr>
          <w:rFonts w:ascii="Times New Roman" w:eastAsia="Times New Roman" w:hAnsi="Times New Roman" w:cs="Times New Roman"/>
          <w:color w:val="000000"/>
          <w:sz w:val="24"/>
          <w:szCs w:val="24"/>
        </w:rPr>
        <w:t xml:space="preserve"> proxy records from many sites means it has been difficult to determine the extent of ecological diversity experienced by the earliest members of our species. This is particularly the case in areas of modern</w:t>
      </w:r>
      <w:r w:rsidRPr="005F44EF">
        <w:rPr>
          <w:rFonts w:ascii="Times New Roman" w:eastAsia="Times New Roman" w:hAnsi="Times New Roman" w:cs="Times New Roman"/>
          <w:sz w:val="24"/>
          <w:szCs w:val="24"/>
        </w:rPr>
        <w:t>-</w:t>
      </w:r>
      <w:r w:rsidRPr="005F44EF">
        <w:rPr>
          <w:rFonts w:ascii="Times New Roman" w:eastAsia="Times New Roman" w:hAnsi="Times New Roman" w:cs="Times New Roman"/>
          <w:color w:val="000000"/>
          <w:sz w:val="24"/>
          <w:szCs w:val="24"/>
        </w:rPr>
        <w:t xml:space="preserve">day closed-canopy forest. Long considered a barrier to Pleistocene humans (see debates e.g. in </w:t>
      </w:r>
      <w:r w:rsidR="003479BD" w:rsidRPr="005F44EF">
        <w:rPr>
          <w:rFonts w:ascii="Times New Roman" w:eastAsia="Times New Roman" w:hAnsi="Times New Roman" w:cs="Times New Roman"/>
          <w:color w:val="000000"/>
          <w:sz w:val="24"/>
          <w:szCs w:val="24"/>
        </w:rPr>
        <w:fldChar w:fldCharType="begin" w:fldLock="1"/>
      </w:r>
      <w:r w:rsidR="00F150F6" w:rsidRPr="005F44EF">
        <w:rPr>
          <w:rFonts w:ascii="Times New Roman" w:eastAsia="Times New Roman" w:hAnsi="Times New Roman" w:cs="Times New Roman"/>
          <w:color w:val="000000"/>
          <w:sz w:val="24"/>
          <w:szCs w:val="24"/>
        </w:rPr>
        <w:instrText>ADDIN CSL_CITATION {"citationItems":[{"id":"ITEM-1","itemData":{"author":[{"dropping-particle":"","family":"Hladik","given":"Annette","non-dropping-particle":"","parse-names":false,"suffix":""},{"dropping-particle":"","family":"Dounias","given":"Edmond","non-dropping-particle":"","parse-names":false,"suffix":""}],"id":"ITEM-1","issue":"January 1993","issued":{"date-parts":[["1993"]]},"page":"163-177","title":"WILD YAMS OF THE AFRICAN FOREST AS POTENTIAL FOOD RESOURCES","type":"article-journal","volume":"13"},"uris":["http://www.mendeley.com/documents/?uuid=9081a0a1-0b59-4184-ab30-178015e280f4"]},{"id":"ITEM-2","itemData":{"DOI":"10.1080/00438243.2015.1073119","ISSN":"14701375","abstract":"In the 1980s, anthropologists argued that tropical rainforests were unattractive environments for long-term human navigation, subsistence and occupation. Meanwhile, archaeologists have traditionally held that Homo sapiens only intensively colonized rainforests during the Holocene, from c. 11 thousand years ago (ka). New discoveries and re-appraisal of Pleistocene (c. 200–12 ka) archaeological sites in Africa, Southeast Asia, Melanesia, and Sri Lanka, have, however, indicated the possibility for human occupation of rainforests from c. 45 ka and, more controversially, c. 200 ka. We critically review the archaeological evidence for Pleistocene human rainforest occupation from several regions. We argue that clear evidence exists for human adaptation to rainforest ecologies from c. 45 ka, with tantalizing hints of even earlier colonization. More research, however, is needed in order to understand the dynamism and diversity of palaeoecologies commonly classified as ‘rainforest’, as well as the regional extent, nature, and longevity of early human rainforest habitations.","author":[{"dropping-particle":"","family":"Roberts","given":"Patrick","non-dropping-particle":"","parse-names":false,"suffix":""},{"dropping-particle":"","family":"Petraglia","given":"Michael","non-dropping-particle":"","parse-names":false,"suffix":""}],"container-title":"World Archaeology","id":"ITEM-2","issue":"5","issued":{"date-parts":[["2015","10","20"]]},"page":"718-739","publisher":"Routledge","title":"Pleistocene rainforests: barriers or attractive environments for early human foragers?","type":"article-journal","volume":"47"},"uris":["http://www.mendeley.com/documents/?uuid=626991e4-1519-32bf-9545-51c62420289b"]},{"id":"ITEM-3","itemData":{"DOI":"10.1002/EVAN.10022","ISSN":"1520-6505","abstract":"Conventionally, the African continent has been partitioned in two evolutionary domains. One of them, the rainforest, is home to apes and covers central and West Africa. The other one extends through the woodlands and savannas of East and Southern Africa and has been traditionally perceived as home to humanity. The morphology of early humans is well-adapted to open environments. In addition, food procurement in savannas is known to be easier and more reliable than Is provisioning in the rainforest, with its dispersed and cryptic faunal resources and fickle carbohydrates and fat. In the late 1980s, human ecologists and socio-cultural anthropologists demonstrated that full-fledged foraging without some agricultural support has been virtually undocumented in tropical forests today or in the recent past.2 This research portrayed the present-day rainforest ecosystem as an unfriendly environment that is unable to support purely foraging groups, and questioned whether hominids ever lived in it.2.","author":[{"dropping-particle":"","family":"Mercader","given":"Julio","non-dropping-particle":"","parse-names":false,"suffix":""}],"container-title":"Evolutionary Anthropology: Issues, News, and Reviews","id":"ITEM-3","issue":"3","issued":{"date-parts":[["2002","1","1"]]},"page":"117-124","publisher":"John Wiley &amp; Sons, Ltd","title":"Forest people: The role of African rainforests in human evolution and dispersal","type":"article-journal","volume":"11"},"uris":["http://www.mendeley.com/documents/?uuid=180a3fec-4de8-3a11-a903-868c42e51e3e"]},{"id":"ITEM-4","itemData":{"DOI":"10.1007/S10745-009-9279-5/METRICS","ISSN":"03007839","abstract":"Availability of annually reproducing wild yam species (Dioscorea praehensilis and Dioscorea semperflorens) is considered to be a key factor for the viability of forest hunter-gatherer subsistence in the African rainforests. I here describe the habitat and distribution of wild yam patches, and discuss possible human impacts on the formation of wild yam patches, which currently support long-term forest expeditions by Baka hunter-gatherers in southeastern Cameroon. An analysis of canopy photographs shows that annual yams favor a habitat of canopy gaps which receive sufficient sunlight. However, the fact that annual yams patches are limited to specific locations even though gaps in the canopy occur throughout the forest, combined with the mostly vegetative reproductive system of the yams, suggests annual yams do not propagate extensively in the wild. Moreover, areas with abundant annual yam patches that are presently situated far from any villages contain several abandoned village sites. Since the Baka often transplant parts of yam tubers to encourage their spread, it seems that human activities may have contributed to the formation of locally concentrated annual yam patches. © Springer Science+Business Media, LLC 2009.","author":[{"dropping-particle":"","family":"Yasuoka","given":"Hirokazu","non-dropping-particle":"","parse-names":false,"suffix":""}],"container-title":"Human Ecology","id":"ITEM-4","issue":"5","issued":{"date-parts":[["2009","8","19"]]},"page":"577-587","publisher":"Springer","title":"Concentrated distribution of wild yam patches: Historical ecology and the subsistence of African rainforest hunter-gatherers","type":"article-journal","volume":"37"},"uris":["http://www.mendeley.com/documents/?uuid=5284f3dd-933c-3583-973a-f27940a788bd"]},{"id":"ITEM-5","itemData":{"author":[{"dropping-particle":"","family":"Roberts","given":"Patrick","non-dropping-particle":"","parse-names":false,"suffix":""}],"editor":[{"dropping-particle":"","family":"Press","given":"Oxford University","non-dropping-particle":"","parse-names":false,"suffix":""}],"id":"ITEM-5","issued":{"date-parts":[["2019"]]},"number-of-pages":"978","publisher-place":"Oxford","title":"Tropical forests in prehistory, history, and modernity","type":"book"},"uris":["http://www.mendeley.com/documents/?uuid=4c7e6b35-e04b-4da3-bef2-126ad82c43eb"]},{"id":"ITEM-6","itemData":{"author":[{"dropping-particle":"","family":"Roberts","given":"Patrick","non-dropping-particle":"","parse-names":false,"suffix":""}],"edition":"New York :","id":"ITEM-6","issued":{"date-parts":[["2021"]]},"number-of-pages":"432","title":"Jungle: how tropical forests shaped the world - and us","type":"book"},"uris":["http://www.mendeley.com/documents/?uuid=7d14e8c9-87e6-4f67-8a47-1d360c59d1b0"]},{"id":"ITEM-7","itemData":{"DOI":"10.1098/rstb.2020.0500","ISSN":"14712970","PMID":"35249383","abstract":"Since Darwin, studies of human evolution have tended to give primacy to open 'savannah' environments as the ecological cradle of our lineage, with dense tropical forests cast as hostile, unfavourable frontiers. These perceptions continue to shape both the geographical context of fieldwork as well as dominant narratives concerning hominin evolution. This paradigm persists despite new, ground-breaking research highlighting the role of tropical forests in the human story. For example, novel research in Africa's rainforests has uncovered archaeological sites dating back into the Pleistocene; genetic studies have revealed very deep human roots in Central and West Africa and in the tropics of Asia and the Pacific; an unprecedented number of coexistent hominin species have now been documented, including Homo erectus, the 'Hobbit' (Homo floresiensis), Homo luzonensis, Denisovans, and Homo sapiens. Some of the earliest members of our own species to reach South Asia, Southeast Asia, Oceania and the tropical Americas have shown an unexpected rapidity in their adaptation to even some of the more 'extreme' tropical settings. This includes the early human manipulation of species and even habitats. This volume builds on these currently disparate threads and, for the first time, draws together a group of interdisciplinary, agenda-setting papers that firmly places a broader spectrum of tropical environments at the heart of the deep human past. This article is part of the theme issue 'Tropical forests in the deep human past'.","author":[{"dropping-particle":"","family":"Scerri","given":"Eleanor M.L.","non-dropping-particle":"","parse-names":false,"suffix":""},{"dropping-particle":"","family":"Roberts","given":"Patrick","non-dropping-particle":"","parse-names":false,"suffix":""},{"dropping-particle":"","family":"Maezumi","given":"S. Yoshi","non-dropping-particle":"","parse-names":false,"suffix":""},{"dropping-particle":"","family":"Malhi","given":"Yadvinder","non-dropping-particle":"","parse-names":false,"suffix":""}],"container-title":"Philosophical Transactions of the Royal Society B: Biological Sciences","id":"ITEM-7","issue":"1849","issued":{"date-parts":[["2022"]]},"title":"Tropical forests in the deep human past","type":"article-journal","volume":"377"},"uris":["http://www.mendeley.com/documents/?uuid=2a5fad3c-3970-4d86-9118-92bcc12f668e"]},{"id":"ITEM-8","itemData":{"ISSN":"0286-9667","abstract":"Wild edible tuberous plants were assessed as a potentially reliable staple food resource for the Baka forest foragers independent of agriculture in South Cameroon. Using a belt-transect method, the density and biomass of wild yam and yam-like plants were surveyed in the semi-deciduous forest. Seven plant species with edible tubers grew throughout the forest surveyed, while more densely in the parts disturbed by human activity. The total biomass of wild edible tubers in a forest remote from the villages was estimated at more than 5 kg/ha, exceeding the value estimated in previous studies conducted in similar forest environments. The ubiquitousness, the considerably large biomass and the Baka gatherers’ knowledge and technology for collecting wild tubers point to wild yam-like plants as one major staple food resource to support foragers independent of agriculture","author":[{"dropping-particle":"","family":"Sato","given":"Hiroaki","non-dropping-particle":"","parse-names":false,"suffix":""}],"container-title":"African Study Monographs","id":"ITEM-8","issue":"March","issued":{"date-parts":[["2001"]]},"page":"123-134","title":"The potential of edible wild yams and yam-like plants as a staple food resource in the African tropical rain forest","type":"article-journal","volume":"Suppl.26"},"uris":["http://www.mendeley.com/documents/?uuid=b2011fa5-266b-4544-8ab5-12dc6c7742d4"]}],"mendeley":{"formattedCitation":"&lt;sup&gt;9–16&lt;/sup&gt;","plainTextFormattedCitation":"9–16","previouslyFormattedCitation":"&lt;sup&gt;9–16&lt;/sup&gt;"},"properties":{"noteIndex":0},"schema":"https://github.com/citation-style-language/schema/raw/master/csl-citation.json"}</w:instrText>
      </w:r>
      <w:r w:rsidR="003479BD" w:rsidRPr="005F44EF">
        <w:rPr>
          <w:rFonts w:ascii="Times New Roman" w:eastAsia="Times New Roman" w:hAnsi="Times New Roman" w:cs="Times New Roman"/>
          <w:color w:val="000000"/>
          <w:sz w:val="24"/>
          <w:szCs w:val="24"/>
        </w:rPr>
        <w:fldChar w:fldCharType="separate"/>
      </w:r>
      <w:r w:rsidR="00F150F6" w:rsidRPr="005F44EF">
        <w:rPr>
          <w:rFonts w:ascii="Times New Roman" w:eastAsia="Times New Roman" w:hAnsi="Times New Roman" w:cs="Times New Roman"/>
          <w:noProof/>
          <w:color w:val="000000"/>
          <w:sz w:val="24"/>
          <w:szCs w:val="24"/>
          <w:vertAlign w:val="superscript"/>
        </w:rPr>
        <w:t>9–16</w:t>
      </w:r>
      <w:r w:rsidR="003479BD" w:rsidRPr="005F44EF">
        <w:rPr>
          <w:rFonts w:ascii="Times New Roman" w:eastAsia="Times New Roman" w:hAnsi="Times New Roman" w:cs="Times New Roman"/>
          <w:color w:val="000000"/>
          <w:sz w:val="24"/>
          <w:szCs w:val="24"/>
        </w:rPr>
        <w:fldChar w:fldCharType="end"/>
      </w:r>
      <w:r w:rsidRPr="005F44EF">
        <w:rPr>
          <w:rFonts w:ascii="Times New Roman" w:eastAsia="Times New Roman" w:hAnsi="Times New Roman" w:cs="Times New Roman"/>
          <w:color w:val="000000"/>
          <w:sz w:val="24"/>
          <w:szCs w:val="24"/>
        </w:rPr>
        <w:t xml:space="preserve">), the possibility that early populations of African hunter-gatherers adapted to dense tropical forests has been resurrected by discoveries in South and </w:t>
      </w:r>
      <w:r w:rsidRPr="005F44EF">
        <w:rPr>
          <w:rFonts w:ascii="Times New Roman" w:eastAsia="Times New Roman" w:hAnsi="Times New Roman" w:cs="Times New Roman"/>
          <w:sz w:val="24"/>
          <w:szCs w:val="24"/>
        </w:rPr>
        <w:t>Southeast Asia</w:t>
      </w:r>
      <w:r w:rsidRPr="005F44EF">
        <w:rPr>
          <w:rFonts w:ascii="Times New Roman" w:eastAsia="Times New Roman" w:hAnsi="Times New Roman" w:cs="Times New Roman"/>
          <w:color w:val="000000"/>
          <w:sz w:val="24"/>
          <w:szCs w:val="24"/>
        </w:rPr>
        <w:t>. For example, specialized monkey-hunting</w:t>
      </w:r>
      <w:r w:rsidR="00A27F73" w:rsidRPr="005F44EF">
        <w:rPr>
          <w:rFonts w:ascii="Times New Roman" w:eastAsia="Times New Roman" w:hAnsi="Times New Roman" w:cs="Times New Roman"/>
          <w:color w:val="000000"/>
          <w:sz w:val="24"/>
          <w:szCs w:val="24"/>
        </w:rPr>
        <w:fldChar w:fldCharType="begin" w:fldLock="1"/>
      </w:r>
      <w:r w:rsidR="00F150F6" w:rsidRPr="005F44EF">
        <w:rPr>
          <w:rFonts w:ascii="Times New Roman" w:eastAsia="Times New Roman" w:hAnsi="Times New Roman" w:cs="Times New Roman"/>
          <w:color w:val="000000"/>
          <w:sz w:val="24"/>
          <w:szCs w:val="24"/>
        </w:rPr>
        <w:instrText>ADDIN CSL_CITATION {"citationItems":[{"id":"ITEM-1","itemData":{"DOI":"10.1038/s41467-019-08623-1","ISSN":"20411723","PMID":"30783099","abstract":"Defining the distinctive capacities of Homo sapiens relative to other hominins is a major focus for human evolutionary studies. It has been argued that the procurement of small, difficult-to-catch, agile prey is a hallmark of complex behavior unique to our species; however, most research in this regard has been limited to the last 20,000 years in Europe and the Levant. Here, we present detailed faunal assemblage and taphonomic data from Fa-Hien Lena Cave in Sri Lanka that demonstrates specialized, sophisticated hunting of semi-arboreal and arboreal monkey and squirrel populations from ca. 45,000 years ago, in a tropical rainforest environment. Facilitated by complex osseous and microlithic technologies, we argue these data highlight that the early capture of small, elusive mammals was part of the plastic behavior of Homo sapiens that allowed it to rapidly colonize a series of extreme environments that were apparently untouched by its hominin relatives.","author":[{"dropping-particle":"","family":"Wedage","given":"Oshan","non-dropping-particle":"","parse-names":false,"suffix":""},{"dropping-particle":"","family":"Amano","given":"Noel","non-dropping-particle":"","parse-names":false,"suffix":""},{"dropping-particle":"","family":"Langley","given":"Michelle C.","non-dropping-particle":"","parse-names":false,"suffix":""},{"dropping-particle":"","family":"Douka","given":"Katerina","non-dropping-particle":"","parse-names":false,"suffix":""},{"dropping-particle":"","family":"Blinkhorn","given":"James","non-dropping-particle":"","parse-names":false,"suffix":""},{"dropping-particle":"","family":"Crowther","given":"Alison","non-dropping-particle":"","parse-names":false,"suffix":""},{"dropping-particle":"","family":"Deraniyagala","given":"Siran","non-dropping-particle":"","parse-names":false,"suffix":""},{"dropping-particle":"","family":"Kourampas","given":"Nikos","non-dropping-particle":"","parse-names":false,"suffix":""},{"dropping-particle":"","family":"Simpson","given":"Ian","non-dropping-particle":"","parse-names":false,"suffix":""},{"dropping-particle":"","family":"Perera","given":"Nimal","non-dropping-particle":"","parse-names":false,"suffix":""},{"dropping-particle":"","family":"Picin","given":"Andrea","non-dropping-particle":"","parse-names":false,"suffix":""},{"dropping-particle":"","family":"Boivin","given":"Nicole","non-dropping-particle":"","parse-names":false,"suffix":""},{"dropping-particle":"","family":"Petraglia","given":"Michael","non-dropping-particle":"","parse-names":false,"suffix":""},{"dropping-particle":"","family":"Roberts","given":"Patrick","non-dropping-particle":"","parse-names":false,"suffix":""}],"container-title":"Nature Communications","id":"ITEM-1","issue":"1","issued":{"date-parts":[["2019"]]},"page":"1-8","publisher":"Springer US","title":"Specialized rainforest hunting by Homo sapiens ~45,000 years ago","type":"article-journal","volume":"10"},"uris":["http://www.mendeley.com/documents/?uuid=57a4364f-8edd-4879-84e3-ea6c58a2d961"]}],"mendeley":{"formattedCitation":"&lt;sup&gt;17&lt;/sup&gt;","plainTextFormattedCitation":"17","previouslyFormattedCitation":"&lt;sup&gt;17&lt;/sup&gt;"},"properties":{"noteIndex":0},"schema":"https://github.com/citation-style-language/schema/raw/master/csl-citation.json"}</w:instrText>
      </w:r>
      <w:r w:rsidR="00A27F73" w:rsidRPr="005F44EF">
        <w:rPr>
          <w:rFonts w:ascii="Times New Roman" w:eastAsia="Times New Roman" w:hAnsi="Times New Roman" w:cs="Times New Roman"/>
          <w:color w:val="000000"/>
          <w:sz w:val="24"/>
          <w:szCs w:val="24"/>
        </w:rPr>
        <w:fldChar w:fldCharType="separate"/>
      </w:r>
      <w:r w:rsidR="00F150F6" w:rsidRPr="005F44EF">
        <w:rPr>
          <w:rFonts w:ascii="Times New Roman" w:eastAsia="Times New Roman" w:hAnsi="Times New Roman" w:cs="Times New Roman"/>
          <w:noProof/>
          <w:color w:val="000000"/>
          <w:sz w:val="24"/>
          <w:szCs w:val="24"/>
          <w:vertAlign w:val="superscript"/>
        </w:rPr>
        <w:t>17</w:t>
      </w:r>
      <w:r w:rsidR="00A27F73" w:rsidRPr="005F44EF">
        <w:rPr>
          <w:rFonts w:ascii="Times New Roman" w:eastAsia="Times New Roman" w:hAnsi="Times New Roman" w:cs="Times New Roman"/>
          <w:color w:val="000000"/>
          <w:sz w:val="24"/>
          <w:szCs w:val="24"/>
        </w:rPr>
        <w:fldChar w:fldCharType="end"/>
      </w:r>
      <w:r w:rsidRPr="005F44EF">
        <w:rPr>
          <w:rFonts w:ascii="Times New Roman" w:eastAsia="Times New Roman" w:hAnsi="Times New Roman" w:cs="Times New Roman"/>
          <w:color w:val="000000"/>
          <w:sz w:val="24"/>
          <w:szCs w:val="24"/>
        </w:rPr>
        <w:t xml:space="preserve"> and rainforest resource reliance</w:t>
      </w:r>
      <w:r w:rsidR="00A27F73" w:rsidRPr="005F44EF">
        <w:rPr>
          <w:rFonts w:ascii="Times New Roman" w:eastAsia="Times New Roman" w:hAnsi="Times New Roman" w:cs="Times New Roman"/>
          <w:color w:val="000000"/>
          <w:sz w:val="24"/>
          <w:szCs w:val="24"/>
        </w:rPr>
        <w:fldChar w:fldCharType="begin" w:fldLock="1"/>
      </w:r>
      <w:r w:rsidR="00F150F6" w:rsidRPr="005F44EF">
        <w:rPr>
          <w:rFonts w:ascii="Times New Roman" w:eastAsia="Times New Roman" w:hAnsi="Times New Roman" w:cs="Times New Roman"/>
          <w:color w:val="000000"/>
          <w:sz w:val="24"/>
          <w:szCs w:val="24"/>
        </w:rPr>
        <w:instrText>ADDIN CSL_CITATION {"citationItems":[{"id":"ITEM-1","itemData":{"DOI":"10.1080/00438243.2015.1073119","ISSN":"14701375","abstract":"In the 1980s, anthropologists argued that tropical rainforests were unattractive environments for long-term human navigation, subsistence and occupation. Meanwhile, archaeologists have traditionally held that Homo sapiens only intensively colonized rainforests during the Holocene, from c. 11 thousand years ago (ka). New discoveries and re-appraisal of Pleistocene (c. 200–12 ka) archaeological sites in Africa, Southeast Asia, Melanesia, and Sri Lanka, have, however, indicated the possibility for human occupation of rainforests from c. 45 ka and, more controversially, c. 200 ka. We critically review the archaeological evidence for Pleistocene human rainforest occupation from several regions. We argue that clear evidence exists for human adaptation to rainforest ecologies from c. 45 ka, with tantalizing hints of even earlier colonization. More research, however, is needed in order to understand the dynamism and diversity of palaeoecologies commonly classified as ‘rainforest’, as well as the regional extent, nature, and longevity of early human rainforest habitations.","author":[{"dropping-particle":"","family":"Roberts","given":"Patrick","non-dropping-particle":"","parse-names":false,"suffix":""},{"dropping-particle":"","family":"Petraglia","given":"Michael","non-dropping-particle":"","parse-names":false,"suffix":""}],"container-title":"World Archaeology","id":"ITEM-1","issue":"5","issued":{"date-parts":[["2015","10","20"]]},"page":"718-739","publisher":"Routledge","title":"Pleistocene rainforests: barriers or attractive environments for early human foragers?","type":"article-journal","volume":"47"},"uris":["http://www.mendeley.com/documents/?uuid=626991e4-1519-32bf-9545-51c62420289b"]},{"id":"ITEM-2","itemData":{"DOI":"10.1016/j.jhevol.2017.01.015","ISSN":"00472484","abstract":"Sri Lanka has yielded some of the earliest dated fossil evidence for Homo sapiens (</w:instrText>
      </w:r>
      <w:r w:rsidR="00F150F6" w:rsidRPr="005F44EF">
        <w:rPr>
          <w:rFonts w:ascii="Cambria Math" w:eastAsia="Times New Roman" w:hAnsi="Cambria Math" w:cs="Cambria Math"/>
          <w:color w:val="000000"/>
          <w:sz w:val="24"/>
          <w:szCs w:val="24"/>
        </w:rPr>
        <w:instrText>∼</w:instrText>
      </w:r>
      <w:r w:rsidR="00F150F6" w:rsidRPr="005F44EF">
        <w:rPr>
          <w:rFonts w:ascii="Times New Roman" w:eastAsia="Times New Roman" w:hAnsi="Times New Roman" w:cs="Times New Roman"/>
          <w:color w:val="000000"/>
          <w:sz w:val="24"/>
          <w:szCs w:val="24"/>
        </w:rPr>
        <w:instrText xml:space="preserve">38-35,000 cal. years BP [calibrated years before present]) in South Asia, within a region that is today covered by tropical rainforest. Archaeozoological and archaeobotanical evidence indicates that these hunter-gatherers exploited tropical forest resources, yet the contribution of these resources to their overall subsistence strategies has, as in other Late Pleistocene rainforest settings, remained relatively unexplored. We build on previous work in this tropical region by applying both bulk and sequential stable carbon and oxygen isotope analysis to human and faunal tooth enamel from the sites of Batadomba-lena, Fa Hien-lena, and Balangoda Kuragala. Tooth enamel preservation was assessed by means of Fourier Transform Infrared Spectroscopy. We use these data to produce a detailed stable isotope ecology for Late Pleistocene–Holocene foragers in Sri Lanka from </w:instrText>
      </w:r>
      <w:r w:rsidR="00F150F6" w:rsidRPr="005F44EF">
        <w:rPr>
          <w:rFonts w:ascii="Cambria Math" w:eastAsia="Times New Roman" w:hAnsi="Cambria Math" w:cs="Cambria Math"/>
          <w:color w:val="000000"/>
          <w:sz w:val="24"/>
          <w:szCs w:val="24"/>
        </w:rPr>
        <w:instrText>∼</w:instrText>
      </w:r>
      <w:r w:rsidR="00F150F6" w:rsidRPr="005F44EF">
        <w:rPr>
          <w:rFonts w:ascii="Times New Roman" w:eastAsia="Times New Roman" w:hAnsi="Times New Roman" w:cs="Times New Roman"/>
          <w:color w:val="000000"/>
          <w:sz w:val="24"/>
          <w:szCs w:val="24"/>
        </w:rPr>
        <w:instrText xml:space="preserve">36-29,000 to 3000 cal. years BP, allowing us to test the degree of human tropical forest resource reliance over a considerable time period. Given that non-human primates dominate the mammalian assemblages at these sites, we also focus on the stable isotope composition of three monkey species in order to study their ecological preferences and, indirectly, human hunting strategies. The results confirm a strong human reliance on tropical forest resources from </w:instrText>
      </w:r>
      <w:r w:rsidR="00F150F6" w:rsidRPr="005F44EF">
        <w:rPr>
          <w:rFonts w:ascii="Cambria Math" w:eastAsia="Times New Roman" w:hAnsi="Cambria Math" w:cs="Cambria Math"/>
          <w:color w:val="000000"/>
          <w:sz w:val="24"/>
          <w:szCs w:val="24"/>
        </w:rPr>
        <w:instrText>∼</w:instrText>
      </w:r>
      <w:r w:rsidR="00F150F6" w:rsidRPr="005F44EF">
        <w:rPr>
          <w:rFonts w:ascii="Times New Roman" w:eastAsia="Times New Roman" w:hAnsi="Times New Roman" w:cs="Times New Roman"/>
          <w:color w:val="000000"/>
          <w:sz w:val="24"/>
          <w:szCs w:val="24"/>
        </w:rPr>
        <w:instrText xml:space="preserve">36-29,000 cal. years BP until the Iron Age </w:instrText>
      </w:r>
      <w:r w:rsidR="00F150F6" w:rsidRPr="005F44EF">
        <w:rPr>
          <w:rFonts w:ascii="Cambria Math" w:eastAsia="Times New Roman" w:hAnsi="Cambria Math" w:cs="Cambria Math"/>
          <w:color w:val="000000"/>
          <w:sz w:val="24"/>
          <w:szCs w:val="24"/>
        </w:rPr>
        <w:instrText>∼</w:instrText>
      </w:r>
      <w:r w:rsidR="00F150F6" w:rsidRPr="005F44EF">
        <w:rPr>
          <w:rFonts w:ascii="Times New Roman" w:eastAsia="Times New Roman" w:hAnsi="Times New Roman" w:cs="Times New Roman"/>
          <w:color w:val="000000"/>
          <w:sz w:val="24"/>
          <w:szCs w:val="24"/>
        </w:rPr>
        <w:instrText>3 cal. years BP, while sequential tooth data show that forest resources were exploited year-round. This strategy was maintained through periods of evident environmental change at the Last Glacial Maximum and upon the arrival of agriculture. Long-term tropical forest reliance was supported by the specialised capture of non-human primates, although the isotopic data revealed no evidence for niche distinction between the hunted species. We conclude that humans rapidly developed a specialisation in the exploitation of South Asia's tropical forests following their arrival in this region.","author":[{"dropping-particle":"","family":"Roberts","given":"Patrick","non-dropping-particle":"","parse-names":false,"suffix":""},{"dropping-particle":"","family":"Perera","given":"Nimal","non-dropping-particle":"","parse-names":false,"suffix":""},{"dropping-particle":"","family":"Wedage","given":"Oshan","non-dropping-particle":"","parse-names":false,"suffix":""},{"dropping-particle":"","family":"Deraniyagala","given":"Siran","non-dropping-particle":"","parse-names":false,"suffix":""},{"dropping-particle":"","family":"Perera","given":"Jude","non-dropping-particle":"","parse-names":false,"suffix":""},{"dropping-particle":"","family":"Eregama","given":"Saman","non-dropping-particle":"","parse-names":false,"suffix":""},{"dropping-particle":"","family":"Petraglia","given":"Michael D.","non-dropping-particle":"","parse-names":false,"suffix":""},{"dropping-particle":"","family":"Lee-Thorp","given":"Julia A.","non-dropping-particle":"","parse-names":false,"suffix":""}],"container-title":"Journal of Human Evolution","id":"ITEM-2","issued":{"date-parts":[["2017","5","1"]]},"page":"102-118","publisher":"Academic Press","title":"Fruits of the forest: Human stable isotope ecology and rainforest adaptations in Late Pleistocene and Holocene (36 to 3 ka) Sri Lanka","type":"article-journal","volume":"106"},"uris":["http://www.mendeley.com/documents/?uuid=a00290f5-bb21-3e95-919f-df3d1ae35ebe"]}],"mendeley":{"formattedCitation":"&lt;sup&gt;10,18&lt;/sup&gt;","plainTextFormattedCitation":"10,18","previouslyFormattedCitation":"&lt;sup&gt;10,18&lt;/sup&gt;"},"properties":{"noteIndex":0},"schema":"https://github.com/citation-style-language/schema/raw/master/csl-citation.json"}</w:instrText>
      </w:r>
      <w:r w:rsidR="00A27F73" w:rsidRPr="005F44EF">
        <w:rPr>
          <w:rFonts w:ascii="Times New Roman" w:eastAsia="Times New Roman" w:hAnsi="Times New Roman" w:cs="Times New Roman"/>
          <w:color w:val="000000"/>
          <w:sz w:val="24"/>
          <w:szCs w:val="24"/>
        </w:rPr>
        <w:fldChar w:fldCharType="separate"/>
      </w:r>
      <w:r w:rsidR="00F150F6" w:rsidRPr="005F44EF">
        <w:rPr>
          <w:rFonts w:ascii="Times New Roman" w:eastAsia="Times New Roman" w:hAnsi="Times New Roman" w:cs="Times New Roman"/>
          <w:noProof/>
          <w:color w:val="000000"/>
          <w:sz w:val="24"/>
          <w:szCs w:val="24"/>
          <w:vertAlign w:val="superscript"/>
        </w:rPr>
        <w:t>10,18</w:t>
      </w:r>
      <w:r w:rsidR="00A27F73" w:rsidRPr="005F44EF">
        <w:rPr>
          <w:rFonts w:ascii="Times New Roman" w:eastAsia="Times New Roman" w:hAnsi="Times New Roman" w:cs="Times New Roman"/>
          <w:color w:val="000000"/>
          <w:sz w:val="24"/>
          <w:szCs w:val="24"/>
        </w:rPr>
        <w:fldChar w:fldCharType="end"/>
      </w:r>
      <w:r w:rsidRPr="005F44EF">
        <w:rPr>
          <w:rFonts w:ascii="Times New Roman" w:eastAsia="Times New Roman" w:hAnsi="Times New Roman" w:cs="Times New Roman"/>
          <w:color w:val="000000"/>
          <w:sz w:val="24"/>
          <w:szCs w:val="24"/>
        </w:rPr>
        <w:t xml:space="preserve"> in Sri Lankan rainforests has now been documented at ~45 ka, alongside the production of specialist microlithic tools argued to be adapted to hunting in dense </w:t>
      </w:r>
      <w:r w:rsidRPr="005F44EF">
        <w:rPr>
          <w:rFonts w:ascii="Times New Roman" w:eastAsia="Times New Roman" w:hAnsi="Times New Roman" w:cs="Times New Roman"/>
          <w:sz w:val="24"/>
          <w:szCs w:val="24"/>
        </w:rPr>
        <w:t>tropical rainforest</w:t>
      </w:r>
      <w:r w:rsidRPr="005F44EF">
        <w:rPr>
          <w:rFonts w:ascii="Times New Roman" w:eastAsia="Times New Roman" w:hAnsi="Times New Roman" w:cs="Times New Roman"/>
          <w:color w:val="000000"/>
          <w:sz w:val="24"/>
          <w:szCs w:val="24"/>
        </w:rPr>
        <w:t xml:space="preserve">. </w:t>
      </w:r>
      <w:r w:rsidRPr="005F44EF">
        <w:rPr>
          <w:rFonts w:ascii="Times New Roman" w:eastAsia="Times New Roman" w:hAnsi="Times New Roman" w:cs="Times New Roman"/>
          <w:sz w:val="24"/>
          <w:szCs w:val="24"/>
        </w:rPr>
        <w:t>Humans arrived in Southeast Asia between 73 and 63 ka based on finds in Sumatra</w:t>
      </w:r>
      <w:r w:rsidR="00A27F73" w:rsidRPr="005F44EF">
        <w:rPr>
          <w:rFonts w:ascii="Times New Roman" w:eastAsia="Times New Roman" w:hAnsi="Times New Roman" w:cs="Times New Roman"/>
          <w:sz w:val="24"/>
          <w:szCs w:val="24"/>
        </w:rPr>
        <w:fldChar w:fldCharType="begin" w:fldLock="1"/>
      </w:r>
      <w:r w:rsidR="00F150F6" w:rsidRPr="005F44EF">
        <w:rPr>
          <w:rFonts w:ascii="Times New Roman" w:eastAsia="Times New Roman" w:hAnsi="Times New Roman" w:cs="Times New Roman"/>
          <w:sz w:val="24"/>
          <w:szCs w:val="24"/>
        </w:rPr>
        <w:instrText>ADDIN CSL_CITATION {"citationItems":[{"id":"ITEM-1","itemData":{"DOI":"10.1038/nature23452","ISSN":"14764687","PMID":"28792933","abstract":"Genetic evidence for anatomically modern humans (AMH) out of Africa before 75 thousand years ago (ka) and in island southeast Asia (ISEA) before 60 ka (93-61 ka) predates accepted archaeological records of occupation in the region. Claims that AMH arrived in ISEA before 60 ka (ref. 4) have been supported only by equivocal or non-skeletal evidence. AMH evidence from this period is rare and lacks robust chronologies owing to a lack of direct dating applications, poor preservation and/or excavation strategies and questionable taxonomic identifications. Lida Ajer is a Sumatran Pleistocene cave with a rich rainforest fauna associated with fossil human teeth. The importance of the site is unclear owing to unsupported taxonomic identification of these fossils and uncertainties regarding the age of the deposit, therefore it is rarely considered in models of human dispersal. Here we reinvestigate Lida Ajer to identify the teeth confidently and establish a robust chronology using an integrated dating approach. Using enamel-dentine junction morphology, enamel thickness and comparative morphology, we show that the teeth are unequivocally AMH. Luminescence and uranium-series techniques applied to bone-bearing sediments and speleothems, and coupled uranium-series and electron spin resonance dating of mammalian teeth, place modern humans in Sumatra between 73 and 63 ka. This age is consistent with biostratigraphic estimations, palaeoclimate and sea-level reconstructions, and genetic evidence for a pre-60 ka arrival of AMH into ISEA. Lida Ajer represents, to our knowledge, the earliest evidence of rainforest occupation by AMH, and underscores the importance of reassessing the timing and environmental context of the dispersal of modern humans out of Africa.","author":[{"dropping-particle":"","family":"Westaway","given":"K. E.","non-dropping-particle":"","parse-names":false,"suffix":""},{"dropping-particle":"","family":"Louys","given":"J.","non-dropping-particle":"","parse-names":false,"suffix":""},{"dropping-particle":"","family":"Awe","given":"R. Due","non-dropping-particle":"","parse-names":false,"suffix":""},{"dropping-particle":"","family":"Morwood","given":"M. J.","non-dropping-particle":"","parse-names":false,"suffix":""},{"dropping-particle":"","family":"Price","given":"G. J.","non-dropping-particle":"","parse-names":false,"suffix":""},{"dropping-particle":"","family":"Zhao","given":"J. X.","non-dropping-particle":"","parse-names":false,"suffix":""},{"dropping-particle":"","family":"Aubert","given":"M.","non-dropping-particle":"","parse-names":false,"suffix":""},{"dropping-particle":"","family":"Joannes-Boyau","given":"R.","non-dropping-particle":"","parse-names":false,"suffix":""},{"dropping-particle":"","family":"Smith","given":"T. M.","non-dropping-particle":"","parse-names":false,"suffix":""},{"dropping-particle":"","family":"Skinner","given":"M. M.","non-dropping-particle":"","parse-names":false,"suffix":""},{"dropping-particle":"","family":"Compton","given":"T.","non-dropping-particle":"","parse-names":false,"suffix":""},{"dropping-particle":"","family":"Bailey","given":"R. M.","non-dropping-particle":"","parse-names":false,"suffix":""},{"dropping-particle":"","family":"Bergh","given":"G. D.","non-dropping-particle":"Van Den","parse-names":false,"suffix":""},{"dropping-particle":"","family":"Vos","given":"J.","non-dropping-particle":"De","parse-names":false,"suffix":""},{"dropping-particle":"","family":"Pike","given":"A. W.G.","non-dropping-particle":"","parse-names":false,"suffix":""},{"dropping-particle":"","family":"Stringer","given":"C.","non-dropping-particle":"","parse-names":false,"suffix":""},{"dropping-particle":"","family":"Saptomo","given":"E. W.","non-dropping-particle":"","parse-names":false,"suffix":""},{"dropping-particle":"","family":"Rizal","given":"Y.","non-dropping-particle":"","parse-names":false,"suffix":""},{"dropping-particle":"","family":"Zaim","given":"J.","non-dropping-particle":"","parse-names":false,"suffix":""},{"dropping-particle":"","family":"Santoso","given":"W. D.","non-dropping-particle":"","parse-names":false,"suffix":""},{"dropping-particle":"","family":"Trihascaryo","given":"A.","non-dropping-particle":"","parse-names":false,"suffix":""},{"dropping-particle":"","family":"Kinsley","given":"L.","non-dropping-particle":"","parse-names":false,"suffix":""},{"dropping-particle":"","family":"Sulistyanto","given":"B.","non-dropping-particle":"","parse-names":false,"suffix":""}],"container-title":"Nature","id":"ITEM-1","issue":"7667","issued":{"date-parts":[["2017","8","17"]]},"page":"322-325","publisher":"Nature Publishing Group","title":"An early modern human presence in Sumatra 73,000-63,000 years ago","type":"article-journal","volume":"548"},"uris":["http://www.mendeley.com/documents/?uuid=1e782dfd-4914-334a-9bb8-dadfca6e761a"]}],"mendeley":{"formattedCitation":"&lt;sup&gt;19&lt;/sup&gt;","plainTextFormattedCitation":"19","previouslyFormattedCitation":"&lt;sup&gt;19&lt;/sup&gt;"},"properties":{"noteIndex":0},"schema":"https://github.com/citation-style-language/schema/raw/master/csl-citation.json"}</w:instrText>
      </w:r>
      <w:r w:rsidR="00A27F73" w:rsidRPr="005F44EF">
        <w:rPr>
          <w:rFonts w:ascii="Times New Roman" w:eastAsia="Times New Roman" w:hAnsi="Times New Roman" w:cs="Times New Roman"/>
          <w:sz w:val="24"/>
          <w:szCs w:val="24"/>
        </w:rPr>
        <w:fldChar w:fldCharType="separate"/>
      </w:r>
      <w:r w:rsidR="00F150F6" w:rsidRPr="005F44EF">
        <w:rPr>
          <w:rFonts w:ascii="Times New Roman" w:eastAsia="Times New Roman" w:hAnsi="Times New Roman" w:cs="Times New Roman"/>
          <w:noProof/>
          <w:sz w:val="24"/>
          <w:szCs w:val="24"/>
          <w:vertAlign w:val="superscript"/>
        </w:rPr>
        <w:t>19</w:t>
      </w:r>
      <w:r w:rsidR="00A27F73"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and by 50-45 ka there is evidence for them practicing a mixed hunting strategy in the varied tropical environments around the </w:t>
      </w:r>
      <w:proofErr w:type="spellStart"/>
      <w:r w:rsidRPr="005F44EF">
        <w:rPr>
          <w:rFonts w:ascii="Times New Roman" w:eastAsia="Times New Roman" w:hAnsi="Times New Roman" w:cs="Times New Roman"/>
          <w:sz w:val="24"/>
          <w:szCs w:val="24"/>
        </w:rPr>
        <w:t>Niah</w:t>
      </w:r>
      <w:proofErr w:type="spellEnd"/>
      <w:r w:rsidRPr="005F44EF">
        <w:rPr>
          <w:rFonts w:ascii="Times New Roman" w:eastAsia="Times New Roman" w:hAnsi="Times New Roman" w:cs="Times New Roman"/>
          <w:sz w:val="24"/>
          <w:szCs w:val="24"/>
        </w:rPr>
        <w:t xml:space="preserve"> Caves, Borneo</w:t>
      </w:r>
      <w:r w:rsidR="00A27F73" w:rsidRPr="005F44EF">
        <w:rPr>
          <w:rFonts w:ascii="Times New Roman" w:eastAsia="Times New Roman" w:hAnsi="Times New Roman" w:cs="Times New Roman"/>
          <w:sz w:val="24"/>
          <w:szCs w:val="24"/>
        </w:rPr>
        <w:fldChar w:fldCharType="begin" w:fldLock="1"/>
      </w:r>
      <w:r w:rsidR="00F150F6" w:rsidRPr="005F44EF">
        <w:rPr>
          <w:rFonts w:ascii="Times New Roman" w:eastAsia="Times New Roman" w:hAnsi="Times New Roman" w:cs="Times New Roman"/>
          <w:sz w:val="24"/>
          <w:szCs w:val="24"/>
        </w:rPr>
        <w:instrText>ADDIN CSL_CITATION {"citationItems":[{"id":"ITEM-1","itemData":{"DOI":"10.1016/j.jhevol.2006.08.011","ISSN":"00472484","abstract":"Recent research in Europe, Africa, and Southeast Asia suggests that we can no longer assume a direct and exclusive link between anatomically modern humans and behavioral modernity (the 'human revolution'), and assume that the presence of either one implies the presence of the other: discussions of the emergence of cultural complexity have to proceed with greater scrutiny of the evidence on a site-by-site basis to establish secure associations between the archaeology present there and the hominins who created it. This paper presents one such case study: Niah Cave in Sarawak on the island of Borneo, famous for the discovery in 1958 in the West Mouth of the Great Cave of a modern human skull, the 'Deep Skull,' controversially associated with radiocarbon dates of ca. 40,000 years before the present. A new chronostratigraphy has been developed through a re-investigation of the lithostratigraphy left by the earlier excavations, AMS-dating using three different comparative pre-treatments including ABOX of charcoal, and U-series using the Diffusion-Absorption model applied to fragments of bones from the Deep Skull itself. Stratigraphic reasons for earlier uncertainties about the antiquity of the skull are examined, and it is shown not to be an 'intrusive' artifact. It was probably excavated from fluvial-pond-desiccation deposits that accumulated episodically in a shallow basin immediately behind the cave entrance lip, in a climate that ranged from times of comparative aridity with complete desiccation, to episodes of greater surface wetness, changes attributed to regional climatic fluctuations. Vegetation outside the cave varied significantly over time, including wet lowland forest, montane forest, savannah, and grassland. The new dates and the lithostratigraphy relate the Deep Skull to evidence of episodes of human activity that range in date from ca. 46,000 to ca. 34,000 years ago. Initial investigations of sediment scorching, pollen, palynomorphs, phytoliths, plant macrofossils, and starch grains recovered from existing exposures, and of vertebrates from the current and the earlier excavations, suggest that human foraging during these times was marked by habitat-tailored hunting technologies, the collection and processing of toxic plants for consumption, and, perhaps, the use of fire at some forest-edges. The Niah evidence demonstrates the sophisticated nature of the subsistence behavior developed by modern humans to exploit the tropical environments that th…","author":[{"dropping-particle":"","family":"Barker","given":"Graeme","non-dropping-particle":"","parse-names":false,"suffix":""},{"dropping-particle":"","family":"Barton","given":"Huw","non-dropping-particle":"","parse-names":false,"suffix":""},{"dropping-particle":"","family":"Bird","given":"Michael","non-dropping-particle":"","parse-names":false,"suffix":""},{"dropping-particle":"","family":"Daly","given":"Patrick","non-dropping-particle":"","parse-names":false,"suffix":""},{"dropping-particle":"","family":"Datan","given":"Ipoi","non-dropping-particle":"","parse-names":false,"suffix":""},{"dropping-particle":"","family":"Dykes","given":"Alan","non-dropping-particle":"","parse-names":false,"suffix":""},{"dropping-particle":"","family":"Farr","given":"Lucy","non-dropping-particle":"","parse-names":false,"suffix":""},{"dropping-particle":"","family":"Gilbertson","given":"David","non-dropping-particle":"","parse-names":false,"suffix":""},{"dropping-particle":"","family":"Harrisson","given":"Barbara","non-dropping-particle":"","parse-names":false,"suffix":""},{"dropping-particle":"","family":"Hunt","given":"Chris","non-dropping-particle":"","parse-names":false,"suffix":""},{"dropping-particle":"","family":"Higham","given":"Tom","non-dropping-particle":"","parse-names":false,"suffix":""},{"dropping-particle":"","family":"Kealhofer","given":"Lisa","non-dropping-particle":"","parse-names":false,"suffix":""},{"dropping-particle":"","family":"Krigbaum","given":"John","non-dropping-particle":"","parse-names":false,"suffix":""},{"dropping-particle":"","family":"Lewis","given":"Helen","non-dropping-particle":"","parse-names":false,"suffix":""},{"dropping-particle":"","family":"McLaren","given":"Sue","non-dropping-particle":"","parse-names":false,"suffix":""},{"dropping-particle":"","family":"Paz","given":"Victor","non-dropping-particle":"","parse-names":false,"suffix":""},{"dropping-particle":"","family":"Pike","given":"Alistair","non-dropping-particle":"","parse-names":false,"suffix":""},{"dropping-particle":"","family":"Piper","given":"Phil","non-dropping-particle":"","parse-names":false,"suffix":""},{"dropping-particle":"","family":"Pyatt","given":"Brian","non-dropping-particle":"","parse-names":false,"suffix":""},{"dropping-particle":"","family":"Rabett","given":"Ryan","non-dropping-particle":"","parse-names":false,"suffix":""},{"dropping-particle":"","family":"Reynolds","given":"Tim","non-dropping-particle":"","parse-names":false,"suffix":""},{"dropping-particle":"","family":"Rose","given":"Jim","non-dropping-particle":"","parse-names":false,"suffix":""},{"dropping-particle":"","family":"Rushworth","given":"Garry","non-dropping-particle":"","parse-names":false,"suffix":""},{"dropping-particle":"","family":"Stephens","given":"Mark","non-dropping-particle":"","parse-names":false,"suffix":""},{"dropping-particle":"","family":"Stringer","given":"Chris","non-dropping-particle":"","parse-names":false,"suffix":""},{"dropping-particle":"","family":"Thompson","given":"Jill","non-dropping-particle":"","parse-names":false,"suffix":""},{"dropping-particle":"","family":"Turney","given":"Chris","non-dropping-particle":"","parse-names":false,"suffix":""}],"container-title":"Journal of Human Evolution","id":"ITEM-1","issue":"3","issued":{"date-parts":[["2007","3","1"]]},"page":"243-261","publisher":"Academic Press","title":"The 'human revolution' in lowland tropical Southeast Asia: the antiquity and behavior of anatomically modern humans at Niah Cave (Sarawak, Borneo)","type":"article-journal","volume":"52"},"uris":["http://www.mendeley.com/documents/?uuid=5b66528c-bf58-3021-bba3-52ed2ce01999"]}],"mendeley":{"formattedCitation":"&lt;sup&gt;20&lt;/sup&gt;","plainTextFormattedCitation":"20","previouslyFormattedCitation":"&lt;sup&gt;20&lt;/sup&gt;"},"properties":{"noteIndex":0},"schema":"https://github.com/citation-style-language/schema/raw/master/csl-citation.json"}</w:instrText>
      </w:r>
      <w:r w:rsidR="00A27F73" w:rsidRPr="005F44EF">
        <w:rPr>
          <w:rFonts w:ascii="Times New Roman" w:eastAsia="Times New Roman" w:hAnsi="Times New Roman" w:cs="Times New Roman"/>
          <w:sz w:val="24"/>
          <w:szCs w:val="24"/>
        </w:rPr>
        <w:fldChar w:fldCharType="separate"/>
      </w:r>
      <w:r w:rsidR="00F150F6" w:rsidRPr="005F44EF">
        <w:rPr>
          <w:rFonts w:ascii="Times New Roman" w:eastAsia="Times New Roman" w:hAnsi="Times New Roman" w:cs="Times New Roman"/>
          <w:noProof/>
          <w:sz w:val="24"/>
          <w:szCs w:val="24"/>
          <w:vertAlign w:val="superscript"/>
        </w:rPr>
        <w:t>20</w:t>
      </w:r>
      <w:r w:rsidR="00A27F73"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Similar evidence for rapid use of tropical forest environments by our species also exists in Oceania</w:t>
      </w:r>
      <w:r w:rsidR="00A27F73" w:rsidRPr="005F44EF">
        <w:rPr>
          <w:rFonts w:ascii="Times New Roman" w:eastAsia="Times New Roman" w:hAnsi="Times New Roman" w:cs="Times New Roman"/>
          <w:sz w:val="24"/>
          <w:szCs w:val="24"/>
        </w:rPr>
        <w:fldChar w:fldCharType="begin" w:fldLock="1"/>
      </w:r>
      <w:r w:rsidR="00F150F6" w:rsidRPr="005F44EF">
        <w:rPr>
          <w:rFonts w:ascii="Times New Roman" w:eastAsia="Times New Roman" w:hAnsi="Times New Roman" w:cs="Times New Roman"/>
          <w:sz w:val="24"/>
          <w:szCs w:val="24"/>
        </w:rPr>
        <w:instrText xml:space="preserve">ADDIN CSL_CITATION {"citationItems":[{"id":"ITEM-1","itemData":{"DOI":"10.1126/SCIENCE.1193130/SUPPL_FILE/SUMMERHAYES.SOM.PDF","ISSN":"10959203","PMID":"20929808","abstract":"After their emergence by 200,000 years before the present in Africa, modern humans colonized the globe, reaching Australia and New Guinea by 40,000 to 50,000 years ago. Understanding how humans lived and adapted to the range of environments in these areas has been difficult because well-preserved settlements are scarce. Data from the New Guinea Highlands (at an elevation of </w:instrText>
      </w:r>
      <w:r w:rsidR="00F150F6" w:rsidRPr="005F44EF">
        <w:rPr>
          <w:rFonts w:ascii="Cambria Math" w:eastAsia="Times New Roman" w:hAnsi="Cambria Math" w:cs="Cambria Math"/>
          <w:sz w:val="24"/>
          <w:szCs w:val="24"/>
        </w:rPr>
        <w:instrText>∼</w:instrText>
      </w:r>
      <w:r w:rsidR="00F150F6" w:rsidRPr="005F44EF">
        <w:rPr>
          <w:rFonts w:ascii="Times New Roman" w:eastAsia="Times New Roman" w:hAnsi="Times New Roman" w:cs="Times New Roman"/>
          <w:sz w:val="24"/>
          <w:szCs w:val="24"/>
        </w:rPr>
        <w:instrText>2000 meters) demonstrate the exploitation of the endemic nut Pandanus and yams in archaeological sites dated to 49,000 to 36,000 years ago, which are among the oldest human sites in this region. The sites also contain stone tools thought to be used to remove trees, which suggests that the early inhabitants cleared forest patches to promote the growth of useful plants.","author":[{"dropping-particle":"","family":"Summerhayes","given":"Glenn R.","non-dropping-particle":"","parse-names":false,"suffix":""},{"dropping-particle":"","family":"Leavesley","given":"Matthew","non-dropping-particle":"","parse-names":false,"suffix":""},{"dropping-particle":"","family":"Fairbairn","given":"Andrew","non-dropping-particle":"","parse-names":false,"suffix":""},{"dropping-particle":"","family":"Mandui","given":"Herman","non-dropping-particle":"","parse-names":false,"suffix":""},{"dropping-particle":"","family":"Field","given":"Judith","non-dropping-particle":"","parse-names":false,"suffix":""},{"dropping-particle":"","family":"Ford","given":"Anne","non-dropping-particle":"","parse-names":false,"suffix":""},{"dropping-particle":"","family":"Fullagar","given":"Richard","non-dropping-particle":"","parse-names":false,"suffix":""}],"container-title":"Science","id":"ITEM-1","issue":"6000","issued":{"date-parts":[["2010","10","1"]]},"page":"78-81","publisher":"American Association for the Advancement of Science","title":"Human adaptation and plant use in Highland New Guinea 49,000 to 44,000 years ago","type":"article-journal","volume":"330"},"uris":["http://www.mendeley.com/documents/?uuid=7f37f3a7-6351-3034-8efd-8c7e1a5f3a93"]}],"mendeley":{"formattedCitation":"&lt;sup&gt;21&lt;/sup&gt;","plainTextFormattedCitation":"21","previouslyFormattedCitation":"&lt;sup&gt;21&lt;/sup&gt;"},"properties":{"noteIndex":0},"schema":"https://github.com/citation-style-language/schema/raw/master/csl-citation.json"}</w:instrText>
      </w:r>
      <w:r w:rsidR="00A27F73" w:rsidRPr="005F44EF">
        <w:rPr>
          <w:rFonts w:ascii="Times New Roman" w:eastAsia="Times New Roman" w:hAnsi="Times New Roman" w:cs="Times New Roman"/>
          <w:sz w:val="24"/>
          <w:szCs w:val="24"/>
        </w:rPr>
        <w:fldChar w:fldCharType="separate"/>
      </w:r>
      <w:r w:rsidR="00F150F6" w:rsidRPr="005F44EF">
        <w:rPr>
          <w:rFonts w:ascii="Times New Roman" w:eastAsia="Times New Roman" w:hAnsi="Times New Roman" w:cs="Times New Roman"/>
          <w:noProof/>
          <w:sz w:val="24"/>
          <w:szCs w:val="24"/>
          <w:vertAlign w:val="superscript"/>
        </w:rPr>
        <w:t>21</w:t>
      </w:r>
      <w:r w:rsidR="00A27F73"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and South America</w:t>
      </w:r>
      <w:r w:rsidR="00A27F73" w:rsidRPr="005F44EF">
        <w:rPr>
          <w:rFonts w:ascii="Times New Roman" w:eastAsia="Times New Roman" w:hAnsi="Times New Roman" w:cs="Times New Roman"/>
          <w:sz w:val="24"/>
          <w:szCs w:val="24"/>
        </w:rPr>
        <w:fldChar w:fldCharType="begin" w:fldLock="1"/>
      </w:r>
      <w:r w:rsidR="00F150F6" w:rsidRPr="005F44EF">
        <w:rPr>
          <w:rFonts w:ascii="Times New Roman" w:eastAsia="Times New Roman" w:hAnsi="Times New Roman" w:cs="Times New Roman"/>
          <w:sz w:val="24"/>
          <w:szCs w:val="24"/>
        </w:rPr>
        <w:instrText>ADDIN CSL_CITATION {"citationItems":[{"id":"ITEM-1","itemData":{"DOI":"10.4324/9781315179971","abstract":"In this engaging book, Stephen Nugent offers an in-depth historical anthropology of a widely recognised feature of the Amazon region, examining the dramatic rise and fall of the rubber industry. He considers rubber in the Amazon from the perspective of a long-term extractive industry that linked remote forest tappers to technical innovations central to the industrial transformation of Europe and North America, emphasizing the links between the social landscape of Amazonia and the global economy. Through a critical examination focused on the rubber industry, Nugent addresses myths that continue to influence perceptions of Amazonia. The book challenges widely held assumptions about the hyper-naturalism of the 'lost world' of the Amazon where 'the challenge of the tropics' is still to be faced and the 'frontiers of development' are still to be settled. It is relevant for students and scholars of anthropology, Latin American studies, history, political ecology, geography and development studies.","author":[{"dropping-particle":"","family":"Roosevelt","given":"Anna Curtenius","non-dropping-particle":"","parse-names":false,"suffix":""}],"container-title":"L'Homme","id":"ITEM-1","issued":{"date-parts":[["1993"]]},"page":"255-283","title":"The Rise and Fall of the Amazon Rubber Industry","type":"article-journal"},"uris":["http://www.mendeley.com/documents/?uuid=ece2ca9c-3794-4b02-8c5a-6c24b3a92bef"]}],"mendeley":{"formattedCitation":"&lt;sup&gt;22&lt;/sup&gt;","plainTextFormattedCitation":"22","previouslyFormattedCitation":"&lt;sup&gt;22&lt;/sup&gt;"},"properties":{"noteIndex":0},"schema":"https://github.com/citation-style-language/schema/raw/master/csl-citation.json"}</w:instrText>
      </w:r>
      <w:r w:rsidR="00A27F73" w:rsidRPr="005F44EF">
        <w:rPr>
          <w:rFonts w:ascii="Times New Roman" w:eastAsia="Times New Roman" w:hAnsi="Times New Roman" w:cs="Times New Roman"/>
          <w:sz w:val="24"/>
          <w:szCs w:val="24"/>
        </w:rPr>
        <w:fldChar w:fldCharType="separate"/>
      </w:r>
      <w:r w:rsidR="00F150F6" w:rsidRPr="005F44EF">
        <w:rPr>
          <w:rFonts w:ascii="Times New Roman" w:eastAsia="Times New Roman" w:hAnsi="Times New Roman" w:cs="Times New Roman"/>
          <w:noProof/>
          <w:sz w:val="24"/>
          <w:szCs w:val="24"/>
          <w:vertAlign w:val="superscript"/>
        </w:rPr>
        <w:t>22</w:t>
      </w:r>
      <w:r w:rsidR="00A27F73" w:rsidRPr="005F44EF">
        <w:rPr>
          <w:rFonts w:ascii="Times New Roman" w:eastAsia="Times New Roman" w:hAnsi="Times New Roman" w:cs="Times New Roman"/>
          <w:sz w:val="24"/>
          <w:szCs w:val="24"/>
        </w:rPr>
        <w:fldChar w:fldCharType="end"/>
      </w:r>
      <w:r w:rsidR="00A27F73" w:rsidRPr="005F44EF">
        <w:rPr>
          <w:rFonts w:ascii="Times New Roman" w:eastAsia="Times New Roman" w:hAnsi="Times New Roman" w:cs="Times New Roman"/>
          <w:sz w:val="24"/>
          <w:szCs w:val="24"/>
        </w:rPr>
        <w:t>.</w:t>
      </w:r>
    </w:p>
    <w:p w14:paraId="086C34A7" w14:textId="77777777" w:rsidR="00BB7AA9" w:rsidRPr="005F44EF" w:rsidRDefault="00BB7AA9">
      <w:pPr>
        <w:spacing w:after="0" w:line="276" w:lineRule="auto"/>
        <w:jc w:val="both"/>
        <w:rPr>
          <w:rFonts w:ascii="Times New Roman" w:eastAsia="Times New Roman" w:hAnsi="Times New Roman" w:cs="Times New Roman"/>
          <w:sz w:val="24"/>
          <w:szCs w:val="24"/>
        </w:rPr>
      </w:pPr>
    </w:p>
    <w:p w14:paraId="576CE3AD" w14:textId="52CBA0A4"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These early ages for rainforest habitation and use elsewhere raise the question as to why there is no clear evidence for the early human exploitation of tropical forests in Africa, where our species first emerged. </w:t>
      </w:r>
      <w:r w:rsidRPr="005F44EF">
        <w:rPr>
          <w:rFonts w:ascii="Times New Roman" w:eastAsia="Times New Roman" w:hAnsi="Times New Roman" w:cs="Times New Roman"/>
          <w:color w:val="000000"/>
          <w:sz w:val="24"/>
          <w:szCs w:val="24"/>
        </w:rPr>
        <w:t xml:space="preserve">Given </w:t>
      </w:r>
      <w:r w:rsidRPr="005F44EF">
        <w:rPr>
          <w:rFonts w:ascii="Times New Roman" w:eastAsia="Times New Roman" w:hAnsi="Times New Roman" w:cs="Times New Roman"/>
          <w:sz w:val="24"/>
          <w:szCs w:val="24"/>
        </w:rPr>
        <w:t xml:space="preserve">growing evidence for a unique ecological plasticity defining our species, in Africa </w:t>
      </w:r>
      <w:r w:rsidR="00420FC1" w:rsidRPr="005F44EF">
        <w:rPr>
          <w:rFonts w:ascii="Times New Roman" w:eastAsia="Times New Roman" w:hAnsi="Times New Roman" w:cs="Times New Roman"/>
          <w:sz w:val="24"/>
          <w:szCs w:val="24"/>
        </w:rPr>
        <w:t>and</w:t>
      </w:r>
      <w:r w:rsidRPr="005F44EF">
        <w:rPr>
          <w:rFonts w:ascii="Times New Roman" w:eastAsia="Times New Roman" w:hAnsi="Times New Roman" w:cs="Times New Roman"/>
          <w:sz w:val="24"/>
          <w:szCs w:val="24"/>
        </w:rPr>
        <w:t xml:space="preserve"> beyond</w:t>
      </w:r>
      <w:r w:rsidR="00B55289" w:rsidRPr="005F44EF">
        <w:rPr>
          <w:rFonts w:ascii="Times New Roman" w:eastAsia="Times New Roman" w:hAnsi="Times New Roman" w:cs="Times New Roman"/>
          <w:sz w:val="24"/>
          <w:szCs w:val="24"/>
        </w:rPr>
        <w:fldChar w:fldCharType="begin" w:fldLock="1"/>
      </w:r>
      <w:r w:rsidR="00F150F6" w:rsidRPr="005F44EF">
        <w:rPr>
          <w:rFonts w:ascii="Times New Roman" w:eastAsia="Times New Roman" w:hAnsi="Times New Roman" w:cs="Times New Roman"/>
          <w:sz w:val="24"/>
          <w:szCs w:val="24"/>
        </w:rPr>
        <w:instrText>ADDIN CSL_CITATION {"citationItems":[{"id":"ITEM-1","itemData":{"DOI":"10.1038/s41562-018-0394-4","ISSN":"2397-3374","PMID":"31209320","abstract":"Definitions of our species as unique within the hominin clade have tended to focus on differences in capacities for symbolism, language, social networking, technological competence and cognitive development. More recently, however, attention has been turned towards humans’ unique ecological plasticity. Here, we critically review the growing archaeological and palaeoenvironmental datasets relating to the Middle–Late Pleistocene (300–12 thousand years ago) dispersal of our species within and beyond Africa. We argue, based on comparison with the available information for other members of the genus Homo, that our species developed a new ecological niche, that of the ‘generalist specialist’. Not only did it occupy and utilize a diversity of environments, but it also specialized in its adaptation to some of these environmental extremes. Understanding this ecological niche provides a framework for discussing what it means to be human and how our species became the last surviving hominin on the planet. The success of humans as the last surviving species of the hominin clade may be explained by our ecological plasticity. Roberts and Stewart review evidence for human dispersal 300,000–12,000 years before present and propose that humans thrived via a unique ‘generalist specialist’ ecological niche.","author":[{"dropping-particle":"","family":"Roberts","given":"Patrick","non-dropping-particle":"","parse-names":false,"suffix":""},{"dropping-particle":"","family":"Stewart","given":"Brian A.","non-dropping-particle":"","parse-names":false,"suffix":""}],"container-title":"Nature Human Behaviour 2018 2:8","id":"ITEM-1","issue":"8","issued":{"date-parts":[["2018","7","30"]]},"page":"542-550","publisher":"Nature Publishing Group","title":"Defining the ‘generalist specialist’ niche for Pleistocene Homo sapiens","type":"article-journal","volume":"2"},"uris":["http://www.mendeley.com/documents/?uuid=be3e1139-0d51-3345-9648-bdab2f5581be"]}],"mendeley":{"formattedCitation":"&lt;sup&gt;23&lt;/sup&gt;","plainTextFormattedCitation":"23","previouslyFormattedCitation":"&lt;sup&gt;23&lt;/sup&gt;"},"properties":{"noteIndex":0},"schema":"https://github.com/citation-style-language/schema/raw/master/csl-citation.json"}</w:instrText>
      </w:r>
      <w:r w:rsidR="00B55289" w:rsidRPr="005F44EF">
        <w:rPr>
          <w:rFonts w:ascii="Times New Roman" w:eastAsia="Times New Roman" w:hAnsi="Times New Roman" w:cs="Times New Roman"/>
          <w:sz w:val="24"/>
          <w:szCs w:val="24"/>
        </w:rPr>
        <w:fldChar w:fldCharType="separate"/>
      </w:r>
      <w:r w:rsidR="00F150F6" w:rsidRPr="005F44EF">
        <w:rPr>
          <w:rFonts w:ascii="Times New Roman" w:eastAsia="Times New Roman" w:hAnsi="Times New Roman" w:cs="Times New Roman"/>
          <w:noProof/>
          <w:sz w:val="24"/>
          <w:szCs w:val="24"/>
          <w:vertAlign w:val="superscript"/>
        </w:rPr>
        <w:t>23</w:t>
      </w:r>
      <w:r w:rsidR="00B55289"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it </w:t>
      </w:r>
      <w:r w:rsidRPr="005F44EF">
        <w:rPr>
          <w:rFonts w:ascii="Times New Roman" w:eastAsia="Times New Roman" w:hAnsi="Times New Roman" w:cs="Times New Roman"/>
          <w:color w:val="000000"/>
          <w:sz w:val="24"/>
          <w:szCs w:val="24"/>
        </w:rPr>
        <w:t xml:space="preserve">seems more likely that evidence for ancient rainforest habitation in Africa remains simply undiscovered. </w:t>
      </w:r>
      <w:r w:rsidRPr="005F44EF">
        <w:rPr>
          <w:rFonts w:ascii="Times New Roman" w:eastAsia="Times New Roman" w:hAnsi="Times New Roman" w:cs="Times New Roman"/>
          <w:sz w:val="24"/>
          <w:szCs w:val="24"/>
        </w:rPr>
        <w:t xml:space="preserve">Currently, the earliest secure evidence for </w:t>
      </w:r>
      <w:r w:rsidR="00420FC1" w:rsidRPr="005F44EF">
        <w:rPr>
          <w:rFonts w:ascii="Times New Roman" w:eastAsia="Times New Roman" w:hAnsi="Times New Roman" w:cs="Times New Roman"/>
          <w:sz w:val="24"/>
          <w:szCs w:val="24"/>
        </w:rPr>
        <w:t>rainforest exploitation</w:t>
      </w:r>
      <w:r w:rsidRPr="005F44EF">
        <w:rPr>
          <w:rFonts w:ascii="Times New Roman" w:eastAsia="Times New Roman" w:hAnsi="Times New Roman" w:cs="Times New Roman"/>
          <w:sz w:val="24"/>
          <w:szCs w:val="24"/>
        </w:rPr>
        <w:t xml:space="preserve"> in Africa comes from sites in the </w:t>
      </w:r>
      <w:proofErr w:type="spellStart"/>
      <w:r w:rsidRPr="005F44EF">
        <w:rPr>
          <w:rFonts w:ascii="Times New Roman" w:eastAsia="Times New Roman" w:hAnsi="Times New Roman" w:cs="Times New Roman"/>
          <w:sz w:val="24"/>
          <w:szCs w:val="24"/>
        </w:rPr>
        <w:t>Ituri</w:t>
      </w:r>
      <w:proofErr w:type="spellEnd"/>
      <w:r w:rsidRPr="005F44EF">
        <w:rPr>
          <w:rFonts w:ascii="Times New Roman" w:eastAsia="Times New Roman" w:hAnsi="Times New Roman" w:cs="Times New Roman"/>
          <w:sz w:val="24"/>
          <w:szCs w:val="24"/>
        </w:rPr>
        <w:t xml:space="preserve"> rainforest, dating to around 18 ka</w:t>
      </w:r>
      <w:r w:rsidR="00B55289" w:rsidRPr="005F44EF">
        <w:rPr>
          <w:rFonts w:ascii="Times New Roman" w:eastAsia="Times New Roman" w:hAnsi="Times New Roman" w:cs="Times New Roman"/>
          <w:sz w:val="24"/>
          <w:szCs w:val="24"/>
        </w:rPr>
        <w:fldChar w:fldCharType="begin" w:fldLock="1"/>
      </w:r>
      <w:r w:rsidR="00F150F6" w:rsidRPr="005F44EF">
        <w:rPr>
          <w:rFonts w:ascii="Times New Roman" w:eastAsia="Times New Roman" w:hAnsi="Times New Roman" w:cs="Times New Roman"/>
          <w:sz w:val="24"/>
          <w:szCs w:val="24"/>
        </w:rPr>
        <w:instrText>ADDIN CSL_CITATION {"citationItems":[{"id":"ITEM-1","itemData":{"DOI":"10.1002/EVAN.10022","ISSN":"1520-6505","abstract":"Conventionally, the African continent has been partitioned in two evolutionary domains. One of them, the rainforest, is home to apes and covers central and West Africa. The other one extends through the woodlands and savannas of East and Southern Africa and has been traditionally perceived as home to humanity. The morphology of early humans is well-adapted to open environments. In addition, food procurement in savannas is known to be easier and more reliable than Is provisioning in the rainforest, with its dispersed and cryptic faunal resources and fickle carbohydrates and fat. In the late 1980s, human ecologists and socio-cultural anthropologists demonstrated that full-fledged foraging without some agricultural support has been virtually undocumented in tropical forests today or in the recent past.2 This research portrayed the present-day rainforest ecosystem as an unfriendly environment that is unable to support purely foraging groups, and questioned whether hominids ever lived in it.2.","author":[{"dropping-particle":"","family":"Mercader","given":"Julio","non-dropping-particle":"","parse-names":false,"suffix":""}],"container-title":"Evolutionary Anthropology: Issues, News, and Reviews","id":"ITEM-1","issue":"3","issued":{"date-parts":[["2002","1","1"]]},"page":"117-124","publisher":"John Wiley &amp; Sons, Ltd","title":"Forest people: The role of African rainforests in human evolution and dispersal","type":"article-journal","volume":"11"},"uris":["http://www.mendeley.com/documents/?uuid=180a3fec-4de8-3a11-a903-868c42e51e3e"]},{"id":"ITEM-2","itemData":{"DOI":"10.1038/s41562-018-0394-4","ISSN":"2397-3374","PMID":"31209320","abstract":"Definitions of our species as unique within the hominin clade have tended to focus on differences in capacities for symbolism, language, social networking, technological competence and cognitive development. More recently, however, attention has been turned towards humans’ unique ecological plasticity. Here, we critically review the growing archaeological and palaeoenvironmental datasets relating to the Middle–Late Pleistocene (300–12 thousand years ago) dispersal of our species within and beyond Africa. We argue, based on comparison with the available information for other members of the genus Homo, that our species developed a new ecological niche, that of the ‘generalist specialist’. Not only did it occupy and utilize a diversity of environments, but it also specialized in its adaptation to some of these environmental extremes. Understanding this ecological niche provides a framework for discussing what it means to be human and how our species became the last surviving hominin on the planet. The success of humans as the last surviving species of the hominin clade may be explained by our ecological plasticity. Roberts and Stewart review evidence for human dispersal 300,000–12,000 years before present and propose that humans thrived via a unique ‘generalist specialist’ ecological niche.","author":[{"dropping-particle":"","family":"Roberts","given":"Patrick","non-dropping-particle":"","parse-names":false,"suffix":""},{"dropping-particle":"","family":"Stewart","given":"Brian A.","non-dropping-particle":"","parse-names":false,"suffix":""}],"container-title":"Nature Human Behaviour 2018 2:8","id":"ITEM-2","issue":"8","issued":{"date-parts":[["2018","7","30"]]},"page":"542-550","publisher":"Nature Publishing Group","title":"Defining the ‘generalist specialist’ niche for Pleistocene Homo sapiens","type":"article-journal","volume":"2"},"uris":["http://www.mendeley.com/documents/?uuid=be3e1139-0d51-3345-9648-bdab2f5581be"]}],"mendeley":{"formattedCitation":"&lt;sup&gt;11,23&lt;/sup&gt;","plainTextFormattedCitation":"11,23","previouslyFormattedCitation":"&lt;sup&gt;11,23&lt;/sup&gt;"},"properties":{"noteIndex":0},"schema":"https://github.com/citation-style-language/schema/raw/master/csl-citation.json"}</w:instrText>
      </w:r>
      <w:r w:rsidR="00B55289" w:rsidRPr="005F44EF">
        <w:rPr>
          <w:rFonts w:ascii="Times New Roman" w:eastAsia="Times New Roman" w:hAnsi="Times New Roman" w:cs="Times New Roman"/>
          <w:sz w:val="24"/>
          <w:szCs w:val="24"/>
        </w:rPr>
        <w:fldChar w:fldCharType="separate"/>
      </w:r>
      <w:r w:rsidR="00F150F6" w:rsidRPr="005F44EF">
        <w:rPr>
          <w:rFonts w:ascii="Times New Roman" w:eastAsia="Times New Roman" w:hAnsi="Times New Roman" w:cs="Times New Roman"/>
          <w:noProof/>
          <w:sz w:val="24"/>
          <w:szCs w:val="24"/>
          <w:vertAlign w:val="superscript"/>
        </w:rPr>
        <w:t>11,23</w:t>
      </w:r>
      <w:r w:rsidR="00B55289" w:rsidRPr="005F44EF">
        <w:rPr>
          <w:rFonts w:ascii="Times New Roman" w:eastAsia="Times New Roman" w:hAnsi="Times New Roman" w:cs="Times New Roman"/>
          <w:sz w:val="24"/>
          <w:szCs w:val="24"/>
        </w:rPr>
        <w:fldChar w:fldCharType="end"/>
      </w:r>
      <w:hyperlink r:id="rId8"/>
      <w:r w:rsidRPr="005F44EF">
        <w:rPr>
          <w:rFonts w:ascii="Times New Roman" w:eastAsia="Times New Roman" w:hAnsi="Times New Roman" w:cs="Times New Roman"/>
          <w:sz w:val="24"/>
          <w:szCs w:val="24"/>
        </w:rPr>
        <w:t xml:space="preserve">, with younger dates of 12-13 ka further west at the site of </w:t>
      </w:r>
      <w:proofErr w:type="spellStart"/>
      <w:r w:rsidRPr="005F44EF">
        <w:rPr>
          <w:rFonts w:ascii="Times New Roman" w:eastAsia="Times New Roman" w:hAnsi="Times New Roman" w:cs="Times New Roman"/>
          <w:sz w:val="24"/>
          <w:szCs w:val="24"/>
        </w:rPr>
        <w:t>Iho</w:t>
      </w:r>
      <w:proofErr w:type="spellEnd"/>
      <w:r w:rsidRPr="005F44EF">
        <w:rPr>
          <w:rFonts w:ascii="Times New Roman" w:eastAsia="Times New Roman" w:hAnsi="Times New Roman" w:cs="Times New Roman"/>
          <w:sz w:val="24"/>
          <w:szCs w:val="24"/>
        </w:rPr>
        <w:t xml:space="preserve"> </w:t>
      </w:r>
      <w:proofErr w:type="spellStart"/>
      <w:r w:rsidRPr="005F44EF">
        <w:rPr>
          <w:rFonts w:ascii="Times New Roman" w:eastAsia="Times New Roman" w:hAnsi="Times New Roman" w:cs="Times New Roman"/>
          <w:sz w:val="24"/>
          <w:szCs w:val="24"/>
        </w:rPr>
        <w:t>Eleru</w:t>
      </w:r>
      <w:proofErr w:type="spellEnd"/>
      <w:r w:rsidRPr="005F44EF">
        <w:rPr>
          <w:rFonts w:ascii="Times New Roman" w:eastAsia="Times New Roman" w:hAnsi="Times New Roman" w:cs="Times New Roman"/>
          <w:sz w:val="24"/>
          <w:szCs w:val="24"/>
        </w:rPr>
        <w:t xml:space="preserve"> in Nigeria</w:t>
      </w:r>
      <w:r w:rsidR="00F150F6" w:rsidRPr="005F44EF">
        <w:rPr>
          <w:rFonts w:ascii="Times New Roman" w:eastAsia="Times New Roman" w:hAnsi="Times New Roman" w:cs="Times New Roman"/>
          <w:sz w:val="24"/>
          <w:szCs w:val="24"/>
        </w:rPr>
        <w:fldChar w:fldCharType="begin" w:fldLock="1"/>
      </w:r>
      <w:r w:rsidR="00D84935" w:rsidRPr="005F44EF">
        <w:rPr>
          <w:rFonts w:ascii="Times New Roman" w:eastAsia="Times New Roman" w:hAnsi="Times New Roman" w:cs="Times New Roman"/>
          <w:sz w:val="24"/>
          <w:szCs w:val="24"/>
        </w:rPr>
        <w:instrText>ADDIN CSL_CITATION {"citationItems":[{"id":"ITEM-1","itemData":{"author":[{"dropping-particle":"","family":"Cerasoni","given":"Jacopo Niccolò","non-dropping-particle":"","parse-names":false,"suffix":""},{"dropping-particle":"","family":"Orijemie","given":"Emuobosa Akpo","non-dropping-particle":"","parse-names":false,"suffix":""},{"dropping-particle":"","family":"Hallett","given":"Emily Yuko","non-dropping-particle":"","parse-names":false,"suffix":""},{"dropping-particle":"","family":"Lucas","given":"Mary","non-dropping-particle":"","parse-names":false,"suffix":""},{"dropping-particle":"","family":"Ashastina","given":"Kseniia","non-dropping-particle":"","parse-names":false,"suffix":""},{"dropping-particle":"","family":"Farr","given":"Lucy","non-dropping-particle":"","parse-names":false,"suffix":""},{"dropping-particle":"","family":"Höhn","given":"Alexa","non-dropping-particle":"","parse-names":false,"suffix":""},{"dropping-particle":"","family":"Kiahtipes","given":"Christopher","non-dropping-particle":"","parse-names":false,"suffix":""},{"dropping-particle":"","family":"Roberts","given":"Patrick","non-dropping-particle":"","parse-names":false,"suffix":""},{"dropping-particle":"","family":"Manica","given":"Andrea","non-dropping-particle":"","parse-names":false,"suffix":""},{"dropping-particle":"","family":"Blinkhorn","given":"James","non-dropping-particle":"","parse-names":false,"suffix":""},{"dropping-particle":"","family":"Scerri","given":"Eleanor","non-dropping-particle":"","parse-names":false,"suffix":""}],"container-title":"11th Annual meeting of the European Society for the Study of the Human Evolution","id":"ITEM-1","issued":{"date-parts":[["2021"]]},"title":"Late Pleistocene to Holocene palaeoenvironmental reconstruction and human behaviour at Iho Eleru rock shelter, Nigeria","type":"paper-conference"},"uris":["http://www.mendeley.com/documents/?uuid=d4ad8907-28d8-4d79-93e4-8bef3923b731"]},{"id":"ITEM-2","itemData":{"DOI":"10.1371/journal.pone.0024024","ISSN":"1932-6203","abstract":"Background In recent years the Later Stone Age has been redated to a much deeper time depth than previously thought. At the same time, human remains from this time period are scarce in Africa, and even rarer in West Africa. The Iwo Eleru burial is one of the few human skeletal remains associated with Later Stone Age artifacts in that region with a proposed Pleistocene date. We undertook a morphometric reanalysis of this cranium in order to better assess its affinities. We also conducted Uranium-series dating to re-evaluate its chronology. Methodology/Principal Findings A 3-D geometric morphometric analysis of cranial landmarks and semilandmarks was conducted using a large comparative fossil and modern human sample. The measurements were collected in the form of three dimensional coordinates and processed using Generalized Procrustes Analysis. Principal components, canonical variates, Mahalanobis D2 and Procrustes distance analyses were performed. The results were further visualized by comparing specimen and mean configurations. Results point to a morphological similarity with late archaic African specimens dating to the Late Pleistocene. A long bone cortical fragment was made available for U-series analysis in order to re-date the specimen. The results (</w:instrText>
      </w:r>
      <w:r w:rsidR="00D84935" w:rsidRPr="005F44EF">
        <w:rPr>
          <w:rFonts w:ascii="Cambria Math" w:eastAsia="Times New Roman" w:hAnsi="Cambria Math" w:cs="Cambria Math"/>
          <w:sz w:val="24"/>
          <w:szCs w:val="24"/>
        </w:rPr>
        <w:instrText>∼</w:instrText>
      </w:r>
      <w:r w:rsidR="00D84935" w:rsidRPr="005F44EF">
        <w:rPr>
          <w:rFonts w:ascii="Times New Roman" w:eastAsia="Times New Roman" w:hAnsi="Times New Roman" w:cs="Times New Roman"/>
          <w:sz w:val="24"/>
          <w:szCs w:val="24"/>
        </w:rPr>
        <w:instrText>11.7–16.3 ka) support a terminal Pleistocene chronology for the Iwo Eleru burial as was also suggested by the original radiocarbon dating results and by stratigraphic evidence. Conclusions/Significance Our findings are in accordance with suggestions of deep population substructure in Africa and a complex evolutionary process for the origin of modern humans. They further highlight the dearth of hominin finds from West Africa, and underscore our real lack of knowledge of human evolution in that region.","author":[{"dropping-particle":"","family":"Harvati","given":"Katerina","non-dropping-particle":"","parse-names":false,"suffix":""},{"dropping-particle":"","family":"Stringer","given":"Chris","non-dropping-particle":"","parse-names":false,"suffix":""},{"dropping-particle":"","family":"Grün","given":"Rainer","non-dropping-particle":"","parse-names":false,"suffix":""},{"dropping-particle":"","family":"Aubert","given":"Maxime","non-dropping-particle":"","parse-names":false,"suffix":""},{"dropping-particle":"","family":"Allsworth-Jones","given":"Philip","non-dropping-particle":"","parse-names":false,"suffix":""},{"dropping-particle":"","family":"Folorunso","given":"Caleb Adebayo","non-dropping-particle":"","parse-names":false,"suffix":""}],"container-title":"PLoS ONE","editor":[{"dropping-particle":"","family":"Relethford","given":"John H.","non-dropping-particle":"","parse-names":false,"suffix":""}],"id":"ITEM-2","issue":"9","issued":{"date-parts":[["2011","9","15"]]},"page":"e24024","publisher":"Public Library of Science","title":"The Later Stone Age Calvaria from Iwo Eleru, Nigeria: Morphology and Chronology","type":"article-journal","volume":"6"},"uris":["http://www.mendeley.com/documents/?uuid=e62fc0c2-5efa-3d04-95c2-a925b554d9f2"]}],"mendeley":{"formattedCitation":"&lt;sup&gt;24,25&lt;/sup&gt;","plainTextFormattedCitation":"24,25","previouslyFormattedCitation":"&lt;sup&gt;24,25&lt;/sup&gt;"},"properties":{"noteIndex":0},"schema":"https://github.com/citation-style-language/schema/raw/master/csl-citation.json"}</w:instrText>
      </w:r>
      <w:r w:rsidR="00F150F6" w:rsidRPr="005F44EF">
        <w:rPr>
          <w:rFonts w:ascii="Times New Roman" w:eastAsia="Times New Roman" w:hAnsi="Times New Roman" w:cs="Times New Roman"/>
          <w:sz w:val="24"/>
          <w:szCs w:val="24"/>
        </w:rPr>
        <w:fldChar w:fldCharType="separate"/>
      </w:r>
      <w:r w:rsidR="00F150F6" w:rsidRPr="005F44EF">
        <w:rPr>
          <w:rFonts w:ascii="Times New Roman" w:eastAsia="Times New Roman" w:hAnsi="Times New Roman" w:cs="Times New Roman"/>
          <w:noProof/>
          <w:sz w:val="24"/>
          <w:szCs w:val="24"/>
          <w:vertAlign w:val="superscript"/>
        </w:rPr>
        <w:t>24,25</w:t>
      </w:r>
      <w:r w:rsidR="00F150F6"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w:t>
      </w:r>
      <w:r w:rsidR="00FA236C">
        <w:rPr>
          <w:rFonts w:ascii="Times New Roman" w:eastAsia="Times New Roman" w:hAnsi="Times New Roman" w:cs="Times New Roman"/>
          <w:sz w:val="24"/>
          <w:szCs w:val="24"/>
        </w:rPr>
        <w:t xml:space="preserve">It has also been suggested </w:t>
      </w:r>
      <w:r w:rsidR="002B5A84" w:rsidRPr="005F44EF">
        <w:rPr>
          <w:rFonts w:ascii="Times New Roman" w:eastAsia="Times New Roman" w:hAnsi="Times New Roman" w:cs="Times New Roman"/>
          <w:sz w:val="24"/>
          <w:szCs w:val="24"/>
        </w:rPr>
        <w:t>that Later Stone Age (LSA) making humans may have been living in forested environments in Africa as early as 40 ka</w:t>
      </w:r>
      <w:r w:rsidRPr="005F44EF">
        <w:rPr>
          <w:rFonts w:ascii="Times New Roman" w:eastAsia="Times New Roman" w:hAnsi="Times New Roman" w:cs="Times New Roman"/>
          <w:sz w:val="24"/>
          <w:szCs w:val="24"/>
        </w:rPr>
        <w:t xml:space="preserve">, but issues </w:t>
      </w:r>
      <w:r w:rsidR="00E0764B">
        <w:rPr>
          <w:rFonts w:ascii="Times New Roman" w:eastAsia="Times New Roman" w:hAnsi="Times New Roman" w:cs="Times New Roman"/>
          <w:sz w:val="24"/>
          <w:szCs w:val="24"/>
        </w:rPr>
        <w:t xml:space="preserve">surrounding </w:t>
      </w:r>
      <w:r w:rsidRPr="005F44EF">
        <w:rPr>
          <w:rFonts w:ascii="Times New Roman" w:eastAsia="Times New Roman" w:hAnsi="Times New Roman" w:cs="Times New Roman"/>
          <w:sz w:val="24"/>
          <w:szCs w:val="24"/>
        </w:rPr>
        <w:t xml:space="preserve">stratigraphy and chronology complicate </w:t>
      </w:r>
      <w:r w:rsidR="00E0764B">
        <w:rPr>
          <w:rFonts w:ascii="Times New Roman" w:eastAsia="Times New Roman" w:hAnsi="Times New Roman" w:cs="Times New Roman"/>
          <w:sz w:val="24"/>
          <w:szCs w:val="24"/>
        </w:rPr>
        <w:t xml:space="preserve">these </w:t>
      </w:r>
      <w:r w:rsidRPr="005F44EF">
        <w:rPr>
          <w:rFonts w:ascii="Times New Roman" w:eastAsia="Times New Roman" w:hAnsi="Times New Roman" w:cs="Times New Roman"/>
          <w:sz w:val="24"/>
          <w:szCs w:val="24"/>
        </w:rPr>
        <w:t>inference</w:t>
      </w:r>
      <w:r w:rsidR="00E0764B">
        <w:rPr>
          <w:rFonts w:ascii="Times New Roman" w:eastAsia="Times New Roman" w:hAnsi="Times New Roman" w:cs="Times New Roman"/>
          <w:sz w:val="24"/>
          <w:szCs w:val="24"/>
        </w:rPr>
        <w:t>s</w:t>
      </w:r>
      <w:r w:rsidR="00B55289" w:rsidRPr="005F44EF">
        <w:rPr>
          <w:rFonts w:ascii="Times New Roman" w:eastAsia="Times New Roman" w:hAnsi="Times New Roman" w:cs="Times New Roman"/>
          <w:sz w:val="24"/>
          <w:szCs w:val="24"/>
        </w:rPr>
        <w:fldChar w:fldCharType="begin" w:fldLock="1"/>
      </w:r>
      <w:r w:rsidR="00F150F6" w:rsidRPr="005F44EF">
        <w:rPr>
          <w:rFonts w:ascii="Times New Roman" w:eastAsia="Times New Roman" w:hAnsi="Times New Roman" w:cs="Times New Roman"/>
          <w:sz w:val="24"/>
          <w:szCs w:val="24"/>
        </w:rPr>
        <w:instrText>ADDIN CSL_CITATION {"citationItems":[{"id":"ITEM-1","itemData":{"DOI":"10.1007/978-94-017-7520-5_16/COVER","ISSN":"18779077","abstract":"The reconstruction of Late Pleistocene population dynamics in the northeastern Central African rainforest is hampered by the scanty though intriguing environmental, archaeological, and human fossil records. The few well documented and dated sites combined with undated surface finds in museum collections are examined for patterning in their spatial, temporal, and technological distribution. The results are ambiguous and point to both continuity and discontinuity in occupation of forested environments prior to, during, and after MIS 2. Particularly striking is the absence of quartz microlithic industries or any Later Stone Age (LSA) assemblages in the western part of the region. This may be due to lack of suitable raw materials or low visibility of quartz scatters encountered during informal surveys. At the same time the analysis suggests potentially interesting avenues for future research. These include, for example, the role that riverine systems might have played in the patterning of both prehistoric and extant genetic relationships. Utilization of archaeologically perishable bone in lithic poor regions may also account for apparently disjunctive archaeological distributions.","author":[{"dropping-particle":"","family":"Cornelissen","given":"Els","non-dropping-particle":"","parse-names":false,"suffix":""}],"container-title":"Vertebrate Paleobiology and Paleoanthropology","id":"ITEM-1","issue":"9789401775199","issued":{"date-parts":[["2016"]]},"page":"301-319","publisher":"Springer","title":"The later Pleistocene in the Northeastern Central African rainforest","type":"article-journal"},"uris":["http://www.mendeley.com/documents/?uuid=503b15ba-0f50-3498-9cc2-54bb1a5a0a08"]}],"mendeley":{"formattedCitation":"&lt;sup&gt;26&lt;/sup&gt;","plainTextFormattedCitation":"26","previouslyFormattedCitation":"&lt;sup&gt;26&lt;/sup&gt;"},"properties":{"noteIndex":0},"schema":"https://github.com/citation-style-language/schema/raw/master/csl-citation.json"}</w:instrText>
      </w:r>
      <w:r w:rsidR="00B55289" w:rsidRPr="005F44EF">
        <w:rPr>
          <w:rFonts w:ascii="Times New Roman" w:eastAsia="Times New Roman" w:hAnsi="Times New Roman" w:cs="Times New Roman"/>
          <w:sz w:val="24"/>
          <w:szCs w:val="24"/>
        </w:rPr>
        <w:fldChar w:fldCharType="separate"/>
      </w:r>
      <w:r w:rsidR="00F150F6" w:rsidRPr="005F44EF">
        <w:rPr>
          <w:rFonts w:ascii="Times New Roman" w:eastAsia="Times New Roman" w:hAnsi="Times New Roman" w:cs="Times New Roman"/>
          <w:noProof/>
          <w:sz w:val="24"/>
          <w:szCs w:val="24"/>
          <w:vertAlign w:val="superscript"/>
        </w:rPr>
        <w:t>26</w:t>
      </w:r>
      <w:r w:rsidR="00B55289"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color w:val="000000"/>
          <w:sz w:val="24"/>
          <w:szCs w:val="24"/>
        </w:rPr>
        <w:t xml:space="preserve">At the site of </w:t>
      </w:r>
      <w:proofErr w:type="spellStart"/>
      <w:r w:rsidRPr="005F44EF">
        <w:rPr>
          <w:rFonts w:ascii="Times New Roman" w:eastAsia="Times New Roman" w:hAnsi="Times New Roman" w:cs="Times New Roman"/>
          <w:color w:val="000000"/>
          <w:sz w:val="24"/>
          <w:szCs w:val="24"/>
        </w:rPr>
        <w:t>Panga</w:t>
      </w:r>
      <w:proofErr w:type="spellEnd"/>
      <w:r w:rsidRPr="005F44EF">
        <w:rPr>
          <w:rFonts w:ascii="Times New Roman" w:eastAsia="Times New Roman" w:hAnsi="Times New Roman" w:cs="Times New Roman"/>
          <w:color w:val="000000"/>
          <w:sz w:val="24"/>
          <w:szCs w:val="24"/>
        </w:rPr>
        <w:t xml:space="preserve"> </w:t>
      </w:r>
      <w:proofErr w:type="spellStart"/>
      <w:r w:rsidRPr="005F44EF">
        <w:rPr>
          <w:rFonts w:ascii="Times New Roman" w:eastAsia="Times New Roman" w:hAnsi="Times New Roman" w:cs="Times New Roman"/>
          <w:color w:val="000000"/>
          <w:sz w:val="24"/>
          <w:szCs w:val="24"/>
        </w:rPr>
        <w:t>Ya</w:t>
      </w:r>
      <w:proofErr w:type="spellEnd"/>
      <w:r w:rsidRPr="005F44EF">
        <w:rPr>
          <w:rFonts w:ascii="Times New Roman" w:eastAsia="Times New Roman" w:hAnsi="Times New Roman" w:cs="Times New Roman"/>
          <w:color w:val="000000"/>
          <w:sz w:val="24"/>
          <w:szCs w:val="24"/>
        </w:rPr>
        <w:t xml:space="preserve"> </w:t>
      </w:r>
      <w:proofErr w:type="spellStart"/>
      <w:r w:rsidRPr="005F44EF">
        <w:rPr>
          <w:rFonts w:ascii="Times New Roman" w:eastAsia="Times New Roman" w:hAnsi="Times New Roman" w:cs="Times New Roman"/>
          <w:color w:val="000000"/>
          <w:sz w:val="24"/>
          <w:szCs w:val="24"/>
        </w:rPr>
        <w:t>Saidi</w:t>
      </w:r>
      <w:proofErr w:type="spellEnd"/>
      <w:r w:rsidRPr="005F44EF">
        <w:rPr>
          <w:rFonts w:ascii="Times New Roman" w:eastAsia="Times New Roman" w:hAnsi="Times New Roman" w:cs="Times New Roman"/>
          <w:color w:val="000000"/>
          <w:sz w:val="24"/>
          <w:szCs w:val="24"/>
        </w:rPr>
        <w:t xml:space="preserve"> in Kenya, there is evidence </w:t>
      </w:r>
      <w:r w:rsidR="00E0764B">
        <w:rPr>
          <w:rFonts w:ascii="Times New Roman" w:eastAsia="Times New Roman" w:hAnsi="Times New Roman" w:cs="Times New Roman"/>
          <w:color w:val="000000"/>
          <w:sz w:val="24"/>
          <w:szCs w:val="24"/>
        </w:rPr>
        <w:t>that</w:t>
      </w:r>
      <w:r w:rsidR="00E0764B" w:rsidRPr="005F44EF">
        <w:rPr>
          <w:rFonts w:ascii="Times New Roman" w:eastAsia="Times New Roman" w:hAnsi="Times New Roman" w:cs="Times New Roman"/>
          <w:color w:val="000000"/>
          <w:sz w:val="24"/>
          <w:szCs w:val="24"/>
        </w:rPr>
        <w:t xml:space="preserve"> </w:t>
      </w:r>
      <w:r w:rsidRPr="005F44EF">
        <w:rPr>
          <w:rFonts w:ascii="Times New Roman" w:eastAsia="Times New Roman" w:hAnsi="Times New Roman" w:cs="Times New Roman"/>
          <w:color w:val="000000"/>
          <w:sz w:val="24"/>
          <w:szCs w:val="24"/>
        </w:rPr>
        <w:t>MSA humans exploit</w:t>
      </w:r>
      <w:r w:rsidR="002B5A84" w:rsidRPr="005F44EF">
        <w:rPr>
          <w:rFonts w:ascii="Times New Roman" w:eastAsia="Times New Roman" w:hAnsi="Times New Roman" w:cs="Times New Roman"/>
          <w:color w:val="000000"/>
          <w:sz w:val="24"/>
          <w:szCs w:val="24"/>
        </w:rPr>
        <w:t>ed</w:t>
      </w:r>
      <w:r w:rsidRPr="005F44EF">
        <w:rPr>
          <w:rFonts w:ascii="Times New Roman" w:eastAsia="Times New Roman" w:hAnsi="Times New Roman" w:cs="Times New Roman"/>
          <w:color w:val="000000"/>
          <w:sz w:val="24"/>
          <w:szCs w:val="24"/>
        </w:rPr>
        <w:t xml:space="preserve"> a diverse mix of environments </w:t>
      </w:r>
      <w:r w:rsidRPr="005F44EF">
        <w:rPr>
          <w:rFonts w:ascii="Times New Roman" w:eastAsia="Times New Roman" w:hAnsi="Times New Roman" w:cs="Times New Roman"/>
          <w:sz w:val="24"/>
          <w:szCs w:val="24"/>
        </w:rPr>
        <w:t xml:space="preserve">which included the hunting of monkeys in tropical forests </w:t>
      </w:r>
      <w:r w:rsidR="00B55289" w:rsidRPr="005F44EF">
        <w:rPr>
          <w:rFonts w:ascii="Times New Roman" w:eastAsia="Times New Roman" w:hAnsi="Times New Roman" w:cs="Times New Roman"/>
          <w:sz w:val="24"/>
          <w:szCs w:val="24"/>
        </w:rPr>
        <w:fldChar w:fldCharType="begin" w:fldLock="1"/>
      </w:r>
      <w:r w:rsidR="00F150F6" w:rsidRPr="005F44EF">
        <w:rPr>
          <w:rFonts w:ascii="Times New Roman" w:eastAsia="Times New Roman" w:hAnsi="Times New Roman" w:cs="Times New Roman"/>
          <w:sz w:val="24"/>
          <w:szCs w:val="24"/>
        </w:rPr>
        <w:instrText>ADDIN CSL_CITATION {"citationItems":[{"id":"ITEM-1","itemData":{"DOI":"10.1038/s41467-018-04057-3","ISSN":"2041-1723","abstract":"The Middle to Later Stone Age transition in Africa has been debated as a significant shift in human technological, cultural, and cognitive evolution. However, the majority of research on this transition is currently focused on southern Africa due to a lack of long-term, stratified sites across much of the African continent. Here, we report a 78,000-year-long archeological record from Panga ya Saidi, a cave in the humid coastal forest of Kenya. Following a shift in toolkits ~67,000 years ago, novel symbolic and technological behaviors assemble in a non-unilinear manner. Against a backdrop of a persistent tropical forest-grassland ecotone, localized innovations better characterize the Late Pleistocene of this part of East Africa than alternative emphases on dramatic revolutions or migrations.","author":[{"dropping-particle":"","family":"Shipton","given":"Ceri","non-dropping-particle":"","parse-names":false,"suffix":""},{"dropping-particle":"","family":"Roberts","given":"Patrick","non-dropping-particle":"","parse-names":false,"suffix":""},{"dropping-particle":"","family":"Archer","given":"Will","non-dropping-particle":"","parse-names":false,"suffix":""},{"dropping-particle":"","family":"Armitage","given":"Simon J.","non-dropping-particle":"","parse-names":false,"suffix":""},{"dropping-particle":"","family":"Bita","given":"Caesar","non-dropping-particle":"","parse-names":false,"suffix":""},{"dropping-particle":"","family":"Blinkhorn","given":"James","non-dropping-particle":"","parse-names":false,"suffix":""},{"dropping-particle":"","family":"Courtney-Mustaphi","given":"Colin","non-dropping-particle":"","parse-names":false,"suffix":""},{"dropping-particle":"","family":"Crowther","given":"Alison","non-dropping-particle":"","parse-names":false,"suffix":""},{"dropping-particle":"","family":"Curtis","given":"Richard","non-dropping-particle":"","parse-names":false,"suffix":""},{"dropping-particle":"","family":"Errico","given":"Francesco d’","non-dropping-particle":"","parse-names":false,"suffix":""},{"dropping-particle":"","family":"Douka","given":"Katerina","non-dropping-particle":"","parse-names":false,"suffix":""},{"dropping-particle":"","family":"Faulkner","given":"Patrick","non-dropping-particle":"","parse-names":false,"suffix":""},{"dropping-particle":"","family":"Groucutt","given":"Huw S.","non-dropping-particle":"","parse-names":false,"suffix":""},{"dropping-particle":"","family":"Helm","given":"Richard","non-dropping-particle":"","parse-names":false,"suffix":""},{"dropping-particle":"","family":"Herries","given":"Andy I. R","non-dropping-particle":"","parse-names":false,"suffix":""},{"dropping-particle":"","family":"Jembe","given":"Severinus","non-dropping-particle":"","parse-names":false,"suffix":""},{"dropping-particle":"","family":"Kourampas","given":"Nikos","non-dropping-particle":"","parse-names":false,"suffix":""},{"dropping-particle":"","family":"Lee-Thorp","given":"Julia","non-dropping-particle":"","parse-names":false,"suffix":""},{"dropping-particle":"","family":"Marchant","given":"Rob","non-dropping-particle":"","parse-names":false,"suffix":""},{"dropping-particle":"","family":"Mercader","given":"Julio","non-dropping-particle":"","parse-names":false,"suffix":""},{"dropping-particle":"","family":"Marti","given":"Africa Pitarch","non-dropping-particle":"","parse-names":false,"suffix":""},{"dropping-particle":"","family":"Prendergast","given":"Mary E.","non-dropping-particle":"","parse-names":false,"suffix":""},{"dropping-particle":"","family":"Rowson","given":"Ben","non-dropping-particle":"","parse-names":false,"suffix":""},{"dropping-particle":"","family":"Tengeza","given":"Amini","non-dropping-particle":"","parse-names":false,"suffix":""},{"dropping-particle":"","family":"Tibesasa","given":"Ruth","non-dropping-particle":"","parse-names":false,"suffix":""},{"dropping-particle":"","family":"White","given":"Tom S.","non-dropping-particle":"","parse-names":false,"suffix":""},{"dropping-particle":"","family":"Petraglia","given":"Michael D.","non-dropping-particle":"","parse-names":false,"suffix":""},{"dropping-particle":"","family":"Boivin","given":"Nicole","non-dropping-particle":"","parse-names":false,"suffix":""}],"container-title":"Nature Communications","id":"ITEM-1","issue":"1","issued":{"date-parts":[["2018","12","9"]]},"page":"1832","publisher":"Nature Publishing Group","title":"78,000-year-old record of Middle and Later stone age innovation in an East African tropical forest","type":"article-journal","volume":"9"},"uris":["http://www.mendeley.com/documents/?uuid=0e48c431-36b5-38f9-b39e-c28e0ce60cbd"]},{"id":"ITEM-2","itemData":{"DOI":"10.1038/s41559-023-01998-x","ISSN":"2397-334X","PMID":"36823256","abstract":"Projecting and managing the feedback between tropical deforestation and global Earth system dynamics, and identifying potential critical thresholds or tipping points, will be key to our species’ future on this planet. By understanding the major historical processes that underpin the origins of this interaction, and bringing natural and social systems together in interdisciplinary models, we can evaluate the degree to which past human impacts on tropical forests resulted in observable planetary ramifications that have left legacies for the twenty-first century and beyond.","author":[{"dropping-particle":"","family":"Roberts","given":"Patrick","non-dropping-particle":"","parse-names":false,"suffix":""},{"dropping-particle":"","family":"Kaplan","given":"Jed O.","non-dropping-particle":"","parse-names":false,"suffix":""},{"dropping-particle":"","family":"Findley","given":"David Max","non-dropping-particle":"","parse-names":false,"suffix":""},{"dropping-particle":"","family":"Hamilton","given":"Rebecca","non-dropping-particle":"","parse-names":false,"suffix":""},{"dropping-particle":"","family":"Caetano-Andrade","given":"Victor Lery","non-dropping-particle":"","parse-names":false,"suffix":""},{"dropping-particle":"","family":"Amano","given":"Noel","non-dropping-particle":"","parse-names":false,"suffix":""},{"dropping-particle":"","family":"Kay","given":"Andrea U.","non-dropping-particle":"","parse-names":false,"suffix":""},{"dropping-particle":"","family":"Renn","given":"Jürgen","non-dropping-particle":"","parse-names":false,"suffix":""},{"dropping-particle":"","family":"Winkelmann","given":"Ricarda","non-dropping-particle":"","parse-names":false,"suffix":""}],"container-title":"Nature Ecology &amp; Evolution 2023 7:5","id":"ITEM-2","issue":"5","issued":{"date-parts":[["2023","2","23"]]},"page":"632-636","publisher":"Nature Publishing Group","title":"Mapping our reliance on the tropics can reveal the roots of the Anthropocene","type":"article-journal","volume":"7"},"uris":["http://www.mendeley.com/documents/?uuid=8902d880-a0a3-3b75-8fba-1da7e8c635ce"]}],"mendeley":{"formattedCitation":"&lt;sup&gt;27,28&lt;/sup&gt;","plainTextFormattedCitation":"27,28","previouslyFormattedCitation":"&lt;sup&gt;27,28&lt;/sup&gt;"},"properties":{"noteIndex":0},"schema":"https://github.com/citation-style-language/schema/raw/master/csl-citation.json"}</w:instrText>
      </w:r>
      <w:r w:rsidR="00B55289" w:rsidRPr="005F44EF">
        <w:rPr>
          <w:rFonts w:ascii="Times New Roman" w:eastAsia="Times New Roman" w:hAnsi="Times New Roman" w:cs="Times New Roman"/>
          <w:sz w:val="24"/>
          <w:szCs w:val="24"/>
        </w:rPr>
        <w:fldChar w:fldCharType="separate"/>
      </w:r>
      <w:r w:rsidR="00F150F6" w:rsidRPr="005F44EF">
        <w:rPr>
          <w:rFonts w:ascii="Times New Roman" w:eastAsia="Times New Roman" w:hAnsi="Times New Roman" w:cs="Times New Roman"/>
          <w:noProof/>
          <w:sz w:val="24"/>
          <w:szCs w:val="24"/>
          <w:vertAlign w:val="superscript"/>
        </w:rPr>
        <w:t>27,28</w:t>
      </w:r>
      <w:r w:rsidR="00B55289"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w:t>
      </w:r>
      <w:r w:rsidR="002B5A84" w:rsidRPr="005F44EF">
        <w:rPr>
          <w:rFonts w:ascii="Times New Roman" w:eastAsia="Times New Roman" w:hAnsi="Times New Roman" w:cs="Times New Roman"/>
          <w:sz w:val="24"/>
          <w:szCs w:val="24"/>
        </w:rPr>
        <w:t>However</w:t>
      </w:r>
      <w:r w:rsidRPr="005F44EF">
        <w:rPr>
          <w:rFonts w:ascii="Times New Roman" w:eastAsia="Times New Roman" w:hAnsi="Times New Roman" w:cs="Times New Roman"/>
          <w:sz w:val="24"/>
          <w:szCs w:val="24"/>
        </w:rPr>
        <w:t xml:space="preserve">, clear pre-LSA evidence for dedicated reliance on tropical forest resources, and permanent occupation, akin to that seen in Asia, for example, </w:t>
      </w:r>
      <w:r w:rsidR="00E0764B">
        <w:rPr>
          <w:rFonts w:ascii="Times New Roman" w:eastAsia="Times New Roman" w:hAnsi="Times New Roman" w:cs="Times New Roman"/>
          <w:sz w:val="24"/>
          <w:szCs w:val="24"/>
        </w:rPr>
        <w:t xml:space="preserve">is </w:t>
      </w:r>
      <w:r w:rsidRPr="005F44EF">
        <w:rPr>
          <w:rFonts w:ascii="Times New Roman" w:eastAsia="Times New Roman" w:hAnsi="Times New Roman" w:cs="Times New Roman"/>
          <w:sz w:val="24"/>
          <w:szCs w:val="24"/>
        </w:rPr>
        <w:t>currently remains lacking</w:t>
      </w:r>
      <w:r w:rsidR="00B55289" w:rsidRPr="005F44EF">
        <w:rPr>
          <w:rFonts w:ascii="Times New Roman" w:eastAsia="Times New Roman" w:hAnsi="Times New Roman" w:cs="Times New Roman"/>
          <w:sz w:val="24"/>
          <w:szCs w:val="24"/>
        </w:rPr>
        <w:fldChar w:fldCharType="begin" w:fldLock="1"/>
      </w:r>
      <w:r w:rsidR="000F3C8B" w:rsidRPr="005F44EF">
        <w:rPr>
          <w:rFonts w:ascii="Times New Roman" w:eastAsia="Times New Roman" w:hAnsi="Times New Roman" w:cs="Times New Roman"/>
          <w:sz w:val="24"/>
          <w:szCs w:val="24"/>
        </w:rPr>
        <w:instrText>ADDIN CSL_CITATION {"citationItems":[{"id":"ITEM-1","itemData":{"DOI":"10.1080/00438243.2015.1073119","ISSN":"14701375","abstract":"In the 1980s, anthropologists argued that tropical rainforests were unattractive environments for long-term human navigation, subsistence and occupation. Meanwhile, archaeologists have traditionally held that Homo sapiens only intensively colonized rainforests during the Holocene, from c. 11 thousand years ago (ka). New discoveries and re-appraisal of Pleistocene (c. 200–12 ka) archaeological sites in Africa, Southeast Asia, Melanesia, and Sri Lanka, have, however, indicated the possibility for human occupation of rainforests from c. 45 ka and, more controversially, c. 200 ka. We critically review the archaeological evidence for Pleistocene human rainforest occupation from several regions. We argue that clear evidence exists for human adaptation to rainforest ecologies from c. 45 ka, with tantalizing hints of even earlier colonization. More research, however, is needed in order to understand the dynamism and diversity of palaeoecologies commonly classified as ‘rainforest’, as well as the regional extent, nature, and longevity of early human rainforest habitations.","author":[{"dropping-particle":"","family":"Roberts","given":"Patrick","non-dropping-particle":"","parse-names":false,"suffix":""},{"dropping-particle":"","family":"Petraglia","given":"Michael","non-dropping-particle":"","parse-names":false,"suffix":""}],"container-title":"World Archaeology","id":"ITEM-1","issue":"5","issued":{"date-parts":[["2015","10","20"]]},"page":"718-739","publisher":"Routledge","title":"Pleistocene rainforests: barriers or attractive environments for early human foragers?","type":"article-journal","volume":"47"},"uris":["http://www.mendeley.com/documents/?uuid=626991e4-1519-32bf-9545-51c62420289b"]},{"id":"ITEM-2","itemData":{"author":[{"dropping-particle":"","family":"Roberts","given":"Patrick","non-dropping-particle":"","parse-names":false,"suffix":""}],"editor":[{"dropping-particle":"","family":"Press","given":"Oxford University","non-dropping-particle":"","parse-names":false,"suffix":""}],"id":"ITEM-2","issued":{"date-parts":[["2019"]]},"number-of-pages":"978","publisher-place":"Oxford","title":"Tropical forests in prehistory, history, and modernity","type":"book"},"uris":["http://www.mendeley.com/documents/?uuid=4c7e6b35-e04b-4da3-bef2-126ad82c43eb"]}],"mendeley":{"formattedCitation":"&lt;sup&gt;10,13&lt;/sup&gt;","plainTextFormattedCitation":"10,13","previouslyFormattedCitation":"&lt;sup&gt;10,13&lt;/sup&gt;"},"properties":{"noteIndex":0},"schema":"https://github.com/citation-style-language/schema/raw/master/csl-citation.json"}</w:instrText>
      </w:r>
      <w:r w:rsidR="00B55289" w:rsidRPr="005F44EF">
        <w:rPr>
          <w:rFonts w:ascii="Times New Roman" w:eastAsia="Times New Roman" w:hAnsi="Times New Roman" w:cs="Times New Roman"/>
          <w:sz w:val="24"/>
          <w:szCs w:val="24"/>
        </w:rPr>
        <w:fldChar w:fldCharType="separate"/>
      </w:r>
      <w:r w:rsidR="00B55289" w:rsidRPr="005F44EF">
        <w:rPr>
          <w:rFonts w:ascii="Times New Roman" w:eastAsia="Times New Roman" w:hAnsi="Times New Roman" w:cs="Times New Roman"/>
          <w:noProof/>
          <w:sz w:val="24"/>
          <w:szCs w:val="24"/>
          <w:vertAlign w:val="superscript"/>
        </w:rPr>
        <w:t>10,13</w:t>
      </w:r>
      <w:r w:rsidR="00B55289"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w:t>
      </w:r>
    </w:p>
    <w:p w14:paraId="0767440F" w14:textId="77777777" w:rsidR="00BB7AA9" w:rsidRPr="005F44EF" w:rsidRDefault="00BB7AA9">
      <w:pPr>
        <w:spacing w:after="0" w:line="276" w:lineRule="auto"/>
        <w:jc w:val="both"/>
        <w:rPr>
          <w:rFonts w:ascii="Times New Roman" w:eastAsia="Times New Roman" w:hAnsi="Times New Roman" w:cs="Times New Roman"/>
          <w:sz w:val="24"/>
          <w:szCs w:val="24"/>
        </w:rPr>
      </w:pPr>
    </w:p>
    <w:p w14:paraId="1FAAAF9E" w14:textId="60509B4B" w:rsidR="00BB7AA9" w:rsidRPr="005F44EF" w:rsidRDefault="00B9564D">
      <w:pPr>
        <w:spacing w:after="0" w:line="276" w:lineRule="auto"/>
        <w:jc w:val="both"/>
        <w:rPr>
          <w:rFonts w:ascii="Times New Roman" w:eastAsia="Times New Roman" w:hAnsi="Times New Roman" w:cs="Times New Roman"/>
          <w:color w:val="000000"/>
          <w:sz w:val="24"/>
          <w:szCs w:val="24"/>
        </w:rPr>
      </w:pPr>
      <w:r w:rsidRPr="005F44EF">
        <w:rPr>
          <w:rFonts w:ascii="Times New Roman" w:eastAsia="Times New Roman" w:hAnsi="Times New Roman" w:cs="Times New Roman"/>
          <w:sz w:val="24"/>
          <w:szCs w:val="24"/>
        </w:rPr>
        <w:t>Notably, p</w:t>
      </w:r>
      <w:r w:rsidRPr="005F44EF">
        <w:rPr>
          <w:rFonts w:ascii="Times New Roman" w:eastAsia="Times New Roman" w:hAnsi="Times New Roman" w:cs="Times New Roman"/>
          <w:color w:val="000000"/>
          <w:sz w:val="24"/>
          <w:szCs w:val="24"/>
        </w:rPr>
        <w:t xml:space="preserve">ast African rainforest fragmentation means that it is not possible to ascertain a clear association between the MSA </w:t>
      </w:r>
      <w:r w:rsidR="002B5A84" w:rsidRPr="005F44EF">
        <w:rPr>
          <w:rFonts w:ascii="Times New Roman" w:eastAsia="Times New Roman" w:hAnsi="Times New Roman" w:cs="Times New Roman"/>
          <w:color w:val="000000"/>
          <w:sz w:val="24"/>
          <w:szCs w:val="24"/>
        </w:rPr>
        <w:t xml:space="preserve">populations </w:t>
      </w:r>
      <w:r w:rsidRPr="005F44EF">
        <w:rPr>
          <w:rFonts w:ascii="Times New Roman" w:eastAsia="Times New Roman" w:hAnsi="Times New Roman" w:cs="Times New Roman"/>
          <w:color w:val="000000"/>
          <w:sz w:val="24"/>
          <w:szCs w:val="24"/>
        </w:rPr>
        <w:t>and past tropical forest</w:t>
      </w:r>
      <w:r w:rsidR="002B5A84" w:rsidRPr="005F44EF">
        <w:rPr>
          <w:rFonts w:ascii="Times New Roman" w:eastAsia="Times New Roman" w:hAnsi="Times New Roman" w:cs="Times New Roman"/>
          <w:color w:val="000000"/>
          <w:sz w:val="24"/>
          <w:szCs w:val="24"/>
        </w:rPr>
        <w:t xml:space="preserve"> habitation </w:t>
      </w:r>
      <w:r w:rsidRPr="005F44EF">
        <w:rPr>
          <w:rFonts w:ascii="Times New Roman" w:eastAsia="Times New Roman" w:hAnsi="Times New Roman" w:cs="Times New Roman"/>
          <w:color w:val="000000"/>
          <w:sz w:val="24"/>
          <w:szCs w:val="24"/>
        </w:rPr>
        <w:t xml:space="preserve">without palaeoecological proxies and </w:t>
      </w:r>
      <w:r w:rsidR="002B5A84" w:rsidRPr="005F44EF">
        <w:rPr>
          <w:rFonts w:ascii="Times New Roman" w:eastAsia="Times New Roman" w:hAnsi="Times New Roman" w:cs="Times New Roman"/>
          <w:color w:val="000000"/>
          <w:sz w:val="24"/>
          <w:szCs w:val="24"/>
        </w:rPr>
        <w:t>robust</w:t>
      </w:r>
      <w:r w:rsidRPr="005F44EF">
        <w:rPr>
          <w:rFonts w:ascii="Times New Roman" w:eastAsia="Times New Roman" w:hAnsi="Times New Roman" w:cs="Times New Roman"/>
          <w:color w:val="000000"/>
          <w:sz w:val="24"/>
          <w:szCs w:val="24"/>
        </w:rPr>
        <w:t xml:space="preserve"> chronolog</w:t>
      </w:r>
      <w:r w:rsidR="002B5A84" w:rsidRPr="005F44EF">
        <w:rPr>
          <w:rFonts w:ascii="Times New Roman" w:eastAsia="Times New Roman" w:hAnsi="Times New Roman" w:cs="Times New Roman"/>
          <w:color w:val="000000"/>
          <w:sz w:val="24"/>
          <w:szCs w:val="24"/>
        </w:rPr>
        <w:t>ies</w:t>
      </w:r>
      <w:r w:rsidR="000F3C8B" w:rsidRPr="005F44EF">
        <w:rPr>
          <w:rFonts w:ascii="Times New Roman" w:eastAsia="Times New Roman" w:hAnsi="Times New Roman" w:cs="Times New Roman"/>
          <w:color w:val="000000"/>
          <w:sz w:val="24"/>
          <w:szCs w:val="24"/>
        </w:rPr>
        <w:fldChar w:fldCharType="begin" w:fldLock="1"/>
      </w:r>
      <w:r w:rsidR="00F150F6" w:rsidRPr="005F44EF">
        <w:rPr>
          <w:rFonts w:ascii="Times New Roman" w:eastAsia="Times New Roman" w:hAnsi="Times New Roman" w:cs="Times New Roman"/>
          <w:color w:val="000000"/>
          <w:sz w:val="24"/>
          <w:szCs w:val="24"/>
        </w:rPr>
        <w:instrText>ADDIN CSL_CITATION {"citationItems":[{"id":"ITEM-1","itemData":{"DOI":"10.1016/j.jhevol.2012.01.011","ISBN":"1095-8606 (Electronic)\\n0047-2484 (Linking)","ISSN":"00472484","PMID":"22513381","abstract":"We synthesize African paleoclimate from 150 to 30 ka (thousand years ago) using 85 diverse datasets at a regional scale, testing for coherence with North Atlantic glacial/interglacial phases and northern and southern hemisphere insolation cycles. Two major determinants of circum-African climate variability over this time period are supported by principal components analysis: North Atlantic sea surface temperature (SST) variations and local insolation maxima. North Atlantic SSTs correlated with the variability found in most circum-African SST records, whereas the variability of the majority of terrestrial temperature and precipitation records is explained by local insolation maxima, particularly at times when solar radiation was intense and highly variable (e.g., 150-75 ka). We demonstrate that climates varied with latitude, such that periods of relatively increased aridity or humidity were asynchronous across the northern, eastern, tropical and southern portions of Africa. Comparisons of the archaeological, fossil, or genetic records with generalized patterns of environmental change based solely on northern hemisphere glacial/interglacial cycles are therefore imprecise.We compare our refined climatic framework to a database of 64 radiometrically-dated paleoanthropological sites to test hypotheses of demographic response to climatic change among African hominin populations during the 150-30 ka interval. We argue that at a continental scale, population and climate changes were asynchronous and likely occurred under different regimes of climate forcing, creating alternating opportunities for migration into adjacent regions. Our results suggest little relation between large scale demographic and climate change in southern Africa during this time span, but strongly support the hypothesis of hominin occupation of the Sahara during discrete humid intervals ~135-115 ka and 105-75 ka. Hominin populations in equatorial and eastern Africa may have been buffered from the extremes of climate change by locally steep altitudinal and rainfall gradients and the complex and variable effects of increased aridity on human habitat suitability in the tropics. Our data are consistent with hominin migrations out of Africa through varying exit points from ~140-80 ka. © 2012 Elsevier Ltd.","author":[{"dropping-particle":"","family":"Blome","given":"Margaret Whiting","non-dropping-particle":"","parse-names":false,"suffix":""},{"dropping-particle":"","family":"Cohen","given":"Andrew S.","non-dropping-particle":"","parse-names":false,"suffix":""},{"dropping-particle":"","family":"Tryon","given":"Christian A.","non-dropping-particle":"","parse-names":false,"suffix":""},{"dropping-particle":"","family":"Brooks","given":"Alison S.","non-dropping-particle":"","parse-names":false,"suffix":""},{"dropping-particle":"","family":"Russell","given":"Joellen","non-dropping-particle":"","parse-names":false,"suffix":""}],"container-title":"Journal of Human Evolution","id":"ITEM-1","issue":"5","issued":{"date-parts":[["2012"]]},"page":"563-592","publisher":"Elsevier Ltd","title":"The environmental context for the origins of modern human diversity: A synthesis of regional variability in African climate 150,000-30,000 years ago","type":"article-journal","volume":"62"},"uris":["http://www.mendeley.com/documents/?uuid=97e90520-f3a3-4c15-acf9-12acdef5d777"]},{"id":"ITEM-2","itemData":{"DOI":"10.1007/978-94-017-7520-5","ISBN":"9789401775205","author":[{"dropping-particle":"","family":"Taylor","given":"Nicholas","non-dropping-particle":"","parse-names":false,"suffix":""}],"container-title":"Africa from MIS 6-2: Population Dynamics and Paleoenvironments","edition":"Springer S","editor":[{"dropping-particle":"","family":"Jones","given":"Sacha C.","non-dropping-particle":"","parse-names":false,"suffix":""},{"dropping-particle":"","family":"Stewart","given":"Brian A.","non-dropping-particle":"","parse-names":false,"suffix":""}],"id":"ITEM-2","issue":"March 2016","issued":{"date-parts":[["2016"]]},"page":"273-299","title":"Across Rainforests and Woodlands: a systematic re-appraisal of the Lupemban Middle Stone Age in central Africa","type":"chapter"},"uris":["http://www.mendeley.com/documents/?uuid=d367aa07-fb64-4fe0-b634-7ea032787d81"]},{"id":"ITEM-3","itemData":{"DOI":"10.1073/PNAS.2018277118/-/DCSUPPLEMENTAL","ISSN":"10916490","PMID":"34074756","abstract":"In this study, we synthesize terrestrial and marine proxy records, spanning the past 620 ky, to decipher pan-African climate variability and its drivers and potential linkages to hominin evolution. We find a tight correlation between moisture availability across Africa to El Niño Southern Ocean oscillation (ENSO) variability, a manifestation of the Walker Circulation, that was most likely driven by changes in Earth's eccentricity. Our results demonstrate that low-latitude insolation was a prominent driver of pan-African climate change during the Middle to Late Pleistocene. We argue that these low-latitude climate processes governed the dispersion and evolution of vegetation as well as mammals in eastern and western Africa by increasing resource-rich and stable ecotonal settings thought to have been important to early modern humans.","author":[{"dropping-particle":"","family":"Kaboth-Bahr","given":"Stefanie","non-dropping-particle":"","parse-names":false,"suffix":""},{"dropping-particle":"","family":"Gosling","given":"William D.","non-dropping-particle":"","parse-names":false,"suffix":""},{"dropping-particle":"","family":"Vogelsang","given":"Ralf","non-dropping-particle":"","parse-names":false,"suffix":""},{"dropping-particle":"","family":"Bahr","given":"André","non-dropping-particle":"","parse-names":false,"suffix":""},{"dropping-particle":"","family":"Scerri","given":"Eleanor M.L.","non-dropping-particle":"","parse-names":false,"suffix":""},{"dropping-particle":"","family":"Asrat","given":"Asfawossen","non-dropping-particle":"","parse-names":false,"suffix":""},{"dropping-particle":"","family":"Cohen","given":"Andrew S.","non-dropping-particle":"","parse-names":false,"suffix":""},{"dropping-particle":"","family":"Düsing","given":"Walter","non-dropping-particle":"","parse-names":false,"suffix":""},{"dropping-particle":"","family":"Foerster","given":"Verena","non-dropping-particle":"","parse-names":false,"suffix":""},{"dropping-particle":"","family":"Lamb","given":"Henry F.","non-dropping-particle":"","parse-names":false,"suffix":""},{"dropping-particle":"","family":"Maslin","given":"Mark A.","non-dropping-particle":"","parse-names":false,"suffix":""},{"dropping-particle":"","family":"Roberts","given":"Helen M.","non-dropping-particle":"","parse-names":false,"suffix":""},{"dropping-particle":"","family":"Schäbitz","given":"Frank","non-dropping-particle":"","parse-names":false,"suffix":""},{"dropping-particle":"","family":"Trauth","given":"Martin H.","non-dropping-particle":"","parse-names":false,"suffix":""}],"container-title":"Proceedings of the National Academy of Sciences of the United States of America","id":"ITEM-3","issue":"23","issued":{"date-parts":[["2021","6","8"]]},"publisher":"National Academy of Sciences","title":"Paleo-ENSO influence on African environments and early modern humans","type":"article-journal","volume":"118"},"uris":["http://www.mendeley.com/documents/?uuid=e049cd05-97df-32cc-be6e-b12dbe94540e"]}],"mendeley":{"formattedCitation":"&lt;sup&gt;29–31&lt;/sup&gt;","plainTextFormattedCitation":"29–31","previouslyFormattedCitation":"&lt;sup&gt;29–31&lt;/sup&gt;"},"properties":{"noteIndex":0},"schema":"https://github.com/citation-style-language/schema/raw/master/csl-citation.json"}</w:instrText>
      </w:r>
      <w:r w:rsidR="000F3C8B" w:rsidRPr="005F44EF">
        <w:rPr>
          <w:rFonts w:ascii="Times New Roman" w:eastAsia="Times New Roman" w:hAnsi="Times New Roman" w:cs="Times New Roman"/>
          <w:color w:val="000000"/>
          <w:sz w:val="24"/>
          <w:szCs w:val="24"/>
        </w:rPr>
        <w:fldChar w:fldCharType="separate"/>
      </w:r>
      <w:r w:rsidR="00F150F6" w:rsidRPr="005F44EF">
        <w:rPr>
          <w:rFonts w:ascii="Times New Roman" w:eastAsia="Times New Roman" w:hAnsi="Times New Roman" w:cs="Times New Roman"/>
          <w:noProof/>
          <w:color w:val="000000"/>
          <w:sz w:val="24"/>
          <w:szCs w:val="24"/>
          <w:vertAlign w:val="superscript"/>
        </w:rPr>
        <w:t>29–31</w:t>
      </w:r>
      <w:r w:rsidR="000F3C8B" w:rsidRPr="005F44EF">
        <w:rPr>
          <w:rFonts w:ascii="Times New Roman" w:eastAsia="Times New Roman" w:hAnsi="Times New Roman" w:cs="Times New Roman"/>
          <w:color w:val="000000"/>
          <w:sz w:val="24"/>
          <w:szCs w:val="24"/>
        </w:rPr>
        <w:fldChar w:fldCharType="end"/>
      </w:r>
      <w:r w:rsidRPr="005F44EF">
        <w:rPr>
          <w:rFonts w:ascii="Times New Roman" w:eastAsia="Times New Roman" w:hAnsi="Times New Roman" w:cs="Times New Roman"/>
          <w:color w:val="000000"/>
          <w:sz w:val="24"/>
          <w:szCs w:val="24"/>
        </w:rPr>
        <w:t xml:space="preserve">. </w:t>
      </w:r>
      <w:r w:rsidRPr="005F44EF">
        <w:rPr>
          <w:rFonts w:ascii="Times New Roman" w:eastAsia="Times New Roman" w:hAnsi="Times New Roman" w:cs="Times New Roman"/>
          <w:sz w:val="24"/>
          <w:szCs w:val="24"/>
        </w:rPr>
        <w:t>Nevertheless, a</w:t>
      </w:r>
      <w:r w:rsidRPr="005F44EF">
        <w:rPr>
          <w:rFonts w:ascii="Times New Roman" w:eastAsia="Times New Roman" w:hAnsi="Times New Roman" w:cs="Times New Roman"/>
          <w:color w:val="000000"/>
          <w:sz w:val="24"/>
          <w:szCs w:val="24"/>
        </w:rPr>
        <w:t>n array of diverse MSA assemblages featuring large cutting tools (LCTs) have been found across Equatorial Africa, and argued to relate to the presence of dense forests in this region</w:t>
      </w:r>
      <w:r w:rsidR="000F3C8B" w:rsidRPr="005F44EF">
        <w:rPr>
          <w:rFonts w:ascii="Times New Roman" w:eastAsia="Times New Roman" w:hAnsi="Times New Roman" w:cs="Times New Roman"/>
          <w:color w:val="000000"/>
          <w:sz w:val="24"/>
          <w:szCs w:val="24"/>
        </w:rPr>
        <w:fldChar w:fldCharType="begin" w:fldLock="1"/>
      </w:r>
      <w:r w:rsidR="00D1111E" w:rsidRPr="005F44EF">
        <w:rPr>
          <w:rFonts w:ascii="Times New Roman" w:eastAsia="Times New Roman" w:hAnsi="Times New Roman" w:cs="Times New Roman"/>
          <w:color w:val="000000"/>
          <w:sz w:val="24"/>
          <w:szCs w:val="24"/>
        </w:rPr>
        <w:instrText>ADDIN CSL_CITATION {"citationItems":[{"id":"ITEM-1","itemData":{"DOI":"10.1002/EVAN.10022","ISSN":"1520-6505","abstract":"Conventionally, the African continent has been partitioned in two evolutionary domains. One of them, the rainforest, is home to apes and covers central and West Africa. The other one extends through the woodlands and savannas of East and Southern Africa and has been traditionally perceived as home to humanity. The morphology of early humans is well-adapted to open environments. In addition, food procurement in savannas is known to be easier and more reliable than Is provisioning in the rainforest, with its dispersed and cryptic faunal resources and fickle carbohydrates and fat. In the late 1980s, human ecologists and socio-cultural anthropologists demonstrated that full-fledged foraging without some agricultural support has been virtually undocumented in tropical forests today or in the recent past.2 This research portrayed the present-day rainforest ecosystem as an unfriendly environment that is unable to support purely foraging groups, and questioned whether hominids ever lived in it.2.","author":[{"dropping-particle":"","family":"Mercader","given":"Julio","non-dropping-particle":"","parse-names":false,"suffix":""}],"container-title":"Evolutionary Anthropology: Issues, News, and Reviews","id":"ITEM-1","issue":"3","issued":{"date-parts":[["2002","1","1"]]},"page":"117-124","publisher":"John Wiley &amp; Sons, Ltd","title":"Forest people: The role of African rainforests in human evolution and dispersal","type":"article-journal","volume":"11"},"uris":["http://www.mendeley.com/documents/?uuid=180a3fec-4de8-3a11-a903-868c42e51e3e"]}],"mendeley":{"formattedCitation":"&lt;sup&gt;11&lt;/sup&gt;","plainTextFormattedCitation":"11","previouslyFormattedCitation":"&lt;sup&gt;11&lt;/sup&gt;"},"properties":{"noteIndex":0},"schema":"https://github.com/citation-style-language/schema/raw/master/csl-citation.json"}</w:instrText>
      </w:r>
      <w:r w:rsidR="000F3C8B" w:rsidRPr="005F44EF">
        <w:rPr>
          <w:rFonts w:ascii="Times New Roman" w:eastAsia="Times New Roman" w:hAnsi="Times New Roman" w:cs="Times New Roman"/>
          <w:color w:val="000000"/>
          <w:sz w:val="24"/>
          <w:szCs w:val="24"/>
        </w:rPr>
        <w:fldChar w:fldCharType="separate"/>
      </w:r>
      <w:r w:rsidR="000F3C8B" w:rsidRPr="005F44EF">
        <w:rPr>
          <w:rFonts w:ascii="Times New Roman" w:eastAsia="Times New Roman" w:hAnsi="Times New Roman" w:cs="Times New Roman"/>
          <w:noProof/>
          <w:color w:val="000000"/>
          <w:sz w:val="24"/>
          <w:szCs w:val="24"/>
          <w:vertAlign w:val="superscript"/>
        </w:rPr>
        <w:t>11</w:t>
      </w:r>
      <w:r w:rsidR="000F3C8B" w:rsidRPr="005F44EF">
        <w:rPr>
          <w:rFonts w:ascii="Times New Roman" w:eastAsia="Times New Roman" w:hAnsi="Times New Roman" w:cs="Times New Roman"/>
          <w:color w:val="000000"/>
          <w:sz w:val="24"/>
          <w:szCs w:val="24"/>
        </w:rPr>
        <w:fldChar w:fldCharType="end"/>
      </w:r>
      <w:r w:rsidRPr="005F44EF">
        <w:rPr>
          <w:rFonts w:ascii="Times New Roman" w:eastAsia="Times New Roman" w:hAnsi="Times New Roman" w:cs="Times New Roman"/>
          <w:color w:val="000000"/>
          <w:sz w:val="24"/>
          <w:szCs w:val="24"/>
        </w:rPr>
        <w:t xml:space="preserve">. </w:t>
      </w:r>
    </w:p>
    <w:p w14:paraId="53C99146" w14:textId="08B92057" w:rsidR="00BB7AA9" w:rsidRPr="005F44EF" w:rsidRDefault="00B9564D" w:rsidP="00D23247">
      <w:pPr>
        <w:pStyle w:val="Heading2"/>
        <w:rPr>
          <w:rFonts w:cs="Times New Roman"/>
        </w:rPr>
      </w:pPr>
      <w:bookmarkStart w:id="2" w:name="_Toc178429921"/>
      <w:r w:rsidRPr="005F44EF">
        <w:rPr>
          <w:rFonts w:cs="Times New Roman"/>
        </w:rPr>
        <w:lastRenderedPageBreak/>
        <w:t xml:space="preserve">1.2 Pleistocene </w:t>
      </w:r>
      <w:r w:rsidR="0036548B">
        <w:rPr>
          <w:rFonts w:cs="Times New Roman"/>
        </w:rPr>
        <w:t>s</w:t>
      </w:r>
      <w:r w:rsidRPr="005F44EF">
        <w:rPr>
          <w:rFonts w:cs="Times New Roman"/>
        </w:rPr>
        <w:t xml:space="preserve">tone </w:t>
      </w:r>
      <w:r w:rsidR="0036548B">
        <w:rPr>
          <w:rFonts w:cs="Times New Roman"/>
        </w:rPr>
        <w:t>t</w:t>
      </w:r>
      <w:r w:rsidRPr="005F44EF">
        <w:rPr>
          <w:rFonts w:cs="Times New Roman"/>
        </w:rPr>
        <w:t xml:space="preserve">ool </w:t>
      </w:r>
      <w:r w:rsidR="0036548B">
        <w:rPr>
          <w:rFonts w:cs="Times New Roman"/>
        </w:rPr>
        <w:t>a</w:t>
      </w:r>
      <w:r w:rsidRPr="005F44EF">
        <w:rPr>
          <w:rFonts w:cs="Times New Roman"/>
        </w:rPr>
        <w:t>ssemblages from African tropical forests</w:t>
      </w:r>
      <w:bookmarkEnd w:id="2"/>
    </w:p>
    <w:p w14:paraId="76D6FDD2" w14:textId="77777777" w:rsidR="00BB7AA9" w:rsidRPr="005F44EF" w:rsidRDefault="00BB7AA9">
      <w:pPr>
        <w:spacing w:after="0" w:line="276" w:lineRule="auto"/>
        <w:jc w:val="both"/>
        <w:rPr>
          <w:rFonts w:ascii="Times New Roman" w:eastAsia="Times New Roman" w:hAnsi="Times New Roman" w:cs="Times New Roman"/>
          <w:sz w:val="24"/>
          <w:szCs w:val="24"/>
        </w:rPr>
      </w:pPr>
    </w:p>
    <w:p w14:paraId="42372BED" w14:textId="4F2B7B3A" w:rsidR="002B5A84" w:rsidRPr="005F44EF" w:rsidRDefault="002B5A84" w:rsidP="002B5A84">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Discussions on Pleistocene stone tool assemblages from African tropical forests have often centred on two stone tool industries, the so-called Sangoan and </w:t>
      </w:r>
      <w:proofErr w:type="spellStart"/>
      <w:r w:rsidRPr="005F44EF">
        <w:rPr>
          <w:rFonts w:ascii="Times New Roman" w:eastAsia="Times New Roman" w:hAnsi="Times New Roman" w:cs="Times New Roman"/>
          <w:sz w:val="24"/>
          <w:szCs w:val="24"/>
        </w:rPr>
        <w:t>Lupemban</w:t>
      </w:r>
      <w:proofErr w:type="spellEnd"/>
      <w:r w:rsidRPr="005F44EF">
        <w:rPr>
          <w:rFonts w:ascii="Times New Roman" w:eastAsia="Times New Roman" w:hAnsi="Times New Roman" w:cs="Times New Roman"/>
          <w:sz w:val="24"/>
          <w:szCs w:val="24"/>
        </w:rPr>
        <w:t xml:space="preserve"> technocomplexes, thought to represent an adaptation to closed woodland environments due to their distribution and large cutting tool component</w:t>
      </w:r>
      <w:r w:rsidRPr="005F44EF">
        <w:rPr>
          <w:rFonts w:ascii="Times New Roman" w:eastAsia="Times New Roman" w:hAnsi="Times New Roman" w:cs="Times New Roman"/>
          <w:sz w:val="24"/>
          <w:szCs w:val="24"/>
        </w:rPr>
        <w:fldChar w:fldCharType="begin" w:fldLock="1"/>
      </w:r>
      <w:r w:rsidRPr="005F44EF">
        <w:rPr>
          <w:rFonts w:ascii="Times New Roman" w:eastAsia="Times New Roman" w:hAnsi="Times New Roman" w:cs="Times New Roman"/>
          <w:sz w:val="24"/>
          <w:szCs w:val="24"/>
        </w:rPr>
        <w:instrText>ADDIN CSL_CITATION {"citationItems":[{"id":"ITEM-1","itemData":{"author":[{"dropping-particle":"","family":"Clark","given":"J.D.","non-dropping-particle":"","parse-names":false,"suffix":""}],"edition":"London: Pe","id":"ITEM-1","issued":{"date-parts":[["1959"]]},"title":"The prehistory of southern Africa","type":"book"},"uris":["http://www.mendeley.com/documents/?uuid=94ebd9b7-6015-4787-872e-154458602994"]},{"id":"ITEM-2","itemData":{"DOI":"10.1080/00438243.1988.9980048","ISSN":"14701375","abstract":"Sangoan artifacts have been reported to overlie those of the Acheulian and to underlie those of the Middle Stone Age in a wide region of tropical Africa. Few detailed field studies have been undertaken, however, with the result that this important transition is poorly understood. At the Muguruk site in western Kenya, artifacts of the Ojolla industry (Sangoan‐Lupemban) are overlain by those of the Pundo Makwar Industry (Middle Stone Age). The Ojolla industry contains a heavy duty tool component, finely made lanceolate points, and a light duty component made up bifacially retouched flake tools. Flake production is by radial core reduction. The Pundo Makwar industry is composed primarily of flaking debris from radial core reduction and informal unifacial scrapers made on these flakes. The Muguruk sequence shows a pronounced shift in formal tool retouch techniques between the Sangoan‐Lupemban and the Middle Stone Age, but real continuity in the method of flake production. © 1988 Taylor &amp; Francis Group, LLC.","author":[{"dropping-particle":"","family":"McBrearty","given":"Sally","non-dropping-particle":"","parse-names":false,"suffix":""}],"container-title":"World Archaeology","id":"ITEM-2","issue":"3","issued":{"date-parts":[["1988"]]},"page":"388-420","publisher":"Taylor &amp; Francis Group","title":"The Sangoan‐Lupemban and middle stone age sequence at the Muguruk site, western Kenya","type":"article-journal","volume":"19"},"uris":["http://www.mendeley.com/documents/?uuid=6a72fb98-dc5c-3459-9b27-5226305c0789"]}],"mendeley":{"formattedCitation":"&lt;sup&gt;32,33&lt;/sup&gt;","plainTextFormattedCitation":"32,33","previouslyFormattedCitation":"&lt;sup&gt;32,33&lt;/sup&gt;"},"properties":{"noteIndex":0},"schema":"https://github.com/citation-style-language/schema/raw/master/csl-citation.json"}</w:instrText>
      </w:r>
      <w:r w:rsidRPr="005F44EF">
        <w:rPr>
          <w:rFonts w:ascii="Times New Roman" w:eastAsia="Times New Roman" w:hAnsi="Times New Roman" w:cs="Times New Roman"/>
          <w:sz w:val="24"/>
          <w:szCs w:val="24"/>
        </w:rPr>
        <w:fldChar w:fldCharType="separate"/>
      </w:r>
      <w:r w:rsidRPr="005F44EF">
        <w:rPr>
          <w:rFonts w:ascii="Times New Roman" w:eastAsia="Times New Roman" w:hAnsi="Times New Roman" w:cs="Times New Roman"/>
          <w:noProof/>
          <w:sz w:val="24"/>
          <w:szCs w:val="24"/>
          <w:vertAlign w:val="superscript"/>
        </w:rPr>
        <w:t>32,33</w:t>
      </w:r>
      <w:r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The Sangoan, first described from surface collections at the type site of Sango Bay in Uganda</w:t>
      </w:r>
      <w:r w:rsidRPr="005F44EF">
        <w:rPr>
          <w:rFonts w:ascii="Times New Roman" w:eastAsia="Times New Roman" w:hAnsi="Times New Roman" w:cs="Times New Roman"/>
          <w:sz w:val="24"/>
          <w:szCs w:val="24"/>
        </w:rPr>
        <w:fldChar w:fldCharType="begin" w:fldLock="1"/>
      </w:r>
      <w:r w:rsidRPr="005F44EF">
        <w:rPr>
          <w:rFonts w:ascii="Times New Roman" w:eastAsia="Times New Roman" w:hAnsi="Times New Roman" w:cs="Times New Roman"/>
          <w:sz w:val="24"/>
          <w:szCs w:val="24"/>
        </w:rPr>
        <w:instrText>ADDIN CSL_CITATION {"citationItems":[{"id":"ITEM-1","itemData":{"author":[{"dropping-particle":"","family":"Wayland","given":"E. J.","non-dropping-particle":"","parse-names":false,"suffix":""},{"dropping-particle":"","family":"Smith","given":"R.","non-dropping-particle":"","parse-names":false,"suffix":""}],"container-title":"Geological Survey of Uganda Occasional Paper","id":"ITEM-1","issued":{"date-parts":[["1923"]]},"title":"Some primitive stone tools from Uganda.","type":"article-journal","volume":"1"},"uris":["http://www.mendeley.com/documents/?uuid=dbe23f3d-db72-4942-a47e-f05e1d5f440a"]},{"id":"ITEM-2","itemData":{"DOI":"10.4324/9781315748283/WEST-AFRICA-EUROPEANS-DAVIES","ISBN":"9781317605324","abstract":"This book covers the whole range of West African archaeology to the arrival of the Portugese on the Guinea coast. Parts of this territory are very ill-explored, and emphasis is accordingly laid on the better-known regions: Ghana, Nigeria, the middle Niger valley and Western Senegal. After introducing the geographical background and chronology, subsequent chapters deal with the Palaeolithic, Neolithic and early iron ages, ending with a brief account ofthe protohistoric period. Published in 1967. Includes map and topographical index.","author":[{"dropping-particle":"","family":"Davies","given":"Oliver","non-dropping-particle":"","parse-names":false,"suffix":""}],"container-title":"West Africa before the Europeans: Archaeology and Prehistory","id":"ITEM-2","issued":{"date-parts":[["1967","1","1"]]},"page":"1-367","publisher":"Taylor and Francis","title":"West Africa before the europeans: Archaeology &amp; prehistory","type":"article-journal","volume":"19"},"uris":["http://www.mendeley.com/documents/?uuid=b06e426b-69ec-38ce-ba7b-3eeae01d80e2"]}],"mendeley":{"formattedCitation":"&lt;sup&gt;34,35&lt;/sup&gt;","plainTextFormattedCitation":"34,35","previouslyFormattedCitation":"&lt;sup&gt;34,35&lt;/sup&gt;"},"properties":{"noteIndex":0},"schema":"https://github.com/citation-style-language/schema/raw/master/csl-citation.json"}</w:instrText>
      </w:r>
      <w:r w:rsidRPr="005F44EF">
        <w:rPr>
          <w:rFonts w:ascii="Times New Roman" w:eastAsia="Times New Roman" w:hAnsi="Times New Roman" w:cs="Times New Roman"/>
          <w:sz w:val="24"/>
          <w:szCs w:val="24"/>
        </w:rPr>
        <w:fldChar w:fldCharType="separate"/>
      </w:r>
      <w:r w:rsidRPr="005F44EF">
        <w:rPr>
          <w:rFonts w:ascii="Times New Roman" w:eastAsia="Times New Roman" w:hAnsi="Times New Roman" w:cs="Times New Roman"/>
          <w:noProof/>
          <w:sz w:val="24"/>
          <w:szCs w:val="24"/>
          <w:vertAlign w:val="superscript"/>
        </w:rPr>
        <w:t>34,35</w:t>
      </w:r>
      <w:r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refers to stone tool industries that </w:t>
      </w:r>
      <w:bookmarkStart w:id="3" w:name="_Hlk158980506"/>
      <w:r w:rsidRPr="005F44EF">
        <w:rPr>
          <w:rFonts w:ascii="Times New Roman" w:eastAsia="Times New Roman" w:hAnsi="Times New Roman" w:cs="Times New Roman"/>
          <w:sz w:val="24"/>
          <w:szCs w:val="24"/>
        </w:rPr>
        <w:t>occur at the interface of t</w:t>
      </w:r>
      <w:bookmarkEnd w:id="3"/>
      <w:r w:rsidRPr="005F44EF">
        <w:rPr>
          <w:rFonts w:ascii="Times New Roman" w:eastAsia="Times New Roman" w:hAnsi="Times New Roman" w:cs="Times New Roman"/>
          <w:sz w:val="24"/>
          <w:szCs w:val="24"/>
        </w:rPr>
        <w:t>he Earlier Stone Age (ESA) to MSA in sub-Saharan Africa. Assemblages attributed to the Sangoan have been variously described as late Acheulian adaptations, transitional between the Acheulean and the MSA, or as belonging to the early MSA. They are generally characterised as featuring ‘rugged’ or ‘heavy-duty’ core tools, dominated by thick bifaces, picks, choppers, and core scrapers, referred to collectively as large cutting tools (LCTs). Sangoan assemblages are typically thought to date to the later Middle Pleistocene</w:t>
      </w:r>
      <w:r w:rsidRPr="005F44EF">
        <w:rPr>
          <w:rFonts w:ascii="Times New Roman" w:eastAsia="Times New Roman" w:hAnsi="Times New Roman" w:cs="Times New Roman"/>
          <w:sz w:val="24"/>
          <w:szCs w:val="24"/>
        </w:rPr>
        <w:fldChar w:fldCharType="begin" w:fldLock="1"/>
      </w:r>
      <w:r w:rsidRPr="005F44EF">
        <w:rPr>
          <w:rFonts w:ascii="Times New Roman" w:eastAsia="Times New Roman" w:hAnsi="Times New Roman" w:cs="Times New Roman"/>
          <w:sz w:val="24"/>
          <w:szCs w:val="24"/>
        </w:rPr>
        <w:instrText>ADDIN CSL_CITATION {"citationItems":[{"id":"ITEM-1","itemData":{"DOI":"10.1098/rstb.2020.0484","ISBN":"0000000248","ISSN":"14712970","PMID":"35249391","abstract":"The Central African Stone Age is very poorly known when compared to the higher-resolution records of East and Southern Africa. Early Stone Age (ESA) archaeology is effectively absent from the rainforest zone, with the early Middle Stone Age (MSA) Lupemban industry representing the earliest sustained archaeological signature. Uranium-series dates of approximately 265 ka BP for the Lupemban at Twin Rivers (Zambia), although queried, suggest a precocious late Middle Pleistocene dispersal of early Homo sapiens into the equatorial rainforest belt. Lupemban palaeohabitat interactions and attendant behavioural and technological repertoires are key to its evolutionary significance, but investigation is hampered by the widespread vertical disturbance of stratigraphic profiles and the formation of 'stone-lines'. The Lupemban takes in a range of implement types and technologies, including core-axes, prepared core technology (PCT) points, blades and backed blades. But it is the elongated bifacial lanceolate point - some exquisitely made and many exceeding 30 cm in length - that defines the industry. Remarkably, unequivocal examples of these iconic artefacts have never been the focus of detailed techno-typological scrutiny. In this paper, I advance understanding of the Lupemban by initiating a re-consideration of lanceolate points at Kalambo Falls, Zambia, and discuss their implications for the Lupemban's evolutionary significance. This article is part of the theme issue 'Tropical forests in the deep human past'.","author":[{"dropping-particle":"","family":"Taylor","given":"Nicholas","non-dropping-particle":"","parse-names":false,"suffix":""}],"container-title":"Philosophical Transactions of the Royal Society B: Biological Sciences","id":"ITEM-1","issue":"1849","issued":{"date-parts":[["2022"]]},"title":"Riddles wrapped inside an enigma. Lupemban MSA technology as a rainforest adaptation: Revisiting the lanceolate point","type":"article-journal","volume":"377"},"uris":["http://www.mendeley.com/documents/?uuid=508fbbd9-216b-4613-94d8-a3baaa8416db"]}],"mendeley":{"formattedCitation":"&lt;sup&gt;36&lt;/sup&gt;","plainTextFormattedCitation":"36","previouslyFormattedCitation":"&lt;sup&gt;36&lt;/sup&gt;"},"properties":{"noteIndex":0},"schema":"https://github.com/citation-style-language/schema/raw/master/csl-citation.json"}</w:instrText>
      </w:r>
      <w:r w:rsidRPr="005F44EF">
        <w:rPr>
          <w:rFonts w:ascii="Times New Roman" w:eastAsia="Times New Roman" w:hAnsi="Times New Roman" w:cs="Times New Roman"/>
          <w:sz w:val="24"/>
          <w:szCs w:val="24"/>
        </w:rPr>
        <w:fldChar w:fldCharType="separate"/>
      </w:r>
      <w:r w:rsidRPr="005F44EF">
        <w:rPr>
          <w:rFonts w:ascii="Times New Roman" w:eastAsia="Times New Roman" w:hAnsi="Times New Roman" w:cs="Times New Roman"/>
          <w:noProof/>
          <w:sz w:val="24"/>
          <w:szCs w:val="24"/>
          <w:vertAlign w:val="superscript"/>
        </w:rPr>
        <w:t>36</w:t>
      </w:r>
      <w:r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though such ‘rugged’ or ‘heavy duty’ tools remain a persistent feature in some regions, such as Central Africa, throughout the Upper Pleistocene</w:t>
      </w:r>
      <w:r w:rsidRPr="005F44EF">
        <w:rPr>
          <w:rFonts w:ascii="Times New Roman" w:eastAsia="Times New Roman" w:hAnsi="Times New Roman" w:cs="Times New Roman"/>
          <w:sz w:val="24"/>
          <w:szCs w:val="24"/>
        </w:rPr>
        <w:fldChar w:fldCharType="begin" w:fldLock="1"/>
      </w:r>
      <w:r w:rsidRPr="005F44EF">
        <w:rPr>
          <w:rFonts w:ascii="Times New Roman" w:eastAsia="Times New Roman" w:hAnsi="Times New Roman" w:cs="Times New Roman"/>
          <w:sz w:val="24"/>
          <w:szCs w:val="24"/>
        </w:rPr>
        <w:instrText>ADDIN CSL_CITATION {"citationItems":[{"id":"ITEM-1","itemData":{"DOI":"10.1016/j.quascirev.2023.108390","ISSN":"02773791","abstract":"Central Africa is a key region for examining patterns of hunter-gatherer inhabitation and engagement with ecological diversity and environmental change. In contrast to adjacent regions, however, the archaeological record of prehistoric hunter-gatherer populations in Central Africa is underrepresented in studies of recent human evolution. This limited engagement with Central African archaeological records in part stems from the complexities of identifying, excavating, and dating hunter-gatherer sites in what are today often heavily forested environments, a focus on named stone tool industries from undated sites to structure the record, and highly limited means to associate dated hunter-gatherer occupations with proxy records of environmental conditions. Here, we present a novel synthesis of prehistoric hunter-gatherer stone tool assemblages from dated Central African sites and use climate model datasets to illuminate the environmental and ecological landscapes in which they were deployed. Our results suggest a significant ecological shift occurred from 14,000 years ago onwards, associated with a greater engagement with broadleaf forests. We examine the extent to which a range of geographic and paleoclimatic drivers can explain patterns of gross assemblage composition and the appearance of individual lithic technologies highlighting the significant role of changes in altitude, precipitation, seasonality, and ecology. Notably, considerable continuity can be observed between the habitat ranges of contemporary hunter-gatherer populations in Central Africa and prehistoric occupations that significantly precede the appearance of farming lifeways in the region.","author":[{"dropping-particle":"","family":"Padilla-Iglesias","given":"Cecilia","non-dropping-particle":"","parse-names":false,"suffix":""},{"dropping-particle":"","family":"Grove","given":"Matt","non-dropping-particle":"","parse-names":false,"suffix":""},{"dropping-particle":"","family":"Blinkhorn","given":"James","non-dropping-particle":"","parse-names":false,"suffix":""}],"container-title":"Quaternary Science Reviews","id":"ITEM-1","issue":"November","issued":{"date-parts":[["2023"]]},"page":"108390","publisher":"Elsevier Ltd","title":"Ecological drivers of hunter-gatherer lithic technology from the Middle and Later Stone Age in Central Africa","type":"article-journal","volume":"322"},"uris":["http://www.mendeley.com/documents/?uuid=e96000fb-8240-4c3d-ad74-96702b90b21e"]}],"mendeley":{"formattedCitation":"&lt;sup&gt;37&lt;/sup&gt;","plainTextFormattedCitation":"37","previouslyFormattedCitation":"&lt;sup&gt;37&lt;/sup&gt;"},"properties":{"noteIndex":0},"schema":"https://github.com/citation-style-language/schema/raw/master/csl-citation.json"}</w:instrText>
      </w:r>
      <w:r w:rsidRPr="005F44EF">
        <w:rPr>
          <w:rFonts w:ascii="Times New Roman" w:eastAsia="Times New Roman" w:hAnsi="Times New Roman" w:cs="Times New Roman"/>
          <w:sz w:val="24"/>
          <w:szCs w:val="24"/>
        </w:rPr>
        <w:fldChar w:fldCharType="separate"/>
      </w:r>
      <w:r w:rsidRPr="005F44EF">
        <w:rPr>
          <w:rFonts w:ascii="Times New Roman" w:eastAsia="Times New Roman" w:hAnsi="Times New Roman" w:cs="Times New Roman"/>
          <w:noProof/>
          <w:sz w:val="24"/>
          <w:szCs w:val="24"/>
          <w:vertAlign w:val="superscript"/>
        </w:rPr>
        <w:t>37</w:t>
      </w:r>
      <w:r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w:t>
      </w:r>
    </w:p>
    <w:p w14:paraId="599D0A33" w14:textId="77777777" w:rsidR="002B5A84" w:rsidRPr="005F44EF" w:rsidRDefault="002B5A84" w:rsidP="002B5A84">
      <w:pPr>
        <w:spacing w:after="0" w:line="276" w:lineRule="auto"/>
        <w:jc w:val="both"/>
        <w:rPr>
          <w:rFonts w:ascii="Times New Roman" w:eastAsia="Times New Roman" w:hAnsi="Times New Roman" w:cs="Times New Roman"/>
          <w:sz w:val="24"/>
          <w:szCs w:val="24"/>
        </w:rPr>
      </w:pPr>
    </w:p>
    <w:p w14:paraId="789D1DF7" w14:textId="6AEC27EF" w:rsidR="002B5A84" w:rsidRPr="005F44EF" w:rsidRDefault="00E0764B" w:rsidP="002B5A84">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Because t</w:t>
      </w:r>
      <w:r w:rsidR="002B5A84" w:rsidRPr="005F44EF">
        <w:rPr>
          <w:rFonts w:ascii="Times New Roman" w:eastAsia="Times New Roman" w:hAnsi="Times New Roman" w:cs="Times New Roman"/>
          <w:sz w:val="24"/>
          <w:szCs w:val="24"/>
        </w:rPr>
        <w:t xml:space="preserve">he Sangoan was originally defined from </w:t>
      </w:r>
      <w:r>
        <w:rPr>
          <w:rFonts w:ascii="Times New Roman" w:eastAsia="Times New Roman" w:hAnsi="Times New Roman" w:cs="Times New Roman"/>
          <w:sz w:val="24"/>
          <w:szCs w:val="24"/>
        </w:rPr>
        <w:t xml:space="preserve">sites </w:t>
      </w:r>
      <w:r w:rsidR="002B5A84" w:rsidRPr="005F44EF">
        <w:rPr>
          <w:rFonts w:ascii="Times New Roman" w:eastAsia="Times New Roman" w:hAnsi="Times New Roman" w:cs="Times New Roman"/>
          <w:sz w:val="24"/>
          <w:szCs w:val="24"/>
        </w:rPr>
        <w:t xml:space="preserve">found within the Victoria Basin and the present-day equatorial forests of Central Africa, </w:t>
      </w:r>
      <w:r>
        <w:rPr>
          <w:rFonts w:ascii="Times New Roman" w:eastAsia="Times New Roman" w:hAnsi="Times New Roman" w:cs="Times New Roman"/>
          <w:sz w:val="24"/>
          <w:szCs w:val="24"/>
        </w:rPr>
        <w:t>th</w:t>
      </w:r>
      <w:r w:rsidR="00802679">
        <w:rPr>
          <w:rFonts w:ascii="Times New Roman" w:eastAsia="Times New Roman" w:hAnsi="Times New Roman" w:cs="Times New Roman"/>
          <w:sz w:val="24"/>
          <w:szCs w:val="24"/>
        </w:rPr>
        <w:t>e</w:t>
      </w:r>
      <w:r>
        <w:rPr>
          <w:rFonts w:ascii="Times New Roman" w:eastAsia="Times New Roman" w:hAnsi="Times New Roman" w:cs="Times New Roman"/>
          <w:sz w:val="24"/>
          <w:szCs w:val="24"/>
        </w:rPr>
        <w:t>re has been a long-standing</w:t>
      </w:r>
      <w:r w:rsidR="00F24010">
        <w:rPr>
          <w:rFonts w:ascii="Times New Roman" w:eastAsia="Times New Roman" w:hAnsi="Times New Roman" w:cs="Times New Roman"/>
          <w:sz w:val="24"/>
          <w:szCs w:val="24"/>
        </w:rPr>
        <w:t xml:space="preserve"> </w:t>
      </w:r>
      <w:r w:rsidR="002B5A84" w:rsidRPr="005F44EF">
        <w:rPr>
          <w:rFonts w:ascii="Times New Roman" w:eastAsia="Times New Roman" w:hAnsi="Times New Roman" w:cs="Times New Roman"/>
          <w:sz w:val="24"/>
          <w:szCs w:val="24"/>
        </w:rPr>
        <w:t xml:space="preserve">perception </w:t>
      </w:r>
      <w:r>
        <w:rPr>
          <w:rFonts w:ascii="Times New Roman" w:eastAsia="Times New Roman" w:hAnsi="Times New Roman" w:cs="Times New Roman"/>
          <w:sz w:val="24"/>
          <w:szCs w:val="24"/>
        </w:rPr>
        <w:t>that is represents</w:t>
      </w:r>
      <w:r w:rsidR="002B5A84" w:rsidRPr="005F44EF">
        <w:rPr>
          <w:rFonts w:ascii="Times New Roman" w:eastAsia="Times New Roman" w:hAnsi="Times New Roman" w:cs="Times New Roman"/>
          <w:sz w:val="24"/>
          <w:szCs w:val="24"/>
        </w:rPr>
        <w:t xml:space="preserve"> a regionally constrained adaptation to woodland environments</w:t>
      </w:r>
      <w:r w:rsidR="002B5A84" w:rsidRPr="005F44EF">
        <w:rPr>
          <w:rFonts w:ascii="Times New Roman" w:eastAsia="Times New Roman" w:hAnsi="Times New Roman" w:cs="Times New Roman"/>
          <w:sz w:val="24"/>
          <w:szCs w:val="24"/>
        </w:rPr>
        <w:fldChar w:fldCharType="begin" w:fldLock="1"/>
      </w:r>
      <w:r w:rsidR="002B5A84" w:rsidRPr="005F44EF">
        <w:rPr>
          <w:rFonts w:ascii="Times New Roman" w:eastAsia="Times New Roman" w:hAnsi="Times New Roman" w:cs="Times New Roman"/>
          <w:sz w:val="24"/>
          <w:szCs w:val="24"/>
        </w:rPr>
        <w:instrText>ADDIN CSL_CITATION {"citationItems":[{"id":"ITEM-1","itemData":{"author":[{"dropping-particle":"","family":"Clark","given":"J.D.","non-dropping-particle":"","parse-names":false,"suffix":""}],"edition":"London: Pe","id":"ITEM-1","issued":{"date-parts":[["1959"]]},"title":"The prehistory of southern Africa","type":"book"},"uris":["http://www.mendeley.com/documents/?uuid=94ebd9b7-6015-4787-872e-154458602994"]},{"id":"ITEM-2","itemData":{"DOI":"10.1080/00438243.1988.9980048","ISSN":"14701375","abstract":"Sangoan artifacts have been reported to overlie those of the Acheulian and to underlie those of the Middle Stone Age in a wide region of tropical Africa. Few detailed field studies have been undertaken, however, with the result that this important transition is poorly understood. At the Muguruk site in western Kenya, artifacts of the Ojolla industry (Sangoan‐Lupemban) are overlain by those of the Pundo Makwar Industry (Middle Stone Age). The Ojolla industry contains a heavy duty tool component, finely made lanceolate points, and a light duty component made up bifacially retouched flake tools. Flake production is by radial core reduction. The Pundo Makwar industry is composed primarily of flaking debris from radial core reduction and informal unifacial scrapers made on these flakes. The Muguruk sequence shows a pronounced shift in formal tool retouch techniques between the Sangoan‐Lupemban and the Middle Stone Age, but real continuity in the method of flake production. © 1988 Taylor &amp; Francis Group, LLC.","author":[{"dropping-particle":"","family":"McBrearty","given":"Sally","non-dropping-particle":"","parse-names":false,"suffix":""}],"container-title":"World Archaeology","id":"ITEM-2","issue":"3","issued":{"date-parts":[["1988"]]},"page":"388-420","publisher":"Taylor &amp; Francis Group","title":"The Sangoan‐Lupemban and middle stone age sequence at the Muguruk site, western Kenya","type":"article-journal","volume":"19"},"uris":["http://www.mendeley.com/documents/?uuid=6a72fb98-dc5c-3459-9b27-5226305c0789"]},{"id":"ITEM-3","itemData":{"DOI":"10.1006/jhev.2000.0435","ISBN":"0047-2484","ISSN":"0047-2484","PMID":"11102266","abstract":"Proponents of the model known as the \"human revolution\" claim that modern human behaviors arose suddenly, and nearly simultaneously, throughout the Old World ca. 40-50 ka. This fundamental behavioral shift is purported to signal a cognitive advance, a possible reorganization of the brain, and the origin of language. Because the earliest modern human fossils, Homo sapiens sensu stricto, are found in Africa and the adjacent region of the Levant at &gt;100 ka, the \"human revolution\" model creates a time lag between the appearance of anatomical modernity and perceived behavioral modernity, and creates the impression that the earliest modern Africans were behaviorally primitive. This view of events stems from a profound Eurocentric bias and a failure to appreciate the depth and breadth of the African archaeological record. In fact, many of the components of the \"human revolution\" claimed to appear at 40-50 ka are found in the African Middle Stone Age tens of thousands of years earlier. These features include blade and microlithic technology, bone tools, increased geographic range, specialized hunting, the use of aquatic resources, long distance trade, systematic processing and use of pigment, and art and decoration. These items do not occur suddenly together as predicted by the \"human revolution\" model, but at sites that are widely separated in space and time. This suggests a gradual assembling of the package of modern human behaviors in Africa, and its later export to other regions of the Old World. The African Middle and early Late Pleistocene hominid fossil record is fairly continuous and in it can be recognized a number of probably distinct species that provide plausible ancestors for H. sapiens. The appearance of Middle Stone Age technology and the first signs of modern behavior coincide with the appearance of fossils that have been attributed to H. helmei, suggesting the behavior of H. helmei is distinct from that of earlier hominid species and quite similar to that of modern people. If on anatomical and behavioral grounds H. helmei is sunk into H. sapiens, the origin of our species is linked with the appearance of Middle Stone Age technology at 250-300 ka.","author":[{"dropping-particle":"","family":"McBrearty","given":"Sally","non-dropping-particle":"","parse-names":false,"suffix":""},{"dropping-particle":"","family":"Brooks","given":"Alison S.","non-dropping-particle":"","parse-names":false,"suffix":""}],"container-title":"Journal of human evolution","id":"ITEM-3","issue":"5","issued":{"date-parts":[["2000"]]},"page":"453-563","title":"The revolution that wasn't: a new interpretation of the origin of modern human behavior","type":"article-journal","volume":"39"},"uris":["http://www.mendeley.com/documents/?uuid=b30c2df3-9010-46ed-b372-fc233b2c0752"]}],"mendeley":{"formattedCitation":"&lt;sup&gt;32,33,38&lt;/sup&gt;","plainTextFormattedCitation":"32,33,38","previouslyFormattedCitation":"&lt;sup&gt;32,33,38&lt;/sup&gt;"},"properties":{"noteIndex":0},"schema":"https://github.com/citation-style-language/schema/raw/master/csl-citation.json"}</w:instrText>
      </w:r>
      <w:r w:rsidR="002B5A84" w:rsidRPr="005F44EF">
        <w:rPr>
          <w:rFonts w:ascii="Times New Roman" w:eastAsia="Times New Roman" w:hAnsi="Times New Roman" w:cs="Times New Roman"/>
          <w:sz w:val="24"/>
          <w:szCs w:val="24"/>
        </w:rPr>
        <w:fldChar w:fldCharType="separate"/>
      </w:r>
      <w:r w:rsidR="002B5A84" w:rsidRPr="005F44EF">
        <w:rPr>
          <w:rFonts w:ascii="Times New Roman" w:eastAsia="Times New Roman" w:hAnsi="Times New Roman" w:cs="Times New Roman"/>
          <w:noProof/>
          <w:sz w:val="24"/>
          <w:szCs w:val="24"/>
          <w:vertAlign w:val="superscript"/>
        </w:rPr>
        <w:t>32,33,38</w:t>
      </w:r>
      <w:r w:rsidR="002B5A84" w:rsidRPr="005F44EF">
        <w:rPr>
          <w:rFonts w:ascii="Times New Roman" w:eastAsia="Times New Roman" w:hAnsi="Times New Roman" w:cs="Times New Roman"/>
          <w:sz w:val="24"/>
          <w:szCs w:val="24"/>
        </w:rPr>
        <w:fldChar w:fldCharType="end"/>
      </w:r>
      <w:r w:rsidR="002B5A84" w:rsidRPr="005F44EF">
        <w:rPr>
          <w:rFonts w:ascii="Times New Roman" w:eastAsia="Times New Roman" w:hAnsi="Times New Roman" w:cs="Times New Roman"/>
          <w:sz w:val="24"/>
          <w:szCs w:val="24"/>
        </w:rPr>
        <w:t xml:space="preserve">. However, assemblages with a mosaic of LCTs and MSA-type artefacts </w:t>
      </w:r>
      <w:r>
        <w:rPr>
          <w:rFonts w:ascii="Times New Roman" w:eastAsia="Times New Roman" w:hAnsi="Times New Roman" w:cs="Times New Roman"/>
          <w:sz w:val="24"/>
          <w:szCs w:val="24"/>
        </w:rPr>
        <w:t>from</w:t>
      </w:r>
      <w:r w:rsidRPr="005F44EF">
        <w:rPr>
          <w:rFonts w:ascii="Times New Roman" w:eastAsia="Times New Roman" w:hAnsi="Times New Roman" w:cs="Times New Roman"/>
          <w:sz w:val="24"/>
          <w:szCs w:val="24"/>
        </w:rPr>
        <w:t xml:space="preserve"> </w:t>
      </w:r>
      <w:r w:rsidR="002B5A84" w:rsidRPr="005F44EF">
        <w:rPr>
          <w:rFonts w:ascii="Times New Roman" w:eastAsia="Times New Roman" w:hAnsi="Times New Roman" w:cs="Times New Roman"/>
          <w:sz w:val="24"/>
          <w:szCs w:val="24"/>
        </w:rPr>
        <w:t>western</w:t>
      </w:r>
      <w:r w:rsidR="002B5A84"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uthor":[{"dropping-particle":"","family":"Lioubin","given":"V.P.","non-dropping-particle":"","parse-names":false,"suffix":""},{"dropping-particle":"","family":"Guédé","given":"F.Y.","non-dropping-particle":"","parse-names":false,"suffix":""}],"container-title":"Russian Academy of Sciences, Institute of the History of Material Culture Proceedings, vol. 3","id":"ITEM-1","issued":{"date-parts":[["2000"]]},"publisher-place":"St. Petersburg","title":"Paleolit Respubliki Kot d'Ivvuar (Zapadnaya Afrika) [The Palaeolithic of the Republic of Cote d'Ivoire (West Africa)]","type":"book"},"uris":["http://www.mendeley.com/documents/?uuid=aa04e7e7-917b-48f3-b7ff-044d552e4799"]}],"mendeley":{"formattedCitation":"&lt;sup&gt;39&lt;/sup&gt;","plainTextFormattedCitation":"39","previouslyFormattedCitation":"&lt;sup&gt;39&lt;/sup&gt;"},"properties":{"noteIndex":0},"schema":"https://github.com/citation-style-language/schema/raw/master/csl-citation.json"}</w:instrText>
      </w:r>
      <w:r w:rsidR="002B5A84" w:rsidRPr="005F44EF">
        <w:rPr>
          <w:rFonts w:ascii="Times New Roman" w:eastAsia="Times New Roman" w:hAnsi="Times New Roman" w:cs="Times New Roman"/>
          <w:sz w:val="24"/>
          <w:szCs w:val="24"/>
        </w:rPr>
        <w:fldChar w:fldCharType="separate"/>
      </w:r>
      <w:r w:rsidR="002B5A84" w:rsidRPr="005F44EF">
        <w:rPr>
          <w:rFonts w:ascii="Times New Roman" w:eastAsia="Times New Roman" w:hAnsi="Times New Roman" w:cs="Times New Roman"/>
          <w:noProof/>
          <w:sz w:val="24"/>
          <w:szCs w:val="24"/>
          <w:vertAlign w:val="superscript"/>
        </w:rPr>
        <w:t>39</w:t>
      </w:r>
      <w:r w:rsidR="002B5A84" w:rsidRPr="005F44EF">
        <w:rPr>
          <w:rFonts w:ascii="Times New Roman" w:eastAsia="Times New Roman" w:hAnsi="Times New Roman" w:cs="Times New Roman"/>
          <w:sz w:val="24"/>
          <w:szCs w:val="24"/>
        </w:rPr>
        <w:fldChar w:fldCharType="end"/>
      </w:r>
      <w:r w:rsidR="002B5A84" w:rsidRPr="005F44EF">
        <w:rPr>
          <w:rFonts w:ascii="Times New Roman" w:eastAsia="Times New Roman" w:hAnsi="Times New Roman" w:cs="Times New Roman"/>
          <w:sz w:val="24"/>
          <w:szCs w:val="24"/>
        </w:rPr>
        <w:t xml:space="preserve">, northern </w:t>
      </w:r>
      <w:r w:rsidR="002B5A84" w:rsidRPr="005F44EF">
        <w:rPr>
          <w:rFonts w:ascii="Times New Roman" w:eastAsia="Times New Roman" w:hAnsi="Times New Roman" w:cs="Times New Roman"/>
          <w:sz w:val="24"/>
          <w:szCs w:val="24"/>
        </w:rPr>
        <w:fldChar w:fldCharType="begin" w:fldLock="1"/>
      </w:r>
      <w:r w:rsidR="002B5A84" w:rsidRPr="005F44EF">
        <w:rPr>
          <w:rFonts w:ascii="Times New Roman" w:eastAsia="Times New Roman" w:hAnsi="Times New Roman" w:cs="Times New Roman"/>
          <w:sz w:val="24"/>
          <w:szCs w:val="24"/>
        </w:rPr>
        <w:instrText>ADDIN CSL_CITATION {"citationItems":[{"id":"ITEM-1","itemData":{"DOI":"10.1016/S0047-2484(03)00103-9","ISSN":"00472484","PMID":"14529653","author":[{"dropping-particle":"","family":"Peer","given":"P.","non-dropping-particle":"Van","parse-names":false,"suffix":""},{"dropping-particle":"","family":"Fullagar","given":"R.","non-dropping-particle":"","parse-names":false,"suffix":""},{"dropping-particle":"","family":"Stokes","given":"S.","non-dropping-particle":"","parse-names":false,"suffix":""},{"dropping-particle":"","family":"Bailey","given":"R. M.","non-dropping-particle":"","parse-names":false,"suffix":""},{"dropping-particle":"","family":"Moeyersons","given":"J.","non-dropping-particle":"","parse-names":false,"suffix":""},{"dropping-particle":"","family":"Steenhoudt","given":"F.","non-dropping-particle":"","parse-names":false,"suffix":""},{"dropping-particle":"","family":"Geerts","given":"A.","non-dropping-particle":"","parse-names":false,"suffix":""},{"dropping-particle":"","family":"Vanderbeken","given":"T.","non-dropping-particle":"","parse-names":false,"suffix":""},{"dropping-particle":"","family":"Dapper","given":"M.","non-dropping-particle":"De","parse-names":false,"suffix":""},{"dropping-particle":"","family":"Geus","given":"F.","non-dropping-particle":"","parse-names":false,"suffix":""}],"container-title":"Journal of Human Evolution","id":"ITEM-1","issue":"2","issued":{"date-parts":[["2003"]]},"page":"187-193","publisher":"Academic Press","title":"The Early to Middle Stone Age Transition and the emergence of modern human behaviour at site 8-B-11 Sai Island, Sudan","type":"article-journal","volume":"45"},"uris":["http://www.mendeley.com/documents/?uuid=c81e27d1-b6b6-35ef-8e9d-3fbed4f66e36"]},{"id":"ITEM-2","itemData":{"DOI":"10.1007/978-3-031-20290-2_66","ISBN":"978-3-031-20290-2","abstract":"Sai is an island in the Middle Nile located slightly upstream from the Second Cataract, in the Northern Province of Sudan (20.70 N; 30.33 E). It is well-known for its Pharaonic and Kerma culture archaeological sites. The Middle Stone Age (MSA) site of...","author":[{"dropping-particle":"","family":"Peer","given":"Philip","non-dropping-particle":"Van","parse-names":false,"suffix":""}],"container-title":"Handbook of Pleistocene Archaeology of Africa","id":"ITEM-2","issued":{"date-parts":[["2023"]]},"page":"1013-1025","publisher":"Springer, Cham","title":"Sai Island (Site 8-B-11), Sudan","type":"article-journal"},"uris":["http://www.mendeley.com/documents/?uuid=1388fd6d-6e30-38e4-a3db-73ce12d578f2"]}],"mendeley":{"formattedCitation":"&lt;sup&gt;40,41&lt;/sup&gt;","plainTextFormattedCitation":"40,41","previouslyFormattedCitation":"&lt;sup&gt;40,41&lt;/sup&gt;"},"properties":{"noteIndex":0},"schema":"https://github.com/citation-style-language/schema/raw/master/csl-citation.json"}</w:instrText>
      </w:r>
      <w:r w:rsidR="002B5A84" w:rsidRPr="005F44EF">
        <w:rPr>
          <w:rFonts w:ascii="Times New Roman" w:eastAsia="Times New Roman" w:hAnsi="Times New Roman" w:cs="Times New Roman"/>
          <w:sz w:val="24"/>
          <w:szCs w:val="24"/>
        </w:rPr>
        <w:fldChar w:fldCharType="separate"/>
      </w:r>
      <w:r w:rsidR="002B5A84" w:rsidRPr="005F44EF">
        <w:rPr>
          <w:rFonts w:ascii="Times New Roman" w:eastAsia="Times New Roman" w:hAnsi="Times New Roman" w:cs="Times New Roman"/>
          <w:noProof/>
          <w:sz w:val="24"/>
          <w:szCs w:val="24"/>
          <w:vertAlign w:val="superscript"/>
        </w:rPr>
        <w:t>40,41</w:t>
      </w:r>
      <w:r w:rsidR="002B5A84" w:rsidRPr="005F44EF">
        <w:rPr>
          <w:rFonts w:ascii="Times New Roman" w:eastAsia="Times New Roman" w:hAnsi="Times New Roman" w:cs="Times New Roman"/>
          <w:sz w:val="24"/>
          <w:szCs w:val="24"/>
        </w:rPr>
        <w:fldChar w:fldCharType="end"/>
      </w:r>
      <w:r w:rsidR="002B5A84" w:rsidRPr="005F44EF">
        <w:rPr>
          <w:rFonts w:ascii="Times New Roman" w:eastAsia="Times New Roman" w:hAnsi="Times New Roman" w:cs="Times New Roman"/>
          <w:sz w:val="24"/>
          <w:szCs w:val="24"/>
        </w:rPr>
        <w:t xml:space="preserve"> and southern Africa</w:t>
      </w:r>
      <w:r w:rsidR="002B5A84" w:rsidRPr="005F44EF">
        <w:rPr>
          <w:rFonts w:ascii="Times New Roman" w:eastAsia="Times New Roman" w:hAnsi="Times New Roman" w:cs="Times New Roman"/>
          <w:sz w:val="24"/>
          <w:szCs w:val="24"/>
        </w:rPr>
        <w:fldChar w:fldCharType="begin" w:fldLock="1"/>
      </w:r>
      <w:r w:rsidR="002B5A84" w:rsidRPr="005F44EF">
        <w:rPr>
          <w:rFonts w:ascii="Times New Roman" w:eastAsia="Times New Roman" w:hAnsi="Times New Roman" w:cs="Times New Roman"/>
          <w:sz w:val="24"/>
          <w:szCs w:val="24"/>
        </w:rPr>
        <w:instrText>ADDIN CSL_CITATION {"citationItems":[{"id":"ITEM-1","itemData":{"DOI":"10.4207/PA.2013.ART82","abstract":"This paper summarizes the results of a recent survey of the South African “Wild Coast” in Pondoland, Eastern Cape Province. The purpose of the survey was to locate and to describe coastal caves and rock shelters that may contain Early and Middle Stone Age archaeological deposits for future study. The study is part of a much larger research design to understand three basic and interlinked paleoanthropological questions: When did coastal intertidal foraging develop? How did it develop? What role did coastal intertidal foods have on the evolution and survival of early modern humans? Here, we provide the full results of our multi-disciplinary survey. We describe the archaeology, geology, marine, and terrestrial fauna from four near-coastal rock shelters and one coastal open-air site that we intend to test in the future. We also provide the first direct ages of the coastal red sands that contain in situ Early Stone Age Acheulian and early Middle Stone Age flaked stone tools. These optically stimulated luminescence ages show that humans have inhabited Pondoland for over 300,000 years, predating the currently known origins of the modern human lineage and systematic coastal foraging. We also describe the first dated paleoenvironmental sequences for Pondoland, which suggest a shift from C3 to C4 vegetation during the middle Holocene. Lastly, we provide comprehensive notes on all sites in Supplementary Online Materials to benefit future studies across the region and document an area that has seen very limited archaeological research.","author":[{"dropping-particle":"","family":"Fisher","given":"Erich C.","non-dropping-particle":"","parse-names":false,"suffix":""},{"dropping-particle":"","family":"Albert","given":"Rosa-Maria","non-dropping-particle":"","parse-names":false,"suffix":""},{"dropping-particle":"","family":"Botha","given":"Greg","non-dropping-particle":"","parse-names":false,"suffix":""},{"dropping-particle":"","family":"Cawthra","given":"Hayley C.","non-dropping-particle":"","parse-names":false,"suffix":""},{"dropping-particle":"","family":"Esteban","given":"Irene","non-dropping-particle":"","parse-names":false,"suffix":""},{"dropping-particle":"","family":"Harris","given":"Jacob","non-dropping-particle":"","parse-names":false,"suffix":""},{"dropping-particle":"","family":"Jacobs","given":"Zenobia","non-dropping-particle":"","parse-names":false,"suffix":""},{"dropping-particle":"","family":"Jerardino","given":"Antonieta","non-dropping-particle":"","parse-names":false,"suffix":""},{"dropping-particle":"","family":"Marean","given":"Curtis W.","non-dropping-particle":"","parse-names":false,"suffix":""},{"dropping-particle":"","family":"Neumann","given":"Frank H.","non-dropping-particle":"","parse-names":false,"suffix":""},{"dropping-particle":"","family":"Pargeter","given":"Justin","non-dropping-particle":"","parse-names":false,"suffix":""},{"dropping-particle":"","family":"Poupart","given":"Melanie","non-dropping-particle":"","parse-names":false,"suffix":""},{"dropping-particle":"","family":"Venter","given":"Jan","non-dropping-particle":"","parse-names":false,"suffix":""}],"container-title":"PaleoAnthropology","id":"ITEM-1","issue":"December","issued":{"date-parts":[["2013"]]},"page":"104 - 137","title":"Archaeological Reconnaissance for Middle Stone Age sites along the Pondoland coast, South Africa","type":"article-journal"},"uris":["http://www.mendeley.com/documents/?uuid=98400622-b395-46a5-b12b-56b936b2bb48"]},{"id":"ITEM-2","itemData":{"DOI":"10.1016/J.QUAINT.2004.04.004","ISSN":"1040-6182","abstract":"South of the modern Limpopo River near its confluence with the Shashe, gravels associated with an ancient aggrading terrace of the river attracted Earlier Stone Age (ESA) occupations preserved in the Vhembe-Dongola National Park of South Africa. Artefacts from late ESA occupations were deflated onto substrates of cemented Miocene terrace sediments and sandstone bedrock and today lie buried by fine, non-alluvial sands of Holocene age. Artefacts are eroding from these sands, which cap a 3 km long escarpment forming the northern edge of the remnant terrace. Close to the escarpment, large-scale excavation has exposed an artefact accumulation with parallels to the Sangoan industry (or Charaman in one proposed industrial sequence). Test-pitting of the sand cover across 10 km2 has been conducted along the escarpment and southwards in sediments that overlie both sandstone and calcrete. Buried artefacts are preserved at many locations but the more informative sites occur at deep sediment traps formed by hilly sandstone outcrops (koppies). At one such location, Later and Middle Stone Age artefacts also occur. Analysis of the cultural phases present on this landscape and OSL dating of the deeper deposits is underway to document the Pleistocene and Holocene periods when this semi-arid, drought-prone environment was habitable for Stone Age populations. © 2004 Elsevier Ltd and INQUA. All rights reserved.","author":[{"dropping-particle":"","family":"Kuman","given":"K.","non-dropping-particle":"","parse-names":false,"suffix":""},{"dropping-particle":"","family":"Baron","given":"J. C.","non-dropping-particle":"Le","parse-names":false,"suffix":""},{"dropping-particle":"","family":"Gibbon","given":"R. J.","non-dropping-particle":"","parse-names":false,"suffix":""}],"container-title":"Quaternary International","id":"ITEM-2","issue":"1","issued":{"date-parts":[["2005","1","1"]]},"page":"23-32","publisher":"Pergamon","title":"Earlier stone age archaeology of the Vhembe-Dongola National Park (South Africa) and vicinity","type":"article-journal","volume":"129"},"uris":["http://www.mendeley.com/documents/?uuid=26882410-2103-3898-8136-3b473121d637"]},{"id":"ITEM-3","itemData":{"DOI":"10.1093/ACREFORE/9780190854584.013.118","abstract":"The Early Middle Stone Age (EMSA) from South Africa occurred, broadly, between 300,000 and 130,000 years ago. This is a crucial phase in the history of Homo sapiens, as genetic and fossil evidence increasingly indicate that the roots of Homo sapiens reach back to this time. The fossil evidence from South Africa from this period is sparse, but the c. 260,000-year-old Homo helmei partial skull from Florisbad is especially significant in understanding modern human origins. A detailed chronological and regional framework for the EMSA is still in progress, but on the available evidence, the earliest EMSA occupations seem to be centered in the interior and northern regions. Transitional entities such as the Fauresmith and Sangoan and the first EMSA without large cutting tools, from Florisbad, are found in these areas. In the EMSA, biface technology as well as bipolar, discoidal, blade, and Levallois technologies were used to manufacture a wide variety of blanks, some of which were retouched into an array of tool types. Before lithic types such as hand-axes and bifacial points can be used as diagnostic criteria to define, for example, the Fauresmith and Pietersburg, further extended technological analyses are needed to determine their production sequences and context. Prepared core or Levallois technology occur frequently, but not always, in the EMSA. Prepared core technology entails careful planning to shape stone nodules geometrically prior to knapping the preformed blanks. EMSA hunters used Levallois and other pointed flakes as armatures in hafted thrusting spears. Levallois and composite tool technology reflect complex problem solving and hierarchical organizational cognitive capabilities. These competencies are also evident in early pigment processing. The clear footprint of the EMSA on the South African landscape indicates that several human groups populated this region during the Middle Pleistocene. It is highly likely that such groups were linked across Africa and that they collectively developed into Homo sapiens.","author":[{"dropping-particle":"","family":"Wurz","given":"Sarah","non-dropping-particle":"","parse-names":false,"suffix":""}],"container-title":"Oxford Research Encyclopedia of Anthropology","id":"ITEM-3","issued":{"date-parts":[["2020","7","30"]]},"publisher":"Oxford University Press","title":"The Early Middle Stone Age in South Africa","type":"article-journal"},"uris":["http://www.mendeley.com/documents/?uuid=9451b5db-9427-3525-b1d0-1672937fa4e8"]}],"mendeley":{"formattedCitation":"&lt;sup&gt;42–44&lt;/sup&gt;","plainTextFormattedCitation":"42–44","previouslyFormattedCitation":"&lt;sup&gt;42–44&lt;/sup&gt;"},"properties":{"noteIndex":0},"schema":"https://github.com/citation-style-language/schema/raw/master/csl-citation.json"}</w:instrText>
      </w:r>
      <w:r w:rsidR="002B5A84" w:rsidRPr="005F44EF">
        <w:rPr>
          <w:rFonts w:ascii="Times New Roman" w:eastAsia="Times New Roman" w:hAnsi="Times New Roman" w:cs="Times New Roman"/>
          <w:sz w:val="24"/>
          <w:szCs w:val="24"/>
        </w:rPr>
        <w:fldChar w:fldCharType="separate"/>
      </w:r>
      <w:r w:rsidR="002B5A84" w:rsidRPr="005F44EF">
        <w:rPr>
          <w:rFonts w:ascii="Times New Roman" w:eastAsia="Times New Roman" w:hAnsi="Times New Roman" w:cs="Times New Roman"/>
          <w:noProof/>
          <w:sz w:val="24"/>
          <w:szCs w:val="24"/>
          <w:vertAlign w:val="superscript"/>
        </w:rPr>
        <w:t>42–44</w:t>
      </w:r>
      <w:r w:rsidR="002B5A84" w:rsidRPr="005F44EF">
        <w:rPr>
          <w:rFonts w:ascii="Times New Roman" w:eastAsia="Times New Roman" w:hAnsi="Times New Roman" w:cs="Times New Roman"/>
          <w:sz w:val="24"/>
          <w:szCs w:val="24"/>
        </w:rPr>
        <w:fldChar w:fldCharType="end"/>
      </w:r>
      <w:r w:rsidR="002B5A84"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often of uncertain date</w:t>
      </w:r>
      <w:r>
        <w:rPr>
          <w:rFonts w:ascii="Times New Roman" w:eastAsia="Times New Roman" w:hAnsi="Times New Roman" w:cs="Times New Roman"/>
          <w:sz w:val="24"/>
          <w:szCs w:val="24"/>
        </w:rPr>
        <w:t xml:space="preserve"> or from insecure stratigraphic contexts, have since been attributed to the Sangoan, which has</w:t>
      </w:r>
      <w:r w:rsidR="00F24010">
        <w:rPr>
          <w:rFonts w:ascii="Times New Roman" w:eastAsia="Times New Roman" w:hAnsi="Times New Roman" w:cs="Times New Roman"/>
          <w:sz w:val="24"/>
          <w:szCs w:val="24"/>
        </w:rPr>
        <w:t xml:space="preserve"> </w:t>
      </w:r>
      <w:r w:rsidR="002B5A84" w:rsidRPr="005F44EF">
        <w:rPr>
          <w:rFonts w:ascii="Times New Roman" w:eastAsia="Times New Roman" w:hAnsi="Times New Roman" w:cs="Times New Roman"/>
          <w:sz w:val="24"/>
          <w:szCs w:val="24"/>
        </w:rPr>
        <w:t xml:space="preserve">problematized and diluted the clarity of the term and what it refers to. The wide distribution of sites </w:t>
      </w:r>
      <w:r>
        <w:rPr>
          <w:rFonts w:ascii="Times New Roman" w:eastAsia="Times New Roman" w:hAnsi="Times New Roman" w:cs="Times New Roman"/>
          <w:sz w:val="24"/>
          <w:szCs w:val="24"/>
        </w:rPr>
        <w:t xml:space="preserve">now assigned </w:t>
      </w:r>
      <w:r w:rsidR="002B5A84" w:rsidRPr="005F44EF">
        <w:rPr>
          <w:rFonts w:ascii="Times New Roman" w:eastAsia="Times New Roman" w:hAnsi="Times New Roman" w:cs="Times New Roman"/>
          <w:sz w:val="24"/>
          <w:szCs w:val="24"/>
        </w:rPr>
        <w:t xml:space="preserve">to the Sangoan, as well as the apparent technological variability within and between assemblages, also challenges the environmental determinism embedded within the original definition. It remains </w:t>
      </w:r>
      <w:r>
        <w:rPr>
          <w:rFonts w:ascii="Times New Roman" w:eastAsia="Times New Roman" w:hAnsi="Times New Roman" w:cs="Times New Roman"/>
          <w:sz w:val="24"/>
          <w:szCs w:val="24"/>
        </w:rPr>
        <w:t>unclear</w:t>
      </w:r>
      <w:r w:rsidRPr="005F44EF">
        <w:rPr>
          <w:rFonts w:ascii="Times New Roman" w:eastAsia="Times New Roman" w:hAnsi="Times New Roman" w:cs="Times New Roman"/>
          <w:sz w:val="24"/>
          <w:szCs w:val="24"/>
        </w:rPr>
        <w:t xml:space="preserve"> </w:t>
      </w:r>
      <w:r w:rsidR="002B5A84" w:rsidRPr="005F44EF">
        <w:rPr>
          <w:rFonts w:ascii="Times New Roman" w:eastAsia="Times New Roman" w:hAnsi="Times New Roman" w:cs="Times New Roman"/>
          <w:sz w:val="24"/>
          <w:szCs w:val="24"/>
        </w:rPr>
        <w:t xml:space="preserve">whether the Sangoan is a discrete, early facies of the MSA, a broad transitional phase between the ESA and MSA, or whether </w:t>
      </w:r>
      <w:r>
        <w:rPr>
          <w:rFonts w:ascii="Times New Roman" w:eastAsia="Times New Roman" w:hAnsi="Times New Roman" w:cs="Times New Roman"/>
          <w:sz w:val="24"/>
          <w:szCs w:val="24"/>
        </w:rPr>
        <w:t xml:space="preserve">many of </w:t>
      </w:r>
      <w:r w:rsidR="002B5A84" w:rsidRPr="005F44EF">
        <w:rPr>
          <w:rFonts w:ascii="Times New Roman" w:eastAsia="Times New Roman" w:hAnsi="Times New Roman" w:cs="Times New Roman"/>
          <w:sz w:val="24"/>
          <w:szCs w:val="24"/>
        </w:rPr>
        <w:t xml:space="preserve">these assemblages represent palimpsests of ESA and MSA technologies. Assemblages historically described as ‘Sangoan’ may </w:t>
      </w:r>
      <w:r>
        <w:rPr>
          <w:rFonts w:ascii="Times New Roman" w:eastAsia="Times New Roman" w:hAnsi="Times New Roman" w:cs="Times New Roman"/>
          <w:sz w:val="24"/>
          <w:szCs w:val="24"/>
        </w:rPr>
        <w:t xml:space="preserve">indeed reflect </w:t>
      </w:r>
      <w:r w:rsidR="002B5A84" w:rsidRPr="005F44EF">
        <w:rPr>
          <w:rFonts w:ascii="Times New Roman" w:eastAsia="Times New Roman" w:hAnsi="Times New Roman" w:cs="Times New Roman"/>
          <w:sz w:val="24"/>
          <w:szCs w:val="24"/>
        </w:rPr>
        <w:t xml:space="preserve">all these possibilities. If the Sangoan is in fact a discrete technological entity, it is also </w:t>
      </w:r>
      <w:r>
        <w:rPr>
          <w:rFonts w:ascii="Times New Roman" w:eastAsia="Times New Roman" w:hAnsi="Times New Roman" w:cs="Times New Roman"/>
          <w:sz w:val="24"/>
          <w:szCs w:val="24"/>
        </w:rPr>
        <w:t>uncertain</w:t>
      </w:r>
      <w:r w:rsidRPr="005F44EF">
        <w:rPr>
          <w:rFonts w:ascii="Times New Roman" w:eastAsia="Times New Roman" w:hAnsi="Times New Roman" w:cs="Times New Roman"/>
          <w:sz w:val="24"/>
          <w:szCs w:val="24"/>
        </w:rPr>
        <w:t xml:space="preserve"> </w:t>
      </w:r>
      <w:r w:rsidR="002B5A84" w:rsidRPr="005F44EF">
        <w:rPr>
          <w:rFonts w:ascii="Times New Roman" w:eastAsia="Times New Roman" w:hAnsi="Times New Roman" w:cs="Times New Roman"/>
          <w:sz w:val="24"/>
          <w:szCs w:val="24"/>
        </w:rPr>
        <w:t xml:space="preserve">whether it is widely distributed across Africa or whether it is more spatially constrained. </w:t>
      </w:r>
    </w:p>
    <w:p w14:paraId="5FA14573" w14:textId="77777777" w:rsidR="00BB7AA9" w:rsidRPr="005F44EF" w:rsidRDefault="00BB7AA9">
      <w:pPr>
        <w:spacing w:after="0" w:line="276" w:lineRule="auto"/>
        <w:jc w:val="both"/>
        <w:rPr>
          <w:rFonts w:ascii="Times New Roman" w:eastAsia="Times New Roman" w:hAnsi="Times New Roman" w:cs="Times New Roman"/>
          <w:sz w:val="24"/>
          <w:szCs w:val="24"/>
        </w:rPr>
      </w:pPr>
    </w:p>
    <w:p w14:paraId="4478F44F" w14:textId="6759A1F1" w:rsidR="003843F4" w:rsidRPr="005F44EF" w:rsidRDefault="003843F4" w:rsidP="003843F4">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Stratified and robustly dated Sangoan occurrences are rare, complicating our understanding of their ecological and behavioural context. </w:t>
      </w:r>
      <w:proofErr w:type="spellStart"/>
      <w:r w:rsidRPr="005F44EF">
        <w:rPr>
          <w:rFonts w:ascii="Times New Roman" w:eastAsia="Times New Roman" w:hAnsi="Times New Roman" w:cs="Times New Roman"/>
          <w:sz w:val="24"/>
          <w:szCs w:val="24"/>
        </w:rPr>
        <w:t>Kalambo</w:t>
      </w:r>
      <w:proofErr w:type="spellEnd"/>
      <w:r w:rsidRPr="005F44EF">
        <w:rPr>
          <w:rFonts w:ascii="Times New Roman" w:eastAsia="Times New Roman" w:hAnsi="Times New Roman" w:cs="Times New Roman"/>
          <w:sz w:val="24"/>
          <w:szCs w:val="24"/>
        </w:rPr>
        <w:t xml:space="preserve"> Falls in Zambia represents one of the few stratified contexts, although the site lacked a reliable chronology at the time it was first reported</w:t>
      </w:r>
      <w:r w:rsidRPr="005F44EF">
        <w:rPr>
          <w:rFonts w:ascii="Times New Roman" w:eastAsia="Times New Roman" w:hAnsi="Times New Roman" w:cs="Times New Roman"/>
          <w:sz w:val="24"/>
          <w:szCs w:val="24"/>
        </w:rPr>
        <w:fldChar w:fldCharType="begin" w:fldLock="1"/>
      </w:r>
      <w:r w:rsidRPr="005F44EF">
        <w:rPr>
          <w:rFonts w:ascii="Times New Roman" w:eastAsia="Times New Roman" w:hAnsi="Times New Roman" w:cs="Times New Roman"/>
          <w:sz w:val="24"/>
          <w:szCs w:val="24"/>
        </w:rPr>
        <w:instrText>ADDIN CSL_CITATION {"citationItems":[{"id":"ITEM-1","itemData":{"DOI":"10.1007/BF01963510","ISSN":"15729842","abstract":"This paper reviews data on technological change in the manufacture of stone tools from the Earlier Stone Age (ESA) to Middle Stone Age (MSA including Sangoan) deposits at Site A, Kalambo Falls, Zambia. Data on flake and tool morphology, dimensions, and raw material are discussed. It is concluded that there is little change, at this site, in the basic techniques of blank production or the attributes of the blanks produced from the ESA to the MSA. The only marked change to occur is the loss of large cutting tools (hand axes, cleavers) and their replacement by heavy-duty forms (core axes, picks). It is hypothesized that this change marks a decline in portability as a factor in the design of large edge tools. © 1996 Plenum Publishing Corporation.","author":[{"dropping-particle":"","family":"Sheppard","given":"Peter J.","non-dropping-particle":"","parse-names":false,"suffix":""},{"dropping-particle":"","family":"Kleindienst","given":"Maxine R.","non-dropping-particle":"","parse-names":false,"suffix":""}],"container-title":"African Archaeological Review","id":"ITEM-1","issue":"3","issued":{"date-parts":[["1996"]]},"page":"171-196","title":"Technological change in the earlier and middle stone Age of Kalambo Falls (Zambia)","type":"article-journal","volume":"13"},"uris":["http://www.mendeley.com/documents/?uuid=1cafe378-0bb1-4816-9d63-00f26773a21e"]},{"id":"ITEM-2","itemData":{"author":[{"dropping-particle":"","family":"Clark","given":"J. Desmond","non-dropping-particle":"","parse-names":false,"suffix":""}],"id":"ITEM-2","issued":{"date-parts":[["2001"]]},"publisher":"University of California","publisher-place":"Berkeley","title":"Kalambo Falls - Prehistoric Site - Volume 3: The Earlier Cultures: Middle and Earlier Stone Age","type":"book"},"uris":["http://www.mendeley.com/documents/?uuid=44899f40-b303-40ee-9442-b9f468d53f76"]}],"mendeley":{"formattedCitation":"&lt;sup&gt;45,46&lt;/sup&gt;","plainTextFormattedCitation":"45,46","previouslyFormattedCitation":"&lt;sup&gt;45,46&lt;/sup&gt;"},"properties":{"noteIndex":0},"schema":"https://github.com/citation-style-language/schema/raw/master/csl-citation.json"}</w:instrText>
      </w:r>
      <w:r w:rsidRPr="005F44EF">
        <w:rPr>
          <w:rFonts w:ascii="Times New Roman" w:eastAsia="Times New Roman" w:hAnsi="Times New Roman" w:cs="Times New Roman"/>
          <w:sz w:val="24"/>
          <w:szCs w:val="24"/>
        </w:rPr>
        <w:fldChar w:fldCharType="separate"/>
      </w:r>
      <w:r w:rsidRPr="005F44EF">
        <w:rPr>
          <w:rFonts w:ascii="Times New Roman" w:eastAsia="Times New Roman" w:hAnsi="Times New Roman" w:cs="Times New Roman"/>
          <w:noProof/>
          <w:sz w:val="24"/>
          <w:szCs w:val="24"/>
          <w:vertAlign w:val="superscript"/>
        </w:rPr>
        <w:t>45,46</w:t>
      </w:r>
      <w:r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Excavations at Site C North have since established the presence of LCTs and prepared core technologies between ~500-300 ka, however due to the small sample size the assemblage was instead described as transitional between Mode 2/3, rather than Sangoan</w:t>
      </w:r>
      <w:r w:rsidRPr="005F44EF">
        <w:rPr>
          <w:rFonts w:ascii="Times New Roman" w:eastAsia="Times New Roman" w:hAnsi="Times New Roman" w:cs="Times New Roman"/>
          <w:sz w:val="24"/>
          <w:szCs w:val="24"/>
        </w:rPr>
        <w:fldChar w:fldCharType="begin" w:fldLock="1"/>
      </w:r>
      <w:r w:rsidR="0010186A">
        <w:rPr>
          <w:rFonts w:ascii="Times New Roman" w:eastAsia="Times New Roman" w:hAnsi="Times New Roman" w:cs="Times New Roman"/>
          <w:sz w:val="24"/>
          <w:szCs w:val="24"/>
        </w:rPr>
        <w:instrText xml:space="preserve">ADDIN CSL_CITATION {"citationItems":[{"id":"ITEM-1","itemData":{"DOI":"10.3213/2191-5784-10270","ISSN":"16121651","abstract":"We report on the results of small-scale excavations at the archaeological site of Kalambo Falls, northern Zambia. The site has long been known for its stratified succession of Stone Age horizons, in particular those representing the late Acheulean (Mode 2) and early Middle Stone Age (Mode 3). Previous efforts to date these horizons have provided, at best, minimum radiometric ages. The absence of a firm chronology for the site has limited its potential contribution to our understanding of the process of technological change in the Middle Pleistocene of south-central Africa. The aim of the excavations was to collect samples for luminescence dating that bracketed archaeological horizons, and to establish the sedimentary and palaeoenvironmental contexts of the deposits. Four sedimentary packages were identified with the oldest containing Mode 2 and Mode 3 horizons. In this paper we consider the implications of the luminescence ages for the archaeological record at Kalambo Falls, and place them in a regional context. The reworking and preservation of the archaeological horizons is interpreted as the result of successive phases of meander migration and aggradation. Limited pollen evidence suggests a persistent floodplain palaeoenvironment with intermittent swamp forest and adjacent valley woodland, while mineral magnetic susceptibility data support an interpretation of river flow variability without any significant change in sediment provenance. The dynamics of the fluvial system cannot as yet be linked directly with regional climate change. The age range of </w:instrText>
      </w:r>
      <w:r w:rsidR="0010186A">
        <w:rPr>
          <w:rFonts w:ascii="Cambria Math" w:eastAsia="Times New Roman" w:hAnsi="Cambria Math" w:cs="Cambria Math"/>
          <w:sz w:val="24"/>
          <w:szCs w:val="24"/>
        </w:rPr>
        <w:instrText>∼</w:instrText>
      </w:r>
      <w:r w:rsidR="0010186A">
        <w:rPr>
          <w:rFonts w:ascii="Times New Roman" w:eastAsia="Times New Roman" w:hAnsi="Times New Roman" w:cs="Times New Roman"/>
          <w:sz w:val="24"/>
          <w:szCs w:val="24"/>
        </w:rPr>
        <w:instrText>500-300 ka for the oldest sedimentary package places the Mode 2/3 succession firmly in the Middle Pleistocene, and contributes to an expanding African record of technological innovation before the evolution of Homo sapiens.","author":[{"dropping-particle":"","family":"Barham","given":"Lawrence","non-dropping-particle":"","parse-names":false,"suffix":""},{"dropping-particle":"","family":"Tooth","given":"Stephen","non-dropping-particle":"","parse-names":false,"suffix":""},{"dropping-particle":"","family":"Duller","given":"Geoff A.T.","non-dropping-particle":"","parse-names":false,"suffix":""},{"dropping-particle":"","family":"Plater","given":"Andrew J.","non-dropping-particle":"","parse-names":false,"suffix":""},{"dropping-particle":"","family":"Turner","given":"Simon","non-dropping-particle":"","parse-names":false,"suffix":""}],"container-title":"Journal of African Archaeology","id":"ITEM-1","issue":"2","issued":{"date-parts":[["2015"]]},"page":"187-214","title":"Excavations at Site C North, Kalambo Falls, Zambia: New insights into the mode 2/3 transition in South-Central Africa","type":"article-journal","volume":"13"},"uris":["http://www.mendeley.com/documents/?uuid=0968b80d-fb19-4fa7-8bd7-cce807f6903a"]},{"id":"ITEM-2","itemData":{"DOI":"10.1016/J.JHEVOL.2015.05.003","ISSN":"0047-2484","PMID":"26073072","abstract":"Fluvial deposits can provide excellent archives of early hominin activity but may be complex to interpret, especially without extensive geochronology. The Stone Age site of Kalambo Falls, northern Zambia, has yielded a rich artefact record from dominantly fluvial deposits, but its significance has been restricted by uncertainties over site formation processes and a limited chronology. Our new investigations in the centre of the Kalambo Basin have used luminescence to provide a chronology and have provided key insights into the geomorphological and sedimentological processes involved in site formation. Excavations reveal a complex assemblage of channel and floodplain deposits. Single grain quartz optically stimulated luminescence (OSL) measurements provide the most accurate age estimates for the youngest sediments, but in older deposits the OSL signal from some grains is saturated. A different luminescence signal from quartz, thermally transferred OSL (TT-OSL), can date these older deposits. OSL and TT-OSL results are combined to provide a chronology for the site. Ages indicate four phases of punctuated deposition by the dominantly laterally migrating and vertically aggrading Kalambo River (~500-300 ka, ~300-50 ka, ~50-30 ka, ~1.5-0.49 ka), followed by deep incision and renewed lateral migration at a lower topographic level. A conceptual model for site formation provides the basis for improved interpretation of the generation, preservation, and visibility of the Kalambo archaeological record. This model highlights the important role of intrinsic meander dynamics in site formation and does not necessarily require complex interpretations that invoke periodic blocking of the Kalambo River, as has previously been suggested. The oldest luminescence ages place the Mode 2/3 transition between ~500 and 300 ka, consistent with other African and Asian sites where a similar transition can be found. The study approach adopted here can potentially be applied to other fluvial Stone Age sites throughout Africa and beyond.","author":[{"dropping-particle":"","family":"Duller","given":"Geoff A.T.","non-dropping-particle":"","parse-names":false,"suffix":""},{"dropping-particle":"","family":"Tooth","given":"Stephen","non-dropping-particle":"","parse-names":false,"suffix":""},{"dropping-particle":"","family":"Barham","given":"Lawrence","non-dropping-particle":"","parse-names":false,"suffix":""},{"dropping-particle":"","family":"Tsukamoto","given":"Sumiko","non-dropping-particle":"","parse-names":false,"suffix":""}],"container-title":"Journal of Human Evolution","id":"ITEM-2","issued":{"date-parts":[["2015","8","1"]]},"page":"111-125","publisher":"Academic Press","title":"New investigations at Kalambo Falls, Zambia: Luminescence chronology, site formation, and archaeological significance","type":"article-journal","volume":"85"},"uris":["http://www.mendeley.com/documents/?uuid=87cd2de6-f2fa-3a19-99a5-d4210c60c428"]}],"mendeley":{"formattedCitation":"&lt;sup&gt;47,48&lt;/sup&gt;","plainTextFormattedCitation":"47,48","previouslyFormattedCitation":"&lt;sup&gt;47,48&lt;/sup&gt;"},"properties":{"noteIndex":0},"schema":"https://github.com/citation-style-language/schema/raw/master/csl-citation.json"}</w:instrText>
      </w:r>
      <w:r w:rsidRPr="005F44EF">
        <w:rPr>
          <w:rFonts w:ascii="Times New Roman" w:eastAsia="Times New Roman" w:hAnsi="Times New Roman" w:cs="Times New Roman"/>
          <w:sz w:val="24"/>
          <w:szCs w:val="24"/>
        </w:rPr>
        <w:fldChar w:fldCharType="separate"/>
      </w:r>
      <w:r w:rsidRPr="005F44EF">
        <w:rPr>
          <w:rFonts w:ascii="Times New Roman" w:eastAsia="Times New Roman" w:hAnsi="Times New Roman" w:cs="Times New Roman"/>
          <w:noProof/>
          <w:sz w:val="24"/>
          <w:szCs w:val="24"/>
          <w:vertAlign w:val="superscript"/>
        </w:rPr>
        <w:t>47,48</w:t>
      </w:r>
      <w:r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w:t>
      </w:r>
      <w:r w:rsidR="000F1B5E" w:rsidRPr="005F44EF">
        <w:rPr>
          <w:rFonts w:ascii="Times New Roman" w:eastAsia="Times New Roman" w:hAnsi="Times New Roman" w:cs="Times New Roman"/>
          <w:sz w:val="24"/>
          <w:szCs w:val="24"/>
        </w:rPr>
        <w:t xml:space="preserve">To date, </w:t>
      </w:r>
      <w:r w:rsidR="004B4C8B" w:rsidRPr="005F44EF">
        <w:rPr>
          <w:rFonts w:ascii="Times New Roman" w:eastAsia="Times New Roman" w:hAnsi="Times New Roman" w:cs="Times New Roman"/>
          <w:sz w:val="24"/>
          <w:szCs w:val="24"/>
        </w:rPr>
        <w:t xml:space="preserve">the only Sangoan artefacts associated with faunal and plant fossils were found </w:t>
      </w:r>
      <w:r w:rsidR="00571417">
        <w:rPr>
          <w:rFonts w:ascii="Times New Roman" w:eastAsia="Times New Roman" w:hAnsi="Times New Roman" w:cs="Times New Roman"/>
          <w:sz w:val="24"/>
          <w:szCs w:val="24"/>
        </w:rPr>
        <w:t>at</w:t>
      </w:r>
      <w:r w:rsidR="00571417" w:rsidRPr="005F44EF">
        <w:rPr>
          <w:rFonts w:ascii="Times New Roman" w:eastAsia="Times New Roman" w:hAnsi="Times New Roman" w:cs="Times New Roman"/>
          <w:sz w:val="24"/>
          <w:szCs w:val="24"/>
        </w:rPr>
        <w:t xml:space="preserve"> </w:t>
      </w:r>
      <w:r w:rsidR="004B4C8B" w:rsidRPr="005F44EF">
        <w:rPr>
          <w:rFonts w:ascii="Times New Roman" w:eastAsia="Times New Roman" w:hAnsi="Times New Roman" w:cs="Times New Roman"/>
          <w:sz w:val="24"/>
          <w:szCs w:val="24"/>
        </w:rPr>
        <w:t xml:space="preserve">the site of </w:t>
      </w:r>
      <w:proofErr w:type="spellStart"/>
      <w:r w:rsidR="004B4C8B" w:rsidRPr="005F44EF">
        <w:rPr>
          <w:rFonts w:ascii="Times New Roman" w:eastAsia="Times New Roman" w:hAnsi="Times New Roman" w:cs="Times New Roman"/>
          <w:sz w:val="24"/>
          <w:szCs w:val="24"/>
        </w:rPr>
        <w:t>Simbi</w:t>
      </w:r>
      <w:proofErr w:type="spellEnd"/>
      <w:r w:rsidR="004B4C8B" w:rsidRPr="005F44EF">
        <w:rPr>
          <w:rFonts w:ascii="Times New Roman" w:eastAsia="Times New Roman" w:hAnsi="Times New Roman" w:cs="Times New Roman"/>
          <w:sz w:val="24"/>
          <w:szCs w:val="24"/>
        </w:rPr>
        <w:t xml:space="preserve"> (Kenya)</w:t>
      </w:r>
      <w:r w:rsidR="004B4C8B" w:rsidRPr="005F44EF">
        <w:rPr>
          <w:rFonts w:ascii="Times New Roman" w:eastAsia="Times New Roman" w:hAnsi="Times New Roman" w:cs="Times New Roman"/>
          <w:sz w:val="24"/>
          <w:szCs w:val="24"/>
        </w:rPr>
        <w:fldChar w:fldCharType="begin" w:fldLock="1"/>
      </w:r>
      <w:r w:rsidR="00D35BC4" w:rsidRPr="005F44EF">
        <w:rPr>
          <w:rFonts w:ascii="Times New Roman" w:eastAsia="Times New Roman" w:hAnsi="Times New Roman" w:cs="Times New Roman"/>
          <w:sz w:val="24"/>
          <w:szCs w:val="24"/>
        </w:rPr>
        <w:instrText>ADDIN CSL_CITATION {"citationItems":[{"id":"ITEM-1","itemData":{"author":[{"dropping-particle":"","family":"Mcbrearty","given":"Sally","non-dropping-particle":"","parse-names":false,"suffix":""}],"container-title":"Nyame akuma","id":"ITEM-1","issued":{"date-parts":[["1993"]]},"page":"38-40","title":"Sangoan technology and Habitat at Simbi","type":"article-journal","volume":"39"},"uris":["http://www.mendeley.com/documents/?uuid=07453f7d-7ef6-4b2d-966d-a02d9063d84e"]}],"mendeley":{"formattedCitation":"&lt;sup&gt;49&lt;/sup&gt;","plainTextFormattedCitation":"49","previouslyFormattedCitation":"&lt;sup&gt;49&lt;/sup&gt;"},"properties":{"noteIndex":0},"schema":"https://github.com/citation-style-language/schema/raw/master/csl-citation.json"}</w:instrText>
      </w:r>
      <w:r w:rsidR="004B4C8B" w:rsidRPr="005F44EF">
        <w:rPr>
          <w:rFonts w:ascii="Times New Roman" w:eastAsia="Times New Roman" w:hAnsi="Times New Roman" w:cs="Times New Roman"/>
          <w:sz w:val="24"/>
          <w:szCs w:val="24"/>
        </w:rPr>
        <w:fldChar w:fldCharType="separate"/>
      </w:r>
      <w:r w:rsidR="004B4C8B" w:rsidRPr="005F44EF">
        <w:rPr>
          <w:rFonts w:ascii="Times New Roman" w:eastAsia="Times New Roman" w:hAnsi="Times New Roman" w:cs="Times New Roman"/>
          <w:noProof/>
          <w:sz w:val="24"/>
          <w:szCs w:val="24"/>
          <w:vertAlign w:val="superscript"/>
        </w:rPr>
        <w:t>49</w:t>
      </w:r>
      <w:r w:rsidR="004B4C8B" w:rsidRPr="005F44EF">
        <w:rPr>
          <w:rFonts w:ascii="Times New Roman" w:eastAsia="Times New Roman" w:hAnsi="Times New Roman" w:cs="Times New Roman"/>
          <w:sz w:val="24"/>
          <w:szCs w:val="24"/>
        </w:rPr>
        <w:fldChar w:fldCharType="end"/>
      </w:r>
      <w:r w:rsidR="00571417">
        <w:rPr>
          <w:rFonts w:ascii="Times New Roman" w:eastAsia="Times New Roman" w:hAnsi="Times New Roman" w:cs="Times New Roman"/>
          <w:sz w:val="24"/>
          <w:szCs w:val="24"/>
        </w:rPr>
        <w:t xml:space="preserve">, however the available evidence indicates </w:t>
      </w:r>
      <w:r w:rsidR="000F1B5E" w:rsidRPr="005F44EF">
        <w:rPr>
          <w:rFonts w:ascii="Times New Roman" w:eastAsia="Times New Roman" w:hAnsi="Times New Roman" w:cs="Times New Roman"/>
          <w:sz w:val="24"/>
          <w:szCs w:val="24"/>
        </w:rPr>
        <w:t>a grassland paleohabita</w:t>
      </w:r>
      <w:r w:rsidR="004B4C8B" w:rsidRPr="005F44EF">
        <w:rPr>
          <w:rFonts w:ascii="Times New Roman" w:eastAsia="Times New Roman" w:hAnsi="Times New Roman" w:cs="Times New Roman"/>
          <w:sz w:val="24"/>
          <w:szCs w:val="24"/>
        </w:rPr>
        <w:t xml:space="preserve">t, </w:t>
      </w:r>
      <w:r w:rsidR="00571417">
        <w:rPr>
          <w:rFonts w:ascii="Times New Roman" w:eastAsia="Times New Roman" w:hAnsi="Times New Roman" w:cs="Times New Roman"/>
          <w:sz w:val="24"/>
          <w:szCs w:val="24"/>
        </w:rPr>
        <w:t xml:space="preserve">further </w:t>
      </w:r>
      <w:r w:rsidR="004B4C8B" w:rsidRPr="005F44EF">
        <w:rPr>
          <w:rFonts w:ascii="Times New Roman" w:eastAsia="Times New Roman" w:hAnsi="Times New Roman" w:cs="Times New Roman"/>
          <w:sz w:val="24"/>
          <w:szCs w:val="24"/>
        </w:rPr>
        <w:t xml:space="preserve">challenging the Sangoan-forest association. </w:t>
      </w:r>
      <w:r w:rsidR="00571417">
        <w:rPr>
          <w:rFonts w:ascii="Times New Roman" w:eastAsia="Times New Roman" w:hAnsi="Times New Roman" w:cs="Times New Roman"/>
          <w:sz w:val="24"/>
          <w:szCs w:val="24"/>
        </w:rPr>
        <w:t>In addition</w:t>
      </w:r>
      <w:r w:rsidR="004B4C8B" w:rsidRPr="005F44EF">
        <w:rPr>
          <w:rFonts w:ascii="Times New Roman" w:eastAsia="Times New Roman" w:hAnsi="Times New Roman" w:cs="Times New Roman"/>
          <w:sz w:val="24"/>
          <w:szCs w:val="24"/>
        </w:rPr>
        <w:t>, the</w:t>
      </w:r>
      <w:r w:rsidR="00571417">
        <w:rPr>
          <w:rFonts w:ascii="Times New Roman" w:eastAsia="Times New Roman" w:hAnsi="Times New Roman" w:cs="Times New Roman"/>
          <w:sz w:val="24"/>
          <w:szCs w:val="24"/>
        </w:rPr>
        <w:t xml:space="preserve"> stratigraphic layers from which the lithic assemblage derived</w:t>
      </w:r>
      <w:r w:rsidR="004B4C8B" w:rsidRPr="005F44EF">
        <w:rPr>
          <w:rFonts w:ascii="Times New Roman" w:eastAsia="Times New Roman" w:hAnsi="Times New Roman" w:cs="Times New Roman"/>
          <w:sz w:val="24"/>
          <w:szCs w:val="24"/>
        </w:rPr>
        <w:t xml:space="preserve"> have </w:t>
      </w:r>
      <w:r w:rsidR="00571417">
        <w:rPr>
          <w:rFonts w:ascii="Times New Roman" w:eastAsia="Times New Roman" w:hAnsi="Times New Roman" w:cs="Times New Roman"/>
          <w:sz w:val="24"/>
          <w:szCs w:val="24"/>
        </w:rPr>
        <w:t xml:space="preserve">not </w:t>
      </w:r>
      <w:r w:rsidR="004B4C8B" w:rsidRPr="005F44EF">
        <w:rPr>
          <w:rFonts w:ascii="Times New Roman" w:eastAsia="Times New Roman" w:hAnsi="Times New Roman" w:cs="Times New Roman"/>
          <w:sz w:val="24"/>
          <w:szCs w:val="24"/>
        </w:rPr>
        <w:t xml:space="preserve">been </w:t>
      </w:r>
      <w:r w:rsidR="00571417" w:rsidRPr="005F44EF">
        <w:rPr>
          <w:rFonts w:ascii="Times New Roman" w:eastAsia="Times New Roman" w:hAnsi="Times New Roman" w:cs="Times New Roman"/>
          <w:sz w:val="24"/>
          <w:szCs w:val="24"/>
        </w:rPr>
        <w:t>directly</w:t>
      </w:r>
      <w:r w:rsidR="00571417" w:rsidRPr="005F44EF" w:rsidDel="00571417">
        <w:rPr>
          <w:rFonts w:ascii="Times New Roman" w:eastAsia="Times New Roman" w:hAnsi="Times New Roman" w:cs="Times New Roman"/>
          <w:sz w:val="24"/>
          <w:szCs w:val="24"/>
        </w:rPr>
        <w:t xml:space="preserve"> </w:t>
      </w:r>
      <w:r w:rsidR="004B4C8B" w:rsidRPr="005F44EF">
        <w:rPr>
          <w:rFonts w:ascii="Times New Roman" w:eastAsia="Times New Roman" w:hAnsi="Times New Roman" w:cs="Times New Roman"/>
          <w:sz w:val="24"/>
          <w:szCs w:val="24"/>
        </w:rPr>
        <w:t>dated,</w:t>
      </w:r>
      <w:r w:rsidR="00571417">
        <w:rPr>
          <w:rFonts w:ascii="Times New Roman" w:eastAsia="Times New Roman" w:hAnsi="Times New Roman" w:cs="Times New Roman"/>
          <w:sz w:val="24"/>
          <w:szCs w:val="24"/>
        </w:rPr>
        <w:t xml:space="preserve"> but rather the site chronology is based on</w:t>
      </w:r>
      <w:r w:rsidR="004B4C8B" w:rsidRPr="005F44EF">
        <w:rPr>
          <w:rFonts w:ascii="Times New Roman" w:eastAsia="Times New Roman" w:hAnsi="Times New Roman" w:cs="Times New Roman"/>
          <w:sz w:val="24"/>
          <w:szCs w:val="24"/>
        </w:rPr>
        <w:t xml:space="preserve"> </w:t>
      </w:r>
      <w:r w:rsidR="004B4C8B" w:rsidRPr="005F44EF">
        <w:rPr>
          <w:rFonts w:ascii="Times New Roman" w:eastAsia="Times New Roman" w:hAnsi="Times New Roman" w:cs="Times New Roman"/>
          <w:sz w:val="24"/>
          <w:szCs w:val="24"/>
          <w:vertAlign w:val="superscript"/>
        </w:rPr>
        <w:t>39</w:t>
      </w:r>
      <w:r w:rsidR="004B4C8B" w:rsidRPr="005F44EF">
        <w:rPr>
          <w:rFonts w:ascii="Times New Roman" w:eastAsia="Times New Roman" w:hAnsi="Times New Roman" w:cs="Times New Roman"/>
          <w:sz w:val="24"/>
          <w:szCs w:val="24"/>
        </w:rPr>
        <w:t>Ar/</w:t>
      </w:r>
      <w:r w:rsidR="004B4C8B" w:rsidRPr="005F44EF">
        <w:rPr>
          <w:rFonts w:ascii="Times New Roman" w:eastAsia="Times New Roman" w:hAnsi="Times New Roman" w:cs="Times New Roman"/>
          <w:sz w:val="24"/>
          <w:szCs w:val="24"/>
          <w:vertAlign w:val="superscript"/>
        </w:rPr>
        <w:t>40</w:t>
      </w:r>
      <w:r w:rsidR="004B4C8B" w:rsidRPr="005F44EF">
        <w:rPr>
          <w:rFonts w:ascii="Times New Roman" w:eastAsia="Times New Roman" w:hAnsi="Times New Roman" w:cs="Times New Roman"/>
          <w:sz w:val="24"/>
          <w:szCs w:val="24"/>
        </w:rPr>
        <w:t xml:space="preserve">Ar dates on volcanic minerals bracketing the Sangoan between 50 and 200 ka. </w:t>
      </w:r>
      <w:r w:rsidRPr="005F44EF">
        <w:rPr>
          <w:rFonts w:ascii="Times New Roman" w:eastAsia="Times New Roman" w:hAnsi="Times New Roman" w:cs="Times New Roman"/>
          <w:sz w:val="24"/>
          <w:szCs w:val="24"/>
        </w:rPr>
        <w:t xml:space="preserve">In central and eastern Africa, assemblages </w:t>
      </w:r>
      <w:r w:rsidRPr="005F44EF">
        <w:rPr>
          <w:rFonts w:ascii="Times New Roman" w:eastAsia="Times New Roman" w:hAnsi="Times New Roman" w:cs="Times New Roman"/>
          <w:sz w:val="24"/>
          <w:szCs w:val="24"/>
        </w:rPr>
        <w:lastRenderedPageBreak/>
        <w:t xml:space="preserve">attributed to the Sangoan are followed by or contemporaneous with MSA assemblages containing Levallois core and flake components and bifacially shaped lanceolate points, referred to as the </w:t>
      </w:r>
      <w:proofErr w:type="spellStart"/>
      <w:r w:rsidRPr="005F44EF">
        <w:rPr>
          <w:rFonts w:ascii="Times New Roman" w:eastAsia="Times New Roman" w:hAnsi="Times New Roman" w:cs="Times New Roman"/>
          <w:sz w:val="24"/>
          <w:szCs w:val="24"/>
        </w:rPr>
        <w:t>Lupemban</w:t>
      </w:r>
      <w:proofErr w:type="spellEnd"/>
      <w:r w:rsidRPr="005F44EF">
        <w:rPr>
          <w:rFonts w:ascii="Times New Roman" w:eastAsia="Times New Roman" w:hAnsi="Times New Roman" w:cs="Times New Roman"/>
          <w:sz w:val="24"/>
          <w:szCs w:val="24"/>
        </w:rPr>
        <w:t xml:space="preserve"> Industry after the </w:t>
      </w:r>
      <w:proofErr w:type="spellStart"/>
      <w:r w:rsidRPr="005F44EF">
        <w:rPr>
          <w:rFonts w:ascii="Times New Roman" w:eastAsia="Times New Roman" w:hAnsi="Times New Roman" w:cs="Times New Roman"/>
          <w:sz w:val="24"/>
          <w:szCs w:val="24"/>
        </w:rPr>
        <w:t>Lupemba</w:t>
      </w:r>
      <w:proofErr w:type="spellEnd"/>
      <w:r w:rsidRPr="005F44EF">
        <w:rPr>
          <w:rFonts w:ascii="Times New Roman" w:eastAsia="Times New Roman" w:hAnsi="Times New Roman" w:cs="Times New Roman"/>
          <w:sz w:val="24"/>
          <w:szCs w:val="24"/>
        </w:rPr>
        <w:t xml:space="preserve"> stream in Zaire</w:t>
      </w:r>
      <w:r w:rsidRPr="005F44EF">
        <w:rPr>
          <w:rFonts w:ascii="Times New Roman" w:eastAsia="Times New Roman" w:hAnsi="Times New Roman" w:cs="Times New Roman"/>
          <w:sz w:val="24"/>
          <w:szCs w:val="24"/>
        </w:rPr>
        <w:fldChar w:fldCharType="begin" w:fldLock="1"/>
      </w:r>
      <w:r w:rsidR="00D35BC4" w:rsidRPr="005F44EF">
        <w:rPr>
          <w:rFonts w:ascii="Times New Roman" w:eastAsia="Times New Roman" w:hAnsi="Times New Roman" w:cs="Times New Roman"/>
          <w:sz w:val="24"/>
          <w:szCs w:val="24"/>
        </w:rPr>
        <w:instrText>ADDIN CSL_CITATION {"citationItems":[{"id":"ITEM-1","itemData":{"DOI":"10.1080/00438243.1988.9980048","ISSN":"14701375","abstract":"Sangoan artifacts have been reported to overlie those of the Acheulian and to underlie those of the Middle Stone Age in a wide region of tropical Africa. Few detailed field studies have been undertaken, however, with the result that this important transition is poorly understood. At the Muguruk site in western Kenya, artifacts of the Ojolla industry (Sangoan‐Lupemban) are overlain by those of the Pundo Makwar Industry (Middle Stone Age). The Ojolla industry contains a heavy duty tool component, finely made lanceolate points, and a light duty component made up bifacially retouched flake tools. Flake production is by radial core reduction. The Pundo Makwar industry is composed primarily of flaking debris from radial core reduction and informal unifacial scrapers made on these flakes. The Muguruk sequence shows a pronounced shift in formal tool retouch techniques between the Sangoan‐Lupemban and the Middle Stone Age, but real continuity in the method of flake production. © 1988 Taylor &amp; Francis Group, LLC.","author":[{"dropping-particle":"","family":"McBrearty","given":"Sally","non-dropping-particle":"","parse-names":false,"suffix":""}],"container-title":"World Archaeology","id":"ITEM-1","issue":"3","issued":{"date-parts":[["1988"]]},"page":"388-420","publisher":"Taylor &amp; Francis Group","title":"The Sangoan‐Lupemban and middle stone age sequence at the Muguruk site, western Kenya","type":"article-journal","volume":"19"},"uris":["http://www.mendeley.com/documents/?uuid=6a72fb98-dc5c-3459-9b27-5226305c0789"]},{"id":"ITEM-2","itemData":{"author":[{"dropping-particle":"","family":"Kuman","given":"K.","non-dropping-particle":"","parse-names":false,"suffix":""}],"container-title":"Breathing Life Into 497 Fossils: Taphonomic Studies in Honor of C. K. (Bob) Brain","editor":[{"dropping-particle":"","family":"Pickering","given":"T. R.","non-dropping-particle":"","parse-names":false,"suffix":""},{"dropping-particle":"","family":"Schick","given":"K.","non-dropping-particle":"","parse-names":false,"suffix":""},{"dropping-particle":"","family":"Toth","given":"N.","non-dropping-particle":"","parse-names":false,"suffix":""}],"id":"ITEM-2","issued":{"date-parts":[["2007"]]},"page":"181-198","publisher":"Gosport","title":"The earlier Stone Age in South Africa: site context and the influence of 496 cave studies","type":"paper-conference"},"uris":["http://www.mendeley.com/documents/?uuid=035a3ecb-cf56-4ce2-830d-dbd00567fa4b"]}],"mendeley":{"formattedCitation":"&lt;sup&gt;33,50&lt;/sup&gt;","plainTextFormattedCitation":"33,50","previouslyFormattedCitation":"&lt;sup&gt;33,50&lt;/sup&gt;"},"properties":{"noteIndex":0},"schema":"https://github.com/citation-style-language/schema/raw/master/csl-citation.json"}</w:instrText>
      </w:r>
      <w:r w:rsidRPr="005F44EF">
        <w:rPr>
          <w:rFonts w:ascii="Times New Roman" w:eastAsia="Times New Roman" w:hAnsi="Times New Roman" w:cs="Times New Roman"/>
          <w:sz w:val="24"/>
          <w:szCs w:val="24"/>
        </w:rPr>
        <w:fldChar w:fldCharType="separate"/>
      </w:r>
      <w:r w:rsidR="000F1B5E" w:rsidRPr="005F44EF">
        <w:rPr>
          <w:rFonts w:ascii="Times New Roman" w:eastAsia="Times New Roman" w:hAnsi="Times New Roman" w:cs="Times New Roman"/>
          <w:noProof/>
          <w:sz w:val="24"/>
          <w:szCs w:val="24"/>
          <w:vertAlign w:val="superscript"/>
        </w:rPr>
        <w:t>33,50</w:t>
      </w:r>
      <w:r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At Twin Rivers in Zambia, the </w:t>
      </w:r>
      <w:proofErr w:type="spellStart"/>
      <w:r w:rsidRPr="005F44EF">
        <w:rPr>
          <w:rFonts w:ascii="Times New Roman" w:eastAsia="Times New Roman" w:hAnsi="Times New Roman" w:cs="Times New Roman"/>
          <w:sz w:val="24"/>
          <w:szCs w:val="24"/>
        </w:rPr>
        <w:t>Lupemban</w:t>
      </w:r>
      <w:proofErr w:type="spellEnd"/>
      <w:r w:rsidRPr="005F44EF">
        <w:rPr>
          <w:rFonts w:ascii="Times New Roman" w:eastAsia="Times New Roman" w:hAnsi="Times New Roman" w:cs="Times New Roman"/>
          <w:sz w:val="24"/>
          <w:szCs w:val="24"/>
        </w:rPr>
        <w:t xml:space="preserve"> has been suggested to date to sometime between ~266-132 ka</w:t>
      </w:r>
      <w:r w:rsidRPr="005F44EF">
        <w:rPr>
          <w:rFonts w:ascii="Times New Roman" w:eastAsia="Times New Roman" w:hAnsi="Times New Roman" w:cs="Times New Roman"/>
          <w:sz w:val="24"/>
          <w:szCs w:val="24"/>
        </w:rPr>
        <w:fldChar w:fldCharType="begin" w:fldLock="1"/>
      </w:r>
      <w:r w:rsidR="00D35BC4" w:rsidRPr="005F44EF">
        <w:rPr>
          <w:rFonts w:ascii="Times New Roman" w:eastAsia="Times New Roman" w:hAnsi="Times New Roman" w:cs="Times New Roman"/>
          <w:sz w:val="24"/>
          <w:szCs w:val="24"/>
        </w:rPr>
        <w:instrText>ADDIN CSL_CITATION {"citationItems":[{"id":"ITEM-1","itemData":{"author":[{"dropping-particle":"","family":"Barham","given":"L.","non-dropping-particle":"","parse-names":false,"suffix":""}],"edition":"Western Ac","id":"ITEM-1","issued":{"date-parts":[["2000"]]},"publisher-place":"Bristol","title":"The Middle Stone Age of Zambia, South-Central Africa","type":"book"},"uris":["http://www.mendeley.com/documents/?uuid=2e4e83b0-4fc3-4d1d-b79e-70b059854dff"]},{"id":"ITEM-2","itemData":{"DOI":"10.4061/2011/961401","ISSN":"2090-052X","PMID":"21785711","abstract":"An understanding of the age of the Acheulian and the transition to the Middle Stone Age in southern Africa has been hampered by a lack of reliable dates for key sequences in the region. A number of researchers have hypothesised that the Acheulian first occurred simultaneously in southern and eastern Africa at around 1.7-1.6 Ma. A chronological evaluation of the southern African sites suggests that there is currently little firm evidence for the Acheulian occurring before 1.4 Ma in southern Africa. Many researchers have also suggested the occurrence of a transitional industry, the Fauresmith, covering the transition from the Early to Middle Stone Age, but again, the Fauresmith has been poorly defined, documented, and dated. Despite the occurrence of large cutting tools in these Fauresmith assemblages, they appear to include all the technological components characteristic of the MSA. New data from stratified Fauresmith bearing sites in southern Africa suggest this transitional industry maybe as old as 511-435 ka and should represent the beginning of the MSA as a broad entity rather than the terminal phase of the Acheulian. The MSA in this form is a technology associated with archaic H. sapiens and early modern humans in Africa with a trend of greater complexity through time.","author":[{"dropping-particle":"","family":"Herries","given":"Andy I. R.","non-dropping-particle":"","parse-names":false,"suffix":""}],"container-title":"International Journal of Evolutionary Biology","id":"ITEM-2","issued":{"date-parts":[["2011"]]},"page":"961401","publisher":"Hindawi Limited","title":"A Chronological Perspective on the Acheulian and Its  Transition to the Middle Stone Age in Southern Africa:  The Question of the Fauresmith","type":"article-journal","volume":"2011"},"uris":["http://www.mendeley.com/documents/?uuid=408c39a9-cfda-3f1e-b467-83518bde1706"]}],"mendeley":{"formattedCitation":"&lt;sup&gt;51,52&lt;/sup&gt;","plainTextFormattedCitation":"51,52","previouslyFormattedCitation":"&lt;sup&gt;51,52&lt;/sup&gt;"},"properties":{"noteIndex":0},"schema":"https://github.com/citation-style-language/schema/raw/master/csl-citation.json"}</w:instrText>
      </w:r>
      <w:r w:rsidRPr="005F44EF">
        <w:rPr>
          <w:rFonts w:ascii="Times New Roman" w:eastAsia="Times New Roman" w:hAnsi="Times New Roman" w:cs="Times New Roman"/>
          <w:sz w:val="24"/>
          <w:szCs w:val="24"/>
        </w:rPr>
        <w:fldChar w:fldCharType="separate"/>
      </w:r>
      <w:r w:rsidR="000F1B5E" w:rsidRPr="005F44EF">
        <w:rPr>
          <w:rFonts w:ascii="Times New Roman" w:eastAsia="Times New Roman" w:hAnsi="Times New Roman" w:cs="Times New Roman"/>
          <w:noProof/>
          <w:sz w:val="24"/>
          <w:szCs w:val="24"/>
          <w:vertAlign w:val="superscript"/>
        </w:rPr>
        <w:t>51,52</w:t>
      </w:r>
      <w:r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although other </w:t>
      </w:r>
      <w:proofErr w:type="spellStart"/>
      <w:r w:rsidRPr="005F44EF">
        <w:rPr>
          <w:rFonts w:ascii="Times New Roman" w:eastAsia="Times New Roman" w:hAnsi="Times New Roman" w:cs="Times New Roman"/>
          <w:sz w:val="24"/>
          <w:szCs w:val="24"/>
        </w:rPr>
        <w:t>Lupemban</w:t>
      </w:r>
      <w:proofErr w:type="spellEnd"/>
      <w:r w:rsidRPr="005F44EF">
        <w:rPr>
          <w:rFonts w:ascii="Times New Roman" w:eastAsia="Times New Roman" w:hAnsi="Times New Roman" w:cs="Times New Roman"/>
          <w:sz w:val="24"/>
          <w:szCs w:val="24"/>
        </w:rPr>
        <w:t xml:space="preserve"> assemblages in this area derive from ambiguous or poorly documented contexts</w:t>
      </w:r>
      <w:r w:rsidRPr="005F44EF">
        <w:rPr>
          <w:rFonts w:ascii="Times New Roman" w:eastAsia="Times New Roman" w:hAnsi="Times New Roman" w:cs="Times New Roman"/>
          <w:sz w:val="24"/>
          <w:szCs w:val="24"/>
        </w:rPr>
        <w:fldChar w:fldCharType="begin" w:fldLock="1"/>
      </w:r>
      <w:r w:rsidRPr="005F44EF">
        <w:rPr>
          <w:rFonts w:ascii="Times New Roman" w:eastAsia="Times New Roman" w:hAnsi="Times New Roman" w:cs="Times New Roman"/>
          <w:sz w:val="24"/>
          <w:szCs w:val="24"/>
        </w:rPr>
        <w:instrText>ADDIN CSL_CITATION {"citationItems":[{"id":"ITEM-1","itemData":{"DOI":"10.1080/00438243.1988.9980048","ISSN":"14701375","abstract":"Sangoan artifacts have been reported to overlie those of the Acheulian and to underlie those of the Middle Stone Age in a wide region of tropical Africa. Few detailed field studies have been undertaken, however, with the result that this important transition is poorly understood. At the Muguruk site in western Kenya, artifacts of the Ojolla industry (Sangoan‐Lupemban) are overlain by those of the Pundo Makwar Industry (Middle Stone Age). The Ojolla industry contains a heavy duty tool component, finely made lanceolate points, and a light duty component made up bifacially retouched flake tools. Flake production is by radial core reduction. The Pundo Makwar industry is composed primarily of flaking debris from radial core reduction and informal unifacial scrapers made on these flakes. The Muguruk sequence shows a pronounced shift in formal tool retouch techniques between the Sangoan‐Lupemban and the Middle Stone Age, but real continuity in the method of flake production. © 1988 Taylor &amp; Francis Group, LLC.","author":[{"dropping-particle":"","family":"McBrearty","given":"Sally","non-dropping-particle":"","parse-names":false,"suffix":""}],"container-title":"World Archaeology","id":"ITEM-1","issue":"3","issued":{"date-parts":[["1988"]]},"page":"388-420","publisher":"Taylor &amp; Francis Group","title":"The Sangoan‐Lupemban and middle stone age sequence at the Muguruk site, western Kenya","type":"article-journal","volume":"19"},"uris":["http://www.mendeley.com/documents/?uuid=6a72fb98-dc5c-3459-9b27-5226305c0789"]}],"mendeley":{"formattedCitation":"&lt;sup&gt;33&lt;/sup&gt;","plainTextFormattedCitation":"33","previouslyFormattedCitation":"&lt;sup&gt;33&lt;/sup&gt;"},"properties":{"noteIndex":0},"schema":"https://github.com/citation-style-language/schema/raw/master/csl-citation.json"}</w:instrText>
      </w:r>
      <w:r w:rsidRPr="005F44EF">
        <w:rPr>
          <w:rFonts w:ascii="Times New Roman" w:eastAsia="Times New Roman" w:hAnsi="Times New Roman" w:cs="Times New Roman"/>
          <w:sz w:val="24"/>
          <w:szCs w:val="24"/>
        </w:rPr>
        <w:fldChar w:fldCharType="separate"/>
      </w:r>
      <w:r w:rsidRPr="005F44EF">
        <w:rPr>
          <w:rFonts w:ascii="Times New Roman" w:eastAsia="Times New Roman" w:hAnsi="Times New Roman" w:cs="Times New Roman"/>
          <w:noProof/>
          <w:sz w:val="24"/>
          <w:szCs w:val="24"/>
          <w:vertAlign w:val="superscript"/>
        </w:rPr>
        <w:t>33</w:t>
      </w:r>
      <w:r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The uncertainty surrounding the relationship of these two industries has led to the use of the term Sangoan-</w:t>
      </w:r>
      <w:proofErr w:type="spellStart"/>
      <w:r w:rsidRPr="005F44EF">
        <w:rPr>
          <w:rFonts w:ascii="Times New Roman" w:eastAsia="Times New Roman" w:hAnsi="Times New Roman" w:cs="Times New Roman"/>
          <w:sz w:val="24"/>
          <w:szCs w:val="24"/>
        </w:rPr>
        <w:t>Lupemban</w:t>
      </w:r>
      <w:proofErr w:type="spellEnd"/>
      <w:r w:rsidRPr="005F44EF">
        <w:rPr>
          <w:rFonts w:ascii="Times New Roman" w:eastAsia="Times New Roman" w:hAnsi="Times New Roman" w:cs="Times New Roman"/>
          <w:sz w:val="24"/>
          <w:szCs w:val="24"/>
        </w:rPr>
        <w:t xml:space="preserve">, and the Sangoan </w:t>
      </w:r>
      <w:proofErr w:type="spellStart"/>
      <w:r w:rsidRPr="005F44EF">
        <w:rPr>
          <w:rFonts w:ascii="Times New Roman" w:eastAsia="Times New Roman" w:hAnsi="Times New Roman" w:cs="Times New Roman"/>
          <w:sz w:val="24"/>
          <w:szCs w:val="24"/>
        </w:rPr>
        <w:t>Lupemban</w:t>
      </w:r>
      <w:proofErr w:type="spellEnd"/>
      <w:r w:rsidRPr="005F44EF">
        <w:rPr>
          <w:rFonts w:ascii="Times New Roman" w:eastAsia="Times New Roman" w:hAnsi="Times New Roman" w:cs="Times New Roman"/>
          <w:sz w:val="24"/>
          <w:szCs w:val="24"/>
        </w:rPr>
        <w:t xml:space="preserve"> Industrial Complex has also been used to describe assemblages in Kenya</w:t>
      </w:r>
      <w:r w:rsidRPr="005F44EF">
        <w:rPr>
          <w:rFonts w:ascii="Times New Roman" w:eastAsia="Times New Roman" w:hAnsi="Times New Roman" w:cs="Times New Roman"/>
          <w:sz w:val="24"/>
          <w:szCs w:val="24"/>
        </w:rPr>
        <w:fldChar w:fldCharType="begin" w:fldLock="1"/>
      </w:r>
      <w:r w:rsidR="00D35BC4" w:rsidRPr="005F44EF">
        <w:rPr>
          <w:rFonts w:ascii="Times New Roman" w:eastAsia="Times New Roman" w:hAnsi="Times New Roman" w:cs="Times New Roman"/>
          <w:sz w:val="24"/>
          <w:szCs w:val="24"/>
        </w:rPr>
        <w:instrText>ADDIN CSL_CITATION {"citationItems":[{"id":"ITEM-1","itemData":{"DOI":"10.1080/00438243.1988.9980048","ISSN":"14701375","abstract":"Sangoan artifacts have been reported to overlie those of the Acheulian and to underlie those of the Middle Stone Age in a wide region of tropical Africa. Few detailed field studies have been undertaken, however, with the result that this important transition is poorly understood. At the Muguruk site in western Kenya, artifacts of the Ojolla industry (Sangoan‐Lupemban) are overlain by those of the Pundo Makwar Industry (Middle Stone Age). The Ojolla industry contains a heavy duty tool component, finely made lanceolate points, and a light duty component made up bifacially retouched flake tools. Flake production is by radial core reduction. The Pundo Makwar industry is composed primarily of flaking debris from radial core reduction and informal unifacial scrapers made on these flakes. The Muguruk sequence shows a pronounced shift in formal tool retouch techniques between the Sangoan‐Lupemban and the Middle Stone Age, but real continuity in the method of flake production. © 1988 Taylor &amp; Francis Group, LLC.","author":[{"dropping-particle":"","family":"McBrearty","given":"Sally","non-dropping-particle":"","parse-names":false,"suffix":""}],"container-title":"World Archaeology","id":"ITEM-1","issue":"3","issued":{"date-parts":[["1988"]]},"page":"388-420","publisher":"Taylor &amp; Francis Group","title":"The Sangoan‐Lupemban and middle stone age sequence at the Muguruk site, western Kenya","type":"article-journal","volume":"19"},"uris":["http://www.mendeley.com/documents/?uuid=6a72fb98-dc5c-3459-9b27-5226305c0789"]},{"id":"ITEM-2","itemData":{"author":[{"dropping-particle":"","family":"Kuman","given":"K.","non-dropping-particle":"","parse-names":false,"suffix":""}],"container-title":"Breathing Life Into 497 Fossils: Taphonomic Studies in Honor of C. K. (Bob) Brain","editor":[{"dropping-particle":"","family":"Pickering","given":"T. R.","non-dropping-particle":"","parse-names":false,"suffix":""},{"dropping-particle":"","family":"Schick","given":"K.","non-dropping-particle":"","parse-names":false,"suffix":""},{"dropping-particle":"","family":"Toth","given":"N.","non-dropping-particle":"","parse-names":false,"suffix":""}],"id":"ITEM-2","issued":{"date-parts":[["2007"]]},"page":"181-198","publisher":"Gosport","title":"The earlier Stone Age in South Africa: site context and the influence of 496 cave studies","type":"paper-conference"},"uris":["http://www.mendeley.com/documents/?uuid=035a3ecb-cf56-4ce2-830d-dbd00567fa4b"]}],"mendeley":{"formattedCitation":"&lt;sup&gt;33,50&lt;/sup&gt;","plainTextFormattedCitation":"33,50","previouslyFormattedCitation":"&lt;sup&gt;33,50&lt;/sup&gt;"},"properties":{"noteIndex":0},"schema":"https://github.com/citation-style-language/schema/raw/master/csl-citation.json"}</w:instrText>
      </w:r>
      <w:r w:rsidRPr="005F44EF">
        <w:rPr>
          <w:rFonts w:ascii="Times New Roman" w:eastAsia="Times New Roman" w:hAnsi="Times New Roman" w:cs="Times New Roman"/>
          <w:sz w:val="24"/>
          <w:szCs w:val="24"/>
        </w:rPr>
        <w:fldChar w:fldCharType="separate"/>
      </w:r>
      <w:r w:rsidR="000F1B5E" w:rsidRPr="005F44EF">
        <w:rPr>
          <w:rFonts w:ascii="Times New Roman" w:eastAsia="Times New Roman" w:hAnsi="Times New Roman" w:cs="Times New Roman"/>
          <w:noProof/>
          <w:sz w:val="24"/>
          <w:szCs w:val="24"/>
          <w:vertAlign w:val="superscript"/>
        </w:rPr>
        <w:t>33,50</w:t>
      </w:r>
      <w:r w:rsidRPr="005F44EF">
        <w:rPr>
          <w:rFonts w:ascii="Times New Roman" w:eastAsia="Times New Roman" w:hAnsi="Times New Roman" w:cs="Times New Roman"/>
          <w:sz w:val="24"/>
          <w:szCs w:val="24"/>
        </w:rPr>
        <w:fldChar w:fldCharType="end"/>
      </w:r>
      <w:hyperlink r:id="rId9"/>
      <w:r w:rsidRPr="005F44EF">
        <w:rPr>
          <w:rFonts w:ascii="Times New Roman" w:eastAsia="Times New Roman" w:hAnsi="Times New Roman" w:cs="Times New Roman"/>
          <w:sz w:val="24"/>
          <w:szCs w:val="24"/>
        </w:rPr>
        <w:t xml:space="preserve">. </w:t>
      </w:r>
      <w:r w:rsidR="00571417">
        <w:rPr>
          <w:rFonts w:ascii="Times New Roman" w:eastAsia="Times New Roman" w:hAnsi="Times New Roman" w:cs="Times New Roman"/>
          <w:sz w:val="24"/>
          <w:szCs w:val="24"/>
        </w:rPr>
        <w:t>There is also a large degree of technological variation between sites</w:t>
      </w:r>
      <w:r w:rsidR="00571417" w:rsidRPr="005F44EF" w:rsidDel="00571417">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defined as Sangoan</w:t>
      </w:r>
      <w:r w:rsidR="00047642">
        <w:rPr>
          <w:rFonts w:ascii="Times New Roman" w:eastAsia="Times New Roman" w:hAnsi="Times New Roman" w:cs="Times New Roman"/>
          <w:sz w:val="24"/>
          <w:szCs w:val="24"/>
        </w:rPr>
        <w:t>,</w:t>
      </w:r>
      <w:r w:rsidRPr="005F44EF">
        <w:rPr>
          <w:rFonts w:ascii="Times New Roman" w:eastAsia="Times New Roman" w:hAnsi="Times New Roman" w:cs="Times New Roman"/>
          <w:sz w:val="24"/>
          <w:szCs w:val="24"/>
        </w:rPr>
        <w:t xml:space="preserve"> </w:t>
      </w:r>
      <w:r w:rsidR="00047642">
        <w:rPr>
          <w:rFonts w:ascii="Times New Roman" w:eastAsia="Times New Roman" w:hAnsi="Times New Roman" w:cs="Times New Roman"/>
          <w:sz w:val="24"/>
          <w:szCs w:val="24"/>
        </w:rPr>
        <w:t xml:space="preserve">some of which </w:t>
      </w:r>
      <w:r w:rsidRPr="005F44EF">
        <w:rPr>
          <w:rFonts w:ascii="Times New Roman" w:eastAsia="Times New Roman" w:hAnsi="Times New Roman" w:cs="Times New Roman"/>
          <w:sz w:val="24"/>
          <w:szCs w:val="24"/>
        </w:rPr>
        <w:t>appear to feature quite different technology, suggesting that the broad use of the term is problematic, as with many other technocomplexes</w:t>
      </w:r>
      <w:r w:rsidR="00571417">
        <w:rPr>
          <w:rFonts w:ascii="Times New Roman" w:eastAsia="Times New Roman" w:hAnsi="Times New Roman" w:cs="Times New Roman"/>
          <w:sz w:val="24"/>
          <w:szCs w:val="24"/>
        </w:rPr>
        <w:t xml:space="preserve"> or named stone tool industries</w:t>
      </w:r>
      <w:r w:rsidRPr="005F44EF">
        <w:rPr>
          <w:rFonts w:ascii="Times New Roman" w:eastAsia="Times New Roman" w:hAnsi="Times New Roman" w:cs="Times New Roman"/>
          <w:sz w:val="24"/>
          <w:szCs w:val="24"/>
        </w:rPr>
        <w:t xml:space="preserve"> (see e.g.</w:t>
      </w:r>
      <w:r w:rsidRPr="005F44EF">
        <w:rPr>
          <w:rFonts w:ascii="Times New Roman" w:eastAsia="Times New Roman" w:hAnsi="Times New Roman" w:cs="Times New Roman"/>
          <w:sz w:val="24"/>
          <w:szCs w:val="24"/>
        </w:rPr>
        <w:fldChar w:fldCharType="begin" w:fldLock="1"/>
      </w:r>
      <w:r w:rsidR="00D35BC4" w:rsidRPr="005F44EF">
        <w:rPr>
          <w:rFonts w:ascii="Times New Roman" w:eastAsia="Times New Roman" w:hAnsi="Times New Roman" w:cs="Times New Roman"/>
          <w:sz w:val="24"/>
          <w:szCs w:val="24"/>
        </w:rPr>
        <w:instrText>ADDIN CSL_CITATION {"citationItems":[{"id":"ITEM-1","itemData":{"DOI":"10.1016/J.QUAINT.2014.01.024","ISSN":"1040-6182","abstract":"The Later Middle Paleolithic lithic archaeological record for the East Mediterranean Levant has been invoked to support competing and contradictory models for the evolutionary relationships between Homo sapiens and Homo neanderthalensis. The lithic evidence has not helped paleoanthropology achieve a conclusive resolution about this issue because archaeologists continue to structure inter-assemblage lithic variability in terms of stone tool industries such as the \"Mousterian\". This paper explores the problems that named stone tool industri. es (or \"NASTIES\") cause for Paleolithic archaeology, and it explores alternatives to them.","author":[{"dropping-particle":"","family":"Shea","given":"John J.","non-dropping-particle":"","parse-names":false,"suffix":""}],"container-title":"Quaternary International","id":"ITEM-1","issued":{"date-parts":[["2014","11","6"]]},"page":"169-179","publisher":"Pergamon","title":"Sink the Mousterian? Named stone tool industries (NASTIES) as obstacles to investigating hominin evolutionary relationships in the Later Middle Paleolithic Levant","type":"article-journal","volume":"350"},"uris":["http://www.mendeley.com/documents/?uuid=5490e3e8-2651-3ca2-b2e8-20db34a3966f"]},{"id":"ITEM-2","itemData":{"DOI":"10.1080/01977261.2020.1802848","ISSN":"20516185","abstract":"Based on a combination of archaeological, fossil, and genetic evidence, southern Africa has been identified as a critical locale for understanding the origins and evolution of Homo sapiens. Middle ...","author":[{"dropping-particle":"","family":"Wilkins","given":"Jayne","non-dropping-particle":"","parse-names":false,"suffix":""}],"container-title":"Lithic Technology","id":"ITEM-2","issue":"4","issued":{"date-parts":[["2020","10","1"]]},"page":"295-307","publisher":"Routledge","title":"Is it Time to Retire NASTIES in Southern Africa? Moving Beyond the Culture-Historical Framework for Middle Stone Age Lithic Assemblage Variability","type":"article-journal","volume":"45"},"uris":["http://www.mendeley.com/documents/?uuid=57e4b524-4739-39d6-90d9-833def1ea421"]}],"mendeley":{"formattedCitation":"&lt;sup&gt;53,54&lt;/sup&gt;","plainTextFormattedCitation":"53,54","previouslyFormattedCitation":"&lt;sup&gt;53,54&lt;/sup&gt;"},"properties":{"noteIndex":0},"schema":"https://github.com/citation-style-language/schema/raw/master/csl-citation.json"}</w:instrText>
      </w:r>
      <w:r w:rsidRPr="005F44EF">
        <w:rPr>
          <w:rFonts w:ascii="Times New Roman" w:eastAsia="Times New Roman" w:hAnsi="Times New Roman" w:cs="Times New Roman"/>
          <w:sz w:val="24"/>
          <w:szCs w:val="24"/>
        </w:rPr>
        <w:fldChar w:fldCharType="separate"/>
      </w:r>
      <w:r w:rsidR="000F1B5E" w:rsidRPr="005F44EF">
        <w:rPr>
          <w:rFonts w:ascii="Times New Roman" w:eastAsia="Times New Roman" w:hAnsi="Times New Roman" w:cs="Times New Roman"/>
          <w:noProof/>
          <w:sz w:val="24"/>
          <w:szCs w:val="24"/>
          <w:vertAlign w:val="superscript"/>
        </w:rPr>
        <w:t>53,54</w:t>
      </w:r>
      <w:r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For example, </w:t>
      </w:r>
      <w:proofErr w:type="spellStart"/>
      <w:r w:rsidRPr="005F44EF">
        <w:rPr>
          <w:rFonts w:ascii="Times New Roman" w:eastAsia="Times New Roman" w:hAnsi="Times New Roman" w:cs="Times New Roman"/>
          <w:sz w:val="24"/>
          <w:szCs w:val="24"/>
        </w:rPr>
        <w:t>Kalambo</w:t>
      </w:r>
      <w:proofErr w:type="spellEnd"/>
      <w:r w:rsidRPr="005F44EF">
        <w:rPr>
          <w:rFonts w:ascii="Times New Roman" w:eastAsia="Times New Roman" w:hAnsi="Times New Roman" w:cs="Times New Roman"/>
          <w:sz w:val="24"/>
          <w:szCs w:val="24"/>
        </w:rPr>
        <w:t xml:space="preserve"> Falls</w:t>
      </w:r>
      <w:r w:rsidR="00571417">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 xml:space="preserve">features a small tool component that is </w:t>
      </w:r>
      <w:r w:rsidR="00571417">
        <w:rPr>
          <w:rFonts w:ascii="Times New Roman" w:eastAsia="Times New Roman" w:hAnsi="Times New Roman" w:cs="Times New Roman"/>
          <w:sz w:val="24"/>
          <w:szCs w:val="24"/>
        </w:rPr>
        <w:t xml:space="preserve">described as compatible </w:t>
      </w:r>
      <w:r w:rsidRPr="005F44EF">
        <w:rPr>
          <w:rFonts w:ascii="Times New Roman" w:eastAsia="Times New Roman" w:hAnsi="Times New Roman" w:cs="Times New Roman"/>
          <w:sz w:val="24"/>
          <w:szCs w:val="24"/>
        </w:rPr>
        <w:t xml:space="preserve">with an MSA designation. Elsewhere, </w:t>
      </w:r>
      <w:r w:rsidR="00571417">
        <w:rPr>
          <w:rFonts w:ascii="Times New Roman" w:eastAsia="Times New Roman" w:hAnsi="Times New Roman" w:cs="Times New Roman"/>
          <w:sz w:val="24"/>
          <w:szCs w:val="24"/>
        </w:rPr>
        <w:t xml:space="preserve">where </w:t>
      </w:r>
      <w:r w:rsidRPr="005F44EF">
        <w:rPr>
          <w:rFonts w:ascii="Times New Roman" w:eastAsia="Times New Roman" w:hAnsi="Times New Roman" w:cs="Times New Roman"/>
          <w:sz w:val="24"/>
          <w:szCs w:val="24"/>
        </w:rPr>
        <w:t>this small tool component is absent or negligible,</w:t>
      </w:r>
      <w:r w:rsidR="00F24010">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 xml:space="preserve">it </w:t>
      </w:r>
      <w:r w:rsidR="00571417">
        <w:rPr>
          <w:rFonts w:ascii="Times New Roman" w:eastAsia="Times New Roman" w:hAnsi="Times New Roman" w:cs="Times New Roman"/>
          <w:sz w:val="24"/>
          <w:szCs w:val="24"/>
        </w:rPr>
        <w:t xml:space="preserve">has been suggested that the Sangoan </w:t>
      </w:r>
      <w:r w:rsidRPr="005F44EF">
        <w:rPr>
          <w:rFonts w:ascii="Times New Roman" w:eastAsia="Times New Roman" w:hAnsi="Times New Roman" w:cs="Times New Roman"/>
          <w:sz w:val="24"/>
          <w:szCs w:val="24"/>
        </w:rPr>
        <w:t>may be a functional variant of the ESA</w:t>
      </w:r>
      <w:r w:rsidRPr="005F44EF">
        <w:rPr>
          <w:rFonts w:ascii="Times New Roman" w:eastAsia="Times New Roman" w:hAnsi="Times New Roman" w:cs="Times New Roman"/>
          <w:sz w:val="24"/>
          <w:szCs w:val="24"/>
        </w:rPr>
        <w:fldChar w:fldCharType="begin" w:fldLock="1"/>
      </w:r>
      <w:r w:rsidRPr="005F44EF">
        <w:rPr>
          <w:rFonts w:ascii="Times New Roman" w:eastAsia="Times New Roman" w:hAnsi="Times New Roman" w:cs="Times New Roman"/>
          <w:sz w:val="24"/>
          <w:szCs w:val="24"/>
        </w:rPr>
        <w:instrText>ADDIN CSL_CITATION {"citationItems":[{"id":"ITEM-1","itemData":{"DOI":"10.1098/rstb.2020.0484","ISBN":"0000000248","ISSN":"14712970","PMID":"35249391","abstract":"The Central African Stone Age is very poorly known when compared to the higher-resolution records of East and Southern Africa. Early Stone Age (ESA) archaeology is effectively absent from the rainforest zone, with the early Middle Stone Age (MSA) Lupemban industry representing the earliest sustained archaeological signature. Uranium-series dates of approximately 265 ka BP for the Lupemban at Twin Rivers (Zambia), although queried, suggest a precocious late Middle Pleistocene dispersal of early Homo sapiens into the equatorial rainforest belt. Lupemban palaeohabitat interactions and attendant behavioural and technological repertoires are key to its evolutionary significance, but investigation is hampered by the widespread vertical disturbance of stratigraphic profiles and the formation of 'stone-lines'. The Lupemban takes in a range of implement types and technologies, including core-axes, prepared core technology (PCT) points, blades and backed blades. But it is the elongated bifacial lanceolate point - some exquisitely made and many exceeding 30 cm in length - that defines the industry. Remarkably, unequivocal examples of these iconic artefacts have never been the focus of detailed techno-typological scrutiny. In this paper, I advance understanding of the Lupemban by initiating a re-consideration of lanceolate points at Kalambo Falls, Zambia, and discuss their implications for the Lupemban's evolutionary significance. This article is part of the theme issue 'Tropical forests in the deep human past'.","author":[{"dropping-particle":"","family":"Taylor","given":"Nicholas","non-dropping-particle":"","parse-names":false,"suffix":""}],"container-title":"Philosophical Transactions of the Royal Society B: Biological Sciences","id":"ITEM-1","issue":"1849","issued":{"date-parts":[["2022"]]},"title":"Riddles wrapped inside an enigma. Lupemban MSA technology as a rainforest adaptation: Revisiting the lanceolate point","type":"article-journal","volume":"377"},"uris":["http://www.mendeley.com/documents/?uuid=508fbbd9-216b-4613-94d8-a3baaa8416db"]}],"mendeley":{"formattedCitation":"&lt;sup&gt;36&lt;/sup&gt;","plainTextFormattedCitation":"36","previouslyFormattedCitation":"&lt;sup&gt;36&lt;/sup&gt;"},"properties":{"noteIndex":0},"schema":"https://github.com/citation-style-language/schema/raw/master/csl-citation.json"}</w:instrText>
      </w:r>
      <w:r w:rsidRPr="005F44EF">
        <w:rPr>
          <w:rFonts w:ascii="Times New Roman" w:eastAsia="Times New Roman" w:hAnsi="Times New Roman" w:cs="Times New Roman"/>
          <w:sz w:val="24"/>
          <w:szCs w:val="24"/>
        </w:rPr>
        <w:fldChar w:fldCharType="separate"/>
      </w:r>
      <w:r w:rsidRPr="005F44EF">
        <w:rPr>
          <w:rFonts w:ascii="Times New Roman" w:eastAsia="Times New Roman" w:hAnsi="Times New Roman" w:cs="Times New Roman"/>
          <w:noProof/>
          <w:sz w:val="24"/>
          <w:szCs w:val="24"/>
          <w:vertAlign w:val="superscript"/>
        </w:rPr>
        <w:t>36</w:t>
      </w:r>
      <w:r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It may even be possible that the ecological diversity of Africa’s interior regions (see e.g.</w:t>
      </w:r>
      <w:r w:rsidRPr="005F44EF">
        <w:rPr>
          <w:rFonts w:ascii="Times New Roman" w:eastAsia="Times New Roman" w:hAnsi="Times New Roman" w:cs="Times New Roman"/>
          <w:sz w:val="24"/>
          <w:szCs w:val="24"/>
        </w:rPr>
        <w:fldChar w:fldCharType="begin" w:fldLock="1"/>
      </w:r>
      <w:r w:rsidRPr="005F44EF">
        <w:rPr>
          <w:rFonts w:ascii="Times New Roman" w:eastAsia="Times New Roman" w:hAnsi="Times New Roman" w:cs="Times New Roman"/>
          <w:sz w:val="24"/>
          <w:szCs w:val="24"/>
        </w:rPr>
        <w:instrText>ADDIN CSL_CITATION {"citationItems":[{"id":"ITEM-1","itemData":{"DOI":"10.1073/PNAS.2018277118/-/DCSUPPLEMENTAL","ISSN":"10916490","PMID":"34074756","abstract":"In this study, we synthesize terrestrial and marine proxy records, spanning the past 620 ky, to decipher pan-African climate variability and its drivers and potential linkages to hominin evolution. We find a tight correlation between moisture availability across Africa to El Niño Southern Ocean oscillation (ENSO) variability, a manifestation of the Walker Circulation, that was most likely driven by changes in Earth's eccentricity. Our results demonstrate that low-latitude insolation was a prominent driver of pan-African climate change during the Middle to Late Pleistocene. We argue that these low-latitude climate processes governed the dispersion and evolution of vegetation as well as mammals in eastern and western Africa by increasing resource-rich and stable ecotonal settings thought to have been important to early modern humans.","author":[{"dropping-particle":"","family":"Kaboth-Bahr","given":"Stefanie","non-dropping-particle":"","parse-names":false,"suffix":""},{"dropping-particle":"","family":"Gosling","given":"William D.","non-dropping-particle":"","parse-names":false,"suffix":""},{"dropping-particle":"","family":"Vogelsang","given":"Ralf","non-dropping-particle":"","parse-names":false,"suffix":""},{"dropping-particle":"","family":"Bahr","given":"André","non-dropping-particle":"","parse-names":false,"suffix":""},{"dropping-particle":"","family":"Scerri","given":"Eleanor M.L.","non-dropping-particle":"","parse-names":false,"suffix":""},{"dropping-particle":"","family":"Asrat","given":"Asfawossen","non-dropping-particle":"","parse-names":false,"suffix":""},{"dropping-particle":"","family":"Cohen","given":"Andrew S.","non-dropping-particle":"","parse-names":false,"suffix":""},{"dropping-particle":"","family":"Düsing","given":"Walter","non-dropping-particle":"","parse-names":false,"suffix":""},{"dropping-particle":"","family":"Foerster","given":"Verena","non-dropping-particle":"","parse-names":false,"suffix":""},{"dropping-particle":"","family":"Lamb","given":"Henry F.","non-dropping-particle":"","parse-names":false,"suffix":""},{"dropping-particle":"","family":"Maslin","given":"Mark A.","non-dropping-particle":"","parse-names":false,"suffix":""},{"dropping-particle":"","family":"Roberts","given":"Helen M.","non-dropping-particle":"","parse-names":false,"suffix":""},{"dropping-particle":"","family":"Schäbitz","given":"Frank","non-dropping-particle":"","parse-names":false,"suffix":""},{"dropping-particle":"","family":"Trauth","given":"Martin H.","non-dropping-particle":"","parse-names":false,"suffix":""}],"container-title":"Proceedings of the National Academy of Sciences of the United States of America","id":"ITEM-1","issue":"23","issued":{"date-parts":[["2021","6","8"]]},"publisher":"National Academy of Sciences","title":"Paleo-ENSO influence on African environments and early modern humans","type":"article-journal","volume":"118"},"uris":["http://www.mendeley.com/documents/?uuid=e049cd05-97df-32cc-be6e-b12dbe94540e"]}],"mendeley":{"formattedCitation":"&lt;sup&gt;31&lt;/sup&gt;","plainTextFormattedCitation":"31","previouslyFormattedCitation":"&lt;sup&gt;31&lt;/sup&gt;"},"properties":{"noteIndex":0},"schema":"https://github.com/citation-style-language/schema/raw/master/csl-citation.json"}</w:instrText>
      </w:r>
      <w:r w:rsidRPr="005F44EF">
        <w:rPr>
          <w:rFonts w:ascii="Times New Roman" w:eastAsia="Times New Roman" w:hAnsi="Times New Roman" w:cs="Times New Roman"/>
          <w:sz w:val="24"/>
          <w:szCs w:val="24"/>
        </w:rPr>
        <w:fldChar w:fldCharType="separate"/>
      </w:r>
      <w:r w:rsidRPr="005F44EF">
        <w:rPr>
          <w:rFonts w:ascii="Times New Roman" w:eastAsia="Times New Roman" w:hAnsi="Times New Roman" w:cs="Times New Roman"/>
          <w:noProof/>
          <w:sz w:val="24"/>
          <w:szCs w:val="24"/>
          <w:vertAlign w:val="superscript"/>
        </w:rPr>
        <w:t>31</w:t>
      </w:r>
      <w:r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is driving variability in toolkits that reflect environmental differences beyond the well-trodden regions of grassland and wooded grassland in southern, eastern and northern Africa. In the contemporary tropical rainforests around the Gulf of Guinea (Côte d'Ivoire, Ghana, Nigeria and Cameroon), assemblages with a small and large tool component described as ‘Sangoan’ are primarily defined by the presence of large cutting/heavy-duty tools and Levallois debitage. However, the characterization and definition of this cultural facies has long been debated because of a lack of reliable dates and secure stratigraphic contexts</w:t>
      </w:r>
      <w:r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uthor":[{"dropping-particle":"","family":"Lioubin","given":"V.P.","non-dropping-particle":"","parse-names":false,"suffix":""},{"dropping-particle":"","family":"Guédé","given":"F.Y.","non-dropping-particle":"","parse-names":false,"suffix":""}],"container-title":"Russian Academy of Sciences, Institute of the History of Material Culture Proceedings, vol. 3","id":"ITEM-1","issued":{"date-parts":[["2000"]]},"publisher-place":"St. Petersburg","title":"Paleolit Respubliki Kot d'Ivvuar (Zapadnaya Afrika) [The Palaeolithic of the Republic of Cote d'Ivoire (West Africa)]","type":"book"},"uris":["http://www.mendeley.com/documents/?uuid=aa04e7e7-917b-48f3-b7ff-044d552e4799"]},{"id":"ITEM-2","itemData":{"author":[{"dropping-particle":"","family":"Andah","given":"B.W.","non-dropping-particle":"","parse-names":false,"suffix":""}],"container-title":"West Afr. J.Archaeol","id":"ITEM-2","issued":{"date-parts":[["1979"]]},"page":"47-85","title":"The Early Palaeolithic in West Africa: the case of Asokrochonacoastal region of Accra, Ghana in perspectives on West Africa’s past","type":"article-journal","volume":"9"},"uris":["http://www.mendeley.com/documents/?uuid=3e9eefda-9e4a-3195-9baa-4d7eaf4f5089"]},{"id":"ITEM-3","itemData":{"DOI":"10.1080/00293652.1984.9965396","ISSN":"15027678","abstract":"Excavations at Asokrochona and Tema West I have uncovered an industry that has tentatively been assigned to the Sangoan. The sites were in use during a period when the climate and environment were like today's. With a change to more arid conditions between 25000 and 13500 B.P. tool types and settlement pattern changed considerably. Between 13500 and 4000 B.P. the Plains experienced a relatively humid period. Sites with a small scale flake industry and pottery are common towards the end of the period. At Kpone such artefacts are found in a shell-midden. With the onset of a dry period between 4000 and 3500 B.P. traces of human occupation disappear. Succeeding sites belong to the Iron Age. © 1984, Taylor &amp; Francis Group. All rights reserved.","author":[{"dropping-particle":"","family":"Nygaard","given":"Signe E.","non-dropping-particle":"","parse-names":false,"suffix":""},{"dropping-particle":"","family":"Talbot","given":"Michael R.","non-dropping-particle":"","parse-names":false,"suffix":""}],"container-title":"Norwegian Archaeological Review","id":"ITEM-3","issue":"1","issued":{"date-parts":[["1984"]]},"page":"19-38","title":"Stone age archaeology and environment on the southern accra plains, ghana","type":"article-journal","volume":"17"},"uris":["http://www.mendeley.com/documents/?uuid=e972c726-bc8b-44cb-a4f5-714af5f8958d"]},{"id":"ITEM-4","itemData":{"author":[{"dropping-particle":"","family":"Soper","given":"R.C.","non-dropping-particle":"","parse-names":false,"suffix":""}],"container-title":" J. Hist. Soc. Niger","id":"ITEM-4","issued":{"date-parts":[["1965"]]},"page":"175-194","title":"The Stone Age in Northern Nigeria","type":"article-journal","volume":"3"},"uris":["http://www.mendeley.com/documents/?uuid=15fc54b3-6c85-32cd-815c-03b8d8bcc93e"]}],"mendeley":{"formattedCitation":"&lt;sup&gt;39,55–57&lt;/sup&gt;","plainTextFormattedCitation":"39,55–57","previouslyFormattedCitation":"&lt;sup&gt;39,55–57&lt;/sup&gt;"},"properties":{"noteIndex":0},"schema":"https://github.com/citation-style-language/schema/raw/master/csl-citation.json"}</w:instrText>
      </w:r>
      <w:r w:rsidRPr="005F44EF">
        <w:rPr>
          <w:rFonts w:ascii="Times New Roman" w:eastAsia="Times New Roman" w:hAnsi="Times New Roman" w:cs="Times New Roman"/>
          <w:sz w:val="24"/>
          <w:szCs w:val="24"/>
        </w:rPr>
        <w:fldChar w:fldCharType="separate"/>
      </w:r>
      <w:r w:rsidR="000F1B5E" w:rsidRPr="005F44EF">
        <w:rPr>
          <w:rFonts w:ascii="Times New Roman" w:eastAsia="Times New Roman" w:hAnsi="Times New Roman" w:cs="Times New Roman"/>
          <w:noProof/>
          <w:sz w:val="24"/>
          <w:szCs w:val="24"/>
          <w:vertAlign w:val="superscript"/>
        </w:rPr>
        <w:t>39,55–57</w:t>
      </w:r>
      <w:r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w:t>
      </w:r>
    </w:p>
    <w:p w14:paraId="11AE344D" w14:textId="77777777" w:rsidR="00BB7AA9" w:rsidRPr="005F44EF" w:rsidRDefault="00BB7AA9">
      <w:pPr>
        <w:spacing w:after="0" w:line="276" w:lineRule="auto"/>
        <w:jc w:val="both"/>
        <w:rPr>
          <w:rFonts w:ascii="Times New Roman" w:eastAsia="Times New Roman" w:hAnsi="Times New Roman" w:cs="Times New Roman"/>
          <w:sz w:val="24"/>
          <w:szCs w:val="24"/>
        </w:rPr>
      </w:pPr>
    </w:p>
    <w:p w14:paraId="1808E40D" w14:textId="1499A920" w:rsidR="003843F4" w:rsidRPr="005F44EF" w:rsidRDefault="003843F4" w:rsidP="003843F4">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There is also considerable underdetermination of site formation processes at many sites attributed to the Sangoan. The secondary and palimpsest nature of many of these contexts means that disentangling spatial and temporal associations from behavioural and non-behavioural processes is often not possible with the quality of the available data. Instead, the co-occurrence of LCTs with MSA-type artefacts is frequently used to assign assemblages to industries such as the Sangoan without critical appraisal of the depositional complexities or scales of time involved in their formation. It is likely not a coincidence that many assemblages designated as Sangoan derive from highly time-averaged deposits at open-air sites, usually in contexts with low rates of sediment accumulation and low artefact densities, and often with limited stratigraphic control and chronological resolution. The issues of site formation and temporal resolution, combined with the focus on the LCT component and a general lack of reporting of assemblage-scale technological information, mean that it is often hard to determine the behavioural and technological context of Sangoan sites. Additionally, the Sangoan and MSA are rarely found in the same sequence, making it difficult to contextualise any cultural, chronological and </w:t>
      </w:r>
      <w:proofErr w:type="spellStart"/>
      <w:r w:rsidRPr="005F44EF">
        <w:rPr>
          <w:rFonts w:ascii="Times New Roman" w:eastAsia="Times New Roman" w:hAnsi="Times New Roman" w:cs="Times New Roman"/>
          <w:sz w:val="24"/>
          <w:szCs w:val="24"/>
        </w:rPr>
        <w:t>palaeoenvironmental</w:t>
      </w:r>
      <w:proofErr w:type="spellEnd"/>
      <w:r w:rsidRPr="005F44EF">
        <w:rPr>
          <w:rFonts w:ascii="Times New Roman" w:eastAsia="Times New Roman" w:hAnsi="Times New Roman" w:cs="Times New Roman"/>
          <w:sz w:val="24"/>
          <w:szCs w:val="24"/>
        </w:rPr>
        <w:t xml:space="preserve"> changes through time. Finally, it has been noted that the majority of these sites are found on the edge of contemporary tropical rainforest in regions that may have become grassland during drier climatic periods in the past</w:t>
      </w:r>
      <w:r w:rsidRPr="005F44EF">
        <w:rPr>
          <w:rFonts w:ascii="Times New Roman" w:eastAsia="Times New Roman" w:hAnsi="Times New Roman" w:cs="Times New Roman"/>
          <w:sz w:val="24"/>
          <w:szCs w:val="24"/>
        </w:rPr>
        <w:fldChar w:fldCharType="begin" w:fldLock="1"/>
      </w:r>
      <w:r w:rsidRPr="005F44EF">
        <w:rPr>
          <w:rFonts w:ascii="Times New Roman" w:eastAsia="Times New Roman" w:hAnsi="Times New Roman" w:cs="Times New Roman"/>
          <w:sz w:val="24"/>
          <w:szCs w:val="24"/>
        </w:rPr>
        <w:instrText>ADDIN CSL_CITATION {"citationItems":[{"id":"ITEM-1","itemData":{"DOI":"10.1007/978-94-017-7520-5","ISBN":"9789401775205","author":[{"dropping-particle":"","family":"Taylor","given":"Nicholas","non-dropping-particle":"","parse-names":false,"suffix":""}],"container-title":"Africa from MIS 6-2: Population Dynamics and Paleoenvironments","edition":"Springer S","editor":[{"dropping-particle":"","family":"Jones","given":"Sacha C.","non-dropping-particle":"","parse-names":false,"suffix":""},{"dropping-particle":"","family":"Stewart","given":"Brian A.","non-dropping-particle":"","parse-names":false,"suffix":""}],"id":"ITEM-1","issue":"March 2016","issued":{"date-parts":[["2016"]]},"page":"273-299","title":"Across Rainforests and Woodlands: a systematic re-appraisal of the Lupemban Middle Stone Age in central Africa","type":"chapter"},"uris":["http://www.mendeley.com/documents/?uuid=d367aa07-fb64-4fe0-b634-7ea032787d81"]},{"id":"ITEM-2","itemData":{"DOI":"10.1098/rstb.2020.0484","ISBN":"0000000248","ISSN":"14712970","PMID":"35249391","abstract":"The Central African Stone Age is very poorly known when compared to the higher-resolution records of East and Southern Africa. Early Stone Age (ESA) archaeology is effectively absent from the rainforest zone, with the early Middle Stone Age (MSA) Lupemban industry representing the earliest sustained archaeological signature. Uranium-series dates of approximately 265 ka BP for the Lupemban at Twin Rivers (Zambia), although queried, suggest a precocious late Middle Pleistocene dispersal of early Homo sapiens into the equatorial rainforest belt. Lupemban palaeohabitat interactions and attendant behavioural and technological repertoires are key to its evolutionary significance, but investigation is hampered by the widespread vertical disturbance of stratigraphic profiles and the formation of 'stone-lines'. The Lupemban takes in a range of implement types and technologies, including core-axes, prepared core technology (PCT) points, blades and backed blades. But it is the elongated bifacial lanceolate point - some exquisitely made and many exceeding 30 cm in length - that defines the industry. Remarkably, unequivocal examples of these iconic artefacts have never been the focus of detailed techno-typological scrutiny. In this paper, I advance understanding of the Lupemban by initiating a re-consideration of lanceolate points at Kalambo Falls, Zambia, and discuss their implications for the Lupemban's evolutionary significance. This article is part of the theme issue 'Tropical forests in the deep human past'.","author":[{"dropping-particle":"","family":"Taylor","given":"Nicholas","non-dropping-particle":"","parse-names":false,"suffix":""}],"container-title":"Philosophical Transactions of the Royal Society B: Biological Sciences","id":"ITEM-2","issue":"1849","issued":{"date-parts":[["2022"]]},"title":"Riddles wrapped inside an enigma. Lupemban MSA technology as a rainforest adaptation: Revisiting the lanceolate point","type":"article-journal","volume":"377"},"uris":["http://www.mendeley.com/documents/?uuid=508fbbd9-216b-4613-94d8-a3baaa8416db"]}],"mendeley":{"formattedCitation":"&lt;sup&gt;30,36&lt;/sup&gt;","plainTextFormattedCitation":"30,36","previouslyFormattedCitation":"&lt;sup&gt;30,36&lt;/sup&gt;"},"properties":{"noteIndex":0},"schema":"https://github.com/citation-style-language/schema/raw/master/csl-citation.json"}</w:instrText>
      </w:r>
      <w:r w:rsidRPr="005F44EF">
        <w:rPr>
          <w:rFonts w:ascii="Times New Roman" w:eastAsia="Times New Roman" w:hAnsi="Times New Roman" w:cs="Times New Roman"/>
          <w:sz w:val="24"/>
          <w:szCs w:val="24"/>
        </w:rPr>
        <w:fldChar w:fldCharType="separate"/>
      </w:r>
      <w:r w:rsidRPr="005F44EF">
        <w:rPr>
          <w:rFonts w:ascii="Times New Roman" w:eastAsia="Times New Roman" w:hAnsi="Times New Roman" w:cs="Times New Roman"/>
          <w:noProof/>
          <w:sz w:val="24"/>
          <w:szCs w:val="24"/>
          <w:vertAlign w:val="superscript"/>
        </w:rPr>
        <w:t>30,36</w:t>
      </w:r>
      <w:r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making ‘on-site’ </w:t>
      </w:r>
      <w:proofErr w:type="spellStart"/>
      <w:r w:rsidRPr="005F44EF">
        <w:rPr>
          <w:rFonts w:ascii="Times New Roman" w:eastAsia="Times New Roman" w:hAnsi="Times New Roman" w:cs="Times New Roman"/>
          <w:sz w:val="24"/>
          <w:szCs w:val="24"/>
        </w:rPr>
        <w:t>palaeoenvironmental</w:t>
      </w:r>
      <w:proofErr w:type="spellEnd"/>
      <w:r w:rsidRPr="005F44EF">
        <w:rPr>
          <w:rFonts w:ascii="Times New Roman" w:eastAsia="Times New Roman" w:hAnsi="Times New Roman" w:cs="Times New Roman"/>
          <w:sz w:val="24"/>
          <w:szCs w:val="24"/>
        </w:rPr>
        <w:t xml:space="preserve"> assessment essential. </w:t>
      </w:r>
    </w:p>
    <w:p w14:paraId="28218823" w14:textId="77777777" w:rsidR="003843F4" w:rsidRPr="005F44EF" w:rsidRDefault="003843F4" w:rsidP="003843F4">
      <w:pPr>
        <w:spacing w:after="0" w:line="276" w:lineRule="auto"/>
        <w:jc w:val="both"/>
        <w:rPr>
          <w:rFonts w:ascii="Times New Roman" w:eastAsia="Times New Roman" w:hAnsi="Times New Roman" w:cs="Times New Roman"/>
          <w:sz w:val="24"/>
          <w:szCs w:val="24"/>
        </w:rPr>
      </w:pPr>
    </w:p>
    <w:p w14:paraId="29707025" w14:textId="77049209" w:rsidR="003843F4" w:rsidRPr="005F44EF" w:rsidRDefault="003843F4" w:rsidP="003843F4">
      <w:pPr>
        <w:spacing w:after="0" w:line="276" w:lineRule="auto"/>
        <w:jc w:val="both"/>
        <w:rPr>
          <w:rFonts w:ascii="Times New Roman" w:eastAsia="Times New Roman" w:hAnsi="Times New Roman" w:cs="Times New Roman"/>
          <w:sz w:val="24"/>
          <w:szCs w:val="24"/>
          <w:highlight w:val="yellow"/>
        </w:rPr>
      </w:pPr>
      <w:r w:rsidRPr="005F44EF">
        <w:rPr>
          <w:rFonts w:ascii="Times New Roman" w:eastAsia="Times New Roman" w:hAnsi="Times New Roman" w:cs="Times New Roman"/>
          <w:sz w:val="24"/>
          <w:szCs w:val="24"/>
        </w:rPr>
        <w:lastRenderedPageBreak/>
        <w:t>It is therefore important t</w:t>
      </w:r>
      <w:r w:rsidR="00571417">
        <w:rPr>
          <w:rFonts w:ascii="Times New Roman" w:eastAsia="Times New Roman" w:hAnsi="Times New Roman" w:cs="Times New Roman"/>
          <w:sz w:val="24"/>
          <w:szCs w:val="24"/>
        </w:rPr>
        <w:t>hat</w:t>
      </w:r>
      <w:r w:rsidRPr="005F44EF">
        <w:rPr>
          <w:rFonts w:ascii="Times New Roman" w:eastAsia="Times New Roman" w:hAnsi="Times New Roman" w:cs="Times New Roman"/>
          <w:sz w:val="24"/>
          <w:szCs w:val="24"/>
        </w:rPr>
        <w:t xml:space="preserve"> these terms </w:t>
      </w:r>
      <w:r w:rsidR="00571417">
        <w:rPr>
          <w:rFonts w:ascii="Times New Roman" w:eastAsia="Times New Roman" w:hAnsi="Times New Roman" w:cs="Times New Roman"/>
          <w:sz w:val="24"/>
          <w:szCs w:val="24"/>
        </w:rPr>
        <w:t>ar</w:t>
      </w:r>
      <w:r w:rsidR="00ED2A75">
        <w:rPr>
          <w:rFonts w:ascii="Times New Roman" w:eastAsia="Times New Roman" w:hAnsi="Times New Roman" w:cs="Times New Roman"/>
          <w:sz w:val="24"/>
          <w:szCs w:val="24"/>
        </w:rPr>
        <w:t>e</w:t>
      </w:r>
      <w:r w:rsidR="00571417">
        <w:rPr>
          <w:rFonts w:ascii="Times New Roman" w:eastAsia="Times New Roman" w:hAnsi="Times New Roman" w:cs="Times New Roman"/>
          <w:sz w:val="24"/>
          <w:szCs w:val="24"/>
        </w:rPr>
        <w:t xml:space="preserve"> used </w:t>
      </w:r>
      <w:r w:rsidRPr="005F44EF">
        <w:rPr>
          <w:rFonts w:ascii="Times New Roman" w:eastAsia="Times New Roman" w:hAnsi="Times New Roman" w:cs="Times New Roman"/>
          <w:sz w:val="24"/>
          <w:szCs w:val="24"/>
        </w:rPr>
        <w:t>with caution and great circumspection, particularly in regions beyond their traditional usage. Whether the LCT component of either transitional ESA-MSA and MSA assemblages reflects ecological conditions is, however, a slightly different question. Despite the association of the LCT component of Sangoan assemblages with woodworking activities</w:t>
      </w:r>
      <w:r w:rsidRPr="005F44EF">
        <w:rPr>
          <w:rFonts w:ascii="Times New Roman" w:eastAsia="Times New Roman" w:hAnsi="Times New Roman" w:cs="Times New Roman"/>
          <w:sz w:val="24"/>
          <w:szCs w:val="24"/>
        </w:rPr>
        <w:fldChar w:fldCharType="begin" w:fldLock="1"/>
      </w:r>
      <w:r w:rsidR="00D35BC4" w:rsidRPr="005F44EF">
        <w:rPr>
          <w:rFonts w:ascii="Times New Roman" w:eastAsia="Times New Roman" w:hAnsi="Times New Roman" w:cs="Times New Roman"/>
          <w:sz w:val="24"/>
          <w:szCs w:val="24"/>
        </w:rPr>
        <w:instrText>ADDIN CSL_CITATION {"citationItems":[{"id":"ITEM-1","itemData":{"author":[{"dropping-particle":"","family":"Clark","given":"J.D.","non-dropping-particle":"","parse-names":false,"suffix":""}],"container-title":"Miscellanea en Homenaje al Abate Henri Breuil.Barcelona: Instituto de Prehistoria y Arcqueologia Monografias, 9: 30","id":"ITEM-1","issued":{"date-parts":[["1964"]]},"title":"The Sangoan culture of Equatoria: the implications of its stone equipment.","type":"paper-conference"},"uris":["http://www.mendeley.com/documents/?uuid=c457e8e5-dc2b-4ed5-83db-ff962e227e55"]},{"id":"ITEM-2","itemData":{"author":[{"dropping-particle":"","family":"Clark","given":"J.D.","non-dropping-particle":"","parse-names":false,"suffix":""}],"container-title":"Science","id":"ITEM-2","issued":{"date-parts":[["1965"]]},"page":"833-847","title":"The later Pleistocene cultures of Africa","type":"article-journal","volume":"160"},"uris":["http://www.mendeley.com/documents/?uuid=7b8f559b-49c3-45bc-969d-273c01cbe719"]},{"id":"ITEM-3","itemData":{"author":[{"dropping-particle":"","family":"Clark","given":"J.D.","non-dropping-particle":"","parse-names":false,"suffix":""}],"edition":"Praeger","id":"ITEM-3","issued":{"date-parts":[["1970"]]},"publisher-place":"New YorK","title":"The Prehistory of Africa","type":"book"},"uris":["http://www.mendeley.com/documents/?uuid=89a3d137-3ec8-4377-b8fb-141f7f4d7793"]}],"mendeley":{"formattedCitation":"&lt;sup&gt;58–60&lt;/sup&gt;","plainTextFormattedCitation":"58–60","previouslyFormattedCitation":"&lt;sup&gt;58–60&lt;/sup&gt;"},"properties":{"noteIndex":0},"schema":"https://github.com/citation-style-language/schema/raw/master/csl-citation.json"}</w:instrText>
      </w:r>
      <w:r w:rsidRPr="005F44EF">
        <w:rPr>
          <w:rFonts w:ascii="Times New Roman" w:eastAsia="Times New Roman" w:hAnsi="Times New Roman" w:cs="Times New Roman"/>
          <w:sz w:val="24"/>
          <w:szCs w:val="24"/>
        </w:rPr>
        <w:fldChar w:fldCharType="separate"/>
      </w:r>
      <w:r w:rsidR="000F1B5E" w:rsidRPr="005F44EF">
        <w:rPr>
          <w:rFonts w:ascii="Times New Roman" w:eastAsia="Times New Roman" w:hAnsi="Times New Roman" w:cs="Times New Roman"/>
          <w:noProof/>
          <w:sz w:val="24"/>
          <w:szCs w:val="24"/>
          <w:vertAlign w:val="superscript"/>
        </w:rPr>
        <w:t>58–60</w:t>
      </w:r>
      <w:r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very few studies have examined micro-wear traces on these tools to test this hypothesis, and consequently this functional association has not been confirmed</w:t>
      </w:r>
      <w:r w:rsidRPr="005F44EF">
        <w:rPr>
          <w:rFonts w:ascii="Times New Roman" w:eastAsia="Times New Roman" w:hAnsi="Times New Roman" w:cs="Times New Roman"/>
          <w:sz w:val="24"/>
          <w:szCs w:val="24"/>
        </w:rPr>
        <w:fldChar w:fldCharType="begin" w:fldLock="1"/>
      </w:r>
      <w:r w:rsidR="00D35BC4" w:rsidRPr="005F44EF">
        <w:rPr>
          <w:rFonts w:ascii="Times New Roman" w:eastAsia="Times New Roman" w:hAnsi="Times New Roman" w:cs="Times New Roman"/>
          <w:sz w:val="24"/>
          <w:szCs w:val="24"/>
        </w:rPr>
        <w:instrText>ADDIN CSL_CITATION {"citationItems":[{"id":"ITEM-1","itemData":{"DOI":"10.1017/9781108334969","ISBN":"9781108334969","abstract":"Stone tools are the least familiar objects that archaeologists recover from their excavations, and predictably, they struggle to understand them. Eastern Africa alone boasts a 3.4 million-year-long archaeological record but its stone tool evidence still remains disorganized, unsynthesized, and all-but-impenetrable to non-experts, and especially so to students from Eastern African countries. In this book, John J. Shea offers a simple, straightforward, and richly illustrated introduction in how to read stone tools. An experienced stone tool analyst and an expert stoneworker, he synthesizes the Eastern African stone tool evidence for the first time. Shea presents the EAST Typology, a new framework for describing stone tools specifically designed to allow archaeologists to do what they currently cannot: compare stone tool evidence across the full sweep of Eastern African prehistory. He also includes a series of short, fictional, and humorous vignettes set on an Eastern African archaeological excavation, which illustrate the major issues and controversies in research about stone tools.","author":[{"dropping-particle":"","family":"Shea","given":"John J.","non-dropping-particle":"","parse-names":false,"suffix":""}],"container-title":"Prehistoric Stone Tools of Eastern Africa","id":"ITEM-1","issued":{"date-parts":[["2020","3","31"]]},"publisher":"Cambridge University Press","title":"Prehistoric Stone Tools of Eastern Africa: A Guide","type":"article-journal"},"uris":["http://www.mendeley.com/documents/?uuid=24a71d70-f2f6-31dc-be04-69264a7fc6ed"]}],"mendeley":{"formattedCitation":"&lt;sup&gt;61&lt;/sup&gt;","plainTextFormattedCitation":"61","previouslyFormattedCitation":"&lt;sup&gt;61&lt;/sup&gt;"},"properties":{"noteIndex":0},"schema":"https://github.com/citation-style-language/schema/raw/master/csl-citation.json"}</w:instrText>
      </w:r>
      <w:r w:rsidRPr="005F44EF">
        <w:rPr>
          <w:rFonts w:ascii="Times New Roman" w:eastAsia="Times New Roman" w:hAnsi="Times New Roman" w:cs="Times New Roman"/>
          <w:sz w:val="24"/>
          <w:szCs w:val="24"/>
        </w:rPr>
        <w:fldChar w:fldCharType="separate"/>
      </w:r>
      <w:r w:rsidR="000F1B5E" w:rsidRPr="005F44EF">
        <w:rPr>
          <w:rFonts w:ascii="Times New Roman" w:eastAsia="Times New Roman" w:hAnsi="Times New Roman" w:cs="Times New Roman"/>
          <w:noProof/>
          <w:sz w:val="24"/>
          <w:szCs w:val="24"/>
          <w:vertAlign w:val="superscript"/>
        </w:rPr>
        <w:t>61</w:t>
      </w:r>
      <w:r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w:t>
      </w:r>
      <w:r w:rsidR="00571417">
        <w:rPr>
          <w:rFonts w:ascii="Times New Roman" w:eastAsia="Times New Roman" w:hAnsi="Times New Roman" w:cs="Times New Roman"/>
          <w:sz w:val="24"/>
          <w:szCs w:val="24"/>
        </w:rPr>
        <w:t>A</w:t>
      </w:r>
      <w:r w:rsidR="00F24010">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use</w:t>
      </w:r>
      <w:r w:rsidR="00571417">
        <w:rPr>
          <w:rFonts w:ascii="Times New Roman" w:eastAsia="Times New Roman" w:hAnsi="Times New Roman" w:cs="Times New Roman"/>
          <w:sz w:val="24"/>
          <w:szCs w:val="24"/>
        </w:rPr>
        <w:t>-</w:t>
      </w:r>
      <w:r w:rsidRPr="005F44EF">
        <w:rPr>
          <w:rFonts w:ascii="Times New Roman" w:eastAsia="Times New Roman" w:hAnsi="Times New Roman" w:cs="Times New Roman"/>
          <w:sz w:val="24"/>
          <w:szCs w:val="24"/>
        </w:rPr>
        <w:t xml:space="preserve">wear </w:t>
      </w:r>
      <w:r w:rsidR="00571417">
        <w:rPr>
          <w:rFonts w:ascii="Times New Roman" w:eastAsia="Times New Roman" w:hAnsi="Times New Roman" w:cs="Times New Roman"/>
          <w:sz w:val="24"/>
          <w:szCs w:val="24"/>
        </w:rPr>
        <w:t>study</w:t>
      </w:r>
      <w:r w:rsidR="00571417"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 xml:space="preserve">on </w:t>
      </w:r>
      <w:proofErr w:type="spellStart"/>
      <w:r w:rsidRPr="005F44EF">
        <w:rPr>
          <w:rFonts w:ascii="Times New Roman" w:eastAsia="Times New Roman" w:hAnsi="Times New Roman" w:cs="Times New Roman"/>
          <w:sz w:val="24"/>
          <w:szCs w:val="24"/>
        </w:rPr>
        <w:t>Lupemban</w:t>
      </w:r>
      <w:proofErr w:type="spellEnd"/>
      <w:r w:rsidRPr="005F44EF">
        <w:rPr>
          <w:rFonts w:ascii="Times New Roman" w:eastAsia="Times New Roman" w:hAnsi="Times New Roman" w:cs="Times New Roman"/>
          <w:sz w:val="24"/>
          <w:szCs w:val="24"/>
        </w:rPr>
        <w:t xml:space="preserve"> bifacial tools from Equatorial Guinea </w:t>
      </w:r>
      <w:r w:rsidR="00571417">
        <w:rPr>
          <w:rFonts w:ascii="Times New Roman" w:eastAsia="Times New Roman" w:hAnsi="Times New Roman" w:cs="Times New Roman"/>
          <w:sz w:val="24"/>
          <w:szCs w:val="24"/>
        </w:rPr>
        <w:t xml:space="preserve">indicated they were </w:t>
      </w:r>
      <w:r w:rsidRPr="005F44EF">
        <w:rPr>
          <w:rFonts w:ascii="Times New Roman" w:eastAsia="Times New Roman" w:hAnsi="Times New Roman" w:cs="Times New Roman"/>
          <w:sz w:val="24"/>
          <w:szCs w:val="24"/>
        </w:rPr>
        <w:t>use</w:t>
      </w:r>
      <w:r w:rsidR="00ED2A75">
        <w:rPr>
          <w:rFonts w:ascii="Times New Roman" w:eastAsia="Times New Roman" w:hAnsi="Times New Roman" w:cs="Times New Roman"/>
          <w:sz w:val="24"/>
          <w:szCs w:val="24"/>
        </w:rPr>
        <w:t>d</w:t>
      </w:r>
      <w:r w:rsidRPr="005F44EF">
        <w:rPr>
          <w:rFonts w:ascii="Times New Roman" w:eastAsia="Times New Roman" w:hAnsi="Times New Roman" w:cs="Times New Roman"/>
          <w:sz w:val="24"/>
          <w:szCs w:val="24"/>
        </w:rPr>
        <w:t xml:space="preserve"> not only </w:t>
      </w:r>
      <w:r w:rsidR="00047642">
        <w:rPr>
          <w:rFonts w:ascii="Times New Roman" w:eastAsia="Times New Roman" w:hAnsi="Times New Roman" w:cs="Times New Roman"/>
          <w:sz w:val="24"/>
          <w:szCs w:val="24"/>
        </w:rPr>
        <w:t xml:space="preserve">for </w:t>
      </w:r>
      <w:r w:rsidRPr="005F44EF">
        <w:rPr>
          <w:rFonts w:ascii="Times New Roman" w:eastAsia="Times New Roman" w:hAnsi="Times New Roman" w:cs="Times New Roman"/>
          <w:sz w:val="24"/>
          <w:szCs w:val="24"/>
        </w:rPr>
        <w:t xml:space="preserve">working wood material but </w:t>
      </w:r>
      <w:r w:rsidR="00047642">
        <w:rPr>
          <w:rFonts w:ascii="Times New Roman" w:eastAsia="Times New Roman" w:hAnsi="Times New Roman" w:cs="Times New Roman"/>
          <w:sz w:val="24"/>
          <w:szCs w:val="24"/>
        </w:rPr>
        <w:t xml:space="preserve">also </w:t>
      </w:r>
      <w:r w:rsidRPr="005F44EF">
        <w:rPr>
          <w:rFonts w:ascii="Times New Roman" w:eastAsia="Times New Roman" w:hAnsi="Times New Roman" w:cs="Times New Roman"/>
          <w:sz w:val="24"/>
          <w:szCs w:val="24"/>
        </w:rPr>
        <w:t xml:space="preserve">for </w:t>
      </w:r>
      <w:r w:rsidR="00047642">
        <w:rPr>
          <w:rFonts w:ascii="Times New Roman" w:eastAsia="Times New Roman" w:hAnsi="Times New Roman" w:cs="Times New Roman"/>
          <w:sz w:val="24"/>
          <w:szCs w:val="24"/>
        </w:rPr>
        <w:t xml:space="preserve">a </w:t>
      </w:r>
      <w:r w:rsidRPr="005F44EF">
        <w:rPr>
          <w:rFonts w:ascii="Times New Roman" w:eastAsia="Times New Roman" w:hAnsi="Times New Roman" w:cs="Times New Roman"/>
          <w:sz w:val="24"/>
          <w:szCs w:val="24"/>
        </w:rPr>
        <w:t xml:space="preserve">diverse range of </w:t>
      </w:r>
      <w:r w:rsidR="00ED2A75">
        <w:rPr>
          <w:rFonts w:ascii="Times New Roman" w:eastAsia="Times New Roman" w:hAnsi="Times New Roman" w:cs="Times New Roman"/>
          <w:sz w:val="24"/>
          <w:szCs w:val="24"/>
        </w:rPr>
        <w:t xml:space="preserve">other </w:t>
      </w:r>
      <w:r w:rsidRPr="005F44EF">
        <w:rPr>
          <w:rFonts w:ascii="Times New Roman" w:eastAsia="Times New Roman" w:hAnsi="Times New Roman" w:cs="Times New Roman"/>
          <w:sz w:val="24"/>
          <w:szCs w:val="24"/>
        </w:rPr>
        <w:t>activities</w:t>
      </w:r>
      <w:r w:rsidRPr="005F44EF">
        <w:rPr>
          <w:rFonts w:ascii="Times New Roman" w:eastAsia="Times New Roman" w:hAnsi="Times New Roman" w:cs="Times New Roman"/>
          <w:sz w:val="24"/>
          <w:szCs w:val="24"/>
        </w:rPr>
        <w:fldChar w:fldCharType="begin" w:fldLock="1"/>
      </w:r>
      <w:r w:rsidR="00D35BC4" w:rsidRPr="005F44EF">
        <w:rPr>
          <w:rFonts w:ascii="Times New Roman" w:eastAsia="Times New Roman" w:hAnsi="Times New Roman" w:cs="Times New Roman"/>
          <w:sz w:val="24"/>
          <w:szCs w:val="24"/>
        </w:rPr>
        <w:instrText>ADDIN CSL_CITATION {"citationItems":[{"id":"ITEM-1","itemData":{"DOI":"10.1016/j.anthro.2023.103213","ISSN":"00035521","abstract":"Lithic industries during the Upper Pleistocene in Equatorial Guinea may be broadly included in the Central African Middle Stone Age (MSA) Lupemban tradition. However, these industries present certain particularities related to their raw materials, and stone-knapping sequences. In the case of bifacial tools, bifacial points are commonly found with a cortical reserved proximal portion that keeps the cortex covering the base and part of both faces. Bifacial points made on thin stone slabs that keep the cortex on the center of one or both faces are also commonly found. This knapping technique gives the idea of unfinished preform artifacts. The edges, however, suggest that both points and other bifacial artifacts were used for some tasks. A sample of these tools was taken from the open-air Mabewele I site to decide whether the MSA points from Equatorial Guinea were finished artifacts, in spite of the preservation of their cortex. Petrographic studies and macro and microscopic analyses of the use-wear traces and residues from retouched edges were also performed. The analysis clearly shows that the Mabewele I bifacial artifacts were used for plant processing, among other activities. The results confirmed the fact that cortical reserved-base points with cortex on one or both faces were intentionally manufactured, finished tools, rather than unfinished preforms. The petrographic analysis also shows the schistous nature of raw material and explains the shape and stepped edges of bifacial knives, extending our understanding of the unique technical characteristics of the MSA in Equatorial Guinea. It also provides new insights into some of the hunter-gatherer's subsistence strategies in the Central African tropical rainforest at the end of the Pleistocene.","author":[{"dropping-particle":"","family":"Terrazas-Mata","given":"Alejandro","non-dropping-particle":"","parse-names":false,"suffix":""},{"dropping-particle":"","family":"Pérez-Martínez","given":"Patricia","non-dropping-particle":"","parse-names":false,"suffix":""},{"dropping-particle":"","family":"Cabadas-Báez","given":"Héctor Víctor","non-dropping-particle":"","parse-names":false,"suffix":""},{"dropping-particle":"","family":"Cruz-y-Cruz","given":"Tamara","non-dropping-particle":"","parse-names":false,"suffix":""},{"dropping-particle":"","family":"Menéndez-Iglesias","given":"Beatriz","non-dropping-particle":"","parse-names":false,"suffix":""},{"dropping-particle":"","family":"Rodríguez-Rivas","given":"Jorge","non-dropping-particle":"","parse-names":false,"suffix":""},{"dropping-particle":"","family":"Pogosyan","given":"Lilit","non-dropping-particle":"","parse-names":false,"suffix":""},{"dropping-particle":"","family":"Fero","given":"Maximiliano","non-dropping-particle":"","parse-names":false,"suffix":""}],"container-title":"Anthropologie (France)","id":"ITEM-1","issue":"5","issued":{"date-parts":[["2023"]]},"title":"Middle Stone Age at Equatorial Guinea: Technical and use-wear analysis of lithic bifacial points","type":"article-journal","volume":"127"},"uris":["http://www.mendeley.com/documents/?uuid=86365949-fba8-49e6-9b64-a5f406ea0ff5"]}],"mendeley":{"formattedCitation":"&lt;sup&gt;62&lt;/sup&gt;","plainTextFormattedCitation":"62","previouslyFormattedCitation":"&lt;sup&gt;62&lt;/sup&gt;"},"properties":{"noteIndex":0},"schema":"https://github.com/citation-style-language/schema/raw/master/csl-citation.json"}</w:instrText>
      </w:r>
      <w:r w:rsidRPr="005F44EF">
        <w:rPr>
          <w:rFonts w:ascii="Times New Roman" w:eastAsia="Times New Roman" w:hAnsi="Times New Roman" w:cs="Times New Roman"/>
          <w:sz w:val="24"/>
          <w:szCs w:val="24"/>
        </w:rPr>
        <w:fldChar w:fldCharType="separate"/>
      </w:r>
      <w:r w:rsidR="000F1B5E" w:rsidRPr="005F44EF">
        <w:rPr>
          <w:rFonts w:ascii="Times New Roman" w:eastAsia="Times New Roman" w:hAnsi="Times New Roman" w:cs="Times New Roman"/>
          <w:noProof/>
          <w:sz w:val="24"/>
          <w:szCs w:val="24"/>
          <w:vertAlign w:val="superscript"/>
        </w:rPr>
        <w:t>62</w:t>
      </w:r>
      <w:r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To date, </w:t>
      </w:r>
      <w:r w:rsidR="00ED2A75">
        <w:rPr>
          <w:rFonts w:ascii="Times New Roman" w:eastAsia="Times New Roman" w:hAnsi="Times New Roman" w:cs="Times New Roman"/>
          <w:sz w:val="24"/>
          <w:szCs w:val="24"/>
        </w:rPr>
        <w:t xml:space="preserve">micro-wear </w:t>
      </w:r>
      <w:r w:rsidRPr="005F44EF">
        <w:rPr>
          <w:rFonts w:ascii="Times New Roman" w:eastAsia="Times New Roman" w:hAnsi="Times New Roman" w:cs="Times New Roman"/>
          <w:sz w:val="24"/>
          <w:szCs w:val="24"/>
        </w:rPr>
        <w:t>on Sangoan tools ha</w:t>
      </w:r>
      <w:r w:rsidR="00ED2A75">
        <w:rPr>
          <w:rFonts w:ascii="Times New Roman" w:eastAsia="Times New Roman" w:hAnsi="Times New Roman" w:cs="Times New Roman"/>
          <w:sz w:val="24"/>
          <w:szCs w:val="24"/>
        </w:rPr>
        <w:t>s</w:t>
      </w:r>
      <w:r w:rsidRPr="005F44EF">
        <w:rPr>
          <w:rFonts w:ascii="Times New Roman" w:eastAsia="Times New Roman" w:hAnsi="Times New Roman" w:cs="Times New Roman"/>
          <w:sz w:val="24"/>
          <w:szCs w:val="24"/>
        </w:rPr>
        <w:t xml:space="preserve"> only been examined at the site of Sai Island in Sudan</w:t>
      </w:r>
      <w:r w:rsidRPr="005F44EF">
        <w:rPr>
          <w:rFonts w:ascii="Times New Roman" w:eastAsia="Times New Roman" w:hAnsi="Times New Roman" w:cs="Times New Roman"/>
          <w:sz w:val="24"/>
          <w:szCs w:val="24"/>
        </w:rPr>
        <w:fldChar w:fldCharType="begin" w:fldLock="1"/>
      </w:r>
      <w:r w:rsidR="00D35BC4" w:rsidRPr="005F44EF">
        <w:rPr>
          <w:rFonts w:ascii="Times New Roman" w:eastAsia="Times New Roman" w:hAnsi="Times New Roman" w:cs="Times New Roman"/>
          <w:sz w:val="24"/>
          <w:szCs w:val="24"/>
        </w:rPr>
        <w:instrText>ADDIN CSL_CITATION {"citationItems":[{"id":"ITEM-1","itemData":{"DOI":"10.1016/J.JAS.2005.08.002","ISSN":"0305-4403","abstract":"Wear analysis indicates that Sangoan core-axes from site 8-B-11 at Sai Island, Sudan, were used while hafted. The middle Sangoan occupation level at 8-B-11 served as a locale where specialized activities were performed, including core-axe manufacture and hafting. Newly manufactured quartz core-axes served as replacements for exhausted items that were mostly fabricated out of raw materials other than quartz, which were carried back to the site in their hafts for re-tooling. The hafted core-axes appear as highly mobile, curated tools, being transported across a large territory. The evidence indicates that the Sangoan is the archaeological reflection of a complex behavioural system involving economic specialization, which appeared in this part of Africa for the first time around 200 ka ago. © 2005 Elsevier Ltd. All rights reserved.","author":[{"dropping-particle":"","family":"Rots","given":"Veerle","non-dropping-particle":"","parse-names":false,"suffix":""},{"dropping-particle":"","family":"Peer","given":"P.","non-dropping-particle":"Van","parse-names":false,"suffix":""}],"container-title":"Journal of Archaeological Science","id":"ITEM-1","issue":"3","issued":{"date-parts":[["2006","3","1"]]},"page":"360-371","publisher":"Academic Press","title":"Early evidence of complexity in lithic economy: core-axe production, hafting and use at Late Middle Pleistocene site 8-B-11, Sai Island (Sudan)","type":"article-journal","volume":"33"},"uris":["http://www.mendeley.com/documents/?uuid=cc752d19-d846-3b86-a7be-d2865bb70880"]}],"mendeley":{"formattedCitation":"&lt;sup&gt;63&lt;/sup&gt;","plainTextFormattedCitation":"63","previouslyFormattedCitation":"&lt;sup&gt;63&lt;/sup&gt;"},"properties":{"noteIndex":0},"schema":"https://github.com/citation-style-language/schema/raw/master/csl-citation.json"}</w:instrText>
      </w:r>
      <w:r w:rsidRPr="005F44EF">
        <w:rPr>
          <w:rFonts w:ascii="Times New Roman" w:eastAsia="Times New Roman" w:hAnsi="Times New Roman" w:cs="Times New Roman"/>
          <w:sz w:val="24"/>
          <w:szCs w:val="24"/>
        </w:rPr>
        <w:fldChar w:fldCharType="separate"/>
      </w:r>
      <w:r w:rsidR="000F1B5E" w:rsidRPr="005F44EF">
        <w:rPr>
          <w:rFonts w:ascii="Times New Roman" w:eastAsia="Times New Roman" w:hAnsi="Times New Roman" w:cs="Times New Roman"/>
          <w:noProof/>
          <w:sz w:val="24"/>
          <w:szCs w:val="24"/>
          <w:vertAlign w:val="superscript"/>
        </w:rPr>
        <w:t>63</w:t>
      </w:r>
      <w:r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w:t>
      </w:r>
      <w:r w:rsidR="00ED2A75">
        <w:rPr>
          <w:rFonts w:ascii="Times New Roman" w:eastAsia="Times New Roman" w:hAnsi="Times New Roman" w:cs="Times New Roman"/>
          <w:sz w:val="24"/>
          <w:szCs w:val="24"/>
        </w:rPr>
        <w:t>The m</w:t>
      </w:r>
      <w:r w:rsidRPr="005F44EF">
        <w:rPr>
          <w:rFonts w:ascii="Times New Roman" w:eastAsia="Times New Roman" w:hAnsi="Times New Roman" w:cs="Times New Roman"/>
          <w:sz w:val="24"/>
          <w:szCs w:val="24"/>
        </w:rPr>
        <w:t>icro-wear patterns on these LCTs do not appear to support a woodworking or plant processing function, but rather indicate digging in a hard substrate</w:t>
      </w:r>
      <w:r w:rsidRPr="005F44EF">
        <w:rPr>
          <w:rFonts w:ascii="Times New Roman" w:eastAsia="Times New Roman" w:hAnsi="Times New Roman" w:cs="Times New Roman"/>
          <w:sz w:val="24"/>
          <w:szCs w:val="24"/>
        </w:rPr>
        <w:fldChar w:fldCharType="begin" w:fldLock="1"/>
      </w:r>
      <w:r w:rsidR="00D35BC4" w:rsidRPr="005F44EF">
        <w:rPr>
          <w:rFonts w:ascii="Times New Roman" w:eastAsia="Times New Roman" w:hAnsi="Times New Roman" w:cs="Times New Roman"/>
          <w:sz w:val="24"/>
          <w:szCs w:val="24"/>
        </w:rPr>
        <w:instrText>ADDIN CSL_CITATION {"citationItems":[{"id":"ITEM-1","itemData":{"DOI":"10.1016/J.JAS.2005.08.002","ISSN":"0305-4403","abstract":"Wear analysis indicates that Sangoan core-axes from site 8-B-11 at Sai Island, Sudan, were used while hafted. The middle Sangoan occupation level at 8-B-11 served as a locale where specialized activities were performed, including core-axe manufacture and hafting. Newly manufactured quartz core-axes served as replacements for exhausted items that were mostly fabricated out of raw materials other than quartz, which were carried back to the site in their hafts for re-tooling. The hafted core-axes appear as highly mobile, curated tools, being transported across a large territory. The evidence indicates that the Sangoan is the archaeological reflection of a complex behavioural system involving economic specialization, which appeared in this part of Africa for the first time around 200 ka ago. © 2005 Elsevier Ltd. All rights reserved.","author":[{"dropping-particle":"","family":"Rots","given":"Veerle","non-dropping-particle":"","parse-names":false,"suffix":""},{"dropping-particle":"","family":"Peer","given":"P.","non-dropping-particle":"Van","parse-names":false,"suffix":""}],"container-title":"Journal of Archaeological Science","id":"ITEM-1","issue":"3","issued":{"date-parts":[["2006","3","1"]]},"page":"360-371","publisher":"Academic Press","title":"Early evidence of complexity in lithic economy: core-axe production, hafting and use at Late Middle Pleistocene site 8-B-11, Sai Island (Sudan)","type":"article-journal","volume":"33"},"uris":["http://www.mendeley.com/documents/?uuid=cc752d19-d846-3b86-a7be-d2865bb70880"]}],"mendeley":{"formattedCitation":"&lt;sup&gt;63&lt;/sup&gt;","plainTextFormattedCitation":"63","previouslyFormattedCitation":"&lt;sup&gt;63&lt;/sup&gt;"},"properties":{"noteIndex":0},"schema":"https://github.com/citation-style-language/schema/raw/master/csl-citation.json"}</w:instrText>
      </w:r>
      <w:r w:rsidRPr="005F44EF">
        <w:rPr>
          <w:rFonts w:ascii="Times New Roman" w:eastAsia="Times New Roman" w:hAnsi="Times New Roman" w:cs="Times New Roman"/>
          <w:sz w:val="24"/>
          <w:szCs w:val="24"/>
        </w:rPr>
        <w:fldChar w:fldCharType="separate"/>
      </w:r>
      <w:r w:rsidR="000F1B5E" w:rsidRPr="005F44EF">
        <w:rPr>
          <w:rFonts w:ascii="Times New Roman" w:eastAsia="Times New Roman" w:hAnsi="Times New Roman" w:cs="Times New Roman"/>
          <w:noProof/>
          <w:sz w:val="24"/>
          <w:szCs w:val="24"/>
          <w:vertAlign w:val="superscript"/>
        </w:rPr>
        <w:t>63</w:t>
      </w:r>
      <w:r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Sai Island represents a very different ecological setting to sites in West and Central Africa, however, and caution is required when extrapolating these results to sites such as Bété</w:t>
      </w:r>
      <w:r w:rsidRPr="005F44EF">
        <w:rPr>
          <w:rFonts w:ascii="Times New Roman" w:eastAsia="Times New Roman" w:hAnsi="Times New Roman" w:cs="Times New Roman"/>
          <w:b/>
          <w:i/>
          <w:sz w:val="24"/>
          <w:szCs w:val="24"/>
        </w:rPr>
        <w:t xml:space="preserve"> </w:t>
      </w:r>
      <w:r w:rsidRPr="005F44EF">
        <w:rPr>
          <w:rFonts w:ascii="Times New Roman" w:eastAsia="Times New Roman" w:hAnsi="Times New Roman" w:cs="Times New Roman"/>
          <w:sz w:val="24"/>
          <w:szCs w:val="24"/>
        </w:rPr>
        <w:t>I and III at Anyama, where a functional association with the forested environment remains a possibility</w:t>
      </w:r>
      <w:r w:rsidR="00ED2A75">
        <w:rPr>
          <w:rFonts w:ascii="Times New Roman" w:eastAsia="Times New Roman" w:hAnsi="Times New Roman" w:cs="Times New Roman"/>
          <w:sz w:val="24"/>
          <w:szCs w:val="24"/>
        </w:rPr>
        <w:t xml:space="preserve">, although it is </w:t>
      </w:r>
      <w:r w:rsidRPr="005F44EF">
        <w:rPr>
          <w:rFonts w:ascii="Times New Roman" w:eastAsia="Times New Roman" w:hAnsi="Times New Roman" w:cs="Times New Roman"/>
          <w:sz w:val="24"/>
          <w:szCs w:val="24"/>
        </w:rPr>
        <w:t xml:space="preserve">unproven to date. </w:t>
      </w:r>
    </w:p>
    <w:p w14:paraId="3EA67935" w14:textId="77777777" w:rsidR="00BB7AA9" w:rsidRPr="005F44EF" w:rsidRDefault="00BB7AA9">
      <w:pPr>
        <w:spacing w:after="0" w:line="276" w:lineRule="auto"/>
        <w:jc w:val="both"/>
        <w:rPr>
          <w:rFonts w:ascii="Times New Roman" w:eastAsia="Times New Roman" w:hAnsi="Times New Roman" w:cs="Times New Roman"/>
          <w:sz w:val="24"/>
          <w:szCs w:val="24"/>
        </w:rPr>
      </w:pPr>
    </w:p>
    <w:p w14:paraId="1384B18F" w14:textId="77777777" w:rsidR="00BB7AA9" w:rsidRPr="005F44EF" w:rsidRDefault="00B9564D" w:rsidP="00D23247">
      <w:pPr>
        <w:pStyle w:val="Heading2"/>
        <w:rPr>
          <w:rFonts w:cs="Times New Roman"/>
        </w:rPr>
      </w:pPr>
      <w:bookmarkStart w:id="4" w:name="_Toc178429922"/>
      <w:r w:rsidRPr="005F44EF">
        <w:rPr>
          <w:rFonts w:cs="Times New Roman"/>
        </w:rPr>
        <w:t>1.3 Previous excavations and work at Bété I</w:t>
      </w:r>
      <w:bookmarkEnd w:id="4"/>
    </w:p>
    <w:p w14:paraId="649C837A" w14:textId="77777777" w:rsidR="00BB7AA9" w:rsidRPr="005F44EF" w:rsidRDefault="00BB7AA9">
      <w:pPr>
        <w:spacing w:after="0" w:line="276" w:lineRule="auto"/>
        <w:jc w:val="both"/>
        <w:rPr>
          <w:rFonts w:ascii="Times New Roman" w:eastAsia="Times New Roman" w:hAnsi="Times New Roman" w:cs="Times New Roman"/>
          <w:sz w:val="24"/>
          <w:szCs w:val="24"/>
        </w:rPr>
      </w:pPr>
    </w:p>
    <w:p w14:paraId="52DB331C" w14:textId="668252E4" w:rsidR="008B185B" w:rsidRPr="005F44EF" w:rsidRDefault="00366B72">
      <w:pPr>
        <w:spacing w:after="0" w:line="276" w:lineRule="auto"/>
        <w:jc w:val="both"/>
        <w:rPr>
          <w:rFonts w:ascii="Times New Roman" w:eastAsia="Times New Roman" w:hAnsi="Times New Roman" w:cs="Times New Roman"/>
          <w:sz w:val="24"/>
          <w:szCs w:val="24"/>
        </w:rPr>
      </w:pPr>
      <w:bookmarkStart w:id="5" w:name="_Hlk167103506"/>
      <w:r w:rsidRPr="005F44EF">
        <w:rPr>
          <w:rFonts w:ascii="Times New Roman" w:eastAsia="Times New Roman" w:hAnsi="Times New Roman" w:cs="Times New Roman"/>
          <w:sz w:val="24"/>
          <w:szCs w:val="24"/>
        </w:rPr>
        <w:t xml:space="preserve">Anyama is located </w:t>
      </w:r>
      <w:r w:rsidR="00484D2B" w:rsidRPr="005F44EF">
        <w:rPr>
          <w:rFonts w:ascii="Times New Roman" w:eastAsia="Times New Roman" w:hAnsi="Times New Roman" w:cs="Times New Roman"/>
          <w:sz w:val="24"/>
          <w:szCs w:val="24"/>
        </w:rPr>
        <w:t>toward the northern extent of the</w:t>
      </w:r>
      <w:r w:rsidR="00D50B75" w:rsidRPr="005F44EF">
        <w:rPr>
          <w:rFonts w:ascii="Times New Roman" w:eastAsia="Times New Roman" w:hAnsi="Times New Roman" w:cs="Times New Roman"/>
          <w:sz w:val="24"/>
          <w:szCs w:val="24"/>
        </w:rPr>
        <w:t xml:space="preserve"> sediment basins that extend inland ~50km from the </w:t>
      </w:r>
      <w:r w:rsidR="00E50631" w:rsidRPr="005F44EF">
        <w:rPr>
          <w:rFonts w:ascii="Times New Roman" w:eastAsia="Times New Roman" w:hAnsi="Times New Roman" w:cs="Times New Roman"/>
          <w:sz w:val="24"/>
          <w:szCs w:val="24"/>
        </w:rPr>
        <w:t xml:space="preserve">present </w:t>
      </w:r>
      <w:r w:rsidR="00D50B75" w:rsidRPr="005F44EF">
        <w:rPr>
          <w:rFonts w:ascii="Times New Roman" w:eastAsia="Times New Roman" w:hAnsi="Times New Roman" w:cs="Times New Roman"/>
          <w:sz w:val="24"/>
          <w:szCs w:val="24"/>
        </w:rPr>
        <w:t>coast</w:t>
      </w:r>
      <w:r w:rsidR="00E50631" w:rsidRPr="005F44EF">
        <w:rPr>
          <w:rFonts w:ascii="Times New Roman" w:eastAsia="Times New Roman" w:hAnsi="Times New Roman" w:cs="Times New Roman"/>
          <w:sz w:val="24"/>
          <w:szCs w:val="24"/>
        </w:rPr>
        <w:t xml:space="preserve"> line, beyond which </w:t>
      </w:r>
      <w:r w:rsidR="00162674" w:rsidRPr="005F44EF">
        <w:rPr>
          <w:rFonts w:ascii="Times New Roman" w:eastAsia="Times New Roman" w:hAnsi="Times New Roman" w:cs="Times New Roman"/>
          <w:sz w:val="24"/>
          <w:szCs w:val="24"/>
        </w:rPr>
        <w:t xml:space="preserve">sediment cover </w:t>
      </w:r>
      <w:r w:rsidR="00F04C62">
        <w:rPr>
          <w:rFonts w:ascii="Times New Roman" w:eastAsia="Times New Roman" w:hAnsi="Times New Roman" w:cs="Times New Roman"/>
          <w:sz w:val="24"/>
          <w:szCs w:val="24"/>
        </w:rPr>
        <w:t xml:space="preserve">overlying </w:t>
      </w:r>
      <w:r w:rsidR="00162674" w:rsidRPr="005F44EF">
        <w:rPr>
          <w:rFonts w:ascii="Times New Roman" w:eastAsia="Times New Roman" w:hAnsi="Times New Roman" w:cs="Times New Roman"/>
          <w:sz w:val="24"/>
          <w:szCs w:val="24"/>
        </w:rPr>
        <w:t xml:space="preserve">Pliocene </w:t>
      </w:r>
      <w:r w:rsidR="005B0BEA" w:rsidRPr="005F44EF">
        <w:rPr>
          <w:rFonts w:ascii="Times New Roman" w:eastAsia="Times New Roman" w:hAnsi="Times New Roman" w:cs="Times New Roman"/>
          <w:sz w:val="24"/>
          <w:szCs w:val="24"/>
        </w:rPr>
        <w:t>weathering crusts and more ancient peneplains is highly limited</w:t>
      </w:r>
      <w:r w:rsidR="00E84150"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uthor":[{"dropping-particle":"","family":"Lioubin","given":"V.P.","non-dropping-particle":"","parse-names":false,"suffix":""},{"dropping-particle":"","family":"Guédé","given":"F.Y.","non-dropping-particle":"","parse-names":false,"suffix":""}],"container-title":"Russian Academy of Sciences, Institute of the History of Material Culture Proceedings, vol. 3","id":"ITEM-1","issued":{"date-parts":[["2000"]]},"publisher-place":"St. Petersburg","title":"Paleolit Respubliki Kot d'Ivvuar (Zapadnaya Afrika) [The Palaeolithic of the Republic of Cote d'Ivoire (West Africa)]","type":"book"},"uris":["http://www.mendeley.com/documents/?uuid=aa04e7e7-917b-48f3-b7ff-044d552e4799"]},{"id":"ITEM-2","itemData":{"author":[{"dropping-particle":"","family":"Allsworth-Jones","given":"Philip","non-dropping-particle":"","parse-names":false,"suffix":""}],"edition":"Archaeopre","id":"ITEM-2","issued":{"date-parts":[["2019"]]},"publisher-place":" Oxford","title":"The Middle Stone Age of Nigeria in its West African Context","type":"book"},"uris":["http://www.mendeley.com/documents/?uuid=6917f608-b417-3be9-a45f-00adb98d9562"]}],"mendeley":{"formattedCitation":"&lt;sup&gt;39,64&lt;/sup&gt;","plainTextFormattedCitation":"39,64","previouslyFormattedCitation":"&lt;sup&gt;39,64&lt;/sup&gt;"},"properties":{"noteIndex":0},"schema":"https://github.com/citation-style-language/schema/raw/master/csl-citation.json"}</w:instrText>
      </w:r>
      <w:r w:rsidR="00E84150" w:rsidRPr="005F44EF">
        <w:rPr>
          <w:rFonts w:ascii="Times New Roman" w:eastAsia="Times New Roman" w:hAnsi="Times New Roman" w:cs="Times New Roman"/>
          <w:sz w:val="24"/>
          <w:szCs w:val="24"/>
        </w:rPr>
        <w:fldChar w:fldCharType="separate"/>
      </w:r>
      <w:r w:rsidR="00E84150" w:rsidRPr="005F44EF">
        <w:rPr>
          <w:rFonts w:ascii="Times New Roman" w:eastAsia="Times New Roman" w:hAnsi="Times New Roman" w:cs="Times New Roman"/>
          <w:noProof/>
          <w:sz w:val="24"/>
          <w:szCs w:val="24"/>
          <w:vertAlign w:val="superscript"/>
        </w:rPr>
        <w:t>39,64</w:t>
      </w:r>
      <w:r w:rsidR="00E84150" w:rsidRPr="005F44EF">
        <w:rPr>
          <w:rFonts w:ascii="Times New Roman" w:eastAsia="Times New Roman" w:hAnsi="Times New Roman" w:cs="Times New Roman"/>
          <w:sz w:val="24"/>
          <w:szCs w:val="24"/>
        </w:rPr>
        <w:fldChar w:fldCharType="end"/>
      </w:r>
      <w:r w:rsidR="005B0BEA" w:rsidRPr="005F44EF">
        <w:rPr>
          <w:rFonts w:ascii="Times New Roman" w:eastAsia="Times New Roman" w:hAnsi="Times New Roman" w:cs="Times New Roman"/>
          <w:sz w:val="24"/>
          <w:szCs w:val="24"/>
        </w:rPr>
        <w:t xml:space="preserve">. </w:t>
      </w:r>
      <w:r w:rsidR="008C6A23" w:rsidRPr="005F44EF">
        <w:rPr>
          <w:rFonts w:ascii="Times New Roman" w:eastAsia="Times New Roman" w:hAnsi="Times New Roman" w:cs="Times New Roman"/>
          <w:sz w:val="24"/>
          <w:szCs w:val="24"/>
        </w:rPr>
        <w:t xml:space="preserve">The modern drainage network was </w:t>
      </w:r>
      <w:r w:rsidR="004B2CD3" w:rsidRPr="005F44EF">
        <w:rPr>
          <w:rFonts w:ascii="Times New Roman" w:eastAsia="Times New Roman" w:hAnsi="Times New Roman" w:cs="Times New Roman"/>
          <w:sz w:val="24"/>
          <w:szCs w:val="24"/>
        </w:rPr>
        <w:t xml:space="preserve">likely </w:t>
      </w:r>
      <w:r w:rsidR="008C6A23" w:rsidRPr="005F44EF">
        <w:rPr>
          <w:rFonts w:ascii="Times New Roman" w:eastAsia="Times New Roman" w:hAnsi="Times New Roman" w:cs="Times New Roman"/>
          <w:sz w:val="24"/>
          <w:szCs w:val="24"/>
        </w:rPr>
        <w:t xml:space="preserve">formed after the </w:t>
      </w:r>
      <w:r w:rsidR="006A44E6" w:rsidRPr="005F44EF">
        <w:rPr>
          <w:rFonts w:ascii="Times New Roman" w:eastAsia="Times New Roman" w:hAnsi="Times New Roman" w:cs="Times New Roman"/>
          <w:sz w:val="24"/>
          <w:szCs w:val="24"/>
        </w:rPr>
        <w:t xml:space="preserve">formation of Pliocene surfaces, but these still </w:t>
      </w:r>
      <w:r w:rsidR="004E7598" w:rsidRPr="005F44EF">
        <w:rPr>
          <w:rFonts w:ascii="Times New Roman" w:eastAsia="Times New Roman" w:hAnsi="Times New Roman" w:cs="Times New Roman"/>
          <w:sz w:val="24"/>
          <w:szCs w:val="24"/>
        </w:rPr>
        <w:t xml:space="preserve">exert </w:t>
      </w:r>
      <w:r w:rsidR="003D62CD" w:rsidRPr="005F44EF">
        <w:rPr>
          <w:rFonts w:ascii="Times New Roman" w:eastAsia="Times New Roman" w:hAnsi="Times New Roman" w:cs="Times New Roman"/>
          <w:sz w:val="24"/>
          <w:szCs w:val="24"/>
        </w:rPr>
        <w:t>control over the location of major drainages</w:t>
      </w:r>
      <w:r w:rsidR="00E84150"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uthor":[{"dropping-particle":"","family":"Lioubin","given":"V.P.","non-dropping-particle":"","parse-names":false,"suffix":""},{"dropping-particle":"","family":"Guédé","given":"F.Y.","non-dropping-particle":"","parse-names":false,"suffix":""}],"container-title":"Russian Academy of Sciences, Institute of the History of Material Culture Proceedings, vol. 3","id":"ITEM-1","issued":{"date-parts":[["2000"]]},"publisher-place":"St. Petersburg","title":"Paleolit Respubliki Kot d'Ivvuar (Zapadnaya Afrika) [The Palaeolithic of the Republic of Cote d'Ivoire (West Africa)]","type":"book"},"uris":["http://www.mendeley.com/documents/?uuid=aa04e7e7-917b-48f3-b7ff-044d552e4799"]}],"mendeley":{"formattedCitation":"&lt;sup&gt;39&lt;/sup&gt;","plainTextFormattedCitation":"39","previouslyFormattedCitation":"&lt;sup&gt;39&lt;/sup&gt;"},"properties":{"noteIndex":0},"schema":"https://github.com/citation-style-language/schema/raw/master/csl-citation.json"}</w:instrText>
      </w:r>
      <w:r w:rsidR="00E84150" w:rsidRPr="005F44EF">
        <w:rPr>
          <w:rFonts w:ascii="Times New Roman" w:eastAsia="Times New Roman" w:hAnsi="Times New Roman" w:cs="Times New Roman"/>
          <w:sz w:val="24"/>
          <w:szCs w:val="24"/>
        </w:rPr>
        <w:fldChar w:fldCharType="separate"/>
      </w:r>
      <w:r w:rsidR="00E84150" w:rsidRPr="005F44EF">
        <w:rPr>
          <w:rFonts w:ascii="Times New Roman" w:eastAsia="Times New Roman" w:hAnsi="Times New Roman" w:cs="Times New Roman"/>
          <w:noProof/>
          <w:sz w:val="24"/>
          <w:szCs w:val="24"/>
          <w:vertAlign w:val="superscript"/>
        </w:rPr>
        <w:t>39</w:t>
      </w:r>
      <w:r w:rsidR="00E84150" w:rsidRPr="005F44EF">
        <w:rPr>
          <w:rFonts w:ascii="Times New Roman" w:eastAsia="Times New Roman" w:hAnsi="Times New Roman" w:cs="Times New Roman"/>
          <w:sz w:val="24"/>
          <w:szCs w:val="24"/>
        </w:rPr>
        <w:fldChar w:fldCharType="end"/>
      </w:r>
      <w:r w:rsidR="004B2CD3" w:rsidRPr="005F44EF">
        <w:rPr>
          <w:rFonts w:ascii="Times New Roman" w:eastAsia="Times New Roman" w:hAnsi="Times New Roman" w:cs="Times New Roman"/>
          <w:sz w:val="24"/>
          <w:szCs w:val="24"/>
        </w:rPr>
        <w:t xml:space="preserve">. </w:t>
      </w:r>
      <w:r w:rsidR="00EA6E3A" w:rsidRPr="005F44EF">
        <w:rPr>
          <w:rFonts w:ascii="Times New Roman" w:eastAsia="Times New Roman" w:hAnsi="Times New Roman" w:cs="Times New Roman"/>
          <w:sz w:val="24"/>
          <w:szCs w:val="24"/>
        </w:rPr>
        <w:t xml:space="preserve">Whereas the sediment basins close to the coast are dominated by </w:t>
      </w:r>
      <w:r w:rsidR="00B7012C" w:rsidRPr="005F44EF">
        <w:rPr>
          <w:rFonts w:ascii="Times New Roman" w:eastAsia="Times New Roman" w:hAnsi="Times New Roman" w:cs="Times New Roman"/>
          <w:sz w:val="24"/>
          <w:szCs w:val="24"/>
        </w:rPr>
        <w:t xml:space="preserve">Holocene marine sediments, further inland they comprise </w:t>
      </w:r>
      <w:r w:rsidR="00D74FD4" w:rsidRPr="005F44EF">
        <w:rPr>
          <w:rFonts w:ascii="Times New Roman" w:eastAsia="Times New Roman" w:hAnsi="Times New Roman" w:cs="Times New Roman"/>
          <w:sz w:val="24"/>
          <w:szCs w:val="24"/>
        </w:rPr>
        <w:t>gravelly, loosely sorted sandy loams of the Continental Terminal</w:t>
      </w:r>
      <w:r w:rsidR="00BC4460" w:rsidRPr="005F44EF">
        <w:rPr>
          <w:rFonts w:ascii="Times New Roman" w:eastAsia="Times New Roman" w:hAnsi="Times New Roman" w:cs="Times New Roman"/>
          <w:sz w:val="24"/>
          <w:szCs w:val="24"/>
        </w:rPr>
        <w:t xml:space="preserve"> overlain by homogenous clayey </w:t>
      </w:r>
      <w:r w:rsidR="00BC4460" w:rsidRPr="00802679">
        <w:rPr>
          <w:rFonts w:ascii="Times New Roman" w:eastAsia="Times New Roman" w:hAnsi="Times New Roman" w:cs="Times New Roman"/>
          <w:i/>
          <w:sz w:val="24"/>
          <w:szCs w:val="24"/>
        </w:rPr>
        <w:t>Terre de Barre</w:t>
      </w:r>
      <w:r w:rsidR="00BC4460" w:rsidRPr="005F44EF">
        <w:rPr>
          <w:rFonts w:ascii="Times New Roman" w:eastAsia="Times New Roman" w:hAnsi="Times New Roman" w:cs="Times New Roman"/>
          <w:sz w:val="24"/>
          <w:szCs w:val="24"/>
        </w:rPr>
        <w:t xml:space="preserve"> red sands.</w:t>
      </w:r>
      <w:r w:rsidR="006B42C2" w:rsidRPr="005F44EF">
        <w:rPr>
          <w:rFonts w:ascii="Times New Roman" w:eastAsia="Times New Roman" w:hAnsi="Times New Roman" w:cs="Times New Roman"/>
          <w:sz w:val="24"/>
          <w:szCs w:val="24"/>
        </w:rPr>
        <w:t xml:space="preserve"> These deposits</w:t>
      </w:r>
      <w:r w:rsidR="009C60DE" w:rsidRPr="005F44EF">
        <w:rPr>
          <w:rFonts w:ascii="Times New Roman" w:eastAsia="Times New Roman" w:hAnsi="Times New Roman" w:cs="Times New Roman"/>
          <w:sz w:val="24"/>
          <w:szCs w:val="24"/>
        </w:rPr>
        <w:t>, and their subsequent incision, drive modern patterns of relief in the landscape surrounding Anyama</w:t>
      </w:r>
      <w:r w:rsidR="00E84150" w:rsidRPr="005F44EF">
        <w:rPr>
          <w:rFonts w:ascii="Times New Roman" w:eastAsia="Times New Roman" w:hAnsi="Times New Roman" w:cs="Times New Roman"/>
          <w:sz w:val="24"/>
          <w:szCs w:val="24"/>
        </w:rPr>
        <w:t xml:space="preserve"> sites</w:t>
      </w:r>
      <w:r w:rsidR="009C60DE" w:rsidRPr="005F44EF">
        <w:rPr>
          <w:rFonts w:ascii="Times New Roman" w:eastAsia="Times New Roman" w:hAnsi="Times New Roman" w:cs="Times New Roman"/>
          <w:sz w:val="24"/>
          <w:szCs w:val="24"/>
        </w:rPr>
        <w:t>.</w:t>
      </w:r>
      <w:r w:rsidR="00F24010">
        <w:rPr>
          <w:rFonts w:ascii="Times New Roman" w:eastAsia="Times New Roman" w:hAnsi="Times New Roman" w:cs="Times New Roman"/>
          <w:sz w:val="24"/>
          <w:szCs w:val="24"/>
        </w:rPr>
        <w:t xml:space="preserve"> </w:t>
      </w:r>
    </w:p>
    <w:bookmarkEnd w:id="5"/>
    <w:p w14:paraId="7DDFB967" w14:textId="77777777" w:rsidR="008B185B" w:rsidRPr="005F44EF" w:rsidRDefault="008B185B">
      <w:pPr>
        <w:spacing w:after="0" w:line="276" w:lineRule="auto"/>
        <w:jc w:val="both"/>
        <w:rPr>
          <w:rFonts w:ascii="Times New Roman" w:eastAsia="Times New Roman" w:hAnsi="Times New Roman" w:cs="Times New Roman"/>
          <w:sz w:val="24"/>
          <w:szCs w:val="24"/>
        </w:rPr>
      </w:pPr>
    </w:p>
    <w:p w14:paraId="636CD8ED" w14:textId="0AAE4621" w:rsidR="00BB7AA9" w:rsidRPr="005F44EF" w:rsidRDefault="00B9564D" w:rsidP="00A6342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The </w:t>
      </w:r>
      <w:r w:rsidR="002028B4" w:rsidRPr="005F44EF">
        <w:rPr>
          <w:rFonts w:ascii="Times New Roman" w:eastAsia="Times New Roman" w:hAnsi="Times New Roman" w:cs="Times New Roman"/>
          <w:sz w:val="24"/>
          <w:szCs w:val="24"/>
        </w:rPr>
        <w:t xml:space="preserve">archaeological </w:t>
      </w:r>
      <w:r w:rsidRPr="005F44EF">
        <w:rPr>
          <w:rFonts w:ascii="Times New Roman" w:eastAsia="Times New Roman" w:hAnsi="Times New Roman" w:cs="Times New Roman"/>
          <w:sz w:val="24"/>
          <w:szCs w:val="24"/>
        </w:rPr>
        <w:t>site</w:t>
      </w:r>
      <w:r w:rsidR="002028B4" w:rsidRPr="005F44EF">
        <w:rPr>
          <w:rFonts w:ascii="Times New Roman" w:eastAsia="Times New Roman" w:hAnsi="Times New Roman" w:cs="Times New Roman"/>
          <w:sz w:val="24"/>
          <w:szCs w:val="24"/>
        </w:rPr>
        <w:t>s at Anyama</w:t>
      </w:r>
      <w:r w:rsidRPr="005F44EF">
        <w:rPr>
          <w:rFonts w:ascii="Times New Roman" w:eastAsia="Times New Roman" w:hAnsi="Times New Roman" w:cs="Times New Roman"/>
          <w:sz w:val="24"/>
          <w:szCs w:val="24"/>
        </w:rPr>
        <w:t xml:space="preserve"> </w:t>
      </w:r>
      <w:r w:rsidR="00544B7A" w:rsidRPr="005F44EF">
        <w:rPr>
          <w:rFonts w:ascii="Times New Roman" w:eastAsia="Times New Roman" w:hAnsi="Times New Roman" w:cs="Times New Roman"/>
          <w:sz w:val="24"/>
          <w:szCs w:val="24"/>
        </w:rPr>
        <w:t>(</w:t>
      </w:r>
      <w:r w:rsidR="00544B7A" w:rsidRPr="005F44EF">
        <w:rPr>
          <w:rFonts w:ascii="Times New Roman" w:eastAsia="Times New Roman" w:hAnsi="Times New Roman" w:cs="Times New Roman"/>
          <w:b/>
          <w:sz w:val="24"/>
          <w:szCs w:val="24"/>
        </w:rPr>
        <w:t>Figure S1</w:t>
      </w:r>
      <w:r w:rsidR="00544B7A"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w</w:t>
      </w:r>
      <w:r w:rsidR="002028B4" w:rsidRPr="005F44EF">
        <w:rPr>
          <w:rFonts w:ascii="Times New Roman" w:eastAsia="Times New Roman" w:hAnsi="Times New Roman" w:cs="Times New Roman"/>
          <w:sz w:val="24"/>
          <w:szCs w:val="24"/>
        </w:rPr>
        <w:t>ere first</w:t>
      </w:r>
      <w:r w:rsidRPr="005F44EF">
        <w:rPr>
          <w:rFonts w:ascii="Times New Roman" w:eastAsia="Times New Roman" w:hAnsi="Times New Roman" w:cs="Times New Roman"/>
          <w:sz w:val="24"/>
          <w:szCs w:val="24"/>
        </w:rPr>
        <w:t xml:space="preserve"> discovered in the early 1980s by </w:t>
      </w:r>
      <w:proofErr w:type="spellStart"/>
      <w:r w:rsidRPr="005F44EF">
        <w:rPr>
          <w:rFonts w:ascii="Times New Roman" w:eastAsia="Times New Roman" w:hAnsi="Times New Roman" w:cs="Times New Roman"/>
          <w:sz w:val="24"/>
          <w:szCs w:val="24"/>
        </w:rPr>
        <w:t>Chenorkian</w:t>
      </w:r>
      <w:proofErr w:type="spellEnd"/>
      <w:r w:rsidRPr="005F44EF">
        <w:rPr>
          <w:rFonts w:ascii="Times New Roman" w:eastAsia="Times New Roman" w:hAnsi="Times New Roman" w:cs="Times New Roman"/>
          <w:sz w:val="24"/>
          <w:szCs w:val="24"/>
        </w:rPr>
        <w:t xml:space="preserve"> and Paradis</w:t>
      </w:r>
      <w:r w:rsidR="00D1111E" w:rsidRPr="005F44EF">
        <w:rPr>
          <w:rFonts w:ascii="Times New Roman" w:eastAsia="Times New Roman" w:hAnsi="Times New Roman" w:cs="Times New Roman"/>
          <w:sz w:val="24"/>
          <w:szCs w:val="24"/>
        </w:rPr>
        <w:fldChar w:fldCharType="begin" w:fldLock="1"/>
      </w:r>
      <w:r w:rsidR="00E84150" w:rsidRPr="005F44EF">
        <w:rPr>
          <w:rFonts w:ascii="Times New Roman" w:eastAsia="Times New Roman" w:hAnsi="Times New Roman" w:cs="Times New Roman"/>
          <w:sz w:val="24"/>
          <w:szCs w:val="24"/>
        </w:rPr>
        <w:instrText>ADDIN CSL_CITATION {"citationItems":[{"id":"ITEM-1","itemData":{"author":[{"dropping-particle":"","family":"Chenorkian","given":"Robert","non-dropping-particle":"","parse-names":false,"suffix":""},{"dropping-particle":"","family":"Paradis","given":"G.","non-dropping-particle":"","parse-names":false,"suffix":""}],"container-title":"3rd Congress, West African Archaeological Association, Dakar.","id":"ITEM-1","issued":{"date-parts":[["1981"]]},"title":"Une industrie paleolithique decouverte dans la 'terre dc barre' d'une terrasse proche d'Anyama (region d'Abidjan)","type":"paper-conference"},"uris":["http://www.mendeley.com/documents/?uuid=7db04cf3-cc83-47af-b1ce-d6914d6ab708"]},{"id":"ITEM-2","itemData":{"author":[{"dropping-particle":"","family":"Chenorkian","given":"R.","non-dropping-particle":"","parse-names":false,"suffix":""},{"dropping-particle":"","family":"Paradis","given":"G.","non-dropping-particle":"","parse-names":false,"suffix":""}],"container-title":"Nyame Akuma","id":"ITEM-2","issued":{"date-parts":[["1982"]]},"page":"18-27","title":"Une industrie paléolithique découverte dans la « Terre de Barre » d’une terrasse proche d’Anyama (région d’Abidjan)","type":"article-journal","volume":"21"},"uris":["http://www.mendeley.com/documents/?uuid=0631c5c9-c687-4cf0-ab29-a5aba7c6bcdc"]}],"mendeley":{"formattedCitation":"&lt;sup&gt;65,66&lt;/sup&gt;","plainTextFormattedCitation":"65,66","previouslyFormattedCitation":"&lt;sup&gt;65,66&lt;/sup&gt;"},"properties":{"noteIndex":0},"schema":"https://github.com/citation-style-language/schema/raw/master/csl-citation.json"}</w:instrText>
      </w:r>
      <w:r w:rsidR="00D1111E" w:rsidRPr="005F44EF">
        <w:rPr>
          <w:rFonts w:ascii="Times New Roman" w:eastAsia="Times New Roman" w:hAnsi="Times New Roman" w:cs="Times New Roman"/>
          <w:sz w:val="24"/>
          <w:szCs w:val="24"/>
        </w:rPr>
        <w:fldChar w:fldCharType="separate"/>
      </w:r>
      <w:r w:rsidR="00E84150" w:rsidRPr="005F44EF">
        <w:rPr>
          <w:rFonts w:ascii="Times New Roman" w:eastAsia="Times New Roman" w:hAnsi="Times New Roman" w:cs="Times New Roman"/>
          <w:noProof/>
          <w:sz w:val="24"/>
          <w:szCs w:val="24"/>
          <w:vertAlign w:val="superscript"/>
        </w:rPr>
        <w:t>65,66</w:t>
      </w:r>
      <w:r w:rsidR="00D1111E" w:rsidRPr="005F44EF">
        <w:rPr>
          <w:rFonts w:ascii="Times New Roman" w:eastAsia="Times New Roman" w:hAnsi="Times New Roman" w:cs="Times New Roman"/>
          <w:sz w:val="24"/>
          <w:szCs w:val="24"/>
        </w:rPr>
        <w:fldChar w:fldCharType="end"/>
      </w:r>
      <w:r w:rsidR="007776DE" w:rsidRPr="005F44EF">
        <w:rPr>
          <w:rFonts w:ascii="Times New Roman" w:eastAsia="Times New Roman" w:hAnsi="Times New Roman" w:cs="Times New Roman"/>
          <w:sz w:val="24"/>
          <w:szCs w:val="24"/>
        </w:rPr>
        <w:t xml:space="preserve">, through the investigation of an old quarry that had </w:t>
      </w:r>
      <w:r w:rsidR="00C559B3" w:rsidRPr="005F44EF">
        <w:rPr>
          <w:rFonts w:ascii="Times New Roman" w:eastAsia="Times New Roman" w:hAnsi="Times New Roman" w:cs="Times New Roman"/>
          <w:sz w:val="24"/>
          <w:szCs w:val="24"/>
        </w:rPr>
        <w:t>produced steep sediment sections for inspection.</w:t>
      </w:r>
      <w:r w:rsidR="008F1244" w:rsidRPr="005F44EF">
        <w:rPr>
          <w:rFonts w:ascii="Times New Roman" w:eastAsia="Times New Roman" w:hAnsi="Times New Roman" w:cs="Times New Roman"/>
          <w:sz w:val="24"/>
          <w:szCs w:val="24"/>
        </w:rPr>
        <w:t xml:space="preserve"> </w:t>
      </w:r>
      <w:r w:rsidR="00F771BF" w:rsidRPr="005F44EF">
        <w:rPr>
          <w:rFonts w:ascii="Times New Roman" w:eastAsia="Times New Roman" w:hAnsi="Times New Roman" w:cs="Times New Roman"/>
          <w:sz w:val="24"/>
          <w:szCs w:val="24"/>
        </w:rPr>
        <w:t>The local bedrock</w:t>
      </w:r>
      <w:r w:rsidR="00544B7A" w:rsidRPr="005F44EF">
        <w:rPr>
          <w:rFonts w:ascii="Times New Roman" w:eastAsia="Times New Roman" w:hAnsi="Times New Roman" w:cs="Times New Roman"/>
          <w:sz w:val="24"/>
          <w:szCs w:val="24"/>
        </w:rPr>
        <w:t xml:space="preserve"> </w:t>
      </w:r>
      <w:r w:rsidR="00F771BF" w:rsidRPr="005F44EF">
        <w:rPr>
          <w:rFonts w:ascii="Times New Roman" w:eastAsia="Times New Roman" w:hAnsi="Times New Roman" w:cs="Times New Roman"/>
          <w:sz w:val="24"/>
          <w:szCs w:val="24"/>
        </w:rPr>
        <w:t>was identified</w:t>
      </w:r>
      <w:r w:rsidR="00B7417E" w:rsidRPr="005F44EF">
        <w:rPr>
          <w:rFonts w:ascii="Times New Roman" w:eastAsia="Times New Roman" w:hAnsi="Times New Roman" w:cs="Times New Roman"/>
          <w:sz w:val="24"/>
          <w:szCs w:val="24"/>
        </w:rPr>
        <w:t xml:space="preserve"> between 5-7m above the present valley floor, where </w:t>
      </w:r>
      <w:r w:rsidR="002B011E" w:rsidRPr="005F44EF">
        <w:rPr>
          <w:rFonts w:ascii="Times New Roman" w:eastAsia="Times New Roman" w:hAnsi="Times New Roman" w:cs="Times New Roman"/>
          <w:sz w:val="24"/>
          <w:szCs w:val="24"/>
        </w:rPr>
        <w:t xml:space="preserve">the small Bété River flows, which subsequently lent its name to the archaeological sites. </w:t>
      </w:r>
      <w:r w:rsidR="00A6342D" w:rsidRPr="005F44EF">
        <w:rPr>
          <w:rFonts w:ascii="Times New Roman" w:eastAsia="Times New Roman" w:hAnsi="Times New Roman" w:cs="Times New Roman"/>
          <w:sz w:val="24"/>
          <w:szCs w:val="24"/>
        </w:rPr>
        <w:t xml:space="preserve">Lithic artefacts, including </w:t>
      </w:r>
      <w:r w:rsidRPr="005F44EF">
        <w:rPr>
          <w:rFonts w:ascii="Times New Roman" w:eastAsia="Times New Roman" w:hAnsi="Times New Roman" w:cs="Times New Roman"/>
          <w:sz w:val="24"/>
          <w:szCs w:val="24"/>
        </w:rPr>
        <w:t>side-scrapers, flakes, core-axes, picks, Levallois and multiplatform cores</w:t>
      </w:r>
      <w:r w:rsidR="00A6342D" w:rsidRPr="005F44EF">
        <w:rPr>
          <w:rFonts w:ascii="Times New Roman" w:eastAsia="Times New Roman" w:hAnsi="Times New Roman" w:cs="Times New Roman"/>
          <w:sz w:val="24"/>
          <w:szCs w:val="24"/>
        </w:rPr>
        <w:t xml:space="preserve">, were </w:t>
      </w:r>
      <w:r w:rsidR="00FC5CC3" w:rsidRPr="005F44EF">
        <w:rPr>
          <w:rFonts w:ascii="Times New Roman" w:eastAsia="Times New Roman" w:hAnsi="Times New Roman" w:cs="Times New Roman"/>
          <w:sz w:val="24"/>
          <w:szCs w:val="24"/>
        </w:rPr>
        <w:t xml:space="preserve">identified in </w:t>
      </w:r>
      <w:r w:rsidR="00BA2CE1" w:rsidRPr="005F44EF">
        <w:rPr>
          <w:rFonts w:ascii="Times New Roman" w:eastAsia="Times New Roman" w:hAnsi="Times New Roman" w:cs="Times New Roman"/>
          <w:sz w:val="24"/>
          <w:szCs w:val="24"/>
        </w:rPr>
        <w:t xml:space="preserve">~10m of </w:t>
      </w:r>
      <w:r w:rsidRPr="005F44EF">
        <w:rPr>
          <w:rFonts w:ascii="Times New Roman" w:eastAsia="Times New Roman" w:hAnsi="Times New Roman" w:cs="Times New Roman"/>
          <w:sz w:val="24"/>
          <w:szCs w:val="24"/>
        </w:rPr>
        <w:t xml:space="preserve">red </w:t>
      </w:r>
      <w:r w:rsidR="00F04C62">
        <w:rPr>
          <w:rFonts w:ascii="Times New Roman" w:eastAsia="Times New Roman" w:hAnsi="Times New Roman" w:cs="Times New Roman"/>
          <w:i/>
          <w:sz w:val="24"/>
          <w:szCs w:val="24"/>
        </w:rPr>
        <w:t>T</w:t>
      </w:r>
      <w:r w:rsidRPr="00802679">
        <w:rPr>
          <w:rFonts w:ascii="Times New Roman" w:eastAsia="Times New Roman" w:hAnsi="Times New Roman" w:cs="Times New Roman"/>
          <w:i/>
          <w:sz w:val="24"/>
          <w:szCs w:val="24"/>
        </w:rPr>
        <w:t xml:space="preserve">erre de </w:t>
      </w:r>
      <w:r w:rsidR="00F04C62">
        <w:rPr>
          <w:rFonts w:ascii="Times New Roman" w:eastAsia="Times New Roman" w:hAnsi="Times New Roman" w:cs="Times New Roman"/>
          <w:i/>
          <w:sz w:val="24"/>
          <w:szCs w:val="24"/>
        </w:rPr>
        <w:t>B</w:t>
      </w:r>
      <w:r w:rsidRPr="00802679">
        <w:rPr>
          <w:rFonts w:ascii="Times New Roman" w:eastAsia="Times New Roman" w:hAnsi="Times New Roman" w:cs="Times New Roman"/>
          <w:i/>
          <w:sz w:val="24"/>
          <w:szCs w:val="24"/>
        </w:rPr>
        <w:t>arr</w:t>
      </w:r>
      <w:r w:rsidR="00F04C62">
        <w:rPr>
          <w:rFonts w:ascii="Times New Roman" w:eastAsia="Times New Roman" w:hAnsi="Times New Roman" w:cs="Times New Roman"/>
          <w:sz w:val="24"/>
          <w:szCs w:val="24"/>
        </w:rPr>
        <w:t>e</w:t>
      </w:r>
      <w:r w:rsidRPr="005F44EF">
        <w:rPr>
          <w:rFonts w:ascii="Times New Roman" w:eastAsia="Times New Roman" w:hAnsi="Times New Roman" w:cs="Times New Roman"/>
          <w:sz w:val="24"/>
          <w:szCs w:val="24"/>
        </w:rPr>
        <w:t xml:space="preserve"> sediments </w:t>
      </w:r>
      <w:r w:rsidR="009619A0" w:rsidRPr="005F44EF">
        <w:rPr>
          <w:rFonts w:ascii="Times New Roman" w:eastAsia="Times New Roman" w:hAnsi="Times New Roman" w:cs="Times New Roman"/>
          <w:sz w:val="24"/>
          <w:szCs w:val="24"/>
        </w:rPr>
        <w:t xml:space="preserve">overlying </w:t>
      </w:r>
      <w:r w:rsidR="00BA2CE1" w:rsidRPr="005F44EF">
        <w:rPr>
          <w:rFonts w:ascii="Times New Roman" w:eastAsia="Times New Roman" w:hAnsi="Times New Roman" w:cs="Times New Roman"/>
          <w:sz w:val="24"/>
          <w:szCs w:val="24"/>
        </w:rPr>
        <w:t>~2m coarse sand and gravel unit</w:t>
      </w:r>
      <w:r w:rsidRPr="005F44EF">
        <w:rPr>
          <w:rFonts w:ascii="Times New Roman" w:eastAsia="Times New Roman" w:hAnsi="Times New Roman" w:cs="Times New Roman"/>
          <w:sz w:val="24"/>
          <w:szCs w:val="24"/>
        </w:rPr>
        <w:t xml:space="preserve">. </w:t>
      </w:r>
      <w:r w:rsidR="00C35492" w:rsidRPr="005F44EF">
        <w:rPr>
          <w:rFonts w:ascii="Times New Roman" w:eastAsia="Times New Roman" w:hAnsi="Times New Roman" w:cs="Times New Roman"/>
          <w:sz w:val="24"/>
          <w:szCs w:val="24"/>
        </w:rPr>
        <w:t>Notably, they suggested the deposits were likely Quaternary in age</w:t>
      </w:r>
      <w:r w:rsidR="009E049D"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The artefacts were reported as stratified beneath later ‘</w:t>
      </w:r>
      <w:proofErr w:type="spellStart"/>
      <w:r w:rsidRPr="005F44EF">
        <w:rPr>
          <w:rFonts w:ascii="Times New Roman" w:eastAsia="Times New Roman" w:hAnsi="Times New Roman" w:cs="Times New Roman"/>
          <w:sz w:val="24"/>
          <w:szCs w:val="24"/>
        </w:rPr>
        <w:t>Epipalaeolithic</w:t>
      </w:r>
      <w:proofErr w:type="spellEnd"/>
      <w:r w:rsidRPr="005F44EF">
        <w:rPr>
          <w:rFonts w:ascii="Times New Roman" w:eastAsia="Times New Roman" w:hAnsi="Times New Roman" w:cs="Times New Roman"/>
          <w:sz w:val="24"/>
          <w:szCs w:val="24"/>
        </w:rPr>
        <w:t>’ and Neolithic material</w:t>
      </w:r>
      <w:r w:rsidR="00F0403D" w:rsidRPr="005F44EF">
        <w:rPr>
          <w:rFonts w:ascii="Times New Roman" w:eastAsia="Times New Roman" w:hAnsi="Times New Roman" w:cs="Times New Roman"/>
          <w:sz w:val="24"/>
          <w:szCs w:val="24"/>
        </w:rPr>
        <w:fldChar w:fldCharType="begin" w:fldLock="1"/>
      </w:r>
      <w:r w:rsidR="00E84150" w:rsidRPr="005F44EF">
        <w:rPr>
          <w:rFonts w:ascii="Times New Roman" w:eastAsia="Times New Roman" w:hAnsi="Times New Roman" w:cs="Times New Roman"/>
          <w:sz w:val="24"/>
          <w:szCs w:val="24"/>
        </w:rPr>
        <w:instrText>ADDIN CSL_CITATION {"citationItems":[{"id":"ITEM-1","itemData":{"author":[{"dropping-particle":"","family":"Chenorkian","given":"Robert","non-dropping-particle":"","parse-names":false,"suffix":""},{"dropping-particle":"","family":"Paradis","given":"G.","non-dropping-particle":"","parse-names":false,"suffix":""}],"container-title":"3rd Congress, West African Archaeological Association, Dakar.","id":"ITEM-1","issued":{"date-parts":[["1981"]]},"title":"Une industrie paleolithique decouverte dans la 'terre dc barre' d'une terrasse proche d'Anyama (region d'Abidjan)","type":"paper-conference"},"uris":["http://www.mendeley.com/documents/?uuid=7db04cf3-cc83-47af-b1ce-d6914d6ab708"]},{"id":"ITEM-2","itemData":{"author":[{"dropping-particle":"","family":"Chenorkian","given":"R.","non-dropping-particle":"","parse-names":false,"suffix":""},{"dropping-particle":"","family":"Paradis","given":"G.","non-dropping-particle":"","parse-names":false,"suffix":""}],"container-title":"Nyame Akuma","id":"ITEM-2","issued":{"date-parts":[["1982"]]},"page":"18-27","title":"Une industrie paléolithique découverte dans la « Terre de Barre » d’une terrasse proche d’Anyama (région d’Abidjan)","type":"article-journal","volume":"21"},"uris":["http://www.mendeley.com/documents/?uuid=0631c5c9-c687-4cf0-ab29-a5aba7c6bcdc"]}],"mendeley":{"formattedCitation":"&lt;sup&gt;65,66&lt;/sup&gt;","plainTextFormattedCitation":"65,66","previouslyFormattedCitation":"&lt;sup&gt;65,66&lt;/sup&gt;"},"properties":{"noteIndex":0},"schema":"https://github.com/citation-style-language/schema/raw/master/csl-citation.json"}</w:instrText>
      </w:r>
      <w:r w:rsidR="00F0403D" w:rsidRPr="005F44EF">
        <w:rPr>
          <w:rFonts w:ascii="Times New Roman" w:eastAsia="Times New Roman" w:hAnsi="Times New Roman" w:cs="Times New Roman"/>
          <w:sz w:val="24"/>
          <w:szCs w:val="24"/>
        </w:rPr>
        <w:fldChar w:fldCharType="separate"/>
      </w:r>
      <w:r w:rsidR="00E84150" w:rsidRPr="005F44EF">
        <w:rPr>
          <w:rFonts w:ascii="Times New Roman" w:eastAsia="Times New Roman" w:hAnsi="Times New Roman" w:cs="Times New Roman"/>
          <w:noProof/>
          <w:sz w:val="24"/>
          <w:szCs w:val="24"/>
          <w:vertAlign w:val="superscript"/>
        </w:rPr>
        <w:t>65,66</w:t>
      </w:r>
      <w:r w:rsidR="00F0403D" w:rsidRPr="005F44EF">
        <w:rPr>
          <w:rFonts w:ascii="Times New Roman" w:eastAsia="Times New Roman" w:hAnsi="Times New Roman" w:cs="Times New Roman"/>
          <w:sz w:val="24"/>
          <w:szCs w:val="24"/>
        </w:rPr>
        <w:fldChar w:fldCharType="end"/>
      </w:r>
      <w:hyperlink r:id="rId10"/>
      <w:r w:rsidRPr="005F44EF">
        <w:rPr>
          <w:rFonts w:ascii="Times New Roman" w:eastAsia="Times New Roman" w:hAnsi="Times New Roman" w:cs="Times New Roman"/>
          <w:sz w:val="24"/>
          <w:szCs w:val="24"/>
        </w:rPr>
        <w:t xml:space="preserve">. However, although the combination of LCTs with a Levallois core and flake component elicited comparisons with the Sangoan, </w:t>
      </w:r>
      <w:proofErr w:type="spellStart"/>
      <w:r w:rsidRPr="005F44EF">
        <w:rPr>
          <w:rFonts w:ascii="Times New Roman" w:eastAsia="Times New Roman" w:hAnsi="Times New Roman" w:cs="Times New Roman"/>
          <w:sz w:val="24"/>
          <w:szCs w:val="24"/>
        </w:rPr>
        <w:t>Chenorkian</w:t>
      </w:r>
      <w:proofErr w:type="spellEnd"/>
      <w:r w:rsidRPr="005F44EF">
        <w:rPr>
          <w:rFonts w:ascii="Times New Roman" w:eastAsia="Times New Roman" w:hAnsi="Times New Roman" w:cs="Times New Roman"/>
          <w:sz w:val="24"/>
          <w:szCs w:val="24"/>
        </w:rPr>
        <w:t xml:space="preserve"> and Paradis</w:t>
      </w:r>
      <w:r w:rsidR="00A63DE1" w:rsidRPr="005F44EF">
        <w:rPr>
          <w:rFonts w:ascii="Times New Roman" w:eastAsia="Times New Roman" w:hAnsi="Times New Roman" w:cs="Times New Roman"/>
          <w:sz w:val="24"/>
          <w:szCs w:val="24"/>
        </w:rPr>
        <w:fldChar w:fldCharType="begin" w:fldLock="1"/>
      </w:r>
      <w:r w:rsidR="00E84150" w:rsidRPr="005F44EF">
        <w:rPr>
          <w:rFonts w:ascii="Times New Roman" w:eastAsia="Times New Roman" w:hAnsi="Times New Roman" w:cs="Times New Roman"/>
          <w:sz w:val="24"/>
          <w:szCs w:val="24"/>
        </w:rPr>
        <w:instrText>ADDIN CSL_CITATION {"citationItems":[{"id":"ITEM-1","itemData":{"author":[{"dropping-particle":"","family":"Chenorkian","given":"Robert","non-dropping-particle":"","parse-names":false,"suffix":""},{"dropping-particle":"","family":"Paradis","given":"G.","non-dropping-particle":"","parse-names":false,"suffix":""}],"container-title":"3rd Congress, West African Archaeological Association, Dakar.","id":"ITEM-1","issued":{"date-parts":[["1981"]]},"title":"Une industrie paleolithique decouverte dans la 'terre dc barre' d'une terrasse proche d'Anyama (region d'Abidjan)","type":"paper-conference"},"uris":["http://www.mendeley.com/documents/?uuid=7db04cf3-cc83-47af-b1ce-d6914d6ab708"]},{"id":"ITEM-2","itemData":{"author":[{"dropping-particle":"","family":"Chenorkian","given":"R.","non-dropping-particle":"","parse-names":false,"suffix":""},{"dropping-particle":"","family":"Paradis","given":"G.","non-dropping-particle":"","parse-names":false,"suffix":""}],"container-title":"Nyame Akuma","id":"ITEM-2","issued":{"date-parts":[["1982"]]},"page":"18-27","title":"Une industrie paléolithique découverte dans la « Terre de Barre » d’une terrasse proche d’Anyama (région d’Abidjan)","type":"article-journal","volume":"21"},"uris":["http://www.mendeley.com/documents/?uuid=0631c5c9-c687-4cf0-ab29-a5aba7c6bcdc"]}],"mendeley":{"formattedCitation":"&lt;sup&gt;65,66&lt;/sup&gt;","plainTextFormattedCitation":"65,66","previouslyFormattedCitation":"&lt;sup&gt;65,66&lt;/sup&gt;"},"properties":{"noteIndex":0},"schema":"https://github.com/citation-style-language/schema/raw/master/csl-citation.json"}</w:instrText>
      </w:r>
      <w:r w:rsidR="00A63DE1" w:rsidRPr="005F44EF">
        <w:rPr>
          <w:rFonts w:ascii="Times New Roman" w:eastAsia="Times New Roman" w:hAnsi="Times New Roman" w:cs="Times New Roman"/>
          <w:sz w:val="24"/>
          <w:szCs w:val="24"/>
        </w:rPr>
        <w:fldChar w:fldCharType="separate"/>
      </w:r>
      <w:r w:rsidR="00E84150" w:rsidRPr="005F44EF">
        <w:rPr>
          <w:rFonts w:ascii="Times New Roman" w:eastAsia="Times New Roman" w:hAnsi="Times New Roman" w:cs="Times New Roman"/>
          <w:noProof/>
          <w:sz w:val="24"/>
          <w:szCs w:val="24"/>
          <w:vertAlign w:val="superscript"/>
        </w:rPr>
        <w:t>65,66</w:t>
      </w:r>
      <w:r w:rsidR="00A63DE1"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advocated caution regarding the use of this term in West Africa, and doubted its equivalence to the use of the term elsewhere.</w:t>
      </w:r>
      <w:r w:rsidR="00A02371" w:rsidRPr="005F44EF">
        <w:rPr>
          <w:rFonts w:ascii="Times New Roman" w:eastAsia="Times New Roman" w:hAnsi="Times New Roman" w:cs="Times New Roman"/>
          <w:sz w:val="24"/>
          <w:szCs w:val="24"/>
        </w:rPr>
        <w:t xml:space="preserve"> </w:t>
      </w:r>
      <w:r w:rsidR="00BD3AAD" w:rsidRPr="005F44EF">
        <w:rPr>
          <w:rFonts w:ascii="Times New Roman" w:eastAsia="Times New Roman" w:hAnsi="Times New Roman" w:cs="Times New Roman"/>
          <w:sz w:val="24"/>
          <w:szCs w:val="24"/>
        </w:rPr>
        <w:t>The quarry sequence was proposed to represent a</w:t>
      </w:r>
      <w:r w:rsidR="00A05186" w:rsidRPr="005F44EF">
        <w:rPr>
          <w:rFonts w:ascii="Times New Roman" w:eastAsia="Times New Roman" w:hAnsi="Times New Roman" w:cs="Times New Roman"/>
          <w:sz w:val="24"/>
          <w:szCs w:val="24"/>
        </w:rPr>
        <w:t>n alluvial</w:t>
      </w:r>
      <w:r w:rsidR="00BD3AAD" w:rsidRPr="005F44EF">
        <w:rPr>
          <w:rFonts w:ascii="Times New Roman" w:eastAsia="Times New Roman" w:hAnsi="Times New Roman" w:cs="Times New Roman"/>
          <w:sz w:val="24"/>
          <w:szCs w:val="24"/>
        </w:rPr>
        <w:t xml:space="preserve"> terrace formed during </w:t>
      </w:r>
      <w:r w:rsidR="00AB11B5" w:rsidRPr="005F44EF">
        <w:rPr>
          <w:rFonts w:ascii="Times New Roman" w:eastAsia="Times New Roman" w:hAnsi="Times New Roman" w:cs="Times New Roman"/>
          <w:sz w:val="24"/>
          <w:szCs w:val="24"/>
        </w:rPr>
        <w:t xml:space="preserve">a marine </w:t>
      </w:r>
      <w:proofErr w:type="spellStart"/>
      <w:r w:rsidR="00AB11B5" w:rsidRPr="005F44EF">
        <w:rPr>
          <w:rFonts w:ascii="Times New Roman" w:eastAsia="Times New Roman" w:hAnsi="Times New Roman" w:cs="Times New Roman"/>
          <w:sz w:val="24"/>
          <w:szCs w:val="24"/>
        </w:rPr>
        <w:t>highstand</w:t>
      </w:r>
      <w:proofErr w:type="spellEnd"/>
      <w:r w:rsidR="00AB11B5" w:rsidRPr="005F44EF">
        <w:rPr>
          <w:rFonts w:ascii="Times New Roman" w:eastAsia="Times New Roman" w:hAnsi="Times New Roman" w:cs="Times New Roman"/>
          <w:sz w:val="24"/>
          <w:szCs w:val="24"/>
        </w:rPr>
        <w:t>, potentially linked to the Last Interglacial</w:t>
      </w:r>
      <w:r w:rsidR="00E84150" w:rsidRPr="005F44EF">
        <w:rPr>
          <w:rFonts w:ascii="Times New Roman" w:eastAsia="Times New Roman" w:hAnsi="Times New Roman" w:cs="Times New Roman"/>
          <w:sz w:val="24"/>
          <w:szCs w:val="24"/>
        </w:rPr>
        <w:fldChar w:fldCharType="begin" w:fldLock="1"/>
      </w:r>
      <w:r w:rsidR="002717A3" w:rsidRPr="005F44EF">
        <w:rPr>
          <w:rFonts w:ascii="Times New Roman" w:eastAsia="Times New Roman" w:hAnsi="Times New Roman" w:cs="Times New Roman"/>
          <w:sz w:val="24"/>
          <w:szCs w:val="24"/>
        </w:rPr>
        <w:instrText>ADDIN CSL_CITATION {"citationItems":[{"id":"ITEM-1","itemData":{"author":[{"dropping-particle":"","family":"Chenorkian","given":"R.","non-dropping-particle":"","parse-names":false,"suffix":""},{"dropping-particle":"","family":"Paradis","given":"G.","non-dropping-particle":"","parse-names":false,"suffix":""}],"container-title":"Nyame Akuma","id":"ITEM-1","issued":{"date-parts":[["1982"]]},"page":"18-27","title":"Une industrie paléolithique découverte dans la « Terre de Barre » d’une terrasse proche d’Anyama (région d’Abidjan)","type":"article-journal","volume":"21"},"uris":["http://www.mendeley.com/documents/?uuid=0631c5c9-c687-4cf0-ab29-a5aba7c6bcdc"]}],"mendeley":{"formattedCitation":"&lt;sup&gt;66&lt;/sup&gt;","plainTextFormattedCitation":"66","previouslyFormattedCitation":"&lt;sup&gt;66&lt;/sup&gt;"},"properties":{"noteIndex":0},"schema":"https://github.com/citation-style-language/schema/raw/master/csl-citation.json"}</w:instrText>
      </w:r>
      <w:r w:rsidR="00E84150" w:rsidRPr="005F44EF">
        <w:rPr>
          <w:rFonts w:ascii="Times New Roman" w:eastAsia="Times New Roman" w:hAnsi="Times New Roman" w:cs="Times New Roman"/>
          <w:sz w:val="24"/>
          <w:szCs w:val="24"/>
        </w:rPr>
        <w:fldChar w:fldCharType="separate"/>
      </w:r>
      <w:r w:rsidR="00E84150" w:rsidRPr="005F44EF">
        <w:rPr>
          <w:rFonts w:ascii="Times New Roman" w:eastAsia="Times New Roman" w:hAnsi="Times New Roman" w:cs="Times New Roman"/>
          <w:noProof/>
          <w:sz w:val="24"/>
          <w:szCs w:val="24"/>
          <w:vertAlign w:val="superscript"/>
        </w:rPr>
        <w:t>66</w:t>
      </w:r>
      <w:r w:rsidR="00E84150" w:rsidRPr="005F44EF">
        <w:rPr>
          <w:rFonts w:ascii="Times New Roman" w:eastAsia="Times New Roman" w:hAnsi="Times New Roman" w:cs="Times New Roman"/>
          <w:sz w:val="24"/>
          <w:szCs w:val="24"/>
        </w:rPr>
        <w:fldChar w:fldCharType="end"/>
      </w:r>
      <w:r w:rsidR="00AB11B5" w:rsidRPr="005F44EF">
        <w:rPr>
          <w:rFonts w:ascii="Times New Roman" w:eastAsia="Times New Roman" w:hAnsi="Times New Roman" w:cs="Times New Roman"/>
          <w:sz w:val="24"/>
          <w:szCs w:val="24"/>
        </w:rPr>
        <w:t xml:space="preserve">. </w:t>
      </w:r>
    </w:p>
    <w:p w14:paraId="1E42D9A8" w14:textId="77777777" w:rsidR="009E049D" w:rsidRPr="005F44EF" w:rsidRDefault="009E049D" w:rsidP="00A6342D">
      <w:pPr>
        <w:spacing w:after="0" w:line="276" w:lineRule="auto"/>
        <w:jc w:val="both"/>
        <w:rPr>
          <w:rFonts w:ascii="Times New Roman" w:eastAsia="Times New Roman" w:hAnsi="Times New Roman" w:cs="Times New Roman"/>
          <w:sz w:val="24"/>
          <w:szCs w:val="24"/>
        </w:rPr>
      </w:pPr>
    </w:p>
    <w:p w14:paraId="1EB88CC0" w14:textId="77777777" w:rsidR="008017BE" w:rsidRPr="005F44EF" w:rsidRDefault="008017BE" w:rsidP="008017BE">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noProof/>
          <w:sz w:val="24"/>
          <w:szCs w:val="24"/>
          <w:lang w:val="en-AU" w:eastAsia="en-AU"/>
        </w:rPr>
        <w:lastRenderedPageBreak/>
        <w:drawing>
          <wp:inline distT="0" distB="0" distL="0" distR="0" wp14:anchorId="74165B76" wp14:editId="18BFC26B">
            <wp:extent cx="5972666" cy="4810125"/>
            <wp:effectExtent l="0" t="0" r="9525" b="0"/>
            <wp:docPr id="204278113" name="Picture 22">
              <a:extLst xmlns:a="http://schemas.openxmlformats.org/drawingml/2006/main">
                <a:ext uri="{FF2B5EF4-FFF2-40B4-BE49-F238E27FC236}">
                  <a16:creationId xmlns:a16="http://schemas.microsoft.com/office/drawing/2014/main" id="{A102C92B-7BF0-1C8A-2E63-711A576536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697168" name="Picture 22">
                      <a:extLst>
                        <a:ext uri="{FF2B5EF4-FFF2-40B4-BE49-F238E27FC236}">
                          <a16:creationId xmlns:a16="http://schemas.microsoft.com/office/drawing/2014/main" id="{A102C92B-7BF0-1C8A-2E63-711A57653689}"/>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12333" cy="4842071"/>
                    </a:xfrm>
                    <a:prstGeom prst="rect">
                      <a:avLst/>
                    </a:prstGeom>
                  </pic:spPr>
                </pic:pic>
              </a:graphicData>
            </a:graphic>
          </wp:inline>
        </w:drawing>
      </w:r>
    </w:p>
    <w:p w14:paraId="28FC5A06" w14:textId="0051EA9A" w:rsidR="008017BE" w:rsidRPr="00C212A1" w:rsidRDefault="008017BE" w:rsidP="008017BE">
      <w:pPr>
        <w:spacing w:after="0" w:line="276" w:lineRule="auto"/>
        <w:jc w:val="both"/>
        <w:rPr>
          <w:rFonts w:ascii="Times New Roman" w:eastAsia="Times New Roman" w:hAnsi="Times New Roman" w:cs="Times New Roman"/>
          <w:sz w:val="24"/>
          <w:szCs w:val="24"/>
        </w:rPr>
      </w:pPr>
      <w:bookmarkStart w:id="6" w:name="_Hlk170653825"/>
      <w:r w:rsidRPr="005F44EF">
        <w:rPr>
          <w:rFonts w:ascii="Times New Roman" w:eastAsia="Times New Roman" w:hAnsi="Times New Roman" w:cs="Times New Roman"/>
          <w:b/>
          <w:sz w:val="24"/>
          <w:szCs w:val="24"/>
        </w:rPr>
        <w:t>Figure S</w:t>
      </w:r>
      <w:r w:rsidR="002717A3" w:rsidRPr="005F44EF">
        <w:rPr>
          <w:rFonts w:ascii="Times New Roman" w:eastAsia="Times New Roman" w:hAnsi="Times New Roman" w:cs="Times New Roman"/>
          <w:b/>
          <w:sz w:val="24"/>
          <w:szCs w:val="24"/>
        </w:rPr>
        <w:t>1</w:t>
      </w:r>
      <w:r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b/>
          <w:bCs/>
          <w:sz w:val="24"/>
          <w:szCs w:val="24"/>
        </w:rPr>
        <w:t>Location and details of quarry site at Anyama.</w:t>
      </w:r>
      <w:bookmarkEnd w:id="6"/>
      <w:r w:rsidRPr="005F44EF">
        <w:rPr>
          <w:rFonts w:ascii="Times New Roman" w:eastAsia="Times New Roman" w:hAnsi="Times New Roman" w:cs="Times New Roman"/>
          <w:sz w:val="24"/>
          <w:szCs w:val="24"/>
        </w:rPr>
        <w:t xml:space="preserve"> (A) Map of Côte d'Ivoire, showing modern annual precipitation</w:t>
      </w:r>
      <w:r w:rsidR="00E84150" w:rsidRPr="005F44EF">
        <w:rPr>
          <w:rFonts w:ascii="Times New Roman" w:eastAsia="Times New Roman" w:hAnsi="Times New Roman" w:cs="Times New Roman"/>
          <w:sz w:val="24"/>
          <w:szCs w:val="24"/>
        </w:rPr>
        <w:fldChar w:fldCharType="begin" w:fldLock="1"/>
      </w:r>
      <w:r w:rsidR="00E84150" w:rsidRPr="005F44EF">
        <w:rPr>
          <w:rFonts w:ascii="Times New Roman" w:eastAsia="Times New Roman" w:hAnsi="Times New Roman" w:cs="Times New Roman"/>
          <w:sz w:val="24"/>
          <w:szCs w:val="24"/>
        </w:rPr>
        <w:instrText>ADDIN CSL_CITATION {"citationItems":[{"id":"ITEM-1","itemData":{"DOI":"10.1002/JOC.5086","ISSN":"1097-0088","abstract":"We created a new dataset of spatially interpolated monthly climate data for global land areas at a very high spatial resolution (approximately 1 km2). We included monthly temperature (minimum, maximum and average), precipitation, solar radiation, vapour pressure and wind speed, aggregated across a target temporal range of 1970–2000, using data from between 9000 and 60 000 weather stations. Weather station data were interpolated using thin-plate splines with covariates including elevation, distance to the coast and three satellite-derived covariates: maximum and minimum land surface temperature as well as cloud cover, obtained with the MODIS satellite platform. Interpolation was done for 23 regions of varying size depending on station density. Satellite data improved prediction accuracy for temperature variables 5–15% (0.07–0.17 °C), particularly for areas with a low station density, although prediction error remained high in such regions for all climate variables. Contributions of satellite covariates were mostly negligible for the other variables, although their importance varied by region. In contrast to the common approach to use a single model formulation for the entire world, we constructed the final product by selecting the best performing model for each region and variable. Global cross-validation correlations were ≥ 0.99 for temperature and humidity, 0.86 for precipitation and 0.76 for wind speed. The fact that most of our climate surface estimates were only marginally improved by use of satellite covariates highlights the importance having a dense, high-quality network of climate station data.","author":[{"dropping-particle":"","family":"Fick","given":"Stephen E.","non-dropping-particle":"","parse-names":false,"suffix":""},{"dropping-particle":"","family":"Hijmans","given":"Robert J.","non-dropping-particle":"","parse-names":false,"suffix":""}],"container-title":"International Journal of Climatology","id":"ITEM-1","issue":"12","issued":{"date-parts":[["2017","10","1"]]},"page":"4302-4315","publisher":"John Wiley &amp; Sons, Ltd","title":"WorldClim 2: new 1-km spatial resolution climate surfaces for global land areas","type":"article-journal","volume":"37"},"uris":["http://www.mendeley.com/documents/?uuid=ce3a1870-5b63-3eb0-8da7-f0f0884ac5c8"]}],"mendeley":{"formattedCitation":"&lt;sup&gt;67&lt;/sup&gt;","plainTextFormattedCitation":"67","previouslyFormattedCitation":"&lt;sup&gt;67&lt;/sup&gt;"},"properties":{"noteIndex":0},"schema":"https://github.com/citation-style-language/schema/raw/master/csl-citation.json"}</w:instrText>
      </w:r>
      <w:r w:rsidR="00E84150" w:rsidRPr="005F44EF">
        <w:rPr>
          <w:rFonts w:ascii="Times New Roman" w:eastAsia="Times New Roman" w:hAnsi="Times New Roman" w:cs="Times New Roman"/>
          <w:sz w:val="24"/>
          <w:szCs w:val="24"/>
        </w:rPr>
        <w:fldChar w:fldCharType="separate"/>
      </w:r>
      <w:r w:rsidR="00E84150" w:rsidRPr="005F44EF">
        <w:rPr>
          <w:rFonts w:ascii="Times New Roman" w:eastAsia="Times New Roman" w:hAnsi="Times New Roman" w:cs="Times New Roman"/>
          <w:noProof/>
          <w:sz w:val="24"/>
          <w:szCs w:val="24"/>
          <w:vertAlign w:val="superscript"/>
        </w:rPr>
        <w:t>67</w:t>
      </w:r>
      <w:r w:rsidR="00E84150"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and river systems, (B) digital surface model showing location of Bété I within the wider region, (C) historical aerial imagery of the Anyama Quarry</w:t>
      </w:r>
      <w:r w:rsidR="00544B7A" w:rsidRPr="005F44EF">
        <w:rPr>
          <w:rFonts w:ascii="Times New Roman" w:eastAsia="Times New Roman" w:hAnsi="Times New Roman" w:cs="Times New Roman"/>
          <w:sz w:val="24"/>
          <w:szCs w:val="24"/>
        </w:rPr>
        <w:t xml:space="preserve"> with Bété I sequence</w:t>
      </w:r>
      <w:r w:rsidRPr="005F44EF">
        <w:rPr>
          <w:rFonts w:ascii="Times New Roman" w:eastAsia="Times New Roman" w:hAnsi="Times New Roman" w:cs="Times New Roman"/>
          <w:sz w:val="24"/>
          <w:szCs w:val="24"/>
        </w:rPr>
        <w:t xml:space="preserve"> (c. 1980s, courtesy of Prof. Guédé) with site plan</w:t>
      </w:r>
      <w:r w:rsidR="00E84150" w:rsidRPr="005F44EF">
        <w:rPr>
          <w:rFonts w:ascii="Times New Roman" w:eastAsia="Times New Roman" w:hAnsi="Times New Roman" w:cs="Times New Roman"/>
          <w:sz w:val="24"/>
          <w:szCs w:val="24"/>
        </w:rPr>
        <w:fldChar w:fldCharType="begin" w:fldLock="1"/>
      </w:r>
      <w:r w:rsidR="00E84150" w:rsidRPr="005F44EF">
        <w:rPr>
          <w:rFonts w:ascii="Times New Roman" w:eastAsia="Times New Roman" w:hAnsi="Times New Roman" w:cs="Times New Roman"/>
          <w:sz w:val="24"/>
          <w:szCs w:val="24"/>
        </w:rPr>
        <w:instrText>ADDIN CSL_CITATION {"citationItems":[{"id":"ITEM-1","itemData":{"author":[{"dropping-particle":"","family":"Allsworth-Jones","given":"Philip","non-dropping-particle":"","parse-names":false,"suffix":""}],"edition":"Archaeopre","id":"ITEM-1","issued":{"date-parts":[["2019"]]},"publisher-place":" Oxford","title":"The Middle Stone Age of Nigeria in its West African Context","type":"book"},"uris":["http://www.mendeley.com/documents/?uuid=6917f608-b417-3be9-a45f-00adb98d9562"]}],"mendeley":{"formattedCitation":"&lt;sup&gt;64&lt;/sup&gt;","plainTextFormattedCitation":"64","previouslyFormattedCitation":"&lt;sup&gt;64&lt;/sup&gt;"},"properties":{"noteIndex":0},"schema":"https://github.com/citation-style-language/schema/raw/master/csl-citation.json"}</w:instrText>
      </w:r>
      <w:r w:rsidR="00E84150" w:rsidRPr="005F44EF">
        <w:rPr>
          <w:rFonts w:ascii="Times New Roman" w:eastAsia="Times New Roman" w:hAnsi="Times New Roman" w:cs="Times New Roman"/>
          <w:sz w:val="24"/>
          <w:szCs w:val="24"/>
        </w:rPr>
        <w:fldChar w:fldCharType="separate"/>
      </w:r>
      <w:r w:rsidR="00E84150" w:rsidRPr="005F44EF">
        <w:rPr>
          <w:rFonts w:ascii="Times New Roman" w:eastAsia="Times New Roman" w:hAnsi="Times New Roman" w:cs="Times New Roman"/>
          <w:noProof/>
          <w:sz w:val="24"/>
          <w:szCs w:val="24"/>
          <w:vertAlign w:val="superscript"/>
        </w:rPr>
        <w:t>64</w:t>
      </w:r>
      <w:r w:rsidR="00E84150" w:rsidRPr="005F44EF">
        <w:rPr>
          <w:rFonts w:ascii="Times New Roman" w:eastAsia="Times New Roman" w:hAnsi="Times New Roman" w:cs="Times New Roman"/>
          <w:sz w:val="24"/>
          <w:szCs w:val="24"/>
        </w:rPr>
        <w:fldChar w:fldCharType="end"/>
      </w:r>
      <w:r w:rsidR="00C212A1">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showing trench locations. (D) Google Earth imagery from 04/2008, showing conditions at the site and the Bété River, and (E) imagery from 01/2022, showing the expansion of the quarry and destruction of the site.</w:t>
      </w:r>
      <w:r w:rsidR="00C212A1">
        <w:rPr>
          <w:rFonts w:ascii="Times New Roman" w:eastAsia="Times New Roman" w:hAnsi="Times New Roman" w:cs="Times New Roman"/>
          <w:sz w:val="24"/>
          <w:szCs w:val="24"/>
        </w:rPr>
        <w:t xml:space="preserve"> </w:t>
      </w:r>
      <w:r w:rsidR="00C212A1" w:rsidRPr="00C212A1">
        <w:rPr>
          <w:rFonts w:ascii="Times New Roman" w:eastAsia="Times New Roman" w:hAnsi="Times New Roman" w:cs="Times New Roman"/>
          <w:sz w:val="24"/>
          <w:szCs w:val="24"/>
        </w:rPr>
        <w:t xml:space="preserve">Maps made </w:t>
      </w:r>
      <w:r w:rsidR="00C212A1" w:rsidRPr="007655BB">
        <w:rPr>
          <w:rFonts w:ascii="Times New Roman" w:hAnsi="Times New Roman" w:cs="Times New Roman"/>
        </w:rPr>
        <w:t xml:space="preserve">using ESRI ArcGIS Pro 3.2. </w:t>
      </w:r>
      <w:r w:rsidR="00C212A1">
        <w:rPr>
          <w:rFonts w:ascii="Times New Roman" w:hAnsi="Times New Roman" w:cs="Times New Roman"/>
        </w:rPr>
        <w:t>Climate data in A and B are from</w:t>
      </w:r>
      <w:r w:rsidR="00C212A1">
        <w:rPr>
          <w:rFonts w:ascii="Times New Roman" w:hAnsi="Times New Roman" w:cs="Times New Roman"/>
        </w:rPr>
        <w:fldChar w:fldCharType="begin" w:fldLock="1"/>
      </w:r>
      <w:r w:rsidR="00614E13">
        <w:rPr>
          <w:rFonts w:ascii="Times New Roman" w:hAnsi="Times New Roman" w:cs="Times New Roman"/>
        </w:rPr>
        <w:instrText>ADDIN CSL_CITATION {"citationItems":[{"id":"ITEM-1","itemData":{"author":[{"dropping-particle":"","family":"Fick","given":"S. E.","non-dropping-particle":"","parse-names":false,"suffix":""},{"dropping-particle":"","family":"Hijmans","given":"R. J.","non-dropping-particle":"","parse-names":false,"suffix":""}],"container-title":"International Journal of Climatology,","id":"ITEM-1","issue":"12","issued":{"date-parts":[["2017"]]},"page":"4302–4315","title":"WorldClim 2: new 1‐km spatial resolution climate surfaces for global land areas","type":"article-journal","volume":"37"},"uris":["http://www.mendeley.com/documents/?uuid=a23729ab-3c0c-4a61-add4-b9c880cc4b58"]}],"mendeley":{"formattedCitation":"&lt;sup&gt;68&lt;/sup&gt;","plainTextFormattedCitation":"68","previouslyFormattedCitation":"&lt;sup&gt;68&lt;/sup&gt;"},"properties":{"noteIndex":0},"schema":"https://github.com/citation-style-language/schema/raw/master/csl-citation.json"}</w:instrText>
      </w:r>
      <w:r w:rsidR="00C212A1">
        <w:rPr>
          <w:rFonts w:ascii="Times New Roman" w:hAnsi="Times New Roman" w:cs="Times New Roman"/>
        </w:rPr>
        <w:fldChar w:fldCharType="separate"/>
      </w:r>
      <w:r w:rsidR="00C212A1" w:rsidRPr="00C212A1">
        <w:rPr>
          <w:rFonts w:ascii="Times New Roman" w:hAnsi="Times New Roman" w:cs="Times New Roman"/>
          <w:noProof/>
          <w:vertAlign w:val="superscript"/>
        </w:rPr>
        <w:t>68</w:t>
      </w:r>
      <w:r w:rsidR="00C212A1">
        <w:rPr>
          <w:rFonts w:ascii="Times New Roman" w:hAnsi="Times New Roman" w:cs="Times New Roman"/>
        </w:rPr>
        <w:fldChar w:fldCharType="end"/>
      </w:r>
      <w:r w:rsidR="00C212A1">
        <w:rPr>
          <w:rFonts w:ascii="Times New Roman" w:hAnsi="Times New Roman" w:cs="Times New Roman"/>
        </w:rPr>
        <w:t xml:space="preserve">. </w:t>
      </w:r>
    </w:p>
    <w:p w14:paraId="4F0D8D22" w14:textId="32480E8F" w:rsidR="008017BE" w:rsidRPr="00C212A1" w:rsidRDefault="008017BE" w:rsidP="00A6342D">
      <w:pPr>
        <w:spacing w:after="0" w:line="276" w:lineRule="auto"/>
        <w:jc w:val="both"/>
        <w:rPr>
          <w:rFonts w:ascii="Times New Roman" w:eastAsia="Times New Roman" w:hAnsi="Times New Roman" w:cs="Times New Roman"/>
          <w:sz w:val="24"/>
          <w:szCs w:val="24"/>
        </w:rPr>
      </w:pPr>
    </w:p>
    <w:p w14:paraId="11635267" w14:textId="77777777" w:rsidR="00A2264E" w:rsidRPr="005F44EF" w:rsidRDefault="00A2264E" w:rsidP="00A6342D">
      <w:pPr>
        <w:spacing w:after="0" w:line="276" w:lineRule="auto"/>
        <w:jc w:val="both"/>
        <w:rPr>
          <w:rFonts w:ascii="Times New Roman" w:eastAsia="Times New Roman" w:hAnsi="Times New Roman" w:cs="Times New Roman"/>
          <w:sz w:val="24"/>
          <w:szCs w:val="24"/>
        </w:rPr>
      </w:pPr>
    </w:p>
    <w:p w14:paraId="3ED6CEC0" w14:textId="16A11FF5" w:rsidR="00565C8A" w:rsidRPr="005F44EF" w:rsidRDefault="00220A95" w:rsidP="00A6342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Subsequent investigation</w:t>
      </w:r>
      <w:r w:rsidR="005E73CA" w:rsidRPr="005F44EF">
        <w:rPr>
          <w:rFonts w:ascii="Times New Roman" w:eastAsia="Times New Roman" w:hAnsi="Times New Roman" w:cs="Times New Roman"/>
          <w:sz w:val="24"/>
          <w:szCs w:val="24"/>
        </w:rPr>
        <w:t xml:space="preserve"> by </w:t>
      </w:r>
      <w:r w:rsidR="00241470" w:rsidRPr="005F44EF">
        <w:rPr>
          <w:rFonts w:ascii="Times New Roman" w:eastAsia="Times New Roman" w:hAnsi="Times New Roman" w:cs="Times New Roman"/>
          <w:sz w:val="24"/>
          <w:szCs w:val="24"/>
        </w:rPr>
        <w:t xml:space="preserve">Guédé and </w:t>
      </w:r>
      <w:proofErr w:type="spellStart"/>
      <w:r w:rsidR="00241470" w:rsidRPr="005F44EF">
        <w:rPr>
          <w:rFonts w:ascii="Times New Roman" w:eastAsia="Times New Roman" w:hAnsi="Times New Roman" w:cs="Times New Roman"/>
          <w:sz w:val="24"/>
          <w:szCs w:val="24"/>
        </w:rPr>
        <w:t>Tastet</w:t>
      </w:r>
      <w:proofErr w:type="spellEnd"/>
      <w:r w:rsidR="00241470" w:rsidRPr="005F44EF">
        <w:rPr>
          <w:rFonts w:ascii="Times New Roman" w:eastAsia="Times New Roman" w:hAnsi="Times New Roman" w:cs="Times New Roman"/>
          <w:sz w:val="24"/>
          <w:szCs w:val="24"/>
        </w:rPr>
        <w:t xml:space="preserve"> (1986) further clarified the extent and diversity of sediment deposits across the quarry site</w:t>
      </w:r>
      <w:r w:rsidR="00EC4BBB" w:rsidRPr="005F44EF">
        <w:rPr>
          <w:rFonts w:ascii="Times New Roman" w:eastAsia="Times New Roman" w:hAnsi="Times New Roman" w:cs="Times New Roman"/>
          <w:sz w:val="24"/>
          <w:szCs w:val="24"/>
        </w:rPr>
        <w:t>. This included</w:t>
      </w:r>
      <w:r w:rsidR="00642443" w:rsidRPr="005F44EF">
        <w:rPr>
          <w:rFonts w:ascii="Times New Roman" w:eastAsia="Times New Roman" w:hAnsi="Times New Roman" w:cs="Times New Roman"/>
          <w:sz w:val="24"/>
          <w:szCs w:val="24"/>
        </w:rPr>
        <w:t xml:space="preserve"> including examination of deeper sequences of Terre de Barre deposits, ca 17m thick, and </w:t>
      </w:r>
      <w:r w:rsidR="00EA550D" w:rsidRPr="005F44EF">
        <w:rPr>
          <w:rFonts w:ascii="Times New Roman" w:eastAsia="Times New Roman" w:hAnsi="Times New Roman" w:cs="Times New Roman"/>
          <w:sz w:val="24"/>
          <w:szCs w:val="24"/>
        </w:rPr>
        <w:t>9m of Continental Terminal deposits</w:t>
      </w:r>
      <w:r w:rsidR="00B8469E" w:rsidRPr="005F44EF">
        <w:rPr>
          <w:rFonts w:ascii="Times New Roman" w:eastAsia="Times New Roman" w:hAnsi="Times New Roman" w:cs="Times New Roman"/>
          <w:sz w:val="24"/>
          <w:szCs w:val="24"/>
        </w:rPr>
        <w:t xml:space="preserve">, and differentiating the deposits into </w:t>
      </w:r>
      <w:r w:rsidR="007A5E8E" w:rsidRPr="005F44EF">
        <w:rPr>
          <w:rFonts w:ascii="Times New Roman" w:eastAsia="Times New Roman" w:hAnsi="Times New Roman" w:cs="Times New Roman"/>
          <w:sz w:val="24"/>
          <w:szCs w:val="24"/>
        </w:rPr>
        <w:t>6 units, labelled A-F</w:t>
      </w:r>
      <w:r w:rsidR="0061650F" w:rsidRPr="005F44EF">
        <w:rPr>
          <w:rFonts w:ascii="Times New Roman" w:eastAsia="Times New Roman" w:hAnsi="Times New Roman" w:cs="Times New Roman"/>
          <w:sz w:val="24"/>
          <w:szCs w:val="24"/>
        </w:rPr>
        <w:t xml:space="preserve">, resolved in part through the initial excavations </w:t>
      </w:r>
      <w:r w:rsidR="003A5EA2" w:rsidRPr="005F44EF">
        <w:rPr>
          <w:rFonts w:ascii="Times New Roman" w:eastAsia="Times New Roman" w:hAnsi="Times New Roman" w:cs="Times New Roman"/>
          <w:sz w:val="24"/>
          <w:szCs w:val="24"/>
        </w:rPr>
        <w:t>at the site</w:t>
      </w:r>
      <w:r w:rsidR="00565C8A" w:rsidRPr="005F44EF">
        <w:rPr>
          <w:rFonts w:ascii="Times New Roman" w:eastAsia="Times New Roman" w:hAnsi="Times New Roman" w:cs="Times New Roman"/>
          <w:sz w:val="24"/>
          <w:szCs w:val="24"/>
        </w:rPr>
        <w:t xml:space="preserve"> (</w:t>
      </w:r>
      <w:r w:rsidR="00565C8A" w:rsidRPr="005F44EF">
        <w:rPr>
          <w:rFonts w:ascii="Times New Roman" w:eastAsia="Times New Roman" w:hAnsi="Times New Roman" w:cs="Times New Roman"/>
          <w:b/>
          <w:sz w:val="24"/>
          <w:szCs w:val="24"/>
        </w:rPr>
        <w:t>Figure S</w:t>
      </w:r>
      <w:r w:rsidR="00544B7A" w:rsidRPr="005F44EF">
        <w:rPr>
          <w:rFonts w:ascii="Times New Roman" w:eastAsia="Times New Roman" w:hAnsi="Times New Roman" w:cs="Times New Roman"/>
          <w:b/>
          <w:sz w:val="24"/>
          <w:szCs w:val="24"/>
        </w:rPr>
        <w:t>2</w:t>
      </w:r>
      <w:r w:rsidR="00565C8A" w:rsidRPr="005F44EF">
        <w:rPr>
          <w:rFonts w:ascii="Times New Roman" w:eastAsia="Times New Roman" w:hAnsi="Times New Roman" w:cs="Times New Roman"/>
          <w:sz w:val="24"/>
          <w:szCs w:val="24"/>
        </w:rPr>
        <w:t>)</w:t>
      </w:r>
      <w:r w:rsidR="004A7445" w:rsidRPr="005F44EF">
        <w:rPr>
          <w:rFonts w:ascii="Times New Roman" w:eastAsia="Times New Roman" w:hAnsi="Times New Roman" w:cs="Times New Roman"/>
          <w:sz w:val="24"/>
          <w:szCs w:val="24"/>
        </w:rPr>
        <w:t>, focused on Unit C</w:t>
      </w:r>
      <w:r w:rsidR="003A5EA2" w:rsidRPr="005F44EF">
        <w:rPr>
          <w:rFonts w:ascii="Times New Roman" w:eastAsia="Times New Roman" w:hAnsi="Times New Roman" w:cs="Times New Roman"/>
          <w:sz w:val="24"/>
          <w:szCs w:val="24"/>
        </w:rPr>
        <w:t xml:space="preserve">. </w:t>
      </w:r>
      <w:r w:rsidR="00DF5849" w:rsidRPr="005F44EF">
        <w:rPr>
          <w:rFonts w:ascii="Times New Roman" w:eastAsia="Times New Roman" w:hAnsi="Times New Roman" w:cs="Times New Roman"/>
          <w:sz w:val="24"/>
          <w:szCs w:val="24"/>
        </w:rPr>
        <w:t xml:space="preserve">Investigation of the valley floor deposits </w:t>
      </w:r>
      <w:r w:rsidR="004A7445" w:rsidRPr="005F44EF">
        <w:rPr>
          <w:rFonts w:ascii="Times New Roman" w:eastAsia="Times New Roman" w:hAnsi="Times New Roman" w:cs="Times New Roman"/>
          <w:sz w:val="24"/>
          <w:szCs w:val="24"/>
        </w:rPr>
        <w:t xml:space="preserve">revealed a 2m thick sequence with </w:t>
      </w:r>
      <w:r w:rsidR="00B1320E" w:rsidRPr="005F44EF">
        <w:rPr>
          <w:rFonts w:ascii="Times New Roman" w:eastAsia="Times New Roman" w:hAnsi="Times New Roman" w:cs="Times New Roman"/>
          <w:sz w:val="24"/>
          <w:szCs w:val="24"/>
        </w:rPr>
        <w:t xml:space="preserve">a 1.5m silt horizon </w:t>
      </w:r>
      <w:r w:rsidR="001C7C6D" w:rsidRPr="005F44EF">
        <w:rPr>
          <w:rFonts w:ascii="Times New Roman" w:eastAsia="Times New Roman" w:hAnsi="Times New Roman" w:cs="Times New Roman"/>
          <w:sz w:val="24"/>
          <w:szCs w:val="24"/>
        </w:rPr>
        <w:t>returning radiocarbon dates of</w:t>
      </w:r>
      <w:r w:rsidR="009667BC" w:rsidRPr="005F44EF">
        <w:rPr>
          <w:rFonts w:ascii="Times New Roman" w:eastAsia="Times New Roman" w:hAnsi="Times New Roman" w:cs="Times New Roman"/>
          <w:sz w:val="24"/>
          <w:szCs w:val="24"/>
        </w:rPr>
        <w:t xml:space="preserve"> 3394-3686 </w:t>
      </w:r>
      <w:proofErr w:type="spellStart"/>
      <w:r w:rsidR="009667BC" w:rsidRPr="005F44EF">
        <w:rPr>
          <w:rFonts w:ascii="Times New Roman" w:eastAsia="Times New Roman" w:hAnsi="Times New Roman" w:cs="Times New Roman"/>
          <w:sz w:val="24"/>
          <w:szCs w:val="24"/>
        </w:rPr>
        <w:t>cal</w:t>
      </w:r>
      <w:proofErr w:type="spellEnd"/>
      <w:r w:rsidR="009667BC" w:rsidRPr="005F44EF">
        <w:rPr>
          <w:rFonts w:ascii="Times New Roman" w:eastAsia="Times New Roman" w:hAnsi="Times New Roman" w:cs="Times New Roman"/>
          <w:sz w:val="24"/>
          <w:szCs w:val="24"/>
        </w:rPr>
        <w:t xml:space="preserve"> BP</w:t>
      </w:r>
      <w:r w:rsidR="00F24010">
        <w:rPr>
          <w:rFonts w:ascii="Times New Roman" w:eastAsia="Times New Roman" w:hAnsi="Times New Roman" w:cs="Times New Roman"/>
          <w:sz w:val="24"/>
          <w:szCs w:val="24"/>
        </w:rPr>
        <w:t xml:space="preserve"> </w:t>
      </w:r>
      <w:r w:rsidR="009667BC" w:rsidRPr="005F44EF">
        <w:rPr>
          <w:rFonts w:ascii="Times New Roman" w:eastAsia="Times New Roman" w:hAnsi="Times New Roman" w:cs="Times New Roman"/>
          <w:sz w:val="24"/>
          <w:szCs w:val="24"/>
        </w:rPr>
        <w:t>(</w:t>
      </w:r>
      <w:r w:rsidR="001C2E13" w:rsidRPr="005F44EF">
        <w:rPr>
          <w:rFonts w:ascii="Times New Roman" w:eastAsia="Times New Roman" w:hAnsi="Times New Roman" w:cs="Times New Roman"/>
          <w:sz w:val="24"/>
          <w:szCs w:val="24"/>
        </w:rPr>
        <w:t>3300</w:t>
      </w:r>
      <w:r w:rsidR="00E84150" w:rsidRPr="005F44EF">
        <w:rPr>
          <w:rFonts w:ascii="Times New Roman" w:eastAsia="Times New Roman" w:hAnsi="Times New Roman" w:cs="Times New Roman"/>
          <w:sz w:val="24"/>
          <w:szCs w:val="24"/>
        </w:rPr>
        <w:t>±</w:t>
      </w:r>
      <w:r w:rsidR="001C2E13" w:rsidRPr="005F44EF">
        <w:rPr>
          <w:rFonts w:ascii="Times New Roman" w:eastAsia="Times New Roman" w:hAnsi="Times New Roman" w:cs="Times New Roman"/>
          <w:sz w:val="24"/>
          <w:szCs w:val="24"/>
        </w:rPr>
        <w:t xml:space="preserve">60; </w:t>
      </w:r>
      <w:r w:rsidR="009667BC" w:rsidRPr="005F44EF">
        <w:rPr>
          <w:rFonts w:ascii="Times New Roman" w:eastAsia="Times New Roman" w:hAnsi="Times New Roman" w:cs="Times New Roman"/>
          <w:sz w:val="24"/>
          <w:szCs w:val="24"/>
        </w:rPr>
        <w:t xml:space="preserve">Geotop-728) and </w:t>
      </w:r>
      <w:r w:rsidR="009B5F2A" w:rsidRPr="005F44EF">
        <w:rPr>
          <w:rFonts w:ascii="Times New Roman" w:eastAsia="Times New Roman" w:hAnsi="Times New Roman" w:cs="Times New Roman"/>
          <w:sz w:val="24"/>
          <w:szCs w:val="24"/>
        </w:rPr>
        <w:t xml:space="preserve">3276-4067 </w:t>
      </w:r>
      <w:proofErr w:type="spellStart"/>
      <w:r w:rsidR="009B5F2A" w:rsidRPr="005F44EF">
        <w:rPr>
          <w:rFonts w:ascii="Times New Roman" w:eastAsia="Times New Roman" w:hAnsi="Times New Roman" w:cs="Times New Roman"/>
          <w:sz w:val="24"/>
          <w:szCs w:val="24"/>
        </w:rPr>
        <w:t>cal</w:t>
      </w:r>
      <w:proofErr w:type="spellEnd"/>
      <w:r w:rsidR="009B5F2A" w:rsidRPr="005F44EF">
        <w:rPr>
          <w:rFonts w:ascii="Times New Roman" w:eastAsia="Times New Roman" w:hAnsi="Times New Roman" w:cs="Times New Roman"/>
          <w:sz w:val="24"/>
          <w:szCs w:val="24"/>
        </w:rPr>
        <w:t xml:space="preserve"> BP (</w:t>
      </w:r>
      <w:r w:rsidR="001C2E13" w:rsidRPr="005F44EF">
        <w:rPr>
          <w:rFonts w:ascii="Times New Roman" w:eastAsia="Times New Roman" w:hAnsi="Times New Roman" w:cs="Times New Roman"/>
          <w:sz w:val="24"/>
          <w:szCs w:val="24"/>
        </w:rPr>
        <w:t>3390</w:t>
      </w:r>
      <w:r w:rsidR="00E84150" w:rsidRPr="005F44EF">
        <w:rPr>
          <w:rFonts w:ascii="Times New Roman" w:eastAsia="Times New Roman" w:hAnsi="Times New Roman" w:cs="Times New Roman"/>
          <w:sz w:val="24"/>
          <w:szCs w:val="24"/>
        </w:rPr>
        <w:t>±</w:t>
      </w:r>
      <w:r w:rsidR="001C2E13" w:rsidRPr="005F44EF">
        <w:rPr>
          <w:rFonts w:ascii="Times New Roman" w:eastAsia="Times New Roman" w:hAnsi="Times New Roman" w:cs="Times New Roman"/>
          <w:sz w:val="24"/>
          <w:szCs w:val="24"/>
        </w:rPr>
        <w:t xml:space="preserve">140; </w:t>
      </w:r>
      <w:r w:rsidR="009B5F2A" w:rsidRPr="005F44EF">
        <w:rPr>
          <w:rFonts w:ascii="Times New Roman" w:eastAsia="Times New Roman" w:hAnsi="Times New Roman" w:cs="Times New Roman"/>
          <w:sz w:val="24"/>
          <w:szCs w:val="24"/>
        </w:rPr>
        <w:t xml:space="preserve">Ly-2672), and an </w:t>
      </w:r>
      <w:r w:rsidR="000F7EE1" w:rsidRPr="005F44EF">
        <w:rPr>
          <w:rFonts w:ascii="Times New Roman" w:eastAsia="Times New Roman" w:hAnsi="Times New Roman" w:cs="Times New Roman"/>
          <w:sz w:val="24"/>
          <w:szCs w:val="24"/>
        </w:rPr>
        <w:t>underlying gravel deposit</w:t>
      </w:r>
      <w:r w:rsidR="001E5D57" w:rsidRPr="005F44EF">
        <w:rPr>
          <w:rFonts w:ascii="Times New Roman" w:eastAsia="Times New Roman" w:hAnsi="Times New Roman" w:cs="Times New Roman"/>
          <w:sz w:val="24"/>
          <w:szCs w:val="24"/>
        </w:rPr>
        <w:t xml:space="preserve"> dating to 9155-9550 </w:t>
      </w:r>
      <w:proofErr w:type="spellStart"/>
      <w:r w:rsidR="001E5D57" w:rsidRPr="005F44EF">
        <w:rPr>
          <w:rFonts w:ascii="Times New Roman" w:eastAsia="Times New Roman" w:hAnsi="Times New Roman" w:cs="Times New Roman"/>
          <w:sz w:val="24"/>
          <w:szCs w:val="24"/>
        </w:rPr>
        <w:t>cal</w:t>
      </w:r>
      <w:proofErr w:type="spellEnd"/>
      <w:r w:rsidR="001E5D57" w:rsidRPr="005F44EF">
        <w:rPr>
          <w:rFonts w:ascii="Times New Roman" w:eastAsia="Times New Roman" w:hAnsi="Times New Roman" w:cs="Times New Roman"/>
          <w:sz w:val="24"/>
          <w:szCs w:val="24"/>
        </w:rPr>
        <w:t xml:space="preserve"> BP (</w:t>
      </w:r>
      <w:r w:rsidR="00CA49CB" w:rsidRPr="005F44EF">
        <w:rPr>
          <w:rFonts w:ascii="Times New Roman" w:eastAsia="Times New Roman" w:hAnsi="Times New Roman" w:cs="Times New Roman"/>
          <w:sz w:val="24"/>
          <w:szCs w:val="24"/>
        </w:rPr>
        <w:t>8460</w:t>
      </w:r>
      <w:r w:rsidR="00E84150" w:rsidRPr="005F44EF">
        <w:rPr>
          <w:rFonts w:ascii="Times New Roman" w:eastAsia="Times New Roman" w:hAnsi="Times New Roman" w:cs="Times New Roman"/>
          <w:sz w:val="24"/>
          <w:szCs w:val="24"/>
        </w:rPr>
        <w:t>±</w:t>
      </w:r>
      <w:r w:rsidR="00CA49CB" w:rsidRPr="005F44EF">
        <w:rPr>
          <w:rFonts w:ascii="Times New Roman" w:eastAsia="Times New Roman" w:hAnsi="Times New Roman" w:cs="Times New Roman"/>
          <w:sz w:val="24"/>
          <w:szCs w:val="24"/>
        </w:rPr>
        <w:t xml:space="preserve">80; </w:t>
      </w:r>
      <w:r w:rsidR="001C2E13" w:rsidRPr="005F44EF">
        <w:rPr>
          <w:rFonts w:ascii="Times New Roman" w:eastAsia="Times New Roman" w:hAnsi="Times New Roman" w:cs="Times New Roman"/>
          <w:sz w:val="24"/>
          <w:szCs w:val="24"/>
        </w:rPr>
        <w:t>Geotop-729)</w:t>
      </w:r>
      <w:r w:rsidR="0025733F" w:rsidRPr="005F44EF">
        <w:rPr>
          <w:rFonts w:ascii="Times New Roman" w:eastAsia="Times New Roman" w:hAnsi="Times New Roman" w:cs="Times New Roman"/>
          <w:sz w:val="24"/>
          <w:szCs w:val="24"/>
        </w:rPr>
        <w:t xml:space="preserve">, overlying unaltered bedrock. </w:t>
      </w:r>
      <w:r w:rsidR="00212DF5" w:rsidRPr="005F44EF">
        <w:rPr>
          <w:rFonts w:ascii="Times New Roman" w:eastAsia="Times New Roman" w:hAnsi="Times New Roman" w:cs="Times New Roman"/>
          <w:sz w:val="24"/>
          <w:szCs w:val="24"/>
        </w:rPr>
        <w:lastRenderedPageBreak/>
        <w:t>This may be indicative of a terminal Pleistocene or early Holocene incision for the present drainage</w:t>
      </w:r>
      <w:r w:rsidR="003A08D0" w:rsidRPr="005F44EF">
        <w:rPr>
          <w:rFonts w:ascii="Times New Roman" w:eastAsia="Times New Roman" w:hAnsi="Times New Roman" w:cs="Times New Roman"/>
          <w:sz w:val="24"/>
          <w:szCs w:val="24"/>
        </w:rPr>
        <w:t xml:space="preserve">, </w:t>
      </w:r>
      <w:r w:rsidR="00BD6771" w:rsidRPr="005F44EF">
        <w:rPr>
          <w:rFonts w:ascii="Times New Roman" w:eastAsia="Times New Roman" w:hAnsi="Times New Roman" w:cs="Times New Roman"/>
          <w:sz w:val="24"/>
          <w:szCs w:val="24"/>
        </w:rPr>
        <w:t>and potentially for the terrace deposits.</w:t>
      </w:r>
    </w:p>
    <w:p w14:paraId="095D036F" w14:textId="77777777" w:rsidR="008017BE" w:rsidRPr="005F44EF" w:rsidRDefault="008017BE" w:rsidP="008017BE">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noProof/>
          <w:sz w:val="24"/>
          <w:szCs w:val="24"/>
          <w:lang w:val="en-AU" w:eastAsia="en-AU"/>
        </w:rPr>
        <w:drawing>
          <wp:inline distT="0" distB="0" distL="0" distR="0" wp14:anchorId="139E2FE7" wp14:editId="6F274E55">
            <wp:extent cx="5983418" cy="2662697"/>
            <wp:effectExtent l="0" t="0" r="0" b="4445"/>
            <wp:docPr id="2141347139" name="Picture 1" descr="A collage of images of two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47139" name="Picture 1" descr="A collage of images of two peopl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83418" cy="2662697"/>
                    </a:xfrm>
                    <a:prstGeom prst="rect">
                      <a:avLst/>
                    </a:prstGeom>
                  </pic:spPr>
                </pic:pic>
              </a:graphicData>
            </a:graphic>
          </wp:inline>
        </w:drawing>
      </w:r>
    </w:p>
    <w:p w14:paraId="505979B0" w14:textId="3B09C6FD" w:rsidR="008017BE" w:rsidRPr="005F44EF" w:rsidRDefault="008017BE" w:rsidP="008017BE">
      <w:pPr>
        <w:spacing w:after="0" w:line="276" w:lineRule="auto"/>
        <w:jc w:val="both"/>
        <w:rPr>
          <w:rFonts w:ascii="Times New Roman" w:eastAsia="Times New Roman" w:hAnsi="Times New Roman" w:cs="Times New Roman"/>
          <w:sz w:val="24"/>
          <w:szCs w:val="24"/>
        </w:rPr>
      </w:pPr>
      <w:bookmarkStart w:id="7" w:name="_Hlk170653864"/>
      <w:r w:rsidRPr="005F44EF">
        <w:rPr>
          <w:rFonts w:ascii="Times New Roman" w:eastAsia="Times New Roman" w:hAnsi="Times New Roman" w:cs="Times New Roman"/>
          <w:b/>
          <w:sz w:val="24"/>
          <w:szCs w:val="24"/>
        </w:rPr>
        <w:t>Figure S</w:t>
      </w:r>
      <w:r w:rsidR="002717A3" w:rsidRPr="005F44EF">
        <w:rPr>
          <w:rFonts w:ascii="Times New Roman" w:eastAsia="Times New Roman" w:hAnsi="Times New Roman" w:cs="Times New Roman"/>
          <w:b/>
          <w:sz w:val="24"/>
          <w:szCs w:val="24"/>
        </w:rPr>
        <w:t>2</w:t>
      </w:r>
      <w:r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b/>
          <w:bCs/>
          <w:sz w:val="24"/>
          <w:szCs w:val="24"/>
        </w:rPr>
        <w:t>Historical photos of excavations at Bété I</w:t>
      </w:r>
      <w:bookmarkEnd w:id="7"/>
      <w:r w:rsidRPr="005F44EF">
        <w:rPr>
          <w:rFonts w:ascii="Times New Roman" w:eastAsia="Times New Roman" w:hAnsi="Times New Roman" w:cs="Times New Roman"/>
          <w:b/>
          <w:bCs/>
          <w:sz w:val="24"/>
          <w:szCs w:val="24"/>
        </w:rPr>
        <w:t>.</w:t>
      </w:r>
      <w:r w:rsidRPr="005F44EF">
        <w:rPr>
          <w:rFonts w:ascii="Times New Roman" w:eastAsia="Times New Roman" w:hAnsi="Times New Roman" w:cs="Times New Roman"/>
          <w:sz w:val="24"/>
          <w:szCs w:val="24"/>
        </w:rPr>
        <w:t xml:space="preserve"> Site plan and photos from</w:t>
      </w:r>
      <w:r w:rsidR="00A32E30" w:rsidRPr="005F44EF">
        <w:rPr>
          <w:rFonts w:ascii="Times New Roman" w:eastAsia="Times New Roman" w:hAnsi="Times New Roman" w:cs="Times New Roman"/>
          <w:sz w:val="24"/>
          <w:szCs w:val="24"/>
        </w:rPr>
        <w:fldChar w:fldCharType="begin" w:fldLock="1"/>
      </w:r>
      <w:r w:rsidR="00A32E30" w:rsidRPr="005F44EF">
        <w:rPr>
          <w:rFonts w:ascii="Times New Roman" w:eastAsia="Times New Roman" w:hAnsi="Times New Roman" w:cs="Times New Roman"/>
          <w:sz w:val="24"/>
          <w:szCs w:val="24"/>
        </w:rPr>
        <w:instrText>ADDIN CSL_CITATION {"citationItems":[{"id":"ITEM-1","itemData":{"author":[{"dropping-particle":"","family":"Allsworth-Jones","given":"Philip","non-dropping-particle":"","parse-names":false,"suffix":""}],"edition":"Archaeopre","id":"ITEM-1","issued":{"date-parts":[["2019"]]},"publisher-place":" Oxford","title":"The Middle Stone Age of Nigeria in its West African Context","type":"book"},"uris":["http://www.mendeley.com/documents/?uuid=6917f608-b417-3be9-a45f-00adb98d9562"]}],"mendeley":{"formattedCitation":"&lt;sup&gt;64&lt;/sup&gt;","plainTextFormattedCitation":"64","previouslyFormattedCitation":"&lt;sup&gt;64&lt;/sup&gt;"},"properties":{"noteIndex":0},"schema":"https://github.com/citation-style-language/schema/raw/master/csl-citation.json"}</w:instrText>
      </w:r>
      <w:r w:rsidR="00A32E30" w:rsidRPr="005F44EF">
        <w:rPr>
          <w:rFonts w:ascii="Times New Roman" w:eastAsia="Times New Roman" w:hAnsi="Times New Roman" w:cs="Times New Roman"/>
          <w:sz w:val="24"/>
          <w:szCs w:val="24"/>
        </w:rPr>
        <w:fldChar w:fldCharType="separate"/>
      </w:r>
      <w:r w:rsidR="00A32E30" w:rsidRPr="005F44EF">
        <w:rPr>
          <w:rFonts w:ascii="Times New Roman" w:eastAsia="Times New Roman" w:hAnsi="Times New Roman" w:cs="Times New Roman"/>
          <w:noProof/>
          <w:sz w:val="24"/>
          <w:szCs w:val="24"/>
          <w:vertAlign w:val="superscript"/>
        </w:rPr>
        <w:t>64</w:t>
      </w:r>
      <w:r w:rsidR="00A32E30"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(1-3a) Photos of Bété I in November 1983 taken by P. Allsworth-Jones during a visit to the site, and (3b) photo of main trench at Bété I during excavation in 1990s (courtesy of Prof. Guédé).</w:t>
      </w:r>
    </w:p>
    <w:p w14:paraId="60F4F567" w14:textId="273B203E" w:rsidR="008017BE" w:rsidRDefault="008017BE" w:rsidP="00A6342D">
      <w:pPr>
        <w:spacing w:after="0" w:line="276" w:lineRule="auto"/>
        <w:jc w:val="both"/>
        <w:rPr>
          <w:rFonts w:ascii="Times New Roman" w:eastAsia="Times New Roman" w:hAnsi="Times New Roman" w:cs="Times New Roman"/>
          <w:sz w:val="24"/>
          <w:szCs w:val="24"/>
        </w:rPr>
      </w:pPr>
    </w:p>
    <w:p w14:paraId="2250A605" w14:textId="77777777" w:rsidR="00A2264E" w:rsidRPr="005F44EF" w:rsidRDefault="00A2264E" w:rsidP="00A6342D">
      <w:pPr>
        <w:spacing w:after="0" w:line="276" w:lineRule="auto"/>
        <w:jc w:val="both"/>
        <w:rPr>
          <w:rFonts w:ascii="Times New Roman" w:eastAsia="Times New Roman" w:hAnsi="Times New Roman" w:cs="Times New Roman"/>
          <w:sz w:val="24"/>
          <w:szCs w:val="24"/>
        </w:rPr>
      </w:pPr>
    </w:p>
    <w:p w14:paraId="0324752F" w14:textId="60B02FC1" w:rsidR="002C6610" w:rsidRPr="005F44EF" w:rsidRDefault="002C6610" w:rsidP="002C6610">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Investigations by a joint Russian-Ivorian mission conducted further detailed work at the site until the early 1990s, with a suite of articles published in Russian up until the early 2000’s</w:t>
      </w:r>
      <w:r w:rsidR="00D864B4"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uthor":[{"dropping-particle":"","family":"Lioubin","given":"V.P.","non-dropping-particle":"","parse-names":false,"suffix":""},{"dropping-particle":"","family":"Guédé","given":"F.Y.","non-dropping-particle":"","parse-names":false,"suffix":""}],"container-title":"Russian Academy of Sciences, Institute of the History of Material Culture Proceedings, vol. 3","id":"ITEM-1","issued":{"date-parts":[["2000"]]},"publisher-place":"St. Petersburg","title":"Paleolit Respubliki Kot d'Ivvuar (Zapadnaya Afrika) [The Palaeolithic of the Republic of Cote d'Ivoire (West Africa)]","type":"book"},"uris":["http://www.mendeley.com/documents/?uuid=aa04e7e7-917b-48f3-b7ff-044d552e4799"]}],"mendeley":{"formattedCitation":"&lt;sup&gt;39&lt;/sup&gt;","plainTextFormattedCitation":"39","previouslyFormattedCitation":"&lt;sup&gt;39&lt;/sup&gt;"},"properties":{"noteIndex":0},"schema":"https://github.com/citation-style-language/schema/raw/master/csl-citation.json"}</w:instrText>
      </w:r>
      <w:r w:rsidR="00D864B4" w:rsidRPr="005F44EF">
        <w:rPr>
          <w:rFonts w:ascii="Times New Roman" w:eastAsia="Times New Roman" w:hAnsi="Times New Roman" w:cs="Times New Roman"/>
          <w:sz w:val="24"/>
          <w:szCs w:val="24"/>
        </w:rPr>
        <w:fldChar w:fldCharType="separate"/>
      </w:r>
      <w:r w:rsidR="00D864B4" w:rsidRPr="005F44EF">
        <w:rPr>
          <w:rFonts w:ascii="Times New Roman" w:eastAsia="Times New Roman" w:hAnsi="Times New Roman" w:cs="Times New Roman"/>
          <w:noProof/>
          <w:sz w:val="24"/>
          <w:szCs w:val="24"/>
          <w:vertAlign w:val="superscript"/>
        </w:rPr>
        <w:t>39</w:t>
      </w:r>
      <w:r w:rsidR="00D864B4"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During the 1993 excavations, 14 geological horizons were recorded at across the Anyama quarry walls and step trenches, with Units A-F retained to describe the sediments of the excavation area. This expanded on the previous excavation site, reaching the base of Terre de Barre/Unit D deposits, revealing the contact with Continental Terminal/Unit E deposits at the base of the 15.7m deep trench (</w:t>
      </w:r>
      <w:r w:rsidRPr="005F44EF">
        <w:rPr>
          <w:rFonts w:ascii="Times New Roman" w:eastAsia="Times New Roman" w:hAnsi="Times New Roman" w:cs="Times New Roman"/>
          <w:b/>
          <w:sz w:val="24"/>
          <w:szCs w:val="24"/>
        </w:rPr>
        <w:t>Figure S</w:t>
      </w:r>
      <w:r w:rsidR="00544B7A" w:rsidRPr="005F44EF">
        <w:rPr>
          <w:rFonts w:ascii="Times New Roman" w:eastAsia="Times New Roman" w:hAnsi="Times New Roman" w:cs="Times New Roman"/>
          <w:b/>
          <w:sz w:val="24"/>
          <w:szCs w:val="24"/>
        </w:rPr>
        <w:t>2</w:t>
      </w:r>
      <w:r w:rsidRPr="005F44EF">
        <w:rPr>
          <w:rFonts w:ascii="Times New Roman" w:eastAsia="Times New Roman" w:hAnsi="Times New Roman" w:cs="Times New Roman"/>
          <w:sz w:val="24"/>
          <w:szCs w:val="24"/>
        </w:rPr>
        <w:t xml:space="preserve">). The sediment sequence was studied by S. N. </w:t>
      </w:r>
      <w:proofErr w:type="spellStart"/>
      <w:r w:rsidRPr="005F44EF">
        <w:rPr>
          <w:rFonts w:ascii="Times New Roman" w:eastAsia="Times New Roman" w:hAnsi="Times New Roman" w:cs="Times New Roman"/>
          <w:sz w:val="24"/>
          <w:szCs w:val="24"/>
        </w:rPr>
        <w:t>Sedov</w:t>
      </w:r>
      <w:proofErr w:type="spellEnd"/>
      <w:r w:rsidRPr="005F44EF">
        <w:rPr>
          <w:rFonts w:ascii="Times New Roman" w:eastAsia="Times New Roman" w:hAnsi="Times New Roman" w:cs="Times New Roman"/>
          <w:sz w:val="24"/>
          <w:szCs w:val="24"/>
        </w:rPr>
        <w:t xml:space="preserve"> and including “particle size analysis and a complex of chemical analyses including determination of gross chemical composition by X-ray fluorescence, pH of aqueous and saline (KST PM) extracts by potentiometric method, content of exchangeable hydrogen by </w:t>
      </w:r>
      <w:proofErr w:type="spellStart"/>
      <w:r w:rsidRPr="005F44EF">
        <w:rPr>
          <w:rFonts w:ascii="Times New Roman" w:eastAsia="Times New Roman" w:hAnsi="Times New Roman" w:cs="Times New Roman"/>
          <w:sz w:val="24"/>
          <w:szCs w:val="24"/>
        </w:rPr>
        <w:t>Kappen</w:t>
      </w:r>
      <w:proofErr w:type="spellEnd"/>
      <w:r w:rsidRPr="005F44EF">
        <w:rPr>
          <w:rFonts w:ascii="Times New Roman" w:eastAsia="Times New Roman" w:hAnsi="Times New Roman" w:cs="Times New Roman"/>
          <w:sz w:val="24"/>
          <w:szCs w:val="24"/>
        </w:rPr>
        <w:t xml:space="preserve">, exchangeable bases in the acetate-ammonium extract, humus by </w:t>
      </w:r>
      <w:proofErr w:type="spellStart"/>
      <w:r w:rsidRPr="005F44EF">
        <w:rPr>
          <w:rFonts w:ascii="Times New Roman" w:eastAsia="Times New Roman" w:hAnsi="Times New Roman" w:cs="Times New Roman"/>
          <w:sz w:val="24"/>
          <w:szCs w:val="24"/>
        </w:rPr>
        <w:t>Tyurin</w:t>
      </w:r>
      <w:proofErr w:type="spellEnd"/>
      <w:r w:rsidRPr="005F44EF">
        <w:rPr>
          <w:rFonts w:ascii="Times New Roman" w:eastAsia="Times New Roman" w:hAnsi="Times New Roman" w:cs="Times New Roman"/>
          <w:sz w:val="24"/>
          <w:szCs w:val="24"/>
        </w:rPr>
        <w:t xml:space="preserve">, iron and aluminium compounds extracted by oxalate (by Tamm) and dithionite (by </w:t>
      </w:r>
      <w:proofErr w:type="spellStart"/>
      <w:r w:rsidRPr="005F44EF">
        <w:rPr>
          <w:rFonts w:ascii="Times New Roman" w:eastAsia="Times New Roman" w:hAnsi="Times New Roman" w:cs="Times New Roman"/>
          <w:sz w:val="24"/>
          <w:szCs w:val="24"/>
        </w:rPr>
        <w:t>Mera</w:t>
      </w:r>
      <w:proofErr w:type="spellEnd"/>
      <w:r w:rsidRPr="005F44EF">
        <w:rPr>
          <w:rFonts w:ascii="Times New Roman" w:eastAsia="Times New Roman" w:hAnsi="Times New Roman" w:cs="Times New Roman"/>
          <w:sz w:val="24"/>
          <w:szCs w:val="24"/>
        </w:rPr>
        <w:t>-Jackson) extracts. In addition to chemical analyses, polarisation microscopes were used to examine the material in petrographic and micromorphological terms” (</w:t>
      </w:r>
      <w:r w:rsidR="00A32E30"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uthor":[{"dropping-particle":"","family":"Lioubin","given":"V.P.","non-dropping-particle":"","parse-names":false,"suffix":""},{"dropping-particle":"","family":"Guédé","given":"F.Y.","non-dropping-particle":"","parse-names":false,"suffix":""}],"container-title":"Russian Academy of Sciences, Institute of the History of Material Culture Proceedings, vol. 3","id":"ITEM-1","issued":{"date-parts":[["2000"]]},"publisher-place":"St. Petersburg","title":"Paleolit Respubliki Kot d'Ivvuar (Zapadnaya Afrika) [The Palaeolithic of the Republic of Cote d'Ivoire (West Africa)]","type":"book"},"uris":["http://www.mendeley.com/documents/?uuid=aa04e7e7-917b-48f3-b7ff-044d552e4799"]}],"mendeley":{"formattedCitation":"&lt;sup&gt;39&lt;/sup&gt;","plainTextFormattedCitation":"39","previouslyFormattedCitation":"&lt;sup&gt;39&lt;/sup&gt;"},"properties":{"noteIndex":0},"schema":"https://github.com/citation-style-language/schema/raw/master/csl-citation.json"}</w:instrText>
      </w:r>
      <w:r w:rsidR="00A32E30" w:rsidRPr="005F44EF">
        <w:rPr>
          <w:rFonts w:ascii="Times New Roman" w:eastAsia="Times New Roman" w:hAnsi="Times New Roman" w:cs="Times New Roman"/>
          <w:sz w:val="24"/>
          <w:szCs w:val="24"/>
        </w:rPr>
        <w:fldChar w:fldCharType="separate"/>
      </w:r>
      <w:r w:rsidR="00A32E30" w:rsidRPr="005F44EF">
        <w:rPr>
          <w:rFonts w:ascii="Times New Roman" w:eastAsia="Times New Roman" w:hAnsi="Times New Roman" w:cs="Times New Roman"/>
          <w:noProof/>
          <w:sz w:val="24"/>
          <w:szCs w:val="24"/>
          <w:vertAlign w:val="superscript"/>
        </w:rPr>
        <w:t>39</w:t>
      </w:r>
      <w:r w:rsidR="00A32E30" w:rsidRPr="005F44EF">
        <w:rPr>
          <w:rFonts w:ascii="Times New Roman" w:eastAsia="Times New Roman" w:hAnsi="Times New Roman" w:cs="Times New Roman"/>
          <w:sz w:val="24"/>
          <w:szCs w:val="24"/>
        </w:rPr>
        <w:fldChar w:fldCharType="end"/>
      </w:r>
      <w:r w:rsidR="00A32E30" w:rsidRPr="005F44EF">
        <w:rPr>
          <w:rFonts w:ascii="Times New Roman" w:eastAsia="Times New Roman" w:hAnsi="Times New Roman" w:cs="Times New Roman"/>
          <w:sz w:val="24"/>
          <w:szCs w:val="24"/>
        </w:rPr>
        <w:t>:</w:t>
      </w:r>
      <w:r w:rsidRPr="005F44EF">
        <w:rPr>
          <w:rFonts w:ascii="Times New Roman" w:eastAsia="Times New Roman" w:hAnsi="Times New Roman" w:cs="Times New Roman"/>
          <w:sz w:val="24"/>
          <w:szCs w:val="24"/>
        </w:rPr>
        <w:t>11-12), with key conclusions reported as personal communications in</w:t>
      </w:r>
      <w:r w:rsidR="0031797A"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uthor":[{"dropping-particle":"","family":"Lioubin","given":"V.P.","non-dropping-particle":"","parse-names":false,"suffix":""},{"dropping-particle":"","family":"Guédé","given":"F.Y.","non-dropping-particle":"","parse-names":false,"suffix":""}],"container-title":"Russian Academy of Sciences, Institute of the History of Material Culture Proceedings, vol. 3","id":"ITEM-1","issued":{"date-parts":[["2000"]]},"publisher-place":"St. Petersburg","title":"Paleolit Respubliki Kot d'Ivvuar (Zapadnaya Afrika) [The Palaeolithic of the Republic of Cote d'Ivoire (West Africa)]","type":"book"},"uris":["http://www.mendeley.com/documents/?uuid=aa04e7e7-917b-48f3-b7ff-044d552e4799"]}],"mendeley":{"formattedCitation":"&lt;sup&gt;39&lt;/sup&gt;","plainTextFormattedCitation":"39","previouslyFormattedCitation":"&lt;sup&gt;39&lt;/sup&gt;"},"properties":{"noteIndex":0},"schema":"https://github.com/citation-style-language/schema/raw/master/csl-citation.json"}</w:instrText>
      </w:r>
      <w:r w:rsidR="0031797A" w:rsidRPr="005F44EF">
        <w:rPr>
          <w:rFonts w:ascii="Times New Roman" w:eastAsia="Times New Roman" w:hAnsi="Times New Roman" w:cs="Times New Roman"/>
          <w:sz w:val="24"/>
          <w:szCs w:val="24"/>
        </w:rPr>
        <w:fldChar w:fldCharType="separate"/>
      </w:r>
      <w:r w:rsidR="0031797A" w:rsidRPr="005F44EF">
        <w:rPr>
          <w:rFonts w:ascii="Times New Roman" w:eastAsia="Times New Roman" w:hAnsi="Times New Roman" w:cs="Times New Roman"/>
          <w:noProof/>
          <w:sz w:val="24"/>
          <w:szCs w:val="24"/>
          <w:vertAlign w:val="superscript"/>
        </w:rPr>
        <w:t>39</w:t>
      </w:r>
      <w:r w:rsidR="0031797A"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here we summarise the salient points of </w:t>
      </w:r>
      <w:proofErr w:type="spellStart"/>
      <w:r w:rsidRPr="005F44EF">
        <w:rPr>
          <w:rFonts w:ascii="Times New Roman" w:eastAsia="Times New Roman" w:hAnsi="Times New Roman" w:cs="Times New Roman"/>
          <w:sz w:val="24"/>
          <w:szCs w:val="24"/>
        </w:rPr>
        <w:t>Sedov’s</w:t>
      </w:r>
      <w:proofErr w:type="spellEnd"/>
      <w:r w:rsidRPr="005F44EF">
        <w:rPr>
          <w:rFonts w:ascii="Times New Roman" w:eastAsia="Times New Roman" w:hAnsi="Times New Roman" w:cs="Times New Roman"/>
          <w:sz w:val="24"/>
          <w:szCs w:val="24"/>
        </w:rPr>
        <w:t xml:space="preserve"> findings. </w:t>
      </w:r>
    </w:p>
    <w:p w14:paraId="3D942DE5" w14:textId="77777777" w:rsidR="009472AE" w:rsidRPr="005F44EF" w:rsidRDefault="009472AE" w:rsidP="00A6342D">
      <w:pPr>
        <w:spacing w:after="0" w:line="276" w:lineRule="auto"/>
        <w:jc w:val="both"/>
        <w:rPr>
          <w:rFonts w:ascii="Times New Roman" w:eastAsia="Times New Roman" w:hAnsi="Times New Roman" w:cs="Times New Roman"/>
          <w:sz w:val="24"/>
          <w:szCs w:val="24"/>
        </w:rPr>
      </w:pPr>
    </w:p>
    <w:p w14:paraId="53A1EFC3" w14:textId="77777777" w:rsidR="008017BE" w:rsidRPr="005F44EF" w:rsidRDefault="008017BE" w:rsidP="00A6342D">
      <w:pPr>
        <w:spacing w:after="0" w:line="276" w:lineRule="auto"/>
        <w:jc w:val="both"/>
        <w:rPr>
          <w:rFonts w:ascii="Times New Roman" w:eastAsia="Times New Roman" w:hAnsi="Times New Roman" w:cs="Times New Roman"/>
          <w:sz w:val="24"/>
          <w:szCs w:val="24"/>
        </w:rPr>
      </w:pPr>
    </w:p>
    <w:p w14:paraId="5852663C" w14:textId="1B53A42E" w:rsidR="00D74C32" w:rsidRPr="005F44EF" w:rsidRDefault="00D74C32">
      <w:pPr>
        <w:spacing w:after="0" w:line="276" w:lineRule="auto"/>
        <w:jc w:val="both"/>
        <w:rPr>
          <w:rFonts w:ascii="Times New Roman" w:eastAsia="Times New Roman" w:hAnsi="Times New Roman" w:cs="Times New Roman"/>
          <w:sz w:val="24"/>
          <w:szCs w:val="24"/>
        </w:rPr>
      </w:pPr>
      <w:r w:rsidRPr="005F44EF">
        <w:rPr>
          <w:rFonts w:ascii="Times New Roman" w:hAnsi="Times New Roman" w:cs="Times New Roman"/>
          <w:noProof/>
          <w:lang w:val="en-AU" w:eastAsia="en-AU"/>
        </w:rPr>
        <w:lastRenderedPageBreak/>
        <w:drawing>
          <wp:inline distT="0" distB="0" distL="0" distR="0" wp14:anchorId="1601C0AF" wp14:editId="68B90977">
            <wp:extent cx="5630667" cy="4665345"/>
            <wp:effectExtent l="0" t="0" r="8255" b="1905"/>
            <wp:docPr id="1109621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621603" name="Picture 1" descr="A diagram of a staircas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630667" cy="4665345"/>
                    </a:xfrm>
                    <a:prstGeom prst="rect">
                      <a:avLst/>
                    </a:prstGeom>
                    <a:noFill/>
                    <a:ln>
                      <a:noFill/>
                    </a:ln>
                  </pic:spPr>
                </pic:pic>
              </a:graphicData>
            </a:graphic>
          </wp:inline>
        </w:drawing>
      </w:r>
    </w:p>
    <w:p w14:paraId="41E5DEEA" w14:textId="48E0B80B" w:rsidR="00D74C32" w:rsidRPr="005F44EF" w:rsidRDefault="00D74C32">
      <w:pPr>
        <w:spacing w:after="0" w:line="276" w:lineRule="auto"/>
        <w:jc w:val="both"/>
        <w:rPr>
          <w:rFonts w:ascii="Times New Roman" w:eastAsia="Times New Roman" w:hAnsi="Times New Roman" w:cs="Times New Roman"/>
          <w:sz w:val="24"/>
          <w:szCs w:val="24"/>
        </w:rPr>
      </w:pPr>
      <w:bookmarkStart w:id="8" w:name="_Hlk170653928"/>
      <w:r w:rsidRPr="005F44EF">
        <w:rPr>
          <w:rFonts w:ascii="Times New Roman" w:eastAsia="Times New Roman" w:hAnsi="Times New Roman" w:cs="Times New Roman"/>
          <w:b/>
          <w:sz w:val="24"/>
          <w:szCs w:val="24"/>
        </w:rPr>
        <w:t>Figure S</w:t>
      </w:r>
      <w:r w:rsidR="00F235C3" w:rsidRPr="005F44EF">
        <w:rPr>
          <w:rFonts w:ascii="Times New Roman" w:eastAsia="Times New Roman" w:hAnsi="Times New Roman" w:cs="Times New Roman"/>
          <w:b/>
          <w:sz w:val="24"/>
          <w:szCs w:val="24"/>
        </w:rPr>
        <w:t>3</w:t>
      </w:r>
      <w:bookmarkEnd w:id="8"/>
      <w:r w:rsidRPr="005F44EF">
        <w:rPr>
          <w:rFonts w:ascii="Times New Roman" w:eastAsia="Times New Roman" w:hAnsi="Times New Roman" w:cs="Times New Roman"/>
          <w:sz w:val="24"/>
          <w:szCs w:val="24"/>
        </w:rPr>
        <w:t xml:space="preserve">: </w:t>
      </w:r>
      <w:bookmarkStart w:id="9" w:name="_Hlk170654031"/>
      <w:r w:rsidRPr="005F44EF">
        <w:rPr>
          <w:rFonts w:ascii="Times New Roman" w:eastAsia="Times New Roman" w:hAnsi="Times New Roman" w:cs="Times New Roman"/>
          <w:sz w:val="24"/>
          <w:szCs w:val="24"/>
        </w:rPr>
        <w:t>Longitu</w:t>
      </w:r>
      <w:r w:rsidR="0036548B">
        <w:rPr>
          <w:rFonts w:ascii="Times New Roman" w:eastAsia="Times New Roman" w:hAnsi="Times New Roman" w:cs="Times New Roman"/>
          <w:sz w:val="24"/>
          <w:szCs w:val="24"/>
        </w:rPr>
        <w:t xml:space="preserve">dinal </w:t>
      </w:r>
      <w:r w:rsidRPr="005F44EF">
        <w:rPr>
          <w:rFonts w:ascii="Times New Roman" w:eastAsia="Times New Roman" w:hAnsi="Times New Roman" w:cs="Times New Roman"/>
          <w:sz w:val="24"/>
          <w:szCs w:val="24"/>
        </w:rPr>
        <w:t xml:space="preserve">section across the Bété I excavation area </w:t>
      </w:r>
      <w:bookmarkEnd w:id="9"/>
      <w:r w:rsidRPr="005F44EF">
        <w:rPr>
          <w:rFonts w:ascii="Times New Roman" w:eastAsia="Times New Roman" w:hAnsi="Times New Roman" w:cs="Times New Roman"/>
          <w:sz w:val="24"/>
          <w:szCs w:val="24"/>
        </w:rPr>
        <w:t>(Steps 1-3)</w:t>
      </w:r>
      <w:r w:rsidR="0001379A" w:rsidRPr="005F44EF">
        <w:rPr>
          <w:rFonts w:ascii="Times New Roman" w:eastAsia="Times New Roman" w:hAnsi="Times New Roman" w:cs="Times New Roman"/>
          <w:sz w:val="24"/>
          <w:szCs w:val="24"/>
        </w:rPr>
        <w:t>, and the cleaned Quarry wall (Steps 4-6)</w:t>
      </w:r>
      <w:r w:rsidR="007864F0" w:rsidRPr="005F44EF">
        <w:rPr>
          <w:rFonts w:ascii="Times New Roman" w:eastAsia="Times New Roman" w:hAnsi="Times New Roman" w:cs="Times New Roman"/>
          <w:sz w:val="24"/>
          <w:szCs w:val="24"/>
        </w:rPr>
        <w:t xml:space="preserve"> and Test Pit 1 (Step 7), </w:t>
      </w:r>
      <w:r w:rsidR="00D528C8" w:rsidRPr="005F44EF">
        <w:rPr>
          <w:rFonts w:ascii="Times New Roman" w:eastAsia="Times New Roman" w:hAnsi="Times New Roman" w:cs="Times New Roman"/>
          <w:sz w:val="24"/>
          <w:szCs w:val="24"/>
        </w:rPr>
        <w:t>redrawn from</w:t>
      </w:r>
      <w:r w:rsidR="0080060F" w:rsidRPr="005F44EF">
        <w:rPr>
          <w:rFonts w:ascii="Times New Roman" w:eastAsia="Times New Roman" w:hAnsi="Times New Roman" w:cs="Times New Roman"/>
          <w:sz w:val="24"/>
          <w:szCs w:val="24"/>
        </w:rPr>
        <w:t xml:space="preserve"> Figure 6 in</w:t>
      </w:r>
      <w:r w:rsidR="000849E3" w:rsidRPr="005F44EF">
        <w:rPr>
          <w:rFonts w:ascii="Times New Roman" w:eastAsia="Times New Roman" w:hAnsi="Times New Roman" w:cs="Times New Roman"/>
          <w:sz w:val="24"/>
          <w:szCs w:val="24"/>
        </w:rPr>
        <w:t xml:space="preserve"> </w:t>
      </w:r>
      <w:proofErr w:type="spellStart"/>
      <w:r w:rsidR="000849E3" w:rsidRPr="005F44EF">
        <w:rPr>
          <w:rFonts w:ascii="Times New Roman" w:eastAsia="Times New Roman" w:hAnsi="Times New Roman" w:cs="Times New Roman"/>
          <w:sz w:val="24"/>
          <w:szCs w:val="24"/>
        </w:rPr>
        <w:t>Li</w:t>
      </w:r>
      <w:r w:rsidR="00614E13">
        <w:rPr>
          <w:rFonts w:ascii="Times New Roman" w:eastAsia="Times New Roman" w:hAnsi="Times New Roman" w:cs="Times New Roman"/>
          <w:sz w:val="24"/>
          <w:szCs w:val="24"/>
        </w:rPr>
        <w:t>o</w:t>
      </w:r>
      <w:r w:rsidR="000849E3" w:rsidRPr="005F44EF">
        <w:rPr>
          <w:rFonts w:ascii="Times New Roman" w:eastAsia="Times New Roman" w:hAnsi="Times New Roman" w:cs="Times New Roman"/>
          <w:sz w:val="24"/>
          <w:szCs w:val="24"/>
        </w:rPr>
        <w:t>ubin</w:t>
      </w:r>
      <w:proofErr w:type="spellEnd"/>
      <w:r w:rsidR="000849E3" w:rsidRPr="005F44EF">
        <w:rPr>
          <w:rFonts w:ascii="Times New Roman" w:eastAsia="Times New Roman" w:hAnsi="Times New Roman" w:cs="Times New Roman"/>
          <w:sz w:val="24"/>
          <w:szCs w:val="24"/>
        </w:rPr>
        <w:t xml:space="preserve"> and Guédé</w:t>
      </w:r>
      <w:r w:rsidR="000849E3"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uthor":[{"dropping-particle":"","family":"Lioubin","given":"V.P.","non-dropping-particle":"","parse-names":false,"suffix":""},{"dropping-particle":"","family":"Guédé","given":"F.Y.","non-dropping-particle":"","parse-names":false,"suffix":""}],"container-title":"Russian Academy of Sciences, Institute of the History of Material Culture Proceedings, vol. 3","id":"ITEM-1","issued":{"date-parts":[["2000"]]},"publisher-place":"St. Petersburg","title":"Paleolit Respubliki Kot d'Ivvuar (Zapadnaya Afrika) [The Palaeolithic of the Republic of Cote d'Ivoire (West Africa)]","type":"book"},"uris":["http://www.mendeley.com/documents/?uuid=aa04e7e7-917b-48f3-b7ff-044d552e4799"]}],"mendeley":{"formattedCitation":"&lt;sup&gt;39&lt;/sup&gt;","plainTextFormattedCitation":"39","previouslyFormattedCitation":"&lt;sup&gt;39&lt;/sup&gt;"},"properties":{"noteIndex":0},"schema":"https://github.com/citation-style-language/schema/raw/master/csl-citation.json"}</w:instrText>
      </w:r>
      <w:r w:rsidR="000849E3" w:rsidRPr="005F44EF">
        <w:rPr>
          <w:rFonts w:ascii="Times New Roman" w:eastAsia="Times New Roman" w:hAnsi="Times New Roman" w:cs="Times New Roman"/>
          <w:sz w:val="24"/>
          <w:szCs w:val="24"/>
        </w:rPr>
        <w:fldChar w:fldCharType="separate"/>
      </w:r>
      <w:r w:rsidR="000849E3" w:rsidRPr="005F44EF">
        <w:rPr>
          <w:rFonts w:ascii="Times New Roman" w:eastAsia="Times New Roman" w:hAnsi="Times New Roman" w:cs="Times New Roman"/>
          <w:noProof/>
          <w:sz w:val="24"/>
          <w:szCs w:val="24"/>
          <w:vertAlign w:val="superscript"/>
        </w:rPr>
        <w:t>39</w:t>
      </w:r>
      <w:r w:rsidR="000849E3" w:rsidRPr="005F44EF">
        <w:rPr>
          <w:rFonts w:ascii="Times New Roman" w:eastAsia="Times New Roman" w:hAnsi="Times New Roman" w:cs="Times New Roman"/>
          <w:sz w:val="24"/>
          <w:szCs w:val="24"/>
        </w:rPr>
        <w:fldChar w:fldCharType="end"/>
      </w:r>
      <w:r w:rsidR="0080060F" w:rsidRPr="005F44EF">
        <w:rPr>
          <w:rFonts w:ascii="Times New Roman" w:eastAsia="Times New Roman" w:hAnsi="Times New Roman" w:cs="Times New Roman"/>
          <w:sz w:val="24"/>
          <w:szCs w:val="24"/>
        </w:rPr>
        <w:t>,</w:t>
      </w:r>
      <w:r w:rsidR="00F24010">
        <w:rPr>
          <w:rFonts w:ascii="Times New Roman" w:eastAsia="Times New Roman" w:hAnsi="Times New Roman" w:cs="Times New Roman"/>
          <w:sz w:val="24"/>
          <w:szCs w:val="24"/>
        </w:rPr>
        <w:t xml:space="preserve"> </w:t>
      </w:r>
      <w:r w:rsidR="00F36F94" w:rsidRPr="005F44EF">
        <w:rPr>
          <w:rFonts w:ascii="Times New Roman" w:eastAsia="Times New Roman" w:hAnsi="Times New Roman" w:cs="Times New Roman"/>
          <w:sz w:val="24"/>
          <w:szCs w:val="24"/>
        </w:rPr>
        <w:t xml:space="preserve">differentiating </w:t>
      </w:r>
      <w:r w:rsidR="00402DCB" w:rsidRPr="005F44EF">
        <w:rPr>
          <w:rFonts w:ascii="Times New Roman" w:eastAsia="Times New Roman" w:hAnsi="Times New Roman" w:cs="Times New Roman"/>
          <w:sz w:val="24"/>
          <w:szCs w:val="24"/>
        </w:rPr>
        <w:t xml:space="preserve">the Terre de Barre deposits of </w:t>
      </w:r>
      <w:r w:rsidR="00F36F94" w:rsidRPr="005F44EF">
        <w:rPr>
          <w:rFonts w:ascii="Times New Roman" w:eastAsia="Times New Roman" w:hAnsi="Times New Roman" w:cs="Times New Roman"/>
          <w:sz w:val="24"/>
          <w:szCs w:val="24"/>
        </w:rPr>
        <w:t>Units A-D</w:t>
      </w:r>
      <w:r w:rsidR="00402DCB" w:rsidRPr="005F44EF">
        <w:rPr>
          <w:rFonts w:ascii="Times New Roman" w:eastAsia="Times New Roman" w:hAnsi="Times New Roman" w:cs="Times New Roman"/>
          <w:sz w:val="24"/>
          <w:szCs w:val="24"/>
        </w:rPr>
        <w:t xml:space="preserve"> and </w:t>
      </w:r>
      <w:r w:rsidR="007864F0" w:rsidRPr="005F44EF">
        <w:rPr>
          <w:rFonts w:ascii="Times New Roman" w:eastAsia="Times New Roman" w:hAnsi="Times New Roman" w:cs="Times New Roman"/>
          <w:sz w:val="24"/>
          <w:szCs w:val="24"/>
        </w:rPr>
        <w:t>highlighting the steps re</w:t>
      </w:r>
      <w:r w:rsidR="00F36F94" w:rsidRPr="005F44EF">
        <w:rPr>
          <w:rFonts w:ascii="Times New Roman" w:eastAsia="Times New Roman" w:hAnsi="Times New Roman" w:cs="Times New Roman"/>
          <w:sz w:val="24"/>
          <w:szCs w:val="24"/>
        </w:rPr>
        <w:t>-</w:t>
      </w:r>
      <w:r w:rsidR="00402DCB" w:rsidRPr="005F44EF">
        <w:rPr>
          <w:rFonts w:ascii="Times New Roman" w:eastAsia="Times New Roman" w:hAnsi="Times New Roman" w:cs="Times New Roman"/>
          <w:sz w:val="24"/>
          <w:szCs w:val="24"/>
        </w:rPr>
        <w:t>examined</w:t>
      </w:r>
      <w:r w:rsidR="007864F0" w:rsidRPr="005F44EF">
        <w:rPr>
          <w:rFonts w:ascii="Times New Roman" w:eastAsia="Times New Roman" w:hAnsi="Times New Roman" w:cs="Times New Roman"/>
          <w:sz w:val="24"/>
          <w:szCs w:val="24"/>
        </w:rPr>
        <w:t xml:space="preserve"> in this study (Steps 1-4) and the </w:t>
      </w:r>
      <w:r w:rsidR="009F11A0" w:rsidRPr="005F44EF">
        <w:rPr>
          <w:rFonts w:ascii="Times New Roman" w:eastAsia="Times New Roman" w:hAnsi="Times New Roman" w:cs="Times New Roman"/>
          <w:sz w:val="24"/>
          <w:szCs w:val="24"/>
        </w:rPr>
        <w:t xml:space="preserve">lowermost artefact bearing level at 4.3m. </w:t>
      </w:r>
    </w:p>
    <w:p w14:paraId="6DCA4D7E" w14:textId="0F8183ED" w:rsidR="005B1511" w:rsidRDefault="005B1511">
      <w:pPr>
        <w:spacing w:after="0" w:line="276" w:lineRule="auto"/>
        <w:jc w:val="both"/>
        <w:rPr>
          <w:rFonts w:ascii="Times New Roman" w:eastAsia="Times New Roman" w:hAnsi="Times New Roman" w:cs="Times New Roman"/>
          <w:sz w:val="24"/>
          <w:szCs w:val="24"/>
        </w:rPr>
      </w:pPr>
    </w:p>
    <w:p w14:paraId="76AEC67A" w14:textId="77777777" w:rsidR="00A2264E" w:rsidRPr="005F44EF" w:rsidRDefault="00A2264E">
      <w:pPr>
        <w:spacing w:after="0" w:line="276" w:lineRule="auto"/>
        <w:jc w:val="both"/>
        <w:rPr>
          <w:rFonts w:ascii="Times New Roman" w:eastAsia="Times New Roman" w:hAnsi="Times New Roman" w:cs="Times New Roman"/>
          <w:sz w:val="24"/>
          <w:szCs w:val="24"/>
        </w:rPr>
      </w:pPr>
    </w:p>
    <w:p w14:paraId="5D63655E" w14:textId="5274EE21" w:rsidR="00F36671" w:rsidRPr="005F44EF" w:rsidRDefault="007072A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The </w:t>
      </w:r>
      <w:r w:rsidR="00FA5330" w:rsidRPr="005F44EF">
        <w:rPr>
          <w:rFonts w:ascii="Times New Roman" w:eastAsia="Times New Roman" w:hAnsi="Times New Roman" w:cs="Times New Roman"/>
          <w:sz w:val="24"/>
          <w:szCs w:val="24"/>
        </w:rPr>
        <w:t>Precambrian basement was identified</w:t>
      </w:r>
      <w:r w:rsidR="008911DC" w:rsidRPr="005F44EF">
        <w:rPr>
          <w:rFonts w:ascii="Times New Roman" w:eastAsia="Times New Roman" w:hAnsi="Times New Roman" w:cs="Times New Roman"/>
          <w:sz w:val="24"/>
          <w:szCs w:val="24"/>
        </w:rPr>
        <w:t xml:space="preserve"> by </w:t>
      </w:r>
      <w:proofErr w:type="spellStart"/>
      <w:r w:rsidR="008911DC" w:rsidRPr="005F44EF">
        <w:rPr>
          <w:rFonts w:ascii="Times New Roman" w:eastAsia="Times New Roman" w:hAnsi="Times New Roman" w:cs="Times New Roman"/>
          <w:sz w:val="24"/>
          <w:szCs w:val="24"/>
        </w:rPr>
        <w:t>Sedov</w:t>
      </w:r>
      <w:proofErr w:type="spellEnd"/>
      <w:r w:rsidR="00FA5330" w:rsidRPr="005F44EF">
        <w:rPr>
          <w:rFonts w:ascii="Times New Roman" w:eastAsia="Times New Roman" w:hAnsi="Times New Roman" w:cs="Times New Roman"/>
          <w:sz w:val="24"/>
          <w:szCs w:val="24"/>
        </w:rPr>
        <w:t xml:space="preserve"> as </w:t>
      </w:r>
      <w:proofErr w:type="spellStart"/>
      <w:r w:rsidR="00FA5330" w:rsidRPr="005F44EF">
        <w:rPr>
          <w:rFonts w:ascii="Times New Roman" w:eastAsia="Times New Roman" w:hAnsi="Times New Roman" w:cs="Times New Roman"/>
          <w:sz w:val="24"/>
          <w:szCs w:val="24"/>
        </w:rPr>
        <w:t>chloritic</w:t>
      </w:r>
      <w:proofErr w:type="spellEnd"/>
      <w:r w:rsidR="00FA5330" w:rsidRPr="005F44EF">
        <w:rPr>
          <w:rFonts w:ascii="Times New Roman" w:eastAsia="Times New Roman" w:hAnsi="Times New Roman" w:cs="Times New Roman"/>
          <w:sz w:val="24"/>
          <w:szCs w:val="24"/>
        </w:rPr>
        <w:t xml:space="preserve"> shale, which is </w:t>
      </w:r>
      <w:r w:rsidR="00082F5A">
        <w:rPr>
          <w:rFonts w:ascii="Times New Roman" w:eastAsia="Times New Roman" w:hAnsi="Times New Roman" w:cs="Times New Roman"/>
          <w:sz w:val="24"/>
          <w:szCs w:val="24"/>
        </w:rPr>
        <w:t xml:space="preserve">directly </w:t>
      </w:r>
      <w:r w:rsidR="00FA5330" w:rsidRPr="005F44EF">
        <w:rPr>
          <w:rFonts w:ascii="Times New Roman" w:eastAsia="Times New Roman" w:hAnsi="Times New Roman" w:cs="Times New Roman"/>
          <w:sz w:val="24"/>
          <w:szCs w:val="24"/>
        </w:rPr>
        <w:t xml:space="preserve">overlain by </w:t>
      </w:r>
      <w:r w:rsidR="00FE2780" w:rsidRPr="005F44EF">
        <w:rPr>
          <w:rFonts w:ascii="Times New Roman" w:eastAsia="Times New Roman" w:hAnsi="Times New Roman" w:cs="Times New Roman"/>
          <w:sz w:val="24"/>
          <w:szCs w:val="24"/>
        </w:rPr>
        <w:t>two weathering horizons</w:t>
      </w:r>
      <w:r w:rsidR="006C2F8E" w:rsidRPr="005F44EF">
        <w:rPr>
          <w:rFonts w:ascii="Times New Roman" w:eastAsia="Times New Roman" w:hAnsi="Times New Roman" w:cs="Times New Roman"/>
          <w:sz w:val="24"/>
          <w:szCs w:val="24"/>
        </w:rPr>
        <w:t xml:space="preserve">, together identified as </w:t>
      </w:r>
      <w:r w:rsidR="009314E8" w:rsidRPr="005F44EF">
        <w:rPr>
          <w:rFonts w:ascii="Times New Roman" w:eastAsia="Times New Roman" w:hAnsi="Times New Roman" w:cs="Times New Roman"/>
          <w:sz w:val="24"/>
          <w:szCs w:val="24"/>
        </w:rPr>
        <w:t>Unit F/</w:t>
      </w:r>
      <w:r w:rsidR="006C2F8E" w:rsidRPr="005F44EF">
        <w:rPr>
          <w:rFonts w:ascii="Times New Roman" w:eastAsia="Times New Roman" w:hAnsi="Times New Roman" w:cs="Times New Roman"/>
          <w:sz w:val="24"/>
          <w:szCs w:val="24"/>
        </w:rPr>
        <w:t>Layer 1</w:t>
      </w:r>
      <w:r w:rsidR="009E5BD2" w:rsidRPr="005F44EF">
        <w:rPr>
          <w:rFonts w:ascii="Times New Roman" w:eastAsia="Times New Roman" w:hAnsi="Times New Roman" w:cs="Times New Roman"/>
          <w:sz w:val="24"/>
          <w:szCs w:val="24"/>
        </w:rPr>
        <w:t xml:space="preserve">, with yellow-brown loams </w:t>
      </w:r>
      <w:r w:rsidR="002025E6" w:rsidRPr="005F44EF">
        <w:rPr>
          <w:rFonts w:ascii="Times New Roman" w:eastAsia="Times New Roman" w:hAnsi="Times New Roman" w:cs="Times New Roman"/>
          <w:sz w:val="24"/>
          <w:szCs w:val="24"/>
        </w:rPr>
        <w:t>retain</w:t>
      </w:r>
      <w:r w:rsidR="00F2722A" w:rsidRPr="005F44EF">
        <w:rPr>
          <w:rFonts w:ascii="Times New Roman" w:eastAsia="Times New Roman" w:hAnsi="Times New Roman" w:cs="Times New Roman"/>
          <w:sz w:val="24"/>
          <w:szCs w:val="24"/>
        </w:rPr>
        <w:t>ing</w:t>
      </w:r>
      <w:r w:rsidR="002025E6" w:rsidRPr="005F44EF">
        <w:rPr>
          <w:rFonts w:ascii="Times New Roman" w:eastAsia="Times New Roman" w:hAnsi="Times New Roman" w:cs="Times New Roman"/>
          <w:sz w:val="24"/>
          <w:szCs w:val="24"/>
        </w:rPr>
        <w:t xml:space="preserve"> original structural elements</w:t>
      </w:r>
      <w:r w:rsidR="00F2722A" w:rsidRPr="005F44EF">
        <w:rPr>
          <w:rFonts w:ascii="Times New Roman" w:eastAsia="Times New Roman" w:hAnsi="Times New Roman" w:cs="Times New Roman"/>
          <w:sz w:val="24"/>
          <w:szCs w:val="24"/>
        </w:rPr>
        <w:t xml:space="preserve"> of the parent rock</w:t>
      </w:r>
      <w:r w:rsidR="001119C5" w:rsidRPr="005F44EF">
        <w:rPr>
          <w:rFonts w:ascii="Times New Roman" w:eastAsia="Times New Roman" w:hAnsi="Times New Roman" w:cs="Times New Roman"/>
          <w:sz w:val="24"/>
          <w:szCs w:val="24"/>
        </w:rPr>
        <w:t xml:space="preserve">, and </w:t>
      </w:r>
      <w:r w:rsidR="00A67CD4" w:rsidRPr="005F44EF">
        <w:rPr>
          <w:rFonts w:ascii="Times New Roman" w:eastAsia="Times New Roman" w:hAnsi="Times New Roman" w:cs="Times New Roman"/>
          <w:sz w:val="24"/>
          <w:szCs w:val="24"/>
        </w:rPr>
        <w:t xml:space="preserve">white </w:t>
      </w:r>
      <w:r w:rsidR="001119C5" w:rsidRPr="005F44EF">
        <w:rPr>
          <w:rFonts w:ascii="Times New Roman" w:eastAsia="Times New Roman" w:hAnsi="Times New Roman" w:cs="Times New Roman"/>
          <w:sz w:val="24"/>
          <w:szCs w:val="24"/>
        </w:rPr>
        <w:t xml:space="preserve">spotted </w:t>
      </w:r>
      <w:r w:rsidR="00A67CD4" w:rsidRPr="005F44EF">
        <w:rPr>
          <w:rFonts w:ascii="Times New Roman" w:eastAsia="Times New Roman" w:hAnsi="Times New Roman" w:cs="Times New Roman"/>
          <w:sz w:val="24"/>
          <w:szCs w:val="24"/>
        </w:rPr>
        <w:t xml:space="preserve">red </w:t>
      </w:r>
      <w:r w:rsidR="001119C5" w:rsidRPr="005F44EF">
        <w:rPr>
          <w:rFonts w:ascii="Times New Roman" w:eastAsia="Times New Roman" w:hAnsi="Times New Roman" w:cs="Times New Roman"/>
          <w:sz w:val="24"/>
          <w:szCs w:val="24"/>
        </w:rPr>
        <w:t>loams lacking structural features b</w:t>
      </w:r>
      <w:r w:rsidR="00A67CD4" w:rsidRPr="005F44EF">
        <w:rPr>
          <w:rFonts w:ascii="Times New Roman" w:eastAsia="Times New Roman" w:hAnsi="Times New Roman" w:cs="Times New Roman"/>
          <w:sz w:val="24"/>
          <w:szCs w:val="24"/>
        </w:rPr>
        <w:t>ut sharing quartz veins</w:t>
      </w:r>
      <w:r w:rsidR="006C2F8E" w:rsidRPr="005F44EF">
        <w:rPr>
          <w:rFonts w:ascii="Times New Roman" w:eastAsia="Times New Roman" w:hAnsi="Times New Roman" w:cs="Times New Roman"/>
          <w:sz w:val="24"/>
          <w:szCs w:val="24"/>
        </w:rPr>
        <w:t xml:space="preserve">, both having undergone extensive weathering. An erosive contact is observed with overlying </w:t>
      </w:r>
      <w:r w:rsidR="00C6027F" w:rsidRPr="005F44EF">
        <w:rPr>
          <w:rFonts w:ascii="Times New Roman" w:eastAsia="Times New Roman" w:hAnsi="Times New Roman" w:cs="Times New Roman"/>
          <w:sz w:val="24"/>
          <w:szCs w:val="24"/>
        </w:rPr>
        <w:t xml:space="preserve">deposits, with </w:t>
      </w:r>
      <w:r w:rsidR="00AB1017" w:rsidRPr="005F44EF">
        <w:rPr>
          <w:rFonts w:ascii="Times New Roman" w:eastAsia="Times New Roman" w:hAnsi="Times New Roman" w:cs="Times New Roman"/>
          <w:sz w:val="24"/>
          <w:szCs w:val="24"/>
        </w:rPr>
        <w:t xml:space="preserve">up to </w:t>
      </w:r>
      <w:r w:rsidR="00C6027F" w:rsidRPr="005F44EF">
        <w:rPr>
          <w:rFonts w:ascii="Times New Roman" w:eastAsia="Times New Roman" w:hAnsi="Times New Roman" w:cs="Times New Roman"/>
          <w:sz w:val="24"/>
          <w:szCs w:val="24"/>
        </w:rPr>
        <w:t>9m of pebbles and coarse sands</w:t>
      </w:r>
      <w:r w:rsidR="009314E8" w:rsidRPr="005F44EF">
        <w:rPr>
          <w:rFonts w:ascii="Times New Roman" w:eastAsia="Times New Roman" w:hAnsi="Times New Roman" w:cs="Times New Roman"/>
          <w:sz w:val="24"/>
          <w:szCs w:val="24"/>
        </w:rPr>
        <w:t xml:space="preserve"> attributed to the Continental Terminal</w:t>
      </w:r>
      <w:r w:rsidR="0036210A" w:rsidRPr="005F44EF">
        <w:rPr>
          <w:rFonts w:ascii="Times New Roman" w:eastAsia="Times New Roman" w:hAnsi="Times New Roman" w:cs="Times New Roman"/>
          <w:sz w:val="24"/>
          <w:szCs w:val="24"/>
        </w:rPr>
        <w:t xml:space="preserve"> and identified as Unit E/Layers 2-7. </w:t>
      </w:r>
      <w:r w:rsidR="00AF1DFA" w:rsidRPr="005F44EF">
        <w:rPr>
          <w:rFonts w:ascii="Times New Roman" w:eastAsia="Times New Roman" w:hAnsi="Times New Roman" w:cs="Times New Roman"/>
          <w:sz w:val="24"/>
          <w:szCs w:val="24"/>
        </w:rPr>
        <w:t xml:space="preserve">Two members were differentiated, </w:t>
      </w:r>
      <w:r w:rsidR="00B2318D" w:rsidRPr="005F44EF">
        <w:rPr>
          <w:rFonts w:ascii="Times New Roman" w:eastAsia="Times New Roman" w:hAnsi="Times New Roman" w:cs="Times New Roman"/>
          <w:sz w:val="24"/>
          <w:szCs w:val="24"/>
        </w:rPr>
        <w:t>with a lower</w:t>
      </w:r>
      <w:r w:rsidR="00856A64" w:rsidRPr="005F44EF">
        <w:rPr>
          <w:rFonts w:ascii="Times New Roman" w:eastAsia="Times New Roman" w:hAnsi="Times New Roman" w:cs="Times New Roman"/>
          <w:sz w:val="24"/>
          <w:szCs w:val="24"/>
        </w:rPr>
        <w:t xml:space="preserve"> member described as a</w:t>
      </w:r>
      <w:r w:rsidR="00B2318D" w:rsidRPr="005F44EF">
        <w:rPr>
          <w:rFonts w:ascii="Times New Roman" w:eastAsia="Times New Roman" w:hAnsi="Times New Roman" w:cs="Times New Roman"/>
          <w:sz w:val="24"/>
          <w:szCs w:val="24"/>
        </w:rPr>
        <w:t xml:space="preserve"> better sorted, homogeneous sand</w:t>
      </w:r>
      <w:r w:rsidR="00645C9C" w:rsidRPr="005F44EF">
        <w:rPr>
          <w:rFonts w:ascii="Times New Roman" w:eastAsia="Times New Roman" w:hAnsi="Times New Roman" w:cs="Times New Roman"/>
          <w:sz w:val="24"/>
          <w:szCs w:val="24"/>
        </w:rPr>
        <w:t xml:space="preserve"> (Layers 2-4), often lacking gravel, whereas the upper </w:t>
      </w:r>
      <w:r w:rsidR="00856A64" w:rsidRPr="005F44EF">
        <w:rPr>
          <w:rFonts w:ascii="Times New Roman" w:eastAsia="Times New Roman" w:hAnsi="Times New Roman" w:cs="Times New Roman"/>
          <w:sz w:val="24"/>
          <w:szCs w:val="24"/>
        </w:rPr>
        <w:t>member is a polydisperse</w:t>
      </w:r>
      <w:r w:rsidR="005C051F" w:rsidRPr="005F44EF">
        <w:rPr>
          <w:rFonts w:ascii="Times New Roman" w:eastAsia="Times New Roman" w:hAnsi="Times New Roman" w:cs="Times New Roman"/>
          <w:sz w:val="24"/>
          <w:szCs w:val="24"/>
        </w:rPr>
        <w:t xml:space="preserve"> sand unit with silts and gravels</w:t>
      </w:r>
      <w:r w:rsidR="008C42FC" w:rsidRPr="005F44EF">
        <w:rPr>
          <w:rFonts w:ascii="Times New Roman" w:eastAsia="Times New Roman" w:hAnsi="Times New Roman" w:cs="Times New Roman"/>
          <w:sz w:val="24"/>
          <w:szCs w:val="24"/>
        </w:rPr>
        <w:t xml:space="preserve">, the latter typically weakly rolled vein quartz fragments (Layers 5-7). </w:t>
      </w:r>
      <w:r w:rsidR="00C25F50" w:rsidRPr="005F44EF">
        <w:rPr>
          <w:rFonts w:ascii="Times New Roman" w:eastAsia="Times New Roman" w:hAnsi="Times New Roman" w:cs="Times New Roman"/>
          <w:sz w:val="24"/>
          <w:szCs w:val="24"/>
        </w:rPr>
        <w:t>These were interpreted</w:t>
      </w:r>
      <w:r w:rsidR="008911DC" w:rsidRPr="005F44EF">
        <w:rPr>
          <w:rFonts w:ascii="Times New Roman" w:eastAsia="Times New Roman" w:hAnsi="Times New Roman" w:cs="Times New Roman"/>
          <w:sz w:val="24"/>
          <w:szCs w:val="24"/>
        </w:rPr>
        <w:t xml:space="preserve"> by </w:t>
      </w:r>
      <w:proofErr w:type="spellStart"/>
      <w:r w:rsidR="008911DC" w:rsidRPr="005F44EF">
        <w:rPr>
          <w:rFonts w:ascii="Times New Roman" w:eastAsia="Times New Roman" w:hAnsi="Times New Roman" w:cs="Times New Roman"/>
          <w:sz w:val="24"/>
          <w:szCs w:val="24"/>
        </w:rPr>
        <w:t>Sedov</w:t>
      </w:r>
      <w:proofErr w:type="spellEnd"/>
      <w:r w:rsidR="00C25F50" w:rsidRPr="005F44EF">
        <w:rPr>
          <w:rFonts w:ascii="Times New Roman" w:eastAsia="Times New Roman" w:hAnsi="Times New Roman" w:cs="Times New Roman"/>
          <w:sz w:val="24"/>
          <w:szCs w:val="24"/>
        </w:rPr>
        <w:t xml:space="preserve"> to have formed </w:t>
      </w:r>
      <w:r w:rsidR="00E45EF4" w:rsidRPr="005F44EF">
        <w:rPr>
          <w:rFonts w:ascii="Times New Roman" w:eastAsia="Times New Roman" w:hAnsi="Times New Roman" w:cs="Times New Roman"/>
          <w:sz w:val="24"/>
          <w:szCs w:val="24"/>
        </w:rPr>
        <w:t>as a result of temporary water flows</w:t>
      </w:r>
      <w:r w:rsidR="00370EBB" w:rsidRPr="005F44EF">
        <w:rPr>
          <w:rFonts w:ascii="Times New Roman" w:eastAsia="Times New Roman" w:hAnsi="Times New Roman" w:cs="Times New Roman"/>
          <w:sz w:val="24"/>
          <w:szCs w:val="24"/>
        </w:rPr>
        <w:t xml:space="preserve"> with intensive reworking of sediment deposits. </w:t>
      </w:r>
    </w:p>
    <w:p w14:paraId="54A78710" w14:textId="77777777" w:rsidR="00E44EED" w:rsidRPr="005F44EF" w:rsidRDefault="00E44EED">
      <w:pPr>
        <w:spacing w:after="0" w:line="276" w:lineRule="auto"/>
        <w:jc w:val="both"/>
        <w:rPr>
          <w:rFonts w:ascii="Times New Roman" w:eastAsia="Times New Roman" w:hAnsi="Times New Roman" w:cs="Times New Roman"/>
          <w:sz w:val="24"/>
          <w:szCs w:val="24"/>
        </w:rPr>
      </w:pPr>
    </w:p>
    <w:p w14:paraId="1D4B9A58" w14:textId="315579C2" w:rsidR="00E44EED" w:rsidRPr="005F44EF" w:rsidRDefault="00987710">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lastRenderedPageBreak/>
        <w:t>The contact between Unit E and Unit D (Layers 8-1</w:t>
      </w:r>
      <w:r w:rsidR="006530D8" w:rsidRPr="005F44EF">
        <w:rPr>
          <w:rFonts w:ascii="Times New Roman" w:eastAsia="Times New Roman" w:hAnsi="Times New Roman" w:cs="Times New Roman"/>
          <w:sz w:val="24"/>
          <w:szCs w:val="24"/>
        </w:rPr>
        <w:t>1</w:t>
      </w:r>
      <w:r w:rsidRPr="005F44EF">
        <w:rPr>
          <w:rFonts w:ascii="Times New Roman" w:eastAsia="Times New Roman" w:hAnsi="Times New Roman" w:cs="Times New Roman"/>
          <w:sz w:val="24"/>
          <w:szCs w:val="24"/>
        </w:rPr>
        <w:t xml:space="preserve">) </w:t>
      </w:r>
      <w:r w:rsidR="00330AA1" w:rsidRPr="005F44EF">
        <w:rPr>
          <w:rFonts w:ascii="Times New Roman" w:eastAsia="Times New Roman" w:hAnsi="Times New Roman" w:cs="Times New Roman"/>
          <w:sz w:val="24"/>
          <w:szCs w:val="24"/>
        </w:rPr>
        <w:t>likely marks erosion onto a</w:t>
      </w:r>
      <w:r w:rsidR="00BD0045" w:rsidRPr="005F44EF">
        <w:rPr>
          <w:rFonts w:ascii="Times New Roman" w:eastAsia="Times New Roman" w:hAnsi="Times New Roman" w:cs="Times New Roman"/>
          <w:sz w:val="24"/>
          <w:szCs w:val="24"/>
        </w:rPr>
        <w:t xml:space="preserve"> ferruginous cementation</w:t>
      </w:r>
      <w:r w:rsidR="00330AA1" w:rsidRPr="005F44EF">
        <w:rPr>
          <w:rFonts w:ascii="Times New Roman" w:eastAsia="Times New Roman" w:hAnsi="Times New Roman" w:cs="Times New Roman"/>
          <w:sz w:val="24"/>
          <w:szCs w:val="24"/>
        </w:rPr>
        <w:t xml:space="preserve"> zone</w:t>
      </w:r>
      <w:r w:rsidR="00BD0045" w:rsidRPr="005F44EF">
        <w:rPr>
          <w:rFonts w:ascii="Times New Roman" w:eastAsia="Times New Roman" w:hAnsi="Times New Roman" w:cs="Times New Roman"/>
          <w:sz w:val="24"/>
          <w:szCs w:val="24"/>
        </w:rPr>
        <w:t xml:space="preserve"> and </w:t>
      </w:r>
      <w:r w:rsidR="00330AA1" w:rsidRPr="005F44EF">
        <w:rPr>
          <w:rFonts w:ascii="Times New Roman" w:eastAsia="Times New Roman" w:hAnsi="Times New Roman" w:cs="Times New Roman"/>
          <w:sz w:val="24"/>
          <w:szCs w:val="24"/>
        </w:rPr>
        <w:t xml:space="preserve">is directly overlain by </w:t>
      </w:r>
      <w:r w:rsidR="00BD0045" w:rsidRPr="005F44EF">
        <w:rPr>
          <w:rFonts w:ascii="Times New Roman" w:eastAsia="Times New Roman" w:hAnsi="Times New Roman" w:cs="Times New Roman"/>
          <w:sz w:val="24"/>
          <w:szCs w:val="24"/>
        </w:rPr>
        <w:t xml:space="preserve">a thin gravel layer, </w:t>
      </w:r>
      <w:r w:rsidR="008113FE" w:rsidRPr="005F44EF">
        <w:rPr>
          <w:rFonts w:ascii="Times New Roman" w:eastAsia="Times New Roman" w:hAnsi="Times New Roman" w:cs="Times New Roman"/>
          <w:sz w:val="24"/>
          <w:szCs w:val="24"/>
        </w:rPr>
        <w:t xml:space="preserve">marking the only natural gravels present in the </w:t>
      </w:r>
      <w:r w:rsidR="006530D8" w:rsidRPr="005F44EF">
        <w:rPr>
          <w:rFonts w:ascii="Times New Roman" w:eastAsia="Times New Roman" w:hAnsi="Times New Roman" w:cs="Times New Roman"/>
          <w:sz w:val="24"/>
          <w:szCs w:val="24"/>
        </w:rPr>
        <w:t xml:space="preserve">Terre de Barre </w:t>
      </w:r>
      <w:r w:rsidR="008113FE" w:rsidRPr="005F44EF">
        <w:rPr>
          <w:rFonts w:ascii="Times New Roman" w:eastAsia="Times New Roman" w:hAnsi="Times New Roman" w:cs="Times New Roman"/>
          <w:sz w:val="24"/>
          <w:szCs w:val="24"/>
        </w:rPr>
        <w:t>deposits overlying Unit E</w:t>
      </w:r>
      <w:r w:rsidR="00104E9F" w:rsidRPr="005F44EF">
        <w:rPr>
          <w:rFonts w:ascii="Times New Roman" w:eastAsia="Times New Roman" w:hAnsi="Times New Roman" w:cs="Times New Roman"/>
          <w:sz w:val="24"/>
          <w:szCs w:val="24"/>
        </w:rPr>
        <w:t xml:space="preserve">. </w:t>
      </w:r>
      <w:r w:rsidR="00694103" w:rsidRPr="005F44EF">
        <w:rPr>
          <w:rFonts w:ascii="Times New Roman" w:eastAsia="Times New Roman" w:hAnsi="Times New Roman" w:cs="Times New Roman"/>
          <w:sz w:val="24"/>
          <w:szCs w:val="24"/>
        </w:rPr>
        <w:t>Units D and C (Layer</w:t>
      </w:r>
      <w:r w:rsidR="00776206" w:rsidRPr="005F44EF">
        <w:rPr>
          <w:rFonts w:ascii="Times New Roman" w:eastAsia="Times New Roman" w:hAnsi="Times New Roman" w:cs="Times New Roman"/>
          <w:sz w:val="24"/>
          <w:szCs w:val="24"/>
        </w:rPr>
        <w:t xml:space="preserve"> 1</w:t>
      </w:r>
      <w:r w:rsidR="006530D8" w:rsidRPr="005F44EF">
        <w:rPr>
          <w:rFonts w:ascii="Times New Roman" w:eastAsia="Times New Roman" w:hAnsi="Times New Roman" w:cs="Times New Roman"/>
          <w:sz w:val="24"/>
          <w:szCs w:val="24"/>
        </w:rPr>
        <w:t>2</w:t>
      </w:r>
      <w:r w:rsidR="00776206" w:rsidRPr="005F44EF">
        <w:rPr>
          <w:rFonts w:ascii="Times New Roman" w:eastAsia="Times New Roman" w:hAnsi="Times New Roman" w:cs="Times New Roman"/>
          <w:sz w:val="24"/>
          <w:szCs w:val="24"/>
        </w:rPr>
        <w:t xml:space="preserve"> </w:t>
      </w:r>
      <w:r w:rsidR="00776206" w:rsidRPr="00802679">
        <w:rPr>
          <w:rFonts w:ascii="Times New Roman" w:eastAsia="Times New Roman" w:hAnsi="Times New Roman" w:cs="Times New Roman"/>
          <w:i/>
          <w:sz w:val="24"/>
          <w:szCs w:val="24"/>
        </w:rPr>
        <w:t>Terre de Barre</w:t>
      </w:r>
      <w:r w:rsidR="006530D8" w:rsidRPr="005F44EF">
        <w:rPr>
          <w:rFonts w:ascii="Times New Roman" w:eastAsia="Times New Roman" w:hAnsi="Times New Roman" w:cs="Times New Roman"/>
          <w:sz w:val="24"/>
          <w:szCs w:val="24"/>
        </w:rPr>
        <w:t xml:space="preserve"> </w:t>
      </w:r>
      <w:r w:rsidR="00464F25" w:rsidRPr="005F44EF">
        <w:rPr>
          <w:rFonts w:ascii="Times New Roman" w:eastAsia="Times New Roman" w:hAnsi="Times New Roman" w:cs="Times New Roman"/>
          <w:sz w:val="24"/>
          <w:szCs w:val="24"/>
        </w:rPr>
        <w:t xml:space="preserve">sediments </w:t>
      </w:r>
      <w:r w:rsidR="006530D8" w:rsidRPr="005F44EF">
        <w:rPr>
          <w:rFonts w:ascii="Times New Roman" w:eastAsia="Times New Roman" w:hAnsi="Times New Roman" w:cs="Times New Roman"/>
          <w:sz w:val="24"/>
          <w:szCs w:val="24"/>
        </w:rPr>
        <w:t xml:space="preserve">are </w:t>
      </w:r>
      <w:r w:rsidR="00464F25" w:rsidRPr="005F44EF">
        <w:rPr>
          <w:rFonts w:ascii="Times New Roman" w:eastAsia="Times New Roman" w:hAnsi="Times New Roman" w:cs="Times New Roman"/>
          <w:sz w:val="24"/>
          <w:szCs w:val="24"/>
        </w:rPr>
        <w:t xml:space="preserve">described as sandstone with increasing </w:t>
      </w:r>
      <w:r w:rsidR="00556BAD" w:rsidRPr="005F44EF">
        <w:rPr>
          <w:rFonts w:ascii="Times New Roman" w:eastAsia="Times New Roman" w:hAnsi="Times New Roman" w:cs="Times New Roman"/>
          <w:sz w:val="24"/>
          <w:szCs w:val="24"/>
        </w:rPr>
        <w:t>presence of</w:t>
      </w:r>
      <w:r w:rsidR="00464F25" w:rsidRPr="005F44EF">
        <w:rPr>
          <w:rFonts w:ascii="Times New Roman" w:eastAsia="Times New Roman" w:hAnsi="Times New Roman" w:cs="Times New Roman"/>
          <w:sz w:val="24"/>
          <w:szCs w:val="24"/>
        </w:rPr>
        <w:t xml:space="preserve"> finer fractions</w:t>
      </w:r>
      <w:r w:rsidR="00556BAD" w:rsidRPr="005F44EF">
        <w:rPr>
          <w:rFonts w:ascii="Times New Roman" w:eastAsia="Times New Roman" w:hAnsi="Times New Roman" w:cs="Times New Roman"/>
          <w:sz w:val="24"/>
          <w:szCs w:val="24"/>
        </w:rPr>
        <w:t xml:space="preserve"> (i.e. silts, clays)</w:t>
      </w:r>
      <w:r w:rsidR="00464F25" w:rsidRPr="005F44EF">
        <w:rPr>
          <w:rFonts w:ascii="Times New Roman" w:eastAsia="Times New Roman" w:hAnsi="Times New Roman" w:cs="Times New Roman"/>
          <w:sz w:val="24"/>
          <w:szCs w:val="24"/>
        </w:rPr>
        <w:t xml:space="preserve"> with depth from surface</w:t>
      </w:r>
      <w:r w:rsidR="005F13F4" w:rsidRPr="005F44EF">
        <w:rPr>
          <w:rFonts w:ascii="Times New Roman" w:eastAsia="Times New Roman" w:hAnsi="Times New Roman" w:cs="Times New Roman"/>
          <w:sz w:val="24"/>
          <w:szCs w:val="24"/>
        </w:rPr>
        <w:t>, with a maximum depth of 17m</w:t>
      </w:r>
      <w:r w:rsidR="008113FE" w:rsidRPr="005F44EF">
        <w:rPr>
          <w:rFonts w:ascii="Times New Roman" w:eastAsia="Times New Roman" w:hAnsi="Times New Roman" w:cs="Times New Roman"/>
          <w:sz w:val="24"/>
          <w:szCs w:val="24"/>
        </w:rPr>
        <w:t xml:space="preserve">. </w:t>
      </w:r>
      <w:r w:rsidR="001963F7" w:rsidRPr="005F44EF">
        <w:rPr>
          <w:rFonts w:ascii="Times New Roman" w:eastAsia="Times New Roman" w:hAnsi="Times New Roman" w:cs="Times New Roman"/>
          <w:sz w:val="24"/>
          <w:szCs w:val="24"/>
        </w:rPr>
        <w:t>The lower layers of Unit D</w:t>
      </w:r>
      <w:r w:rsidR="008A30EE" w:rsidRPr="005F44EF">
        <w:rPr>
          <w:rFonts w:ascii="Times New Roman" w:eastAsia="Times New Roman" w:hAnsi="Times New Roman" w:cs="Times New Roman"/>
          <w:sz w:val="24"/>
          <w:szCs w:val="24"/>
        </w:rPr>
        <w:t xml:space="preserve"> comprise coarser</w:t>
      </w:r>
      <w:r w:rsidR="00F60DB1" w:rsidRPr="005F44EF">
        <w:rPr>
          <w:rFonts w:ascii="Times New Roman" w:eastAsia="Times New Roman" w:hAnsi="Times New Roman" w:cs="Times New Roman"/>
          <w:sz w:val="24"/>
          <w:szCs w:val="24"/>
        </w:rPr>
        <w:t xml:space="preserve"> </w:t>
      </w:r>
      <w:r w:rsidR="00741D39" w:rsidRPr="005F44EF">
        <w:rPr>
          <w:rFonts w:ascii="Times New Roman" w:eastAsia="Times New Roman" w:hAnsi="Times New Roman" w:cs="Times New Roman"/>
          <w:sz w:val="24"/>
          <w:szCs w:val="24"/>
        </w:rPr>
        <w:t xml:space="preserve">dull </w:t>
      </w:r>
      <w:r w:rsidR="00F60DB1" w:rsidRPr="005F44EF">
        <w:rPr>
          <w:rFonts w:ascii="Times New Roman" w:eastAsia="Times New Roman" w:hAnsi="Times New Roman" w:cs="Times New Roman"/>
          <w:sz w:val="24"/>
          <w:szCs w:val="24"/>
        </w:rPr>
        <w:t xml:space="preserve">red </w:t>
      </w:r>
      <w:r w:rsidR="00BF0B94" w:rsidRPr="005F44EF">
        <w:rPr>
          <w:rFonts w:ascii="Times New Roman" w:eastAsia="Times New Roman" w:hAnsi="Times New Roman" w:cs="Times New Roman"/>
          <w:sz w:val="24"/>
          <w:szCs w:val="24"/>
        </w:rPr>
        <w:t>sediments</w:t>
      </w:r>
      <w:r w:rsidR="00F60DB1" w:rsidRPr="005F44EF">
        <w:rPr>
          <w:rFonts w:ascii="Times New Roman" w:eastAsia="Times New Roman" w:hAnsi="Times New Roman" w:cs="Times New Roman"/>
          <w:sz w:val="24"/>
          <w:szCs w:val="24"/>
        </w:rPr>
        <w:t xml:space="preserve"> with yellow spots at the base (Layer 8)</w:t>
      </w:r>
      <w:r w:rsidR="00741D39" w:rsidRPr="005F44EF">
        <w:rPr>
          <w:rFonts w:ascii="Times New Roman" w:eastAsia="Times New Roman" w:hAnsi="Times New Roman" w:cs="Times New Roman"/>
          <w:sz w:val="24"/>
          <w:szCs w:val="24"/>
        </w:rPr>
        <w:t xml:space="preserve"> overlain by more homogenous</w:t>
      </w:r>
      <w:r w:rsidR="00F34588" w:rsidRPr="005F44EF">
        <w:rPr>
          <w:rFonts w:ascii="Times New Roman" w:eastAsia="Times New Roman" w:hAnsi="Times New Roman" w:cs="Times New Roman"/>
          <w:sz w:val="24"/>
          <w:szCs w:val="24"/>
        </w:rPr>
        <w:t xml:space="preserve"> and brighter coloured </w:t>
      </w:r>
      <w:proofErr w:type="gramStart"/>
      <w:r w:rsidR="00F34588" w:rsidRPr="005F44EF">
        <w:rPr>
          <w:rFonts w:ascii="Times New Roman" w:eastAsia="Times New Roman" w:hAnsi="Times New Roman" w:cs="Times New Roman"/>
          <w:sz w:val="24"/>
          <w:szCs w:val="24"/>
        </w:rPr>
        <w:t>coarse</w:t>
      </w:r>
      <w:proofErr w:type="gramEnd"/>
      <w:r w:rsidR="00F34588" w:rsidRPr="005F44EF">
        <w:rPr>
          <w:rFonts w:ascii="Times New Roman" w:eastAsia="Times New Roman" w:hAnsi="Times New Roman" w:cs="Times New Roman"/>
          <w:sz w:val="24"/>
          <w:szCs w:val="24"/>
        </w:rPr>
        <w:t xml:space="preserve"> red </w:t>
      </w:r>
      <w:r w:rsidR="00BF0B94" w:rsidRPr="005F44EF">
        <w:rPr>
          <w:rFonts w:ascii="Times New Roman" w:eastAsia="Times New Roman" w:hAnsi="Times New Roman" w:cs="Times New Roman"/>
          <w:sz w:val="24"/>
          <w:szCs w:val="24"/>
        </w:rPr>
        <w:t>sediments</w:t>
      </w:r>
      <w:r w:rsidR="00F34588" w:rsidRPr="005F44EF">
        <w:rPr>
          <w:rFonts w:ascii="Times New Roman" w:eastAsia="Times New Roman" w:hAnsi="Times New Roman" w:cs="Times New Roman"/>
          <w:sz w:val="24"/>
          <w:szCs w:val="24"/>
        </w:rPr>
        <w:t xml:space="preserve"> (Layer 9). </w:t>
      </w:r>
      <w:r w:rsidR="00BF0B94" w:rsidRPr="005F44EF">
        <w:rPr>
          <w:rFonts w:ascii="Times New Roman" w:eastAsia="Times New Roman" w:hAnsi="Times New Roman" w:cs="Times New Roman"/>
          <w:sz w:val="24"/>
          <w:szCs w:val="24"/>
        </w:rPr>
        <w:t xml:space="preserve">The upper </w:t>
      </w:r>
      <w:r w:rsidR="0034594F" w:rsidRPr="005F44EF">
        <w:rPr>
          <w:rFonts w:ascii="Times New Roman" w:eastAsia="Times New Roman" w:hAnsi="Times New Roman" w:cs="Times New Roman"/>
          <w:sz w:val="24"/>
          <w:szCs w:val="24"/>
        </w:rPr>
        <w:t>layers of Unit D</w:t>
      </w:r>
      <w:r w:rsidR="00776206" w:rsidRPr="005F44EF">
        <w:rPr>
          <w:rFonts w:ascii="Times New Roman" w:eastAsia="Times New Roman" w:hAnsi="Times New Roman" w:cs="Times New Roman"/>
          <w:sz w:val="24"/>
          <w:szCs w:val="24"/>
        </w:rPr>
        <w:t xml:space="preserve"> and Unit C </w:t>
      </w:r>
      <w:r w:rsidR="0034594F" w:rsidRPr="005F44EF">
        <w:rPr>
          <w:rFonts w:ascii="Times New Roman" w:eastAsia="Times New Roman" w:hAnsi="Times New Roman" w:cs="Times New Roman"/>
          <w:sz w:val="24"/>
          <w:szCs w:val="24"/>
        </w:rPr>
        <w:t>(</w:t>
      </w:r>
      <w:r w:rsidR="00DA4F44" w:rsidRPr="005F44EF">
        <w:rPr>
          <w:rFonts w:ascii="Times New Roman" w:eastAsia="Times New Roman" w:hAnsi="Times New Roman" w:cs="Times New Roman"/>
          <w:sz w:val="24"/>
          <w:szCs w:val="24"/>
        </w:rPr>
        <w:t>Layers 10-1</w:t>
      </w:r>
      <w:r w:rsidR="006530D8" w:rsidRPr="005F44EF">
        <w:rPr>
          <w:rFonts w:ascii="Times New Roman" w:eastAsia="Times New Roman" w:hAnsi="Times New Roman" w:cs="Times New Roman"/>
          <w:sz w:val="24"/>
          <w:szCs w:val="24"/>
        </w:rPr>
        <w:t>2</w:t>
      </w:r>
      <w:r w:rsidR="0034594F" w:rsidRPr="005F44EF">
        <w:rPr>
          <w:rFonts w:ascii="Times New Roman" w:eastAsia="Times New Roman" w:hAnsi="Times New Roman" w:cs="Times New Roman"/>
          <w:sz w:val="24"/>
          <w:szCs w:val="24"/>
        </w:rPr>
        <w:t>) share a reddish colour with increasing frequency of white spots with dark red halos</w:t>
      </w:r>
      <w:r w:rsidR="00B61059" w:rsidRPr="005F44EF">
        <w:rPr>
          <w:rFonts w:ascii="Times New Roman" w:eastAsia="Times New Roman" w:hAnsi="Times New Roman" w:cs="Times New Roman"/>
          <w:sz w:val="24"/>
          <w:szCs w:val="24"/>
        </w:rPr>
        <w:t xml:space="preserve"> towards the surface and were interpreted as </w:t>
      </w:r>
      <w:r w:rsidR="0039235D" w:rsidRPr="005F44EF">
        <w:rPr>
          <w:rFonts w:ascii="Times New Roman" w:eastAsia="Times New Roman" w:hAnsi="Times New Roman" w:cs="Times New Roman"/>
          <w:sz w:val="24"/>
          <w:szCs w:val="24"/>
        </w:rPr>
        <w:t xml:space="preserve">root pores or small burrows. </w:t>
      </w:r>
      <w:r w:rsidR="00F950FA" w:rsidRPr="005F44EF">
        <w:rPr>
          <w:rFonts w:ascii="Times New Roman" w:eastAsia="Times New Roman" w:hAnsi="Times New Roman" w:cs="Times New Roman"/>
          <w:sz w:val="24"/>
          <w:szCs w:val="24"/>
        </w:rPr>
        <w:t>The uppermost deposits reported from the sequence comprise a compact brown subsoil (Unit B</w:t>
      </w:r>
      <w:r w:rsidR="00A15A18" w:rsidRPr="005F44EF">
        <w:rPr>
          <w:rFonts w:ascii="Times New Roman" w:eastAsia="Times New Roman" w:hAnsi="Times New Roman" w:cs="Times New Roman"/>
          <w:sz w:val="24"/>
          <w:szCs w:val="24"/>
        </w:rPr>
        <w:t>; Layer 1</w:t>
      </w:r>
      <w:r w:rsidR="006530D8" w:rsidRPr="005F44EF">
        <w:rPr>
          <w:rFonts w:ascii="Times New Roman" w:eastAsia="Times New Roman" w:hAnsi="Times New Roman" w:cs="Times New Roman"/>
          <w:sz w:val="24"/>
          <w:szCs w:val="24"/>
        </w:rPr>
        <w:t>3</w:t>
      </w:r>
      <w:r w:rsidR="00F950FA" w:rsidRPr="005F44EF">
        <w:rPr>
          <w:rFonts w:ascii="Times New Roman" w:eastAsia="Times New Roman" w:hAnsi="Times New Roman" w:cs="Times New Roman"/>
          <w:sz w:val="24"/>
          <w:szCs w:val="24"/>
        </w:rPr>
        <w:t>)</w:t>
      </w:r>
      <w:r w:rsidR="00A15A18" w:rsidRPr="005F44EF">
        <w:rPr>
          <w:rFonts w:ascii="Times New Roman" w:eastAsia="Times New Roman" w:hAnsi="Times New Roman" w:cs="Times New Roman"/>
          <w:sz w:val="24"/>
          <w:szCs w:val="24"/>
        </w:rPr>
        <w:t xml:space="preserve"> overlain by a loose lumpy humus horizon (Unit A; Layer 14).</w:t>
      </w:r>
      <w:r w:rsidR="00F24010">
        <w:rPr>
          <w:rFonts w:ascii="Times New Roman" w:eastAsia="Times New Roman" w:hAnsi="Times New Roman" w:cs="Times New Roman"/>
          <w:sz w:val="24"/>
          <w:szCs w:val="24"/>
        </w:rPr>
        <w:t xml:space="preserve"> </w:t>
      </w:r>
    </w:p>
    <w:p w14:paraId="740D1E42" w14:textId="77777777" w:rsidR="00E23828" w:rsidRPr="005F44EF" w:rsidRDefault="00E23828">
      <w:pPr>
        <w:spacing w:after="0" w:line="276" w:lineRule="auto"/>
        <w:jc w:val="both"/>
        <w:rPr>
          <w:rFonts w:ascii="Times New Roman" w:eastAsia="Times New Roman" w:hAnsi="Times New Roman" w:cs="Times New Roman"/>
          <w:sz w:val="24"/>
          <w:szCs w:val="24"/>
        </w:rPr>
      </w:pPr>
    </w:p>
    <w:p w14:paraId="2F51A295" w14:textId="05CD9C04" w:rsidR="00E23828" w:rsidRPr="005F44EF" w:rsidRDefault="00E23828">
      <w:pPr>
        <w:spacing w:after="0" w:line="276" w:lineRule="auto"/>
        <w:jc w:val="both"/>
        <w:rPr>
          <w:rFonts w:ascii="Times New Roman" w:eastAsia="Times New Roman" w:hAnsi="Times New Roman" w:cs="Times New Roman"/>
          <w:sz w:val="24"/>
          <w:szCs w:val="24"/>
        </w:rPr>
      </w:pPr>
      <w:proofErr w:type="spellStart"/>
      <w:r w:rsidRPr="005F44EF">
        <w:rPr>
          <w:rFonts w:ascii="Times New Roman" w:eastAsia="Times New Roman" w:hAnsi="Times New Roman" w:cs="Times New Roman"/>
          <w:sz w:val="24"/>
          <w:szCs w:val="24"/>
        </w:rPr>
        <w:t>Sedov</w:t>
      </w:r>
      <w:proofErr w:type="spellEnd"/>
      <w:r w:rsidRPr="005F44EF">
        <w:rPr>
          <w:rFonts w:ascii="Times New Roman" w:eastAsia="Times New Roman" w:hAnsi="Times New Roman" w:cs="Times New Roman"/>
          <w:sz w:val="24"/>
          <w:szCs w:val="24"/>
        </w:rPr>
        <w:t xml:space="preserve"> argued that differentiation within the </w:t>
      </w:r>
      <w:r w:rsidRPr="00802679">
        <w:rPr>
          <w:rFonts w:ascii="Times New Roman" w:eastAsia="Times New Roman" w:hAnsi="Times New Roman" w:cs="Times New Roman"/>
          <w:i/>
          <w:sz w:val="24"/>
          <w:szCs w:val="24"/>
        </w:rPr>
        <w:t>Terre de Barre</w:t>
      </w:r>
      <w:r w:rsidRPr="005F44EF">
        <w:rPr>
          <w:rFonts w:ascii="Times New Roman" w:eastAsia="Times New Roman" w:hAnsi="Times New Roman" w:cs="Times New Roman"/>
          <w:sz w:val="24"/>
          <w:szCs w:val="24"/>
        </w:rPr>
        <w:t xml:space="preserve">/ Unit C-D sequence was the result of </w:t>
      </w:r>
      <w:r w:rsidRPr="005F44EF">
        <w:rPr>
          <w:rFonts w:ascii="Times New Roman" w:eastAsia="Times New Roman" w:hAnsi="Times New Roman" w:cs="Times New Roman"/>
          <w:i/>
          <w:iCs/>
          <w:sz w:val="24"/>
          <w:szCs w:val="24"/>
        </w:rPr>
        <w:t>in situ</w:t>
      </w:r>
      <w:r w:rsidRPr="005F44EF">
        <w:rPr>
          <w:rFonts w:ascii="Times New Roman" w:eastAsia="Times New Roman" w:hAnsi="Times New Roman" w:cs="Times New Roman"/>
          <w:sz w:val="24"/>
          <w:szCs w:val="24"/>
        </w:rPr>
        <w:t xml:space="preserve"> </w:t>
      </w:r>
      <w:proofErr w:type="spellStart"/>
      <w:r w:rsidRPr="005F44EF">
        <w:rPr>
          <w:rFonts w:ascii="Times New Roman" w:eastAsia="Times New Roman" w:hAnsi="Times New Roman" w:cs="Times New Roman"/>
          <w:sz w:val="24"/>
          <w:szCs w:val="24"/>
        </w:rPr>
        <w:t>pedogenic</w:t>
      </w:r>
      <w:proofErr w:type="spellEnd"/>
      <w:r w:rsidRPr="005F44EF">
        <w:rPr>
          <w:rFonts w:ascii="Times New Roman" w:eastAsia="Times New Roman" w:hAnsi="Times New Roman" w:cs="Times New Roman"/>
          <w:sz w:val="24"/>
          <w:szCs w:val="24"/>
        </w:rPr>
        <w:t xml:space="preserve"> processes</w:t>
      </w:r>
      <w:r w:rsidR="0097324F" w:rsidRPr="005F44EF">
        <w:rPr>
          <w:rFonts w:ascii="Times New Roman" w:eastAsia="Times New Roman" w:hAnsi="Times New Roman" w:cs="Times New Roman"/>
          <w:sz w:val="24"/>
          <w:szCs w:val="24"/>
        </w:rPr>
        <w:t xml:space="preserve">, with </w:t>
      </w:r>
      <w:proofErr w:type="spellStart"/>
      <w:r w:rsidR="0097324F" w:rsidRPr="005F44EF">
        <w:rPr>
          <w:rFonts w:ascii="Times New Roman" w:eastAsia="Times New Roman" w:hAnsi="Times New Roman" w:cs="Times New Roman"/>
          <w:sz w:val="24"/>
          <w:szCs w:val="24"/>
        </w:rPr>
        <w:t>lassivage</w:t>
      </w:r>
      <w:proofErr w:type="spellEnd"/>
      <w:r w:rsidR="0097324F" w:rsidRPr="005F44EF">
        <w:rPr>
          <w:rFonts w:ascii="Times New Roman" w:eastAsia="Times New Roman" w:hAnsi="Times New Roman" w:cs="Times New Roman"/>
          <w:sz w:val="24"/>
          <w:szCs w:val="24"/>
        </w:rPr>
        <w:t xml:space="preserve"> (removal of clays in suspension) and eluvial-</w:t>
      </w:r>
      <w:proofErr w:type="spellStart"/>
      <w:r w:rsidR="0097324F" w:rsidRPr="005F44EF">
        <w:rPr>
          <w:rFonts w:ascii="Times New Roman" w:eastAsia="Times New Roman" w:hAnsi="Times New Roman" w:cs="Times New Roman"/>
          <w:sz w:val="24"/>
          <w:szCs w:val="24"/>
        </w:rPr>
        <w:t>gley</w:t>
      </w:r>
      <w:proofErr w:type="spellEnd"/>
      <w:r w:rsidR="0097324F" w:rsidRPr="005F44EF">
        <w:rPr>
          <w:rFonts w:ascii="Times New Roman" w:eastAsia="Times New Roman" w:hAnsi="Times New Roman" w:cs="Times New Roman"/>
          <w:sz w:val="24"/>
          <w:szCs w:val="24"/>
        </w:rPr>
        <w:t xml:space="preserve"> processes (removal of </w:t>
      </w:r>
      <w:r w:rsidR="002609F3" w:rsidRPr="005F44EF">
        <w:rPr>
          <w:rFonts w:ascii="Times New Roman" w:eastAsia="Times New Roman" w:hAnsi="Times New Roman" w:cs="Times New Roman"/>
          <w:sz w:val="24"/>
          <w:szCs w:val="24"/>
        </w:rPr>
        <w:t xml:space="preserve">iron compounds) influencing </w:t>
      </w:r>
      <w:r w:rsidR="007903DF" w:rsidRPr="005F44EF">
        <w:rPr>
          <w:rFonts w:ascii="Times New Roman" w:eastAsia="Times New Roman" w:hAnsi="Times New Roman" w:cs="Times New Roman"/>
          <w:sz w:val="24"/>
          <w:szCs w:val="24"/>
        </w:rPr>
        <w:t xml:space="preserve">downward </w:t>
      </w:r>
      <w:r w:rsidR="002609F3" w:rsidRPr="005F44EF">
        <w:rPr>
          <w:rFonts w:ascii="Times New Roman" w:eastAsia="Times New Roman" w:hAnsi="Times New Roman" w:cs="Times New Roman"/>
          <w:sz w:val="24"/>
          <w:szCs w:val="24"/>
        </w:rPr>
        <w:t xml:space="preserve">sediment composition </w:t>
      </w:r>
      <w:r w:rsidR="007903DF" w:rsidRPr="005F44EF">
        <w:rPr>
          <w:rFonts w:ascii="Times New Roman" w:eastAsia="Times New Roman" w:hAnsi="Times New Roman" w:cs="Times New Roman"/>
          <w:sz w:val="24"/>
          <w:szCs w:val="24"/>
        </w:rPr>
        <w:t xml:space="preserve">in the sequence. Downward transport of clays was also </w:t>
      </w:r>
      <w:r w:rsidR="008341C5" w:rsidRPr="005F44EF">
        <w:rPr>
          <w:rFonts w:ascii="Times New Roman" w:eastAsia="Times New Roman" w:hAnsi="Times New Roman" w:cs="Times New Roman"/>
          <w:sz w:val="24"/>
          <w:szCs w:val="24"/>
        </w:rPr>
        <w:t xml:space="preserve">identified through the presence of sintered clay films observed in thin sections. </w:t>
      </w:r>
      <w:r w:rsidR="00A31995" w:rsidRPr="005F44EF">
        <w:rPr>
          <w:rFonts w:ascii="Times New Roman" w:eastAsia="Times New Roman" w:hAnsi="Times New Roman" w:cs="Times New Roman"/>
          <w:sz w:val="24"/>
          <w:szCs w:val="24"/>
        </w:rPr>
        <w:t>Petrographic studies indicated that sand</w:t>
      </w:r>
      <w:r w:rsidR="003B1116" w:rsidRPr="005F44EF">
        <w:rPr>
          <w:rFonts w:ascii="Times New Roman" w:eastAsia="Times New Roman" w:hAnsi="Times New Roman" w:cs="Times New Roman"/>
          <w:sz w:val="24"/>
          <w:szCs w:val="24"/>
        </w:rPr>
        <w:t xml:space="preserve"> fractions were predominately composed of quartz, with</w:t>
      </w:r>
      <w:r w:rsidR="00F652C7" w:rsidRPr="005F44EF">
        <w:rPr>
          <w:rFonts w:ascii="Times New Roman" w:eastAsia="Times New Roman" w:hAnsi="Times New Roman" w:cs="Times New Roman"/>
          <w:sz w:val="24"/>
          <w:szCs w:val="24"/>
        </w:rPr>
        <w:t xml:space="preserve"> the</w:t>
      </w:r>
      <w:r w:rsidR="003B1116" w:rsidRPr="005F44EF">
        <w:rPr>
          <w:rFonts w:ascii="Times New Roman" w:eastAsia="Times New Roman" w:hAnsi="Times New Roman" w:cs="Times New Roman"/>
          <w:sz w:val="24"/>
          <w:szCs w:val="24"/>
        </w:rPr>
        <w:t xml:space="preserve"> </w:t>
      </w:r>
      <w:r w:rsidR="00F652C7" w:rsidRPr="005F44EF">
        <w:rPr>
          <w:rFonts w:ascii="Times New Roman" w:hAnsi="Times New Roman" w:cs="Times New Roman"/>
          <w:sz w:val="24"/>
          <w:szCs w:val="24"/>
        </w:rPr>
        <w:t xml:space="preserve">relatively low birefringence, high aluminium content, and low </w:t>
      </w:r>
      <w:r w:rsidR="00815421" w:rsidRPr="005F44EF">
        <w:rPr>
          <w:rFonts w:ascii="Times New Roman" w:hAnsi="Times New Roman" w:cs="Times New Roman"/>
          <w:sz w:val="24"/>
          <w:szCs w:val="24"/>
        </w:rPr>
        <w:t>c</w:t>
      </w:r>
      <w:r w:rsidR="00F652C7" w:rsidRPr="005F44EF">
        <w:rPr>
          <w:rFonts w:ascii="Times New Roman" w:hAnsi="Times New Roman" w:cs="Times New Roman"/>
          <w:sz w:val="24"/>
          <w:szCs w:val="24"/>
        </w:rPr>
        <w:t>ation exchange capacity</w:t>
      </w:r>
      <w:r w:rsidR="00815421" w:rsidRPr="005F44EF">
        <w:rPr>
          <w:rFonts w:ascii="Times New Roman" w:hAnsi="Times New Roman" w:cs="Times New Roman"/>
          <w:sz w:val="24"/>
          <w:szCs w:val="24"/>
        </w:rPr>
        <w:t xml:space="preserve"> suggestive that finer components are dominated by kaolinite.</w:t>
      </w:r>
      <w:r w:rsidR="00F652C7" w:rsidRPr="005F44EF">
        <w:rPr>
          <w:rFonts w:ascii="Times New Roman" w:hAnsi="Times New Roman" w:cs="Times New Roman"/>
          <w:sz w:val="24"/>
          <w:szCs w:val="24"/>
        </w:rPr>
        <w:t xml:space="preserve"> </w:t>
      </w:r>
      <w:proofErr w:type="spellStart"/>
      <w:r w:rsidR="00815421" w:rsidRPr="005F44EF">
        <w:rPr>
          <w:rFonts w:ascii="Times New Roman" w:hAnsi="Times New Roman" w:cs="Times New Roman"/>
          <w:sz w:val="24"/>
          <w:szCs w:val="24"/>
        </w:rPr>
        <w:t>Sedov</w:t>
      </w:r>
      <w:proofErr w:type="spellEnd"/>
      <w:r w:rsidR="00815421" w:rsidRPr="005F44EF">
        <w:rPr>
          <w:rFonts w:ascii="Times New Roman" w:hAnsi="Times New Roman" w:cs="Times New Roman"/>
          <w:sz w:val="24"/>
          <w:szCs w:val="24"/>
        </w:rPr>
        <w:t xml:space="preserve"> concluded that </w:t>
      </w:r>
      <w:r w:rsidR="0085057A" w:rsidRPr="005F44EF">
        <w:rPr>
          <w:rFonts w:ascii="Times New Roman" w:hAnsi="Times New Roman" w:cs="Times New Roman"/>
          <w:sz w:val="24"/>
          <w:szCs w:val="24"/>
        </w:rPr>
        <w:t xml:space="preserve">these strata were likely formed from the redeposition of </w:t>
      </w:r>
      <w:r w:rsidR="007F0807" w:rsidRPr="005F44EF">
        <w:rPr>
          <w:rFonts w:ascii="Times New Roman" w:hAnsi="Times New Roman" w:cs="Times New Roman"/>
          <w:sz w:val="24"/>
          <w:szCs w:val="24"/>
        </w:rPr>
        <w:t xml:space="preserve">transported </w:t>
      </w:r>
      <w:r w:rsidR="0085057A" w:rsidRPr="005F44EF">
        <w:rPr>
          <w:rFonts w:ascii="Times New Roman" w:hAnsi="Times New Roman" w:cs="Times New Roman"/>
          <w:sz w:val="24"/>
          <w:szCs w:val="24"/>
        </w:rPr>
        <w:t>ancient weathering crusts</w:t>
      </w:r>
      <w:r w:rsidR="00FC2846" w:rsidRPr="005F44EF">
        <w:rPr>
          <w:rFonts w:ascii="Times New Roman" w:hAnsi="Times New Roman" w:cs="Times New Roman"/>
          <w:sz w:val="24"/>
          <w:szCs w:val="24"/>
        </w:rPr>
        <w:t xml:space="preserve">, with the slow </w:t>
      </w:r>
      <w:r w:rsidR="00415909" w:rsidRPr="005F44EF">
        <w:rPr>
          <w:rFonts w:ascii="Times New Roman" w:hAnsi="Times New Roman" w:cs="Times New Roman"/>
          <w:sz w:val="24"/>
          <w:szCs w:val="24"/>
        </w:rPr>
        <w:t xml:space="preserve">alluvial </w:t>
      </w:r>
      <w:r w:rsidR="00FC2846" w:rsidRPr="005F44EF">
        <w:rPr>
          <w:rFonts w:ascii="Times New Roman" w:hAnsi="Times New Roman" w:cs="Times New Roman"/>
          <w:sz w:val="24"/>
          <w:szCs w:val="24"/>
        </w:rPr>
        <w:t xml:space="preserve">accumulation of sediments </w:t>
      </w:r>
      <w:r w:rsidR="00FD54E8" w:rsidRPr="005F44EF">
        <w:rPr>
          <w:rFonts w:ascii="Times New Roman" w:hAnsi="Times New Roman" w:cs="Times New Roman"/>
          <w:sz w:val="24"/>
          <w:szCs w:val="24"/>
        </w:rPr>
        <w:t xml:space="preserve">during which each layer would have been exposed as a surface horizon. </w:t>
      </w:r>
    </w:p>
    <w:p w14:paraId="0FAD5D13" w14:textId="77777777" w:rsidR="00C25F50" w:rsidRPr="005F44EF" w:rsidRDefault="00C25F50">
      <w:pPr>
        <w:spacing w:after="0" w:line="276" w:lineRule="auto"/>
        <w:jc w:val="both"/>
        <w:rPr>
          <w:rFonts w:ascii="Times New Roman" w:eastAsia="Times New Roman" w:hAnsi="Times New Roman" w:cs="Times New Roman"/>
          <w:sz w:val="24"/>
          <w:szCs w:val="24"/>
        </w:rPr>
      </w:pPr>
    </w:p>
    <w:p w14:paraId="421B94B5" w14:textId="4BA45152" w:rsidR="00BB7AA9" w:rsidRPr="005F44EF" w:rsidRDefault="008911DC">
      <w:pPr>
        <w:spacing w:after="0" w:line="276" w:lineRule="auto"/>
        <w:jc w:val="both"/>
        <w:rPr>
          <w:rFonts w:ascii="Times New Roman" w:eastAsia="Times New Roman" w:hAnsi="Times New Roman" w:cs="Times New Roman"/>
          <w:sz w:val="24"/>
          <w:szCs w:val="24"/>
        </w:rPr>
      </w:pPr>
      <w:bookmarkStart w:id="10" w:name="_Hlk171606315"/>
      <w:r w:rsidRPr="005F44EF">
        <w:rPr>
          <w:rFonts w:ascii="Times New Roman" w:eastAsia="Times New Roman" w:hAnsi="Times New Roman" w:cs="Times New Roman"/>
          <w:sz w:val="24"/>
          <w:szCs w:val="24"/>
        </w:rPr>
        <w:t xml:space="preserve">As reported by </w:t>
      </w:r>
      <w:proofErr w:type="spellStart"/>
      <w:r w:rsidRPr="005F44EF">
        <w:rPr>
          <w:rFonts w:ascii="Times New Roman" w:eastAsia="Times New Roman" w:hAnsi="Times New Roman" w:cs="Times New Roman"/>
          <w:sz w:val="24"/>
          <w:szCs w:val="24"/>
        </w:rPr>
        <w:t>Sedov</w:t>
      </w:r>
      <w:bookmarkEnd w:id="10"/>
      <w:proofErr w:type="spellEnd"/>
      <w:r w:rsidRPr="005F44EF">
        <w:rPr>
          <w:rFonts w:ascii="Times New Roman" w:eastAsia="Times New Roman" w:hAnsi="Times New Roman" w:cs="Times New Roman"/>
          <w:sz w:val="24"/>
          <w:szCs w:val="24"/>
        </w:rPr>
        <w:t>, t</w:t>
      </w:r>
      <w:r w:rsidR="00B9564D" w:rsidRPr="005F44EF">
        <w:rPr>
          <w:rFonts w:ascii="Times New Roman" w:eastAsia="Times New Roman" w:hAnsi="Times New Roman" w:cs="Times New Roman"/>
          <w:sz w:val="24"/>
          <w:szCs w:val="24"/>
        </w:rPr>
        <w:t xml:space="preserve">he upper 15 m </w:t>
      </w:r>
      <w:r w:rsidR="00A15A18" w:rsidRPr="005F44EF">
        <w:rPr>
          <w:rFonts w:ascii="Times New Roman" w:eastAsia="Times New Roman" w:hAnsi="Times New Roman" w:cs="Times New Roman"/>
          <w:sz w:val="24"/>
          <w:szCs w:val="24"/>
        </w:rPr>
        <w:t xml:space="preserve">of Unit D deposits </w:t>
      </w:r>
      <w:r w:rsidR="00B9564D" w:rsidRPr="005F44EF">
        <w:rPr>
          <w:rFonts w:ascii="Times New Roman" w:eastAsia="Times New Roman" w:hAnsi="Times New Roman" w:cs="Times New Roman"/>
          <w:sz w:val="24"/>
          <w:szCs w:val="24"/>
        </w:rPr>
        <w:t xml:space="preserve">contained what they initially termed as Sangoan artefacts in four layers, documented as coming from the upper part of layer 9, continuing into layers 10 </w:t>
      </w:r>
      <w:r w:rsidR="008114CC" w:rsidRPr="005F44EF">
        <w:rPr>
          <w:rFonts w:ascii="Times New Roman" w:eastAsia="Times New Roman" w:hAnsi="Times New Roman" w:cs="Times New Roman"/>
          <w:sz w:val="24"/>
          <w:szCs w:val="24"/>
        </w:rPr>
        <w:t>to 12</w:t>
      </w:r>
      <w:r w:rsidR="00B9564D" w:rsidRPr="005F44EF">
        <w:rPr>
          <w:rFonts w:ascii="Times New Roman" w:eastAsia="Times New Roman" w:hAnsi="Times New Roman" w:cs="Times New Roman"/>
          <w:sz w:val="24"/>
          <w:szCs w:val="24"/>
        </w:rPr>
        <w:t xml:space="preserve">. Layer </w:t>
      </w:r>
      <w:r w:rsidR="008114CC" w:rsidRPr="005F44EF">
        <w:rPr>
          <w:rFonts w:ascii="Times New Roman" w:eastAsia="Times New Roman" w:hAnsi="Times New Roman" w:cs="Times New Roman"/>
          <w:sz w:val="24"/>
          <w:szCs w:val="24"/>
        </w:rPr>
        <w:t xml:space="preserve">13 </w:t>
      </w:r>
      <w:r w:rsidR="00B9564D" w:rsidRPr="005F44EF">
        <w:rPr>
          <w:rFonts w:ascii="Times New Roman" w:eastAsia="Times New Roman" w:hAnsi="Times New Roman" w:cs="Times New Roman"/>
          <w:sz w:val="24"/>
          <w:szCs w:val="24"/>
        </w:rPr>
        <w:t xml:space="preserve">corresponded to the 1m thick red sands of the Unit C, with typical MSA artefacts. Layers 14 corresponded to the 60 cm thick brownish sands of the Unit B with microlithic tools, and the 20 cm </w:t>
      </w:r>
      <w:proofErr w:type="spellStart"/>
      <w:r w:rsidR="00B9564D" w:rsidRPr="005F44EF">
        <w:rPr>
          <w:rFonts w:ascii="Times New Roman" w:eastAsia="Times New Roman" w:hAnsi="Times New Roman" w:cs="Times New Roman"/>
          <w:sz w:val="24"/>
          <w:szCs w:val="24"/>
        </w:rPr>
        <w:t>humic</w:t>
      </w:r>
      <w:proofErr w:type="spellEnd"/>
      <w:r w:rsidR="00B9564D" w:rsidRPr="005F44EF">
        <w:rPr>
          <w:rFonts w:ascii="Times New Roman" w:eastAsia="Times New Roman" w:hAnsi="Times New Roman" w:cs="Times New Roman"/>
          <w:sz w:val="24"/>
          <w:szCs w:val="24"/>
        </w:rPr>
        <w:t xml:space="preserve"> horizon in Unit A on the top containing pottery, supporting </w:t>
      </w:r>
      <w:proofErr w:type="spellStart"/>
      <w:r w:rsidR="00B9564D" w:rsidRPr="005F44EF">
        <w:rPr>
          <w:rFonts w:ascii="Times New Roman" w:eastAsia="Times New Roman" w:hAnsi="Times New Roman" w:cs="Times New Roman"/>
          <w:sz w:val="24"/>
          <w:szCs w:val="24"/>
        </w:rPr>
        <w:t>Chenorkian</w:t>
      </w:r>
      <w:proofErr w:type="spellEnd"/>
      <w:r w:rsidR="00B9564D" w:rsidRPr="005F44EF">
        <w:rPr>
          <w:rFonts w:ascii="Times New Roman" w:eastAsia="Times New Roman" w:hAnsi="Times New Roman" w:cs="Times New Roman"/>
          <w:sz w:val="24"/>
          <w:szCs w:val="24"/>
        </w:rPr>
        <w:t xml:space="preserve"> and Paradis</w:t>
      </w:r>
      <w:r w:rsidR="00A63DE1" w:rsidRPr="005F44EF">
        <w:rPr>
          <w:rFonts w:ascii="Times New Roman" w:eastAsia="Times New Roman" w:hAnsi="Times New Roman" w:cs="Times New Roman"/>
          <w:sz w:val="24"/>
          <w:szCs w:val="24"/>
        </w:rPr>
        <w:fldChar w:fldCharType="begin" w:fldLock="1"/>
      </w:r>
      <w:r w:rsidR="00E84150" w:rsidRPr="005F44EF">
        <w:rPr>
          <w:rFonts w:ascii="Times New Roman" w:eastAsia="Times New Roman" w:hAnsi="Times New Roman" w:cs="Times New Roman"/>
          <w:sz w:val="24"/>
          <w:szCs w:val="24"/>
        </w:rPr>
        <w:instrText>ADDIN CSL_CITATION {"citationItems":[{"id":"ITEM-1","itemData":{"author":[{"dropping-particle":"","family":"Chenorkian","given":"Robert","non-dropping-particle":"","parse-names":false,"suffix":""},{"dropping-particle":"","family":"Paradis","given":"G.","non-dropping-particle":"","parse-names":false,"suffix":""}],"container-title":"3rd Congress, West African Archaeological Association, Dakar.","id":"ITEM-1","issued":{"date-parts":[["1981"]]},"title":"Une industrie paleolithique decouverte dans la 'terre dc barre' d'une terrasse proche d'Anyama (region d'Abidjan)","type":"paper-conference"},"uris":["http://www.mendeley.com/documents/?uuid=7db04cf3-cc83-47af-b1ce-d6914d6ab708"]},{"id":"ITEM-2","itemData":{"author":[{"dropping-particle":"","family":"Chenorkian","given":"R.","non-dropping-particle":"","parse-names":false,"suffix":""},{"dropping-particle":"","family":"Paradis","given":"G.","non-dropping-particle":"","parse-names":false,"suffix":""}],"container-title":"Nyame Akuma","id":"ITEM-2","issued":{"date-parts":[["1982"]]},"page":"18-27","title":"Une industrie paléolithique découverte dans la « Terre de Barre » d’une terrasse proche d’Anyama (région d’Abidjan)","type":"article-journal","volume":"21"},"uris":["http://www.mendeley.com/documents/?uuid=0631c5c9-c687-4cf0-ab29-a5aba7c6bcdc"]}],"mendeley":{"formattedCitation":"&lt;sup&gt;65,66&lt;/sup&gt;","plainTextFormattedCitation":"65,66","previouslyFormattedCitation":"&lt;sup&gt;65,66&lt;/sup&gt;"},"properties":{"noteIndex":0},"schema":"https://github.com/citation-style-language/schema/raw/master/csl-citation.json"}</w:instrText>
      </w:r>
      <w:r w:rsidR="00A63DE1" w:rsidRPr="005F44EF">
        <w:rPr>
          <w:rFonts w:ascii="Times New Roman" w:eastAsia="Times New Roman" w:hAnsi="Times New Roman" w:cs="Times New Roman"/>
          <w:sz w:val="24"/>
          <w:szCs w:val="24"/>
        </w:rPr>
        <w:fldChar w:fldCharType="separate"/>
      </w:r>
      <w:r w:rsidR="00E84150" w:rsidRPr="005F44EF">
        <w:rPr>
          <w:rFonts w:ascii="Times New Roman" w:eastAsia="Times New Roman" w:hAnsi="Times New Roman" w:cs="Times New Roman"/>
          <w:noProof/>
          <w:sz w:val="24"/>
          <w:szCs w:val="24"/>
          <w:vertAlign w:val="superscript"/>
        </w:rPr>
        <w:t>65,66</w:t>
      </w:r>
      <w:r w:rsidR="00A63DE1" w:rsidRPr="005F44EF">
        <w:rPr>
          <w:rFonts w:ascii="Times New Roman" w:eastAsia="Times New Roman" w:hAnsi="Times New Roman" w:cs="Times New Roman"/>
          <w:sz w:val="24"/>
          <w:szCs w:val="24"/>
        </w:rPr>
        <w:fldChar w:fldCharType="end"/>
      </w:r>
      <w:r w:rsidR="00B9564D" w:rsidRPr="005F44EF">
        <w:rPr>
          <w:rFonts w:ascii="Times New Roman" w:eastAsia="Times New Roman" w:hAnsi="Times New Roman" w:cs="Times New Roman"/>
          <w:sz w:val="24"/>
          <w:szCs w:val="24"/>
        </w:rPr>
        <w:t xml:space="preserve"> initial observations. </w:t>
      </w:r>
    </w:p>
    <w:p w14:paraId="3724B760" w14:textId="77777777" w:rsidR="00BB7AA9" w:rsidRPr="005F44EF" w:rsidRDefault="00BB7AA9">
      <w:pPr>
        <w:spacing w:after="0" w:line="276" w:lineRule="auto"/>
        <w:jc w:val="both"/>
        <w:rPr>
          <w:rFonts w:ascii="Times New Roman" w:eastAsia="Times New Roman" w:hAnsi="Times New Roman" w:cs="Times New Roman"/>
          <w:sz w:val="24"/>
          <w:szCs w:val="24"/>
        </w:rPr>
      </w:pPr>
    </w:p>
    <w:p w14:paraId="169BACA1" w14:textId="208855F7"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The Russian-Ivorian mission dated the sediment sequence by applying the </w:t>
      </w:r>
      <w:proofErr w:type="spellStart"/>
      <w:r w:rsidRPr="005F44EF">
        <w:rPr>
          <w:rFonts w:ascii="Times New Roman" w:eastAsia="Times New Roman" w:hAnsi="Times New Roman" w:cs="Times New Roman"/>
          <w:sz w:val="24"/>
          <w:szCs w:val="24"/>
        </w:rPr>
        <w:t>R</w:t>
      </w:r>
      <w:r w:rsidR="00FE67B3" w:rsidRPr="005F44EF">
        <w:rPr>
          <w:rFonts w:ascii="Times New Roman" w:eastAsia="Times New Roman" w:hAnsi="Times New Roman" w:cs="Times New Roman"/>
          <w:sz w:val="24"/>
          <w:szCs w:val="24"/>
        </w:rPr>
        <w:t>adio</w:t>
      </w:r>
      <w:r w:rsidR="002069B4" w:rsidRPr="005F44EF">
        <w:rPr>
          <w:rFonts w:ascii="Times New Roman" w:eastAsia="Times New Roman" w:hAnsi="Times New Roman" w:cs="Times New Roman"/>
          <w:sz w:val="24"/>
          <w:szCs w:val="24"/>
        </w:rPr>
        <w:t>t</w:t>
      </w:r>
      <w:r w:rsidRPr="005F44EF">
        <w:rPr>
          <w:rFonts w:ascii="Times New Roman" w:eastAsia="Times New Roman" w:hAnsi="Times New Roman" w:cs="Times New Roman"/>
          <w:sz w:val="24"/>
          <w:szCs w:val="24"/>
        </w:rPr>
        <w:t>hermoluminescence</w:t>
      </w:r>
      <w:proofErr w:type="spellEnd"/>
      <w:r w:rsidRPr="005F44EF">
        <w:rPr>
          <w:rFonts w:ascii="Times New Roman" w:eastAsia="Times New Roman" w:hAnsi="Times New Roman" w:cs="Times New Roman"/>
          <w:sz w:val="24"/>
          <w:szCs w:val="24"/>
        </w:rPr>
        <w:t xml:space="preserve"> (RTL) dating method</w:t>
      </w:r>
      <w:r w:rsidR="00DB6F70" w:rsidRPr="005F44EF">
        <w:rPr>
          <w:rFonts w:ascii="Times New Roman" w:eastAsia="Times New Roman" w:hAnsi="Times New Roman" w:cs="Times New Roman"/>
          <w:sz w:val="24"/>
          <w:szCs w:val="24"/>
        </w:rPr>
        <w:t xml:space="preserve"> </w:t>
      </w:r>
      <w:bookmarkStart w:id="11" w:name="_Hlk171606338"/>
      <w:r w:rsidR="00C35946" w:rsidRPr="005F44EF">
        <w:rPr>
          <w:rFonts w:ascii="Times New Roman" w:eastAsia="Times New Roman" w:hAnsi="Times New Roman" w:cs="Times New Roman"/>
          <w:sz w:val="24"/>
          <w:szCs w:val="24"/>
        </w:rPr>
        <w:t>on sandy-clay sediment</w:t>
      </w:r>
      <w:bookmarkEnd w:id="11"/>
      <w:r w:rsidR="00C35946"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uthor":[{"dropping-particle":"","family":"Lioubin","given":"V.P.","non-dropping-particle":"","parse-names":false,"suffix":""},{"dropping-particle":"","family":"Guédé","given":"F.Y.","non-dropping-particle":"","parse-names":false,"suffix":""}],"container-title":"Russian Academy of Sciences, Institute of the History of Material Culture Proceedings, vol. 3","id":"ITEM-1","issued":{"date-parts":[["2000"]]},"publisher-place":"St. Petersburg","title":"Paleolit Respubliki Kot d'Ivvuar (Zapadnaya Afrika) [The Palaeolithic of the Republic of Cote d'Ivoire (West Africa)]","type":"book"},"uris":["http://www.mendeley.com/documents/?uuid=aa04e7e7-917b-48f3-b7ff-044d552e4799"]}],"mendeley":{"formattedCitation":"&lt;sup&gt;39&lt;/sup&gt;","plainTextFormattedCitation":"39","previouslyFormattedCitation":"&lt;sup&gt;39&lt;/sup&gt;"},"properties":{"noteIndex":0},"schema":"https://github.com/citation-style-language/schema/raw/master/csl-citation.json"}</w:instrText>
      </w:r>
      <w:r w:rsidR="00C35946" w:rsidRPr="005F44EF">
        <w:rPr>
          <w:rFonts w:ascii="Times New Roman" w:eastAsia="Times New Roman" w:hAnsi="Times New Roman" w:cs="Times New Roman"/>
          <w:sz w:val="24"/>
          <w:szCs w:val="24"/>
        </w:rPr>
        <w:fldChar w:fldCharType="separate"/>
      </w:r>
      <w:r w:rsidR="00C35946" w:rsidRPr="005F44EF">
        <w:rPr>
          <w:rFonts w:ascii="Times New Roman" w:eastAsia="Times New Roman" w:hAnsi="Times New Roman" w:cs="Times New Roman"/>
          <w:noProof/>
          <w:sz w:val="24"/>
          <w:szCs w:val="24"/>
          <w:vertAlign w:val="superscript"/>
        </w:rPr>
        <w:t>39</w:t>
      </w:r>
      <w:r w:rsidR="00C35946"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Of the three ages obtained, two were respectively at the base and top of the Unit E (1400 ± 350 ka and 309 ± 62 ka). The </w:t>
      </w:r>
      <w:r w:rsidR="00732AD6" w:rsidRPr="005F44EF">
        <w:rPr>
          <w:rFonts w:ascii="Times New Roman" w:eastAsia="Times New Roman" w:hAnsi="Times New Roman" w:cs="Times New Roman"/>
          <w:sz w:val="24"/>
          <w:szCs w:val="24"/>
        </w:rPr>
        <w:t xml:space="preserve">single </w:t>
      </w:r>
      <w:r w:rsidRPr="005F44EF">
        <w:rPr>
          <w:rFonts w:ascii="Times New Roman" w:eastAsia="Times New Roman" w:hAnsi="Times New Roman" w:cs="Times New Roman"/>
          <w:sz w:val="24"/>
          <w:szCs w:val="24"/>
        </w:rPr>
        <w:t xml:space="preserve">RTL age </w:t>
      </w:r>
      <w:bookmarkStart w:id="12" w:name="_Hlk166003569"/>
      <w:r w:rsidRPr="005F44EF">
        <w:rPr>
          <w:rFonts w:ascii="Times New Roman" w:eastAsia="Times New Roman" w:hAnsi="Times New Roman" w:cs="Times New Roman"/>
          <w:sz w:val="24"/>
          <w:szCs w:val="24"/>
        </w:rPr>
        <w:t xml:space="preserve">from </w:t>
      </w:r>
      <w:r w:rsidRPr="005F44EF">
        <w:rPr>
          <w:rFonts w:ascii="Times New Roman" w:eastAsia="Times New Roman" w:hAnsi="Times New Roman" w:cs="Times New Roman"/>
          <w:color w:val="000000"/>
          <w:sz w:val="24"/>
          <w:szCs w:val="24"/>
        </w:rPr>
        <w:t>Unit D at ca 1.5</w:t>
      </w:r>
      <w:r w:rsidR="00C35946" w:rsidRPr="005F44EF">
        <w:rPr>
          <w:rFonts w:ascii="Times New Roman" w:eastAsia="Times New Roman" w:hAnsi="Times New Roman" w:cs="Times New Roman"/>
          <w:color w:val="000000"/>
          <w:sz w:val="24"/>
          <w:szCs w:val="24"/>
        </w:rPr>
        <w:t>-2</w:t>
      </w:r>
      <w:r w:rsidRPr="005F44EF">
        <w:rPr>
          <w:rFonts w:ascii="Times New Roman" w:eastAsia="Times New Roman" w:hAnsi="Times New Roman" w:cs="Times New Roman"/>
          <w:color w:val="000000"/>
          <w:sz w:val="24"/>
          <w:szCs w:val="24"/>
        </w:rPr>
        <w:t xml:space="preserve"> m below the deepest quartz tools</w:t>
      </w:r>
      <w:r w:rsidRPr="005F44EF">
        <w:rPr>
          <w:rFonts w:ascii="Times New Roman" w:eastAsia="Times New Roman" w:hAnsi="Times New Roman" w:cs="Times New Roman"/>
          <w:sz w:val="24"/>
          <w:szCs w:val="24"/>
        </w:rPr>
        <w:t xml:space="preserve"> provided</w:t>
      </w:r>
      <w:bookmarkEnd w:id="12"/>
      <w:r w:rsidRPr="005F44EF">
        <w:rPr>
          <w:rFonts w:ascii="Times New Roman" w:eastAsia="Times New Roman" w:hAnsi="Times New Roman" w:cs="Times New Roman"/>
          <w:sz w:val="24"/>
          <w:szCs w:val="24"/>
        </w:rPr>
        <w:t xml:space="preserve"> a </w:t>
      </w:r>
      <w:r w:rsidRPr="005F44EF">
        <w:rPr>
          <w:rFonts w:ascii="Times New Roman" w:eastAsia="Times New Roman" w:hAnsi="Times New Roman" w:cs="Times New Roman"/>
          <w:i/>
          <w:sz w:val="24"/>
          <w:szCs w:val="24"/>
        </w:rPr>
        <w:t xml:space="preserve">terminus post </w:t>
      </w:r>
      <w:proofErr w:type="spellStart"/>
      <w:r w:rsidRPr="005F44EF">
        <w:rPr>
          <w:rFonts w:ascii="Times New Roman" w:eastAsia="Times New Roman" w:hAnsi="Times New Roman" w:cs="Times New Roman"/>
          <w:i/>
          <w:sz w:val="24"/>
          <w:szCs w:val="24"/>
        </w:rPr>
        <w:t>quem</w:t>
      </w:r>
      <w:proofErr w:type="spellEnd"/>
      <w:r w:rsidR="00AB3DB5" w:rsidRPr="005F44EF">
        <w:rPr>
          <w:rFonts w:ascii="Times New Roman" w:eastAsia="Times New Roman" w:hAnsi="Times New Roman" w:cs="Times New Roman"/>
          <w:i/>
          <w:sz w:val="24"/>
          <w:szCs w:val="24"/>
        </w:rPr>
        <w:t xml:space="preserve"> </w:t>
      </w:r>
      <w:r w:rsidR="00AB3DB5" w:rsidRPr="005F44EF">
        <w:rPr>
          <w:rFonts w:ascii="Times New Roman" w:eastAsia="Times New Roman" w:hAnsi="Times New Roman" w:cs="Times New Roman"/>
          <w:sz w:val="24"/>
          <w:szCs w:val="24"/>
        </w:rPr>
        <w:t>(</w:t>
      </w:r>
      <w:proofErr w:type="spellStart"/>
      <w:r w:rsidR="00AB3DB5" w:rsidRPr="005F44EF">
        <w:rPr>
          <w:rFonts w:ascii="Times New Roman" w:eastAsia="Times New Roman" w:hAnsi="Times New Roman" w:cs="Times New Roman"/>
          <w:sz w:val="24"/>
          <w:szCs w:val="24"/>
        </w:rPr>
        <w:t>i.e</w:t>
      </w:r>
      <w:proofErr w:type="spellEnd"/>
      <w:r w:rsidR="00AB3DB5" w:rsidRPr="005F44EF">
        <w:rPr>
          <w:rFonts w:ascii="Times New Roman" w:eastAsia="Times New Roman" w:hAnsi="Times New Roman" w:cs="Times New Roman"/>
          <w:sz w:val="24"/>
          <w:szCs w:val="24"/>
        </w:rPr>
        <w:t xml:space="preserve"> maximum age) </w:t>
      </w:r>
      <w:r w:rsidRPr="005F44EF">
        <w:rPr>
          <w:rFonts w:ascii="Times New Roman" w:eastAsia="Times New Roman" w:hAnsi="Times New Roman" w:cs="Times New Roman"/>
          <w:sz w:val="24"/>
          <w:szCs w:val="24"/>
        </w:rPr>
        <w:t xml:space="preserve">of 254 ± 51 ka for cultural deposits at the site. </w:t>
      </w:r>
      <w:r w:rsidRPr="005F44EF">
        <w:rPr>
          <w:rFonts w:ascii="Times New Roman" w:eastAsia="Times New Roman" w:hAnsi="Times New Roman" w:cs="Times New Roman"/>
          <w:color w:val="000000"/>
          <w:sz w:val="24"/>
          <w:szCs w:val="24"/>
        </w:rPr>
        <w:t>This age</w:t>
      </w:r>
      <w:r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color w:val="000000"/>
          <w:sz w:val="24"/>
          <w:szCs w:val="24"/>
        </w:rPr>
        <w:t>indicate</w:t>
      </w:r>
      <w:r w:rsidRPr="005F44EF">
        <w:rPr>
          <w:rFonts w:ascii="Times New Roman" w:eastAsia="Times New Roman" w:hAnsi="Times New Roman" w:cs="Times New Roman"/>
          <w:sz w:val="24"/>
          <w:szCs w:val="24"/>
        </w:rPr>
        <w:t>d</w:t>
      </w:r>
      <w:r w:rsidRPr="005F44EF">
        <w:rPr>
          <w:rFonts w:ascii="Times New Roman" w:eastAsia="Times New Roman" w:hAnsi="Times New Roman" w:cs="Times New Roman"/>
          <w:color w:val="000000"/>
          <w:sz w:val="24"/>
          <w:szCs w:val="24"/>
        </w:rPr>
        <w:t xml:space="preserve"> </w:t>
      </w:r>
      <w:r w:rsidRPr="005F44EF">
        <w:rPr>
          <w:rFonts w:ascii="Times New Roman" w:eastAsia="Times New Roman" w:hAnsi="Times New Roman" w:cs="Times New Roman"/>
          <w:sz w:val="24"/>
          <w:szCs w:val="24"/>
        </w:rPr>
        <w:t xml:space="preserve">that the </w:t>
      </w:r>
      <w:r w:rsidR="00AB3DB5" w:rsidRPr="005F44EF">
        <w:rPr>
          <w:rFonts w:ascii="Times New Roman" w:eastAsia="Times New Roman" w:hAnsi="Times New Roman" w:cs="Times New Roman"/>
          <w:sz w:val="24"/>
          <w:szCs w:val="24"/>
        </w:rPr>
        <w:t xml:space="preserve">assemblages of the Unit D </w:t>
      </w:r>
      <w:r w:rsidRPr="005F44EF">
        <w:rPr>
          <w:rFonts w:ascii="Times New Roman" w:eastAsia="Times New Roman" w:hAnsi="Times New Roman" w:cs="Times New Roman"/>
          <w:sz w:val="24"/>
          <w:szCs w:val="24"/>
        </w:rPr>
        <w:t xml:space="preserve">may have </w:t>
      </w:r>
      <w:r w:rsidR="00390883">
        <w:rPr>
          <w:rFonts w:ascii="Times New Roman" w:eastAsia="Times New Roman" w:hAnsi="Times New Roman" w:cs="Times New Roman"/>
          <w:sz w:val="24"/>
          <w:szCs w:val="24"/>
        </w:rPr>
        <w:t xml:space="preserve">been formed </w:t>
      </w:r>
      <w:r w:rsidRPr="005F44EF">
        <w:rPr>
          <w:rFonts w:ascii="Times New Roman" w:eastAsia="Times New Roman" w:hAnsi="Times New Roman" w:cs="Times New Roman"/>
          <w:sz w:val="24"/>
          <w:szCs w:val="24"/>
        </w:rPr>
        <w:t xml:space="preserve">at the end of the Middle Pleistocene. However, the </w:t>
      </w:r>
      <w:r w:rsidR="003945F7" w:rsidRPr="005F44EF">
        <w:rPr>
          <w:rFonts w:ascii="Times New Roman" w:eastAsia="Times New Roman" w:hAnsi="Times New Roman" w:cs="Times New Roman"/>
          <w:sz w:val="24"/>
          <w:szCs w:val="24"/>
        </w:rPr>
        <w:t xml:space="preserve">sediment in which the </w:t>
      </w:r>
      <w:r w:rsidRPr="005F44EF">
        <w:rPr>
          <w:rFonts w:ascii="Times New Roman" w:eastAsia="Times New Roman" w:hAnsi="Times New Roman" w:cs="Times New Roman"/>
          <w:sz w:val="24"/>
          <w:szCs w:val="24"/>
        </w:rPr>
        <w:t xml:space="preserve">archaeological assemblages </w:t>
      </w:r>
      <w:r w:rsidR="003945F7" w:rsidRPr="005F44EF">
        <w:rPr>
          <w:rFonts w:ascii="Times New Roman" w:eastAsia="Times New Roman" w:hAnsi="Times New Roman" w:cs="Times New Roman"/>
          <w:sz w:val="24"/>
          <w:szCs w:val="24"/>
        </w:rPr>
        <w:t xml:space="preserve">are embedded </w:t>
      </w:r>
      <w:r w:rsidRPr="005F44EF">
        <w:rPr>
          <w:rFonts w:ascii="Times New Roman" w:eastAsia="Times New Roman" w:hAnsi="Times New Roman" w:cs="Times New Roman"/>
          <w:sz w:val="24"/>
          <w:szCs w:val="24"/>
        </w:rPr>
        <w:t>were not direct</w:t>
      </w:r>
      <w:r w:rsidR="00BD6490" w:rsidRPr="005F44EF">
        <w:rPr>
          <w:rFonts w:ascii="Times New Roman" w:eastAsia="Times New Roman" w:hAnsi="Times New Roman" w:cs="Times New Roman"/>
          <w:sz w:val="24"/>
          <w:szCs w:val="24"/>
        </w:rPr>
        <w:t xml:space="preserve">ly dated. Importantly, the detailed </w:t>
      </w:r>
      <w:r w:rsidRPr="005F44EF">
        <w:rPr>
          <w:rFonts w:ascii="Times New Roman" w:eastAsia="Times New Roman" w:hAnsi="Times New Roman" w:cs="Times New Roman"/>
          <w:sz w:val="24"/>
          <w:szCs w:val="24"/>
        </w:rPr>
        <w:t>parameters</w:t>
      </w:r>
      <w:r w:rsidR="00BD6490" w:rsidRPr="005F44EF">
        <w:rPr>
          <w:rFonts w:ascii="Times New Roman" w:eastAsia="Times New Roman" w:hAnsi="Times New Roman" w:cs="Times New Roman"/>
          <w:sz w:val="24"/>
          <w:szCs w:val="24"/>
        </w:rPr>
        <w:t xml:space="preserve"> employed for the age calculation</w:t>
      </w:r>
      <w:r w:rsidRPr="005F44EF">
        <w:rPr>
          <w:rFonts w:ascii="Times New Roman" w:eastAsia="Times New Roman" w:hAnsi="Times New Roman" w:cs="Times New Roman"/>
          <w:sz w:val="24"/>
          <w:szCs w:val="24"/>
        </w:rPr>
        <w:t xml:space="preserve"> were not provided in the monograph of the archaeological sites of Anyama</w:t>
      </w:r>
      <w:r w:rsidR="00A63DE1"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uthor":[{"dropping-particle":"","family":"Lioubin","given":"V.P.","non-dropping-particle":"","parse-names":false,"suffix":""},{"dropping-particle":"","family":"Guédé","given":"F.Y.","non-dropping-particle":"","parse-names":false,"suffix":""}],"container-title":"Russian Academy of Sciences, Institute of the History of Material Culture Proceedings, vol. 3","id":"ITEM-1","issued":{"date-parts":[["2000"]]},"publisher-place":"St. Petersburg","title":"Paleolit Respubliki Kot d'Ivvuar (Zapadnaya Afrika) [The Palaeolithic of the Republic of Cote d'Ivoire (West Africa)]","type":"book"},"uris":["http://www.mendeley.com/documents/?uuid=aa04e7e7-917b-48f3-b7ff-044d552e4799"]}],"mendeley":{"formattedCitation":"&lt;sup&gt;39&lt;/sup&gt;","plainTextFormattedCitation":"39","previouslyFormattedCitation":"&lt;sup&gt;39&lt;/sup&gt;"},"properties":{"noteIndex":0},"schema":"https://github.com/citation-style-language/schema/raw/master/csl-citation.json"}</w:instrText>
      </w:r>
      <w:r w:rsidR="00A63DE1" w:rsidRPr="005F44EF">
        <w:rPr>
          <w:rFonts w:ascii="Times New Roman" w:eastAsia="Times New Roman" w:hAnsi="Times New Roman" w:cs="Times New Roman"/>
          <w:sz w:val="24"/>
          <w:szCs w:val="24"/>
        </w:rPr>
        <w:fldChar w:fldCharType="separate"/>
      </w:r>
      <w:r w:rsidR="004D347A" w:rsidRPr="005F44EF">
        <w:rPr>
          <w:rFonts w:ascii="Times New Roman" w:eastAsia="Times New Roman" w:hAnsi="Times New Roman" w:cs="Times New Roman"/>
          <w:noProof/>
          <w:sz w:val="24"/>
          <w:szCs w:val="24"/>
          <w:vertAlign w:val="superscript"/>
        </w:rPr>
        <w:t>39</w:t>
      </w:r>
      <w:r w:rsidR="00A63DE1" w:rsidRPr="005F44EF">
        <w:rPr>
          <w:rFonts w:ascii="Times New Roman" w:eastAsia="Times New Roman" w:hAnsi="Times New Roman" w:cs="Times New Roman"/>
          <w:sz w:val="24"/>
          <w:szCs w:val="24"/>
        </w:rPr>
        <w:fldChar w:fldCharType="end"/>
      </w:r>
      <w:r w:rsidR="00BD6490" w:rsidRPr="005F44EF">
        <w:rPr>
          <w:rFonts w:ascii="Times New Roman" w:eastAsia="Times New Roman" w:hAnsi="Times New Roman" w:cs="Times New Roman"/>
          <w:sz w:val="24"/>
          <w:szCs w:val="24"/>
        </w:rPr>
        <w:t>, precluding thus any critical evaluation of the published results.</w:t>
      </w:r>
      <w:r w:rsidRPr="005F44EF">
        <w:rPr>
          <w:rFonts w:ascii="Times New Roman" w:eastAsia="Times New Roman" w:hAnsi="Times New Roman" w:cs="Times New Roman"/>
          <w:sz w:val="24"/>
          <w:szCs w:val="24"/>
        </w:rPr>
        <w:t xml:space="preserve"> </w:t>
      </w:r>
      <w:r w:rsidR="00BD6490" w:rsidRPr="005F44EF">
        <w:rPr>
          <w:rFonts w:ascii="Times New Roman" w:eastAsia="Times New Roman" w:hAnsi="Times New Roman" w:cs="Times New Roman"/>
          <w:sz w:val="24"/>
          <w:szCs w:val="24"/>
        </w:rPr>
        <w:t xml:space="preserve">Consequently, these dating results should be treated with extreme caution and be regarded as mostly indicative. </w:t>
      </w:r>
    </w:p>
    <w:p w14:paraId="708DAEBD" w14:textId="611C7DB6"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lastRenderedPageBreak/>
        <w:t>Similarly, there was an attempt to understand the palaeoenvironments associated with Pleistocene archaeology. The geological data obtained from Unit D</w:t>
      </w:r>
      <w:r w:rsidR="00A63DE1"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uthor":[{"dropping-particle":"","family":"Lioubin","given":"V.P.","non-dropping-particle":"","parse-names":false,"suffix":""},{"dropping-particle":"","family":"Guédé","given":"F.Y.","non-dropping-particle":"","parse-names":false,"suffix":""}],"container-title":"Russian Academy of Sciences, Institute of the History of Material Culture Proceedings, vol. 3","id":"ITEM-1","issued":{"date-parts":[["2000"]]},"publisher-place":"St. Petersburg","title":"Paleolit Respubliki Kot d'Ivvuar (Zapadnaya Afrika) [The Palaeolithic of the Republic of Cote d'Ivoire (West Africa)]","type":"book"},"uris":["http://www.mendeley.com/documents/?uuid=aa04e7e7-917b-48f3-b7ff-044d552e4799"]}],"mendeley":{"formattedCitation":"&lt;sup&gt;39&lt;/sup&gt;","plainTextFormattedCitation":"39","previouslyFormattedCitation":"&lt;sup&gt;39&lt;/sup&gt;"},"properties":{"noteIndex":0},"schema":"https://github.com/citation-style-language/schema/raw/master/csl-citation.json"}</w:instrText>
      </w:r>
      <w:r w:rsidR="00A63DE1" w:rsidRPr="005F44EF">
        <w:rPr>
          <w:rFonts w:ascii="Times New Roman" w:eastAsia="Times New Roman" w:hAnsi="Times New Roman" w:cs="Times New Roman"/>
          <w:sz w:val="24"/>
          <w:szCs w:val="24"/>
        </w:rPr>
        <w:fldChar w:fldCharType="separate"/>
      </w:r>
      <w:r w:rsidR="004D347A" w:rsidRPr="005F44EF">
        <w:rPr>
          <w:rFonts w:ascii="Times New Roman" w:eastAsia="Times New Roman" w:hAnsi="Times New Roman" w:cs="Times New Roman"/>
          <w:noProof/>
          <w:sz w:val="24"/>
          <w:szCs w:val="24"/>
          <w:vertAlign w:val="superscript"/>
        </w:rPr>
        <w:t>39</w:t>
      </w:r>
      <w:r w:rsidR="00A63DE1"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appeared to suggest </w:t>
      </w:r>
      <w:r w:rsidR="00F36296" w:rsidRPr="005F44EF">
        <w:rPr>
          <w:rFonts w:ascii="Times New Roman" w:eastAsia="Times New Roman" w:hAnsi="Times New Roman" w:cs="Times New Roman"/>
          <w:sz w:val="24"/>
          <w:szCs w:val="24"/>
        </w:rPr>
        <w:t>a relatively slow rate of accumulation</w:t>
      </w:r>
      <w:r w:rsidRPr="005F44EF">
        <w:rPr>
          <w:rFonts w:ascii="Times New Roman" w:eastAsia="Times New Roman" w:hAnsi="Times New Roman" w:cs="Times New Roman"/>
          <w:sz w:val="24"/>
          <w:szCs w:val="24"/>
        </w:rPr>
        <w:t xml:space="preserve">. Phytolith analyses published by </w:t>
      </w:r>
      <w:proofErr w:type="spellStart"/>
      <w:r w:rsidR="00614E13">
        <w:rPr>
          <w:rFonts w:ascii="Times New Roman" w:eastAsia="Times New Roman" w:hAnsi="Times New Roman" w:cs="Times New Roman"/>
          <w:sz w:val="24"/>
          <w:szCs w:val="24"/>
        </w:rPr>
        <w:t>Lioubin</w:t>
      </w:r>
      <w:proofErr w:type="spellEnd"/>
      <w:r w:rsidRPr="005F44EF">
        <w:rPr>
          <w:rFonts w:ascii="Times New Roman" w:eastAsia="Times New Roman" w:hAnsi="Times New Roman" w:cs="Times New Roman"/>
          <w:sz w:val="24"/>
          <w:szCs w:val="24"/>
        </w:rPr>
        <w:t xml:space="preserve"> and Guede</w:t>
      </w:r>
      <w:r w:rsidR="00A63DE1"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uthor":[{"dropping-particle":"","family":"Lioubin","given":"V.P.","non-dropping-particle":"","parse-names":false,"suffix":""},{"dropping-particle":"","family":"Guédé","given":"F.Y.","non-dropping-particle":"","parse-names":false,"suffix":""}],"container-title":"Russian Academy of Sciences, Institute of the History of Material Culture Proceedings, vol. 3","id":"ITEM-1","issued":{"date-parts":[["2000"]]},"publisher-place":"St. Petersburg","title":"Paleolit Respubliki Kot d'Ivvuar (Zapadnaya Afrika) [The Palaeolithic of the Republic of Cote d'Ivoire (West Africa)]","type":"book"},"uris":["http://www.mendeley.com/documents/?uuid=aa04e7e7-917b-48f3-b7ff-044d552e4799"]}],"mendeley":{"formattedCitation":"&lt;sup&gt;39&lt;/sup&gt;","plainTextFormattedCitation":"39","previouslyFormattedCitation":"&lt;sup&gt;39&lt;/sup&gt;"},"properties":{"noteIndex":0},"schema":"https://github.com/citation-style-language/schema/raw/master/csl-citation.json"}</w:instrText>
      </w:r>
      <w:r w:rsidR="00A63DE1" w:rsidRPr="005F44EF">
        <w:rPr>
          <w:rFonts w:ascii="Times New Roman" w:eastAsia="Times New Roman" w:hAnsi="Times New Roman" w:cs="Times New Roman"/>
          <w:sz w:val="24"/>
          <w:szCs w:val="24"/>
        </w:rPr>
        <w:fldChar w:fldCharType="separate"/>
      </w:r>
      <w:r w:rsidR="004D347A" w:rsidRPr="005F44EF">
        <w:rPr>
          <w:rFonts w:ascii="Times New Roman" w:eastAsia="Times New Roman" w:hAnsi="Times New Roman" w:cs="Times New Roman"/>
          <w:noProof/>
          <w:sz w:val="24"/>
          <w:szCs w:val="24"/>
          <w:vertAlign w:val="superscript"/>
        </w:rPr>
        <w:t>39</w:t>
      </w:r>
      <w:r w:rsidR="00A63DE1"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appeared to show open and semi-open environments based on the</w:t>
      </w:r>
      <w:r w:rsidR="00F24010">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 xml:space="preserve">predominance of herbaceous plants (mainly cereals) for most of the unit. However, in most samples (including from the middle and lower parts of the deposit) cuticular casts were found - specific phytoliths typical only of the surface horizon. This indicated to the authors that the accumulation of the </w:t>
      </w:r>
      <w:r w:rsidRPr="00802679">
        <w:rPr>
          <w:rFonts w:ascii="Times New Roman" w:eastAsia="Times New Roman" w:hAnsi="Times New Roman" w:cs="Times New Roman"/>
          <w:i/>
          <w:sz w:val="24"/>
          <w:szCs w:val="24"/>
        </w:rPr>
        <w:t>Terre de Barr</w:t>
      </w:r>
      <w:r w:rsidR="00390883" w:rsidRPr="00802679">
        <w:rPr>
          <w:rFonts w:ascii="Times New Roman" w:eastAsia="Times New Roman" w:hAnsi="Times New Roman" w:cs="Times New Roman"/>
          <w:i/>
          <w:sz w:val="24"/>
          <w:szCs w:val="24"/>
        </w:rPr>
        <w:t>e</w:t>
      </w:r>
      <w:r w:rsidRPr="005F44EF">
        <w:rPr>
          <w:rFonts w:ascii="Times New Roman" w:eastAsia="Times New Roman" w:hAnsi="Times New Roman" w:cs="Times New Roman"/>
          <w:sz w:val="24"/>
          <w:szCs w:val="24"/>
        </w:rPr>
        <w:t xml:space="preserve"> sediment proceeded rather slowly, corresponding to a dry period, and each layer was for some time a surface horizon where humans may have settled</w:t>
      </w:r>
      <w:r w:rsidR="000441B1"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uthor":[{"dropping-particle":"","family":"Lioubin","given":"V.P.","non-dropping-particle":"","parse-names":false,"suffix":""},{"dropping-particle":"","family":"Guédé","given":"F.Y.","non-dropping-particle":"","parse-names":false,"suffix":""}],"container-title":"Russian Academy of Sciences, Institute of the History of Material Culture Proceedings, vol. 3","id":"ITEM-1","issued":{"date-parts":[["2000"]]},"publisher-place":"St. Petersburg","title":"Paleolit Respubliki Kot d'Ivvuar (Zapadnaya Afrika) [The Palaeolithic of the Republic of Cote d'Ivoire (West Africa)]","type":"book"},"uris":["http://www.mendeley.com/documents/?uuid=aa04e7e7-917b-48f3-b7ff-044d552e4799"]}],"mendeley":{"formattedCitation":"&lt;sup&gt;39&lt;/sup&gt;","plainTextFormattedCitation":"39","previouslyFormattedCitation":"&lt;sup&gt;39&lt;/sup&gt;"},"properties":{"noteIndex":0},"schema":"https://github.com/citation-style-language/schema/raw/master/csl-citation.json"}</w:instrText>
      </w:r>
      <w:r w:rsidR="000441B1" w:rsidRPr="005F44EF">
        <w:rPr>
          <w:rFonts w:ascii="Times New Roman" w:eastAsia="Times New Roman" w:hAnsi="Times New Roman" w:cs="Times New Roman"/>
          <w:sz w:val="24"/>
          <w:szCs w:val="24"/>
        </w:rPr>
        <w:fldChar w:fldCharType="separate"/>
      </w:r>
      <w:r w:rsidR="000441B1" w:rsidRPr="005F44EF">
        <w:rPr>
          <w:rFonts w:ascii="Times New Roman" w:eastAsia="Times New Roman" w:hAnsi="Times New Roman" w:cs="Times New Roman"/>
          <w:noProof/>
          <w:sz w:val="24"/>
          <w:szCs w:val="24"/>
          <w:vertAlign w:val="superscript"/>
        </w:rPr>
        <w:t>39</w:t>
      </w:r>
      <w:r w:rsidR="000441B1"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w:t>
      </w:r>
    </w:p>
    <w:p w14:paraId="06756C3E" w14:textId="77777777" w:rsidR="00BB7AA9" w:rsidRPr="005F44EF" w:rsidRDefault="00BB7AA9">
      <w:pPr>
        <w:spacing w:after="0" w:line="276" w:lineRule="auto"/>
        <w:jc w:val="both"/>
        <w:rPr>
          <w:rFonts w:ascii="Times New Roman" w:eastAsia="Times New Roman" w:hAnsi="Times New Roman" w:cs="Times New Roman"/>
          <w:sz w:val="24"/>
          <w:szCs w:val="24"/>
        </w:rPr>
      </w:pPr>
    </w:p>
    <w:p w14:paraId="61C6496F" w14:textId="77777777" w:rsidR="00BB7AA9" w:rsidRPr="005F44EF" w:rsidRDefault="00B9564D" w:rsidP="008F1244">
      <w:pPr>
        <w:pStyle w:val="Heading2"/>
        <w:rPr>
          <w:rFonts w:cs="Times New Roman"/>
        </w:rPr>
      </w:pPr>
      <w:bookmarkStart w:id="13" w:name="_Toc178429923"/>
      <w:r w:rsidRPr="005F44EF">
        <w:rPr>
          <w:rFonts w:cs="Times New Roman"/>
        </w:rPr>
        <w:t>1.4 Stone tool technology at Anyama</w:t>
      </w:r>
      <w:bookmarkEnd w:id="13"/>
    </w:p>
    <w:p w14:paraId="0EFC0909" w14:textId="77777777" w:rsidR="00BB7AA9" w:rsidRPr="005F44EF" w:rsidRDefault="00BB7AA9">
      <w:pPr>
        <w:spacing w:after="0" w:line="276" w:lineRule="auto"/>
        <w:jc w:val="both"/>
        <w:rPr>
          <w:rFonts w:ascii="Times New Roman" w:eastAsia="Times New Roman" w:hAnsi="Times New Roman" w:cs="Times New Roman"/>
          <w:b/>
          <w:i/>
          <w:sz w:val="24"/>
          <w:szCs w:val="24"/>
        </w:rPr>
      </w:pPr>
    </w:p>
    <w:p w14:paraId="75F34C59" w14:textId="4E102AA3"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The stone tool assemblages </w:t>
      </w:r>
      <w:r w:rsidR="003843F4" w:rsidRPr="005F44EF">
        <w:rPr>
          <w:rFonts w:ascii="Times New Roman" w:eastAsia="Times New Roman" w:hAnsi="Times New Roman" w:cs="Times New Roman"/>
          <w:sz w:val="24"/>
          <w:szCs w:val="24"/>
        </w:rPr>
        <w:t xml:space="preserve">were </w:t>
      </w:r>
      <w:r w:rsidRPr="005F44EF">
        <w:rPr>
          <w:rFonts w:ascii="Times New Roman" w:eastAsia="Times New Roman" w:hAnsi="Times New Roman" w:cs="Times New Roman"/>
          <w:sz w:val="24"/>
          <w:szCs w:val="24"/>
        </w:rPr>
        <w:t xml:space="preserve">described in </w:t>
      </w:r>
      <w:proofErr w:type="spellStart"/>
      <w:r w:rsidR="00614E13">
        <w:rPr>
          <w:rFonts w:ascii="Times New Roman" w:eastAsia="Times New Roman" w:hAnsi="Times New Roman" w:cs="Times New Roman"/>
          <w:sz w:val="24"/>
          <w:szCs w:val="24"/>
        </w:rPr>
        <w:t>Lioubin</w:t>
      </w:r>
      <w:proofErr w:type="spellEnd"/>
      <w:r w:rsidRPr="005F44EF">
        <w:rPr>
          <w:rFonts w:ascii="Times New Roman" w:eastAsia="Times New Roman" w:hAnsi="Times New Roman" w:cs="Times New Roman"/>
          <w:sz w:val="24"/>
          <w:szCs w:val="24"/>
        </w:rPr>
        <w:t xml:space="preserve"> and Guédé</w:t>
      </w:r>
      <w:r w:rsidR="00A63DE1"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uthor":[{"dropping-particle":"","family":"Lioubin","given":"V.P.","non-dropping-particle":"","parse-names":false,"suffix":""},{"dropping-particle":"","family":"Guédé","given":"F.Y.","non-dropping-particle":"","parse-names":false,"suffix":""}],"container-title":"Russian Academy of Sciences, Institute of the History of Material Culture Proceedings, vol. 3","id":"ITEM-1","issued":{"date-parts":[["2000"]]},"publisher-place":"St. Petersburg","title":"Paleolit Respubliki Kot d'Ivvuar (Zapadnaya Afrika) [The Palaeolithic of the Republic of Cote d'Ivoire (West Africa)]","type":"book"},"uris":["http://www.mendeley.com/documents/?uuid=aa04e7e7-917b-48f3-b7ff-044d552e4799"]}],"mendeley":{"formattedCitation":"&lt;sup&gt;39&lt;/sup&gt;","plainTextFormattedCitation":"39","previouslyFormattedCitation":"&lt;sup&gt;39&lt;/sup&gt;"},"properties":{"noteIndex":0},"schema":"https://github.com/citation-style-language/schema/raw/master/csl-citation.json"}</w:instrText>
      </w:r>
      <w:r w:rsidR="00A63DE1" w:rsidRPr="005F44EF">
        <w:rPr>
          <w:rFonts w:ascii="Times New Roman" w:eastAsia="Times New Roman" w:hAnsi="Times New Roman" w:cs="Times New Roman"/>
          <w:sz w:val="24"/>
          <w:szCs w:val="24"/>
        </w:rPr>
        <w:fldChar w:fldCharType="separate"/>
      </w:r>
      <w:r w:rsidR="004D347A" w:rsidRPr="005F44EF">
        <w:rPr>
          <w:rFonts w:ascii="Times New Roman" w:eastAsia="Times New Roman" w:hAnsi="Times New Roman" w:cs="Times New Roman"/>
          <w:noProof/>
          <w:sz w:val="24"/>
          <w:szCs w:val="24"/>
          <w:vertAlign w:val="superscript"/>
        </w:rPr>
        <w:t>39</w:t>
      </w:r>
      <w:r w:rsidR="00A63DE1"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and illustrated examples are displayed in</w:t>
      </w:r>
      <w:r w:rsidRPr="005F44EF">
        <w:rPr>
          <w:rFonts w:ascii="Times New Roman" w:eastAsia="Times New Roman" w:hAnsi="Times New Roman" w:cs="Times New Roman"/>
          <w:b/>
          <w:color w:val="0070C0"/>
          <w:sz w:val="24"/>
          <w:szCs w:val="24"/>
        </w:rPr>
        <w:t xml:space="preserve"> </w:t>
      </w:r>
      <w:r w:rsidRPr="005F44EF">
        <w:rPr>
          <w:rFonts w:ascii="Times New Roman" w:eastAsia="Times New Roman" w:hAnsi="Times New Roman" w:cs="Times New Roman"/>
          <w:b/>
          <w:sz w:val="24"/>
          <w:szCs w:val="24"/>
        </w:rPr>
        <w:t>Figure S</w:t>
      </w:r>
      <w:r w:rsidR="00C04450" w:rsidRPr="005F44EF">
        <w:rPr>
          <w:rFonts w:ascii="Times New Roman" w:eastAsia="Times New Roman" w:hAnsi="Times New Roman" w:cs="Times New Roman"/>
          <w:b/>
          <w:sz w:val="24"/>
          <w:szCs w:val="24"/>
        </w:rPr>
        <w:t>5</w:t>
      </w:r>
      <w:r w:rsidRPr="005F44EF">
        <w:rPr>
          <w:rFonts w:ascii="Times New Roman" w:eastAsia="Times New Roman" w:hAnsi="Times New Roman" w:cs="Times New Roman"/>
          <w:sz w:val="24"/>
          <w:szCs w:val="24"/>
        </w:rPr>
        <w:t xml:space="preserve">. The published analyses included counts of typological categories but technological data that would enable comparative study of these artefacts were not presented. Most of the tools were lost during the Civil War (2010-2011), limiting any revaluation of the site to the available documentation or new field sampling. The destruction of the original site between 2020 and 2021 has further curtailed </w:t>
      </w:r>
      <w:r w:rsidR="003843F4" w:rsidRPr="005F44EF">
        <w:rPr>
          <w:rFonts w:ascii="Times New Roman" w:eastAsia="Times New Roman" w:hAnsi="Times New Roman" w:cs="Times New Roman"/>
          <w:sz w:val="24"/>
          <w:szCs w:val="24"/>
        </w:rPr>
        <w:t>our</w:t>
      </w:r>
      <w:r w:rsidRPr="005F44EF">
        <w:rPr>
          <w:rFonts w:ascii="Times New Roman" w:eastAsia="Times New Roman" w:hAnsi="Times New Roman" w:cs="Times New Roman"/>
          <w:sz w:val="24"/>
          <w:szCs w:val="24"/>
        </w:rPr>
        <w:t xml:space="preserve"> ability to examine behavioural records from the site</w:t>
      </w:r>
      <w:r w:rsidR="00A63DE1"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{"citationItems":[{"id":"ITEM-1","itemData":{"DOI":"10.1016/j.anthro.2023.103215","author":[{"dropping-particle":"","family":"N'Zi","given":"Dibie Charles","non-dropping-particle":"","parse-names":false,"suffix":""},{"dropping-particle":"","family":"Guédé","given":"Francois Yiodé","non-dropping-particle":"","parse-names":false,"suffix":""}],"container-title":"L'anthropologie","id":"ITEM-1","issued":{"date-parts":[["2023"]]},"title":"Recherches prehistoriques en Cote d’Ivoire : non-developpements recents sur le site d’Anyama (district d’Abidjan)","type":"article-journal","volume":"127"},"uris":["http://www.mendeley.com/documents/?uuid=0eb6fc95-b0ef-4277-84f3-b3e924fcbd7e"]}],"mendeley":{"formattedCitation":"&lt;sup&gt;69&lt;/sup&gt;","plainTextFormattedCitation":"69","previouslyFormattedCitation":"&lt;sup&gt;69&lt;/sup&gt;"},"properties":{"noteIndex":0},"schema":"https://github.com/citation-style-language/schema/raw/master/csl-citation.json"}</w:instrText>
      </w:r>
      <w:r w:rsidR="00A63DE1"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69</w:t>
      </w:r>
      <w:r w:rsidR="00A63DE1" w:rsidRPr="005F44EF">
        <w:rPr>
          <w:rFonts w:ascii="Times New Roman" w:eastAsia="Times New Roman" w:hAnsi="Times New Roman" w:cs="Times New Roman"/>
          <w:sz w:val="24"/>
          <w:szCs w:val="24"/>
        </w:rPr>
        <w:fldChar w:fldCharType="end"/>
      </w:r>
      <w:r w:rsidR="003945F7" w:rsidRPr="005F44EF">
        <w:rPr>
          <w:rFonts w:ascii="Times New Roman" w:eastAsia="Times New Roman" w:hAnsi="Times New Roman" w:cs="Times New Roman"/>
          <w:sz w:val="24"/>
          <w:szCs w:val="24"/>
          <w:vertAlign w:val="superscript"/>
        </w:rPr>
        <w:t xml:space="preserve">, </w:t>
      </w:r>
      <w:r w:rsidR="00653CDD" w:rsidRPr="005F44EF">
        <w:rPr>
          <w:rFonts w:ascii="Times New Roman" w:eastAsia="Times New Roman" w:hAnsi="Times New Roman" w:cs="Times New Roman"/>
          <w:sz w:val="24"/>
          <w:szCs w:val="24"/>
        </w:rPr>
        <w:t xml:space="preserve">or to </w:t>
      </w:r>
      <w:r w:rsidR="003945F7" w:rsidRPr="005F44EF">
        <w:rPr>
          <w:rFonts w:ascii="Times New Roman" w:eastAsia="Times New Roman" w:hAnsi="Times New Roman" w:cs="Times New Roman"/>
          <w:sz w:val="24"/>
          <w:szCs w:val="24"/>
        </w:rPr>
        <w:t>further re-assess</w:t>
      </w:r>
      <w:r w:rsidR="00653CDD" w:rsidRPr="005F44EF">
        <w:rPr>
          <w:rFonts w:ascii="Times New Roman" w:eastAsia="Times New Roman" w:hAnsi="Times New Roman" w:cs="Times New Roman"/>
          <w:sz w:val="24"/>
          <w:szCs w:val="24"/>
        </w:rPr>
        <w:t xml:space="preserve">ing </w:t>
      </w:r>
      <w:r w:rsidR="003945F7" w:rsidRPr="005F44EF">
        <w:rPr>
          <w:rFonts w:ascii="Times New Roman" w:eastAsia="Times New Roman" w:hAnsi="Times New Roman" w:cs="Times New Roman"/>
          <w:sz w:val="24"/>
          <w:szCs w:val="24"/>
        </w:rPr>
        <w:t xml:space="preserve">the </w:t>
      </w:r>
      <w:r w:rsidR="00653CDD" w:rsidRPr="005F44EF">
        <w:rPr>
          <w:rFonts w:ascii="Times New Roman" w:eastAsia="Times New Roman" w:hAnsi="Times New Roman" w:cs="Times New Roman"/>
          <w:sz w:val="24"/>
          <w:szCs w:val="24"/>
        </w:rPr>
        <w:t xml:space="preserve">technological characterization of the </w:t>
      </w:r>
      <w:r w:rsidR="003945F7" w:rsidRPr="005F44EF">
        <w:rPr>
          <w:rFonts w:ascii="Times New Roman" w:eastAsia="Times New Roman" w:hAnsi="Times New Roman" w:cs="Times New Roman"/>
          <w:sz w:val="24"/>
          <w:szCs w:val="24"/>
        </w:rPr>
        <w:t>assemblages</w:t>
      </w:r>
      <w:r w:rsidRPr="005F44EF">
        <w:rPr>
          <w:rFonts w:ascii="Times New Roman" w:eastAsia="Times New Roman" w:hAnsi="Times New Roman" w:cs="Times New Roman"/>
          <w:sz w:val="24"/>
          <w:szCs w:val="24"/>
        </w:rPr>
        <w:t xml:space="preserve">. Given these constraints, below, we synthesise previous reports of the stone tool assemblages from Bété I. In addition, other localities that have been excavated, such as Bété II, III and IV are included below. </w:t>
      </w:r>
    </w:p>
    <w:p w14:paraId="11C4E760" w14:textId="77777777" w:rsidR="00BB7AA9" w:rsidRPr="005F44EF" w:rsidRDefault="00BB7AA9">
      <w:pPr>
        <w:spacing w:after="0" w:line="276" w:lineRule="auto"/>
        <w:jc w:val="both"/>
        <w:rPr>
          <w:rFonts w:ascii="Times New Roman" w:eastAsia="Times New Roman" w:hAnsi="Times New Roman" w:cs="Times New Roman"/>
          <w:sz w:val="24"/>
          <w:szCs w:val="24"/>
        </w:rPr>
      </w:pPr>
    </w:p>
    <w:p w14:paraId="49ECF6DC" w14:textId="75BC357C"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Stone tool assemblages were originally recovered from Units B, C and D, and peaks in their frequency correspond closely with the presence of artefacts evident in the examined sediment section during our 2020 campaign. The majority of artefacts were found within the upper 4.3 m of sediments, with isolated artefacts identified below to a total depth of 6.4 m. Raw material use is focused on local quartz, comparable to those identified in plate-like veins at the junction of Quaternary and Precambrian deposits. Higher quality materials with fewer visible flaws appear to have been preferentially selected in the Unit C assemblage, while artefacts from the Unit D assemblage were manufactured on larger quartz clasts with more abundant flaws. A small assemblage of 50 microlithic tools was recovered from 12 m</w:t>
      </w:r>
      <w:r w:rsidRPr="005F44EF">
        <w:rPr>
          <w:rFonts w:ascii="Times New Roman" w:eastAsia="Times New Roman" w:hAnsi="Times New Roman" w:cs="Times New Roman"/>
          <w:sz w:val="24"/>
          <w:szCs w:val="24"/>
          <w:vertAlign w:val="superscript"/>
        </w:rPr>
        <w:t>2</w:t>
      </w:r>
      <w:r w:rsidRPr="005F44EF">
        <w:rPr>
          <w:rFonts w:ascii="Times New Roman" w:eastAsia="Times New Roman" w:hAnsi="Times New Roman" w:cs="Times New Roman"/>
          <w:sz w:val="24"/>
          <w:szCs w:val="24"/>
        </w:rPr>
        <w:t xml:space="preserve"> of the Unit B deposits (1985), including chisels, scrapers, and three cores. The deposits of interest in this study are Units</w:t>
      </w:r>
      <w:r w:rsidR="00BD6490"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 xml:space="preserve">C and D. </w:t>
      </w:r>
    </w:p>
    <w:p w14:paraId="22C73D7A" w14:textId="73825DDE" w:rsidR="00BB7AA9" w:rsidRPr="005F44EF" w:rsidRDefault="00B9564D">
      <w:pPr>
        <w:spacing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Unit C yielded the largest assemblage from Bété I, and was primarily excavated in 1982-3 over 32 m</w:t>
      </w:r>
      <w:r w:rsidRPr="005F44EF">
        <w:rPr>
          <w:rFonts w:ascii="Times New Roman" w:eastAsia="Times New Roman" w:hAnsi="Times New Roman" w:cs="Times New Roman"/>
          <w:sz w:val="24"/>
          <w:szCs w:val="24"/>
          <w:vertAlign w:val="superscript"/>
        </w:rPr>
        <w:t xml:space="preserve">2 </w:t>
      </w:r>
      <w:r w:rsidRPr="005F44EF">
        <w:rPr>
          <w:rFonts w:ascii="Times New Roman" w:eastAsia="Times New Roman" w:hAnsi="Times New Roman" w:cs="Times New Roman"/>
          <w:sz w:val="24"/>
          <w:szCs w:val="24"/>
        </w:rPr>
        <w:t>(n=477), and in 1986 over 12 m</w:t>
      </w:r>
      <w:r w:rsidRPr="005F44EF">
        <w:rPr>
          <w:rFonts w:ascii="Times New Roman" w:eastAsia="Times New Roman" w:hAnsi="Times New Roman" w:cs="Times New Roman"/>
          <w:sz w:val="24"/>
          <w:szCs w:val="24"/>
          <w:vertAlign w:val="superscript"/>
        </w:rPr>
        <w:t>2</w:t>
      </w:r>
      <w:r w:rsidRPr="005F44EF">
        <w:rPr>
          <w:rFonts w:ascii="Times New Roman" w:eastAsia="Times New Roman" w:hAnsi="Times New Roman" w:cs="Times New Roman"/>
          <w:sz w:val="24"/>
          <w:szCs w:val="24"/>
        </w:rPr>
        <w:t xml:space="preserve"> (n=63 [excluding debris]). Further investigation at Bété II and III yielded a further 9 and 59 artefacts respectively from Unit C. At all three locations, core technology was focussed on radial reduction schemes, typically from heavily reduced cores, with fewer unidirectional cores, supplemented by the presence of a bidirectional core at Bété I and III and Levallois cores-on-flakes at Bété III. Several flakes with faceted platforms (</w:t>
      </w:r>
      <w:r w:rsidRPr="00802679">
        <w:rPr>
          <w:rFonts w:ascii="Times New Roman" w:eastAsia="Times New Roman" w:hAnsi="Times New Roman" w:cs="Times New Roman"/>
          <w:i/>
          <w:sz w:val="24"/>
          <w:szCs w:val="24"/>
        </w:rPr>
        <w:t>chapeau de gendarme</w:t>
      </w:r>
      <w:r w:rsidRPr="005F44EF">
        <w:rPr>
          <w:rFonts w:ascii="Times New Roman" w:eastAsia="Times New Roman" w:hAnsi="Times New Roman" w:cs="Times New Roman"/>
          <w:sz w:val="24"/>
          <w:szCs w:val="24"/>
        </w:rPr>
        <w:t xml:space="preserve">), as well as two Levallois points found at Bété III further supports the presence of </w:t>
      </w:r>
      <w:r w:rsidRPr="005F44EF">
        <w:rPr>
          <w:rFonts w:ascii="Times New Roman" w:eastAsia="Times New Roman" w:hAnsi="Times New Roman" w:cs="Times New Roman"/>
          <w:sz w:val="24"/>
          <w:szCs w:val="24"/>
        </w:rPr>
        <w:lastRenderedPageBreak/>
        <w:t>Levallois reduction. Only a single flake of blade proportions (</w:t>
      </w:r>
      <w:r w:rsidR="00802679">
        <w:rPr>
          <w:rFonts w:ascii="Times New Roman" w:eastAsia="Times New Roman" w:hAnsi="Times New Roman" w:cs="Times New Roman"/>
          <w:sz w:val="24"/>
          <w:szCs w:val="24"/>
        </w:rPr>
        <w:t>length</w:t>
      </w:r>
      <w:r w:rsidRPr="005F44EF">
        <w:rPr>
          <w:rFonts w:ascii="Times New Roman" w:eastAsia="Times New Roman" w:hAnsi="Times New Roman" w:cs="Times New Roman"/>
          <w:sz w:val="24"/>
          <w:szCs w:val="24"/>
        </w:rPr>
        <w:t>&gt;2x</w:t>
      </w:r>
      <w:r w:rsidR="00A9219C">
        <w:rPr>
          <w:rFonts w:ascii="Times New Roman" w:eastAsia="Times New Roman" w:hAnsi="Times New Roman" w:cs="Times New Roman"/>
          <w:sz w:val="24"/>
          <w:szCs w:val="24"/>
        </w:rPr>
        <w:t xml:space="preserve"> width</w:t>
      </w:r>
      <w:r w:rsidRPr="005F44EF">
        <w:rPr>
          <w:rFonts w:ascii="Times New Roman" w:eastAsia="Times New Roman" w:hAnsi="Times New Roman" w:cs="Times New Roman"/>
          <w:sz w:val="24"/>
          <w:szCs w:val="24"/>
        </w:rPr>
        <w:t xml:space="preserve">) was found across these assemblages, indicating the absence of dedicated focus on laminar reduction. A range of retouched tools are present at Bété I, including bifacial points, bifacial point tips, scrapers, notched tools, chisels, a pick, and a chopper, with comparable inventories at Bété II and III. The presence of fine knapping debris suggests that lithic reduction and discard activities were undertaken at the site, and indicates that no substantive post-depositional winnowing of the assemblage has occurred. The young age of the Unit C deposit, along with the Levallois elements and the bifacially retouched points and tips, suggests that </w:t>
      </w:r>
      <w:proofErr w:type="gramStart"/>
      <w:r w:rsidRPr="005F44EF">
        <w:rPr>
          <w:rFonts w:ascii="Times New Roman" w:eastAsia="Times New Roman" w:hAnsi="Times New Roman" w:cs="Times New Roman"/>
          <w:sz w:val="24"/>
          <w:szCs w:val="24"/>
        </w:rPr>
        <w:t>a</w:t>
      </w:r>
      <w:proofErr w:type="gramEnd"/>
      <w:r w:rsidRPr="005F44EF">
        <w:rPr>
          <w:rFonts w:ascii="Times New Roman" w:eastAsia="Times New Roman" w:hAnsi="Times New Roman" w:cs="Times New Roman"/>
          <w:sz w:val="24"/>
          <w:szCs w:val="24"/>
        </w:rPr>
        <w:t xml:space="preserve"> MSA designation is appropriate for this assemblage. The presence of a pick and a chopper is noteworthy</w:t>
      </w:r>
      <w:r w:rsidR="003843F4"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and may be indicative of a specific and persistent functional requirement for heavy duty tools and/or adaptation to the local forested environment, although it is not currently possible to confirm this.</w:t>
      </w:r>
    </w:p>
    <w:p w14:paraId="508E25D8" w14:textId="35C022FF" w:rsidR="00BB7AA9" w:rsidRPr="005F44EF" w:rsidRDefault="00B9564D">
      <w:pPr>
        <w:spacing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color w:val="212121"/>
          <w:sz w:val="24"/>
          <w:szCs w:val="24"/>
          <w:highlight w:val="white"/>
        </w:rPr>
        <w:t xml:space="preserve">We have identified a number of peaks in artefact frequency in Unit D that can be observed </w:t>
      </w:r>
      <w:r w:rsidRPr="005F44EF">
        <w:rPr>
          <w:rFonts w:ascii="Times New Roman" w:eastAsia="Times New Roman" w:hAnsi="Times New Roman" w:cs="Times New Roman"/>
          <w:sz w:val="24"/>
          <w:szCs w:val="24"/>
        </w:rPr>
        <w:t>at the D2/3 interface, in the middle of D2, and, to a lesser extent, at the base of D1. The appearance of concentrations of artefacts at the interface between sediment horizons in Unit D is suggestive of more intensive occupations at the site during hiatuses of deposition. In total, 513 artefacts were excavated at Bété I from Unit D and are reported alongside an additional 47 artefacts from sites II-IV as a single assemblage. The majority of artefacts recovered were considered flakes, fragments or debris, alongside 17 cores, an anvil, and 72 tools. Four large cores (17-12 cm) include a centripetal Levallois core, three cores with discrete striking platforms but few removals, and a bidirectional core, whereas smaller cores include eight unidirectional cores, a disc-shaped core, a sub-prismatic core and an amorphous core. An additional Levallois core was recovered prior to excavations at the site</w:t>
      </w:r>
      <w:hyperlink r:id="rId14">
        <w:r w:rsidRPr="005F44EF">
          <w:rPr>
            <w:rFonts w:ascii="Times New Roman" w:eastAsia="Times New Roman" w:hAnsi="Times New Roman" w:cs="Times New Roman"/>
            <w:sz w:val="24"/>
            <w:szCs w:val="24"/>
            <w:vertAlign w:val="superscript"/>
          </w:rPr>
          <w:t>36</w:t>
        </w:r>
      </w:hyperlink>
      <w:r w:rsidRPr="005F44EF">
        <w:rPr>
          <w:rFonts w:ascii="Times New Roman" w:eastAsia="Times New Roman" w:hAnsi="Times New Roman" w:cs="Times New Roman"/>
          <w:sz w:val="24"/>
          <w:szCs w:val="24"/>
        </w:rPr>
        <w:t xml:space="preserve">, but is also attributed to Unit D. Nine large flakes (16-10 cm) are reported, with the majority of debitage typically smaller (8-3.5 cm). The debitage is considered to have resulted from production of diverse heavy-duty tools, with some selected for use or retouching, indicated by the presence of ten scrapers. </w:t>
      </w:r>
      <w:r w:rsidR="003843F4" w:rsidRPr="005F44EF">
        <w:rPr>
          <w:rFonts w:ascii="Times New Roman" w:eastAsia="Times New Roman" w:hAnsi="Times New Roman" w:cs="Times New Roman"/>
          <w:sz w:val="24"/>
          <w:szCs w:val="24"/>
        </w:rPr>
        <w:t>H</w:t>
      </w:r>
      <w:r w:rsidRPr="005F44EF">
        <w:rPr>
          <w:rFonts w:ascii="Times New Roman" w:eastAsia="Times New Roman" w:hAnsi="Times New Roman" w:cs="Times New Roman"/>
          <w:sz w:val="24"/>
          <w:szCs w:val="24"/>
        </w:rPr>
        <w:t xml:space="preserve">eavy-duty tools were </w:t>
      </w:r>
      <w:r w:rsidR="003843F4" w:rsidRPr="005F44EF">
        <w:rPr>
          <w:rFonts w:ascii="Times New Roman" w:eastAsia="Times New Roman" w:hAnsi="Times New Roman" w:cs="Times New Roman"/>
          <w:sz w:val="24"/>
          <w:szCs w:val="24"/>
        </w:rPr>
        <w:t xml:space="preserve">also </w:t>
      </w:r>
      <w:r w:rsidRPr="005F44EF">
        <w:rPr>
          <w:rFonts w:ascii="Times New Roman" w:eastAsia="Times New Roman" w:hAnsi="Times New Roman" w:cs="Times New Roman"/>
          <w:sz w:val="24"/>
          <w:szCs w:val="24"/>
        </w:rPr>
        <w:t>recovered, including</w:t>
      </w:r>
      <w:r w:rsidR="003843F4" w:rsidRPr="005F44EF">
        <w:rPr>
          <w:rFonts w:ascii="Times New Roman" w:eastAsia="Times New Roman" w:hAnsi="Times New Roman" w:cs="Times New Roman"/>
          <w:sz w:val="24"/>
          <w:szCs w:val="24"/>
        </w:rPr>
        <w:t xml:space="preserve"> a</w:t>
      </w:r>
      <w:r w:rsidRPr="005F44EF">
        <w:rPr>
          <w:rFonts w:ascii="Times New Roman" w:eastAsia="Times New Roman" w:hAnsi="Times New Roman" w:cs="Times New Roman"/>
          <w:sz w:val="24"/>
          <w:szCs w:val="24"/>
        </w:rPr>
        <w:t xml:space="preserve"> diverse </w:t>
      </w:r>
      <w:r w:rsidR="003843F4" w:rsidRPr="005F44EF">
        <w:rPr>
          <w:rFonts w:ascii="Times New Roman" w:eastAsia="Times New Roman" w:hAnsi="Times New Roman" w:cs="Times New Roman"/>
          <w:sz w:val="24"/>
          <w:szCs w:val="24"/>
        </w:rPr>
        <w:t xml:space="preserve">array of </w:t>
      </w:r>
      <w:r w:rsidRPr="005F44EF">
        <w:rPr>
          <w:rFonts w:ascii="Times New Roman" w:eastAsia="Times New Roman" w:hAnsi="Times New Roman" w:cs="Times New Roman"/>
          <w:sz w:val="24"/>
          <w:szCs w:val="24"/>
        </w:rPr>
        <w:t>bifaces (n=15) and picks (n=20), both with pointed and chiselled ends present, core scrapers (n=8), choppers (n=6), and polyhedrons (n=2). The available evidence thus indicates that Unit D contains both heavy duty LCTs as well as prepare core</w:t>
      </w:r>
      <w:r w:rsidR="003843F4" w:rsidRPr="005F44EF">
        <w:rPr>
          <w:rFonts w:ascii="Times New Roman" w:eastAsia="Times New Roman" w:hAnsi="Times New Roman" w:cs="Times New Roman"/>
          <w:sz w:val="24"/>
          <w:szCs w:val="24"/>
        </w:rPr>
        <w:t>s component</w:t>
      </w:r>
      <w:r w:rsidRPr="005F44EF">
        <w:rPr>
          <w:rFonts w:ascii="Times New Roman" w:eastAsia="Times New Roman" w:hAnsi="Times New Roman" w:cs="Times New Roman"/>
          <w:sz w:val="24"/>
          <w:szCs w:val="24"/>
        </w:rPr>
        <w:t xml:space="preserve">, although the latter is a very minor </w:t>
      </w:r>
      <w:r w:rsidR="003843F4" w:rsidRPr="005F44EF">
        <w:rPr>
          <w:rFonts w:ascii="Times New Roman" w:eastAsia="Times New Roman" w:hAnsi="Times New Roman" w:cs="Times New Roman"/>
          <w:sz w:val="24"/>
          <w:szCs w:val="24"/>
        </w:rPr>
        <w:t xml:space="preserve">part </w:t>
      </w:r>
      <w:r w:rsidRPr="005F44EF">
        <w:rPr>
          <w:rFonts w:ascii="Times New Roman" w:eastAsia="Times New Roman" w:hAnsi="Times New Roman" w:cs="Times New Roman"/>
          <w:sz w:val="24"/>
          <w:szCs w:val="24"/>
        </w:rPr>
        <w:t xml:space="preserve">of the assemblage. Given that the loss of the stone tool collection precludes a re-evaluation of this assemblage, as well as the aforementioned issues with the Sangoan’, we have opted against the use of this term here. Instead, we recognise that the Unit D assemblage is unique in terms of its age, technological character, and ecological context. </w:t>
      </w:r>
    </w:p>
    <w:p w14:paraId="4F1961F2" w14:textId="551320C8" w:rsidR="00E84150" w:rsidRPr="005F44EF" w:rsidRDefault="00E84150">
      <w:pPr>
        <w:spacing w:line="276" w:lineRule="auto"/>
        <w:jc w:val="both"/>
        <w:rPr>
          <w:rFonts w:ascii="Times New Roman" w:eastAsia="Times New Roman" w:hAnsi="Times New Roman" w:cs="Times New Roman"/>
          <w:sz w:val="24"/>
          <w:szCs w:val="24"/>
        </w:rPr>
      </w:pPr>
    </w:p>
    <w:p w14:paraId="784EB5F8" w14:textId="2242921B" w:rsidR="00BB7AA9" w:rsidRDefault="00BB7AA9">
      <w:pPr>
        <w:pBdr>
          <w:top w:val="nil"/>
          <w:left w:val="nil"/>
          <w:bottom w:val="nil"/>
          <w:right w:val="nil"/>
          <w:between w:val="nil"/>
        </w:pBdr>
        <w:spacing w:after="200" w:line="276" w:lineRule="auto"/>
        <w:jc w:val="center"/>
        <w:rPr>
          <w:rFonts w:ascii="Times New Roman" w:eastAsia="Times New Roman" w:hAnsi="Times New Roman" w:cs="Times New Roman"/>
          <w:sz w:val="24"/>
          <w:szCs w:val="24"/>
          <w:lang w:val="en-AU"/>
        </w:rPr>
      </w:pPr>
      <w:bookmarkStart w:id="14" w:name="_xv1hamjj1s1y" w:colFirst="0" w:colLast="0"/>
      <w:bookmarkEnd w:id="14"/>
    </w:p>
    <w:p w14:paraId="67B3A5D7" w14:textId="7697EA7B" w:rsidR="00C71E12" w:rsidRPr="00523D13" w:rsidRDefault="00460983">
      <w:pPr>
        <w:pBdr>
          <w:top w:val="nil"/>
          <w:left w:val="nil"/>
          <w:bottom w:val="nil"/>
          <w:right w:val="nil"/>
          <w:between w:val="nil"/>
        </w:pBdr>
        <w:spacing w:after="200" w:line="276" w:lineRule="auto"/>
        <w:jc w:val="center"/>
        <w:rPr>
          <w:rFonts w:ascii="Times New Roman" w:eastAsia="Times New Roman" w:hAnsi="Times New Roman" w:cs="Times New Roman"/>
          <w:sz w:val="24"/>
          <w:szCs w:val="24"/>
          <w:lang w:val="en-AU"/>
        </w:rPr>
      </w:pPr>
      <w:r>
        <w:rPr>
          <w:rFonts w:ascii="Times New Roman" w:eastAsia="Times New Roman" w:hAnsi="Times New Roman" w:cs="Times New Roman"/>
          <w:noProof/>
          <w:sz w:val="24"/>
          <w:szCs w:val="24"/>
          <w:lang w:val="en-AU"/>
        </w:rPr>
        <w:lastRenderedPageBreak/>
        <w:t xml:space="preserve"> </w:t>
      </w:r>
      <w:r w:rsidR="00C71E12">
        <w:rPr>
          <w:rFonts w:ascii="Times New Roman" w:eastAsia="Times New Roman" w:hAnsi="Times New Roman" w:cs="Times New Roman"/>
          <w:noProof/>
          <w:sz w:val="24"/>
          <w:szCs w:val="24"/>
          <w:lang w:val="en-AU"/>
        </w:rPr>
        <w:drawing>
          <wp:inline distT="0" distB="0" distL="0" distR="0" wp14:anchorId="01E368A4" wp14:editId="16F6938E">
            <wp:extent cx="5309812" cy="6092792"/>
            <wp:effectExtent l="0" t="0" r="5715"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 S4 - lithic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12659" cy="6096059"/>
                    </a:xfrm>
                    <a:prstGeom prst="rect">
                      <a:avLst/>
                    </a:prstGeom>
                  </pic:spPr>
                </pic:pic>
              </a:graphicData>
            </a:graphic>
          </wp:inline>
        </w:drawing>
      </w:r>
    </w:p>
    <w:p w14:paraId="7EA7D783" w14:textId="036B915F" w:rsidR="00BB7AA9" w:rsidRPr="005F44EF" w:rsidRDefault="00B9564D">
      <w:pPr>
        <w:pBdr>
          <w:top w:val="nil"/>
          <w:left w:val="nil"/>
          <w:bottom w:val="nil"/>
          <w:right w:val="nil"/>
          <w:between w:val="nil"/>
        </w:pBdr>
        <w:spacing w:after="200" w:line="276" w:lineRule="auto"/>
        <w:jc w:val="both"/>
        <w:rPr>
          <w:rFonts w:ascii="Times New Roman" w:eastAsia="Times New Roman" w:hAnsi="Times New Roman" w:cs="Times New Roman"/>
          <w:color w:val="404040"/>
          <w:sz w:val="24"/>
          <w:szCs w:val="24"/>
          <w:lang w:val="en-US"/>
        </w:rPr>
      </w:pPr>
      <w:bookmarkStart w:id="15" w:name="_Hlk170653958"/>
      <w:r w:rsidRPr="005F44EF">
        <w:rPr>
          <w:rFonts w:ascii="Times New Roman" w:eastAsia="Times New Roman" w:hAnsi="Times New Roman" w:cs="Times New Roman"/>
          <w:b/>
          <w:sz w:val="24"/>
          <w:szCs w:val="24"/>
        </w:rPr>
        <w:t xml:space="preserve">Figure </w:t>
      </w:r>
      <w:r w:rsidR="00EA0F52" w:rsidRPr="005F44EF">
        <w:rPr>
          <w:rFonts w:ascii="Times New Roman" w:eastAsia="Times New Roman" w:hAnsi="Times New Roman" w:cs="Times New Roman"/>
          <w:b/>
          <w:sz w:val="24"/>
          <w:szCs w:val="24"/>
        </w:rPr>
        <w:t>S4</w:t>
      </w:r>
      <w:r w:rsidRPr="005F44EF">
        <w:rPr>
          <w:rFonts w:ascii="Times New Roman" w:eastAsia="Times New Roman" w:hAnsi="Times New Roman" w:cs="Times New Roman"/>
          <w:sz w:val="24"/>
          <w:szCs w:val="24"/>
        </w:rPr>
        <w:t>: Stone tools</w:t>
      </w:r>
      <w:r w:rsidR="00F24010">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 xml:space="preserve">from Units C and D at Bété I and III from </w:t>
      </w:r>
      <w:proofErr w:type="spellStart"/>
      <w:r w:rsidR="00614E13">
        <w:rPr>
          <w:rFonts w:ascii="Times New Roman" w:eastAsia="Times New Roman" w:hAnsi="Times New Roman" w:cs="Times New Roman"/>
          <w:sz w:val="24"/>
          <w:szCs w:val="24"/>
        </w:rPr>
        <w:t>Lioubin</w:t>
      </w:r>
      <w:proofErr w:type="spellEnd"/>
      <w:r w:rsidRPr="005F44EF">
        <w:rPr>
          <w:rFonts w:ascii="Times New Roman" w:eastAsia="Times New Roman" w:hAnsi="Times New Roman" w:cs="Times New Roman"/>
          <w:sz w:val="24"/>
          <w:szCs w:val="24"/>
        </w:rPr>
        <w:t xml:space="preserve"> and Gu</w:t>
      </w:r>
      <w:r w:rsidR="00D84935" w:rsidRPr="005F44EF">
        <w:rPr>
          <w:rFonts w:ascii="Times New Roman" w:eastAsia="Times New Roman" w:hAnsi="Times New Roman" w:cs="Times New Roman"/>
          <w:sz w:val="24"/>
          <w:szCs w:val="24"/>
        </w:rPr>
        <w:t>é</w:t>
      </w:r>
      <w:r w:rsidRPr="005F44EF">
        <w:rPr>
          <w:rFonts w:ascii="Times New Roman" w:eastAsia="Times New Roman" w:hAnsi="Times New Roman" w:cs="Times New Roman"/>
          <w:sz w:val="24"/>
          <w:szCs w:val="24"/>
        </w:rPr>
        <w:t>d</w:t>
      </w:r>
      <w:r w:rsidR="00D84935" w:rsidRPr="005F44EF">
        <w:rPr>
          <w:rFonts w:ascii="Times New Roman" w:eastAsia="Times New Roman" w:hAnsi="Times New Roman" w:cs="Times New Roman"/>
          <w:sz w:val="24"/>
          <w:szCs w:val="24"/>
        </w:rPr>
        <w:t>é</w:t>
      </w:r>
      <w:r w:rsidR="00A63DE1"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uthor":[{"dropping-particle":"","family":"Lioubin","given":"V.P.","non-dropping-particle":"","parse-names":false,"suffix":""},{"dropping-particle":"","family":"Guédé","given":"F.Y.","non-dropping-particle":"","parse-names":false,"suffix":""}],"container-title":"Russian Academy of Sciences, Institute of the History of Material Culture Proceedings, vol. 3","id":"ITEM-1","issued":{"date-parts":[["2000"]]},"publisher-place":"St. Petersburg","title":"Paleolit Respubliki Kot d'Ivvuar (Zapadnaya Afrika) [The Palaeolithic of the Republic of Cote d'Ivoire (West Africa)]","type":"book"},"uris":["http://www.mendeley.com/documents/?uuid=aa04e7e7-917b-48f3-b7ff-044d552e4799"]}],"mendeley":{"formattedCitation":"&lt;sup&gt;39&lt;/sup&gt;","plainTextFormattedCitation":"39","previouslyFormattedCitation":"&lt;sup&gt;39&lt;/sup&gt;"},"properties":{"noteIndex":0},"schema":"https://github.com/citation-style-language/schema/raw/master/csl-citation.json"}</w:instrText>
      </w:r>
      <w:r w:rsidR="00A63DE1" w:rsidRPr="005F44EF">
        <w:rPr>
          <w:rFonts w:ascii="Times New Roman" w:eastAsia="Times New Roman" w:hAnsi="Times New Roman" w:cs="Times New Roman"/>
          <w:sz w:val="24"/>
          <w:szCs w:val="24"/>
        </w:rPr>
        <w:fldChar w:fldCharType="separate"/>
      </w:r>
      <w:r w:rsidR="004D347A" w:rsidRPr="005F44EF">
        <w:rPr>
          <w:rFonts w:ascii="Times New Roman" w:eastAsia="Times New Roman" w:hAnsi="Times New Roman" w:cs="Times New Roman"/>
          <w:noProof/>
          <w:sz w:val="24"/>
          <w:szCs w:val="24"/>
          <w:vertAlign w:val="superscript"/>
        </w:rPr>
        <w:t>39</w:t>
      </w:r>
      <w:r w:rsidR="00A63DE1"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and photos taken of the </w:t>
      </w:r>
      <w:r w:rsidRPr="005F44EF">
        <w:rPr>
          <w:rFonts w:ascii="Times New Roman" w:eastAsia="Times New Roman" w:hAnsi="Times New Roman" w:cs="Times New Roman"/>
          <w:sz w:val="24"/>
          <w:szCs w:val="24"/>
          <w:lang w:val="en-US"/>
        </w:rPr>
        <w:t xml:space="preserve">remaining artefact collection at the Institut des Sciences </w:t>
      </w:r>
      <w:proofErr w:type="spellStart"/>
      <w:r w:rsidRPr="005F44EF">
        <w:rPr>
          <w:rFonts w:ascii="Times New Roman" w:eastAsia="Times New Roman" w:hAnsi="Times New Roman" w:cs="Times New Roman"/>
          <w:sz w:val="24"/>
          <w:szCs w:val="24"/>
          <w:lang w:val="en-US"/>
        </w:rPr>
        <w:t>Anthropologiques</w:t>
      </w:r>
      <w:proofErr w:type="spellEnd"/>
      <w:r w:rsidRPr="005F44EF">
        <w:rPr>
          <w:rFonts w:ascii="Times New Roman" w:eastAsia="Times New Roman" w:hAnsi="Times New Roman" w:cs="Times New Roman"/>
          <w:sz w:val="24"/>
          <w:szCs w:val="24"/>
          <w:lang w:val="en-US"/>
        </w:rPr>
        <w:t xml:space="preserve"> de </w:t>
      </w:r>
      <w:proofErr w:type="spellStart"/>
      <w:r w:rsidRPr="005F44EF">
        <w:rPr>
          <w:rFonts w:ascii="Times New Roman" w:eastAsia="Times New Roman" w:hAnsi="Times New Roman" w:cs="Times New Roman"/>
          <w:sz w:val="24"/>
          <w:szCs w:val="24"/>
          <w:lang w:val="en-US"/>
        </w:rPr>
        <w:t>Développement</w:t>
      </w:r>
      <w:proofErr w:type="spellEnd"/>
      <w:r w:rsidRPr="005F44EF">
        <w:rPr>
          <w:rFonts w:ascii="Times New Roman" w:eastAsia="Times New Roman" w:hAnsi="Times New Roman" w:cs="Times New Roman"/>
          <w:sz w:val="24"/>
          <w:szCs w:val="24"/>
          <w:lang w:val="en-US"/>
        </w:rPr>
        <w:t xml:space="preserve"> (ISAD) in 2021</w:t>
      </w:r>
      <w:bookmarkEnd w:id="15"/>
      <w:r w:rsidRPr="005F44EF">
        <w:rPr>
          <w:rFonts w:ascii="Times New Roman" w:eastAsia="Times New Roman" w:hAnsi="Times New Roman" w:cs="Times New Roman"/>
          <w:sz w:val="24"/>
          <w:szCs w:val="24"/>
          <w:lang w:val="en-US"/>
        </w:rPr>
        <w:t xml:space="preserve">. Unit C: A) ‘end-scraper’, B) ‘point’, C) ‘end-scraper </w:t>
      </w:r>
      <w:r w:rsidR="00495A40" w:rsidRPr="005F44EF">
        <w:rPr>
          <w:rFonts w:ascii="Times New Roman" w:eastAsia="Times New Roman" w:hAnsi="Times New Roman" w:cs="Times New Roman"/>
          <w:sz w:val="24"/>
          <w:szCs w:val="24"/>
          <w:lang w:val="en-US"/>
        </w:rPr>
        <w:t>à</w:t>
      </w:r>
      <w:r w:rsidRPr="005F44EF">
        <w:rPr>
          <w:rFonts w:ascii="Times New Roman" w:eastAsia="Times New Roman" w:hAnsi="Times New Roman" w:cs="Times New Roman"/>
          <w:sz w:val="24"/>
          <w:szCs w:val="24"/>
          <w:lang w:val="en-US"/>
        </w:rPr>
        <w:t xml:space="preserve"> </w:t>
      </w:r>
      <w:proofErr w:type="spellStart"/>
      <w:r w:rsidRPr="005F44EF">
        <w:rPr>
          <w:rFonts w:ascii="Times New Roman" w:eastAsia="Times New Roman" w:hAnsi="Times New Roman" w:cs="Times New Roman"/>
          <w:sz w:val="24"/>
          <w:szCs w:val="24"/>
          <w:lang w:val="en-US"/>
        </w:rPr>
        <w:t>museau</w:t>
      </w:r>
      <w:proofErr w:type="spellEnd"/>
      <w:r w:rsidRPr="005F44EF">
        <w:rPr>
          <w:rFonts w:ascii="Times New Roman" w:eastAsia="Times New Roman" w:hAnsi="Times New Roman" w:cs="Times New Roman"/>
          <w:sz w:val="24"/>
          <w:szCs w:val="24"/>
          <w:lang w:val="en-US"/>
        </w:rPr>
        <w:t xml:space="preserve">’, D) ‘double-ended carinated end-scraper’, E) ‘small </w:t>
      </w:r>
      <w:proofErr w:type="spellStart"/>
      <w:r w:rsidRPr="005F44EF">
        <w:rPr>
          <w:rFonts w:ascii="Times New Roman" w:eastAsia="Times New Roman" w:hAnsi="Times New Roman" w:cs="Times New Roman"/>
          <w:sz w:val="24"/>
          <w:szCs w:val="24"/>
          <w:lang w:val="en-US"/>
        </w:rPr>
        <w:t>handaxe</w:t>
      </w:r>
      <w:proofErr w:type="spellEnd"/>
      <w:r w:rsidRPr="005F44EF">
        <w:rPr>
          <w:rFonts w:ascii="Times New Roman" w:eastAsia="Times New Roman" w:hAnsi="Times New Roman" w:cs="Times New Roman"/>
          <w:sz w:val="24"/>
          <w:szCs w:val="24"/>
          <w:lang w:val="en-US"/>
        </w:rPr>
        <w:t xml:space="preserve">’, F) ‘fragment of a bifacial foliate piece’, G) ‘point Levallois’, H) ‘combination tool’, I) ‘end-scraper with spine’, J) ‘short foliate biface’, and K-N) ‘cores’. Unit D: O) ‘side and end chopper’, P) ‘biface - trihedral’, Q) bifacial LCT (our term), R) ‘pick with double-flat cross-section of the body and </w:t>
      </w:r>
      <w:proofErr w:type="spellStart"/>
      <w:r w:rsidRPr="005F44EF">
        <w:rPr>
          <w:rFonts w:ascii="Times New Roman" w:eastAsia="Times New Roman" w:hAnsi="Times New Roman" w:cs="Times New Roman"/>
          <w:sz w:val="24"/>
          <w:szCs w:val="24"/>
          <w:lang w:val="en-US"/>
        </w:rPr>
        <w:t>centred</w:t>
      </w:r>
      <w:proofErr w:type="spellEnd"/>
      <w:r w:rsidRPr="005F44EF">
        <w:rPr>
          <w:rFonts w:ascii="Times New Roman" w:eastAsia="Times New Roman" w:hAnsi="Times New Roman" w:cs="Times New Roman"/>
          <w:sz w:val="24"/>
          <w:szCs w:val="24"/>
          <w:lang w:val="en-US"/>
        </w:rPr>
        <w:t xml:space="preserve"> </w:t>
      </w:r>
      <w:proofErr w:type="spellStart"/>
      <w:r w:rsidRPr="005F44EF">
        <w:rPr>
          <w:rFonts w:ascii="Times New Roman" w:eastAsia="Times New Roman" w:hAnsi="Times New Roman" w:cs="Times New Roman"/>
          <w:sz w:val="24"/>
          <w:szCs w:val="24"/>
          <w:lang w:val="en-US"/>
        </w:rPr>
        <w:t>quadrihedral</w:t>
      </w:r>
      <w:proofErr w:type="spellEnd"/>
      <w:r w:rsidRPr="005F44EF">
        <w:rPr>
          <w:rFonts w:ascii="Times New Roman" w:eastAsia="Times New Roman" w:hAnsi="Times New Roman" w:cs="Times New Roman"/>
          <w:sz w:val="24"/>
          <w:szCs w:val="24"/>
          <w:lang w:val="en-US"/>
        </w:rPr>
        <w:t xml:space="preserve"> distal point’, S) ‘pick with double-flat cross section of the body and </w:t>
      </w:r>
      <w:proofErr w:type="spellStart"/>
      <w:r w:rsidRPr="005F44EF">
        <w:rPr>
          <w:rFonts w:ascii="Times New Roman" w:eastAsia="Times New Roman" w:hAnsi="Times New Roman" w:cs="Times New Roman"/>
          <w:sz w:val="24"/>
          <w:szCs w:val="24"/>
          <w:lang w:val="en-US"/>
        </w:rPr>
        <w:t>centred</w:t>
      </w:r>
      <w:proofErr w:type="spellEnd"/>
      <w:r w:rsidRPr="005F44EF">
        <w:rPr>
          <w:rFonts w:ascii="Times New Roman" w:eastAsia="Times New Roman" w:hAnsi="Times New Roman" w:cs="Times New Roman"/>
          <w:sz w:val="24"/>
          <w:szCs w:val="24"/>
          <w:lang w:val="en-US"/>
        </w:rPr>
        <w:t xml:space="preserve"> trihedral distal point’, T–U) bifacial pieces (our term).</w:t>
      </w:r>
      <w:r w:rsidR="00F24010">
        <w:rPr>
          <w:rFonts w:ascii="Times New Roman" w:eastAsia="Times New Roman" w:hAnsi="Times New Roman" w:cs="Times New Roman"/>
          <w:sz w:val="24"/>
          <w:szCs w:val="24"/>
          <w:lang w:val="en-US"/>
        </w:rPr>
        <w:t xml:space="preserve"> </w:t>
      </w:r>
      <w:r w:rsidRPr="005F44EF">
        <w:rPr>
          <w:rFonts w:ascii="Times New Roman" w:eastAsia="Times New Roman" w:hAnsi="Times New Roman" w:cs="Times New Roman"/>
          <w:sz w:val="24"/>
          <w:szCs w:val="24"/>
          <w:lang w:val="en-US"/>
        </w:rPr>
        <w:t xml:space="preserve">A-N and O, P, R and S are from </w:t>
      </w:r>
      <w:proofErr w:type="spellStart"/>
      <w:r w:rsidR="00614E13">
        <w:rPr>
          <w:rFonts w:ascii="Times New Roman" w:eastAsia="Times New Roman" w:hAnsi="Times New Roman" w:cs="Times New Roman"/>
          <w:sz w:val="24"/>
          <w:szCs w:val="24"/>
          <w:lang w:val="en-US"/>
        </w:rPr>
        <w:t>Lioubin</w:t>
      </w:r>
      <w:proofErr w:type="spellEnd"/>
      <w:r w:rsidRPr="005F44EF">
        <w:rPr>
          <w:rFonts w:ascii="Times New Roman" w:eastAsia="Times New Roman" w:hAnsi="Times New Roman" w:cs="Times New Roman"/>
          <w:sz w:val="24"/>
          <w:szCs w:val="24"/>
          <w:lang w:val="en-US"/>
        </w:rPr>
        <w:t xml:space="preserve"> and </w:t>
      </w:r>
      <w:r w:rsidR="00D84935" w:rsidRPr="005F44EF">
        <w:rPr>
          <w:rFonts w:ascii="Times New Roman" w:eastAsia="Times New Roman" w:hAnsi="Times New Roman" w:cs="Times New Roman"/>
          <w:sz w:val="24"/>
          <w:szCs w:val="24"/>
          <w:lang w:val="en-US"/>
        </w:rPr>
        <w:t>Guédé</w:t>
      </w:r>
      <w:hyperlink r:id="rId16">
        <w:r w:rsidRPr="005F44EF">
          <w:rPr>
            <w:rFonts w:ascii="Times New Roman" w:eastAsia="Times New Roman" w:hAnsi="Times New Roman" w:cs="Times New Roman"/>
            <w:sz w:val="24"/>
            <w:szCs w:val="24"/>
            <w:vertAlign w:val="superscript"/>
            <w:lang w:val="en-US"/>
          </w:rPr>
          <w:t>36</w:t>
        </w:r>
      </w:hyperlink>
      <w:r w:rsidRPr="005F44EF">
        <w:rPr>
          <w:rFonts w:ascii="Times New Roman" w:eastAsia="Times New Roman" w:hAnsi="Times New Roman" w:cs="Times New Roman"/>
          <w:color w:val="404040"/>
          <w:sz w:val="24"/>
          <w:szCs w:val="24"/>
          <w:lang w:val="en-US"/>
        </w:rPr>
        <w:t xml:space="preserve">. </w:t>
      </w:r>
    </w:p>
    <w:p w14:paraId="0682C852" w14:textId="0B505894" w:rsidR="00BB7AA9" w:rsidRPr="005F44EF" w:rsidRDefault="00B9564D" w:rsidP="008F1244">
      <w:pPr>
        <w:pStyle w:val="Heading1"/>
        <w:rPr>
          <w:rFonts w:cs="Times New Roman"/>
        </w:rPr>
      </w:pPr>
      <w:bookmarkStart w:id="16" w:name="_Toc178429924"/>
      <w:r w:rsidRPr="005F44EF">
        <w:rPr>
          <w:rFonts w:cs="Times New Roman"/>
        </w:rPr>
        <w:lastRenderedPageBreak/>
        <w:t xml:space="preserve">SI 2 </w:t>
      </w:r>
      <w:r w:rsidR="00F36420" w:rsidRPr="005F44EF">
        <w:rPr>
          <w:rFonts w:cs="Times New Roman"/>
        </w:rPr>
        <w:t>–</w:t>
      </w:r>
      <w:r w:rsidRPr="005F44EF">
        <w:rPr>
          <w:rFonts w:cs="Times New Roman"/>
        </w:rPr>
        <w:t xml:space="preserve"> Sedimentology</w:t>
      </w:r>
      <w:bookmarkEnd w:id="16"/>
    </w:p>
    <w:p w14:paraId="3F738489" w14:textId="77777777" w:rsidR="00F36420" w:rsidRPr="005F44EF" w:rsidRDefault="00F36420" w:rsidP="00F36420">
      <w:pPr>
        <w:rPr>
          <w:rFonts w:ascii="Times New Roman" w:hAnsi="Times New Roman" w:cs="Times New Roman"/>
        </w:rPr>
      </w:pPr>
    </w:p>
    <w:p w14:paraId="437C5FED" w14:textId="79025BBE" w:rsidR="000F3A2D" w:rsidRPr="005F44EF" w:rsidRDefault="00B9564D" w:rsidP="000F3A2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In 2020, we revisited the original site and cleaned the uppermost four steps of the previously excavated trench at Bété I spanning the top 5.65m of the sediment sequence for recording and sampling</w:t>
      </w:r>
      <w:r w:rsidR="0050538D" w:rsidRPr="005F44EF">
        <w:rPr>
          <w:rFonts w:ascii="Times New Roman" w:eastAsia="Times New Roman" w:hAnsi="Times New Roman" w:cs="Times New Roman"/>
          <w:sz w:val="24"/>
          <w:szCs w:val="24"/>
        </w:rPr>
        <w:t xml:space="preserve"> (</w:t>
      </w:r>
      <w:r w:rsidR="0050538D" w:rsidRPr="005F44EF">
        <w:rPr>
          <w:rFonts w:ascii="Times New Roman" w:eastAsia="Times New Roman" w:hAnsi="Times New Roman" w:cs="Times New Roman"/>
          <w:b/>
          <w:sz w:val="24"/>
          <w:szCs w:val="24"/>
        </w:rPr>
        <w:t>Figure S</w:t>
      </w:r>
      <w:r w:rsidR="008F1244" w:rsidRPr="005F44EF">
        <w:rPr>
          <w:rFonts w:ascii="Times New Roman" w:eastAsia="Times New Roman" w:hAnsi="Times New Roman" w:cs="Times New Roman"/>
          <w:b/>
          <w:sz w:val="24"/>
          <w:szCs w:val="24"/>
        </w:rPr>
        <w:t>5</w:t>
      </w:r>
      <w:r w:rsidR="00C04450" w:rsidRPr="005F44EF">
        <w:rPr>
          <w:rFonts w:ascii="Times New Roman" w:eastAsia="Times New Roman" w:hAnsi="Times New Roman" w:cs="Times New Roman"/>
          <w:sz w:val="24"/>
          <w:szCs w:val="24"/>
        </w:rPr>
        <w:t>)</w:t>
      </w:r>
      <w:r w:rsidRPr="005F44EF">
        <w:rPr>
          <w:rFonts w:ascii="Times New Roman" w:eastAsia="Times New Roman" w:hAnsi="Times New Roman" w:cs="Times New Roman"/>
          <w:sz w:val="24"/>
          <w:szCs w:val="24"/>
        </w:rPr>
        <w:t xml:space="preserve"> Field recording of sediment units matched directly with the sequence as reported by</w:t>
      </w:r>
      <w:r w:rsidR="00A63DE1"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uthor":[{"dropping-particle":"","family":"Lioubin","given":"V.P.","non-dropping-particle":"","parse-names":false,"suffix":""},{"dropping-particle":"","family":"Guédé","given":"F.Y.","non-dropping-particle":"","parse-names":false,"suffix":""}],"container-title":"Russian Academy of Sciences, Institute of the History of Material Culture Proceedings, vol. 3","id":"ITEM-1","issued":{"date-parts":[["2000"]]},"publisher-place":"St. Petersburg","title":"Paleolit Respubliki Kot d'Ivvuar (Zapadnaya Afrika) [The Palaeolithic of the Republic of Cote d'Ivoire (West Africa)]","type":"book"},"uris":["http://www.mendeley.com/documents/?uuid=aa04e7e7-917b-48f3-b7ff-044d552e4799"]}],"mendeley":{"formattedCitation":"&lt;sup&gt;39&lt;/sup&gt;","plainTextFormattedCitation":"39","previouslyFormattedCitation":"&lt;sup&gt;39&lt;/sup&gt;"},"properties":{"noteIndex":0},"schema":"https://github.com/citation-style-language/schema/raw/master/csl-citation.json"}</w:instrText>
      </w:r>
      <w:r w:rsidR="00A63DE1" w:rsidRPr="005F44EF">
        <w:rPr>
          <w:rFonts w:ascii="Times New Roman" w:eastAsia="Times New Roman" w:hAnsi="Times New Roman" w:cs="Times New Roman"/>
          <w:sz w:val="24"/>
          <w:szCs w:val="24"/>
        </w:rPr>
        <w:fldChar w:fldCharType="separate"/>
      </w:r>
      <w:r w:rsidR="004D347A" w:rsidRPr="005F44EF">
        <w:rPr>
          <w:rFonts w:ascii="Times New Roman" w:eastAsia="Times New Roman" w:hAnsi="Times New Roman" w:cs="Times New Roman"/>
          <w:noProof/>
          <w:sz w:val="24"/>
          <w:szCs w:val="24"/>
          <w:vertAlign w:val="superscript"/>
        </w:rPr>
        <w:t>39</w:t>
      </w:r>
      <w:r w:rsidR="00A63DE1"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comprising four discrete sediment units referred to as Unit A-D. To refine the description of the depositional sequence at Bété I and interpretation of alluvial origin to the sediments, we applied laser particle size, loss on ignition, and magnetic susceptibility analyses (see below), with the synthesized results presented as </w:t>
      </w:r>
      <w:r w:rsidRPr="005F44EF">
        <w:rPr>
          <w:rFonts w:ascii="Times New Roman" w:eastAsia="Times New Roman" w:hAnsi="Times New Roman" w:cs="Times New Roman"/>
          <w:b/>
          <w:sz w:val="24"/>
          <w:szCs w:val="24"/>
        </w:rPr>
        <w:t xml:space="preserve">Figure 2. </w:t>
      </w:r>
      <w:r w:rsidRPr="005F44EF">
        <w:rPr>
          <w:rFonts w:ascii="Times New Roman" w:eastAsia="Times New Roman" w:hAnsi="Times New Roman" w:cs="Times New Roman"/>
          <w:sz w:val="24"/>
          <w:szCs w:val="24"/>
        </w:rPr>
        <w:t xml:space="preserve">Data acquisition are detailed in </w:t>
      </w:r>
      <w:r w:rsidRPr="005F44EF">
        <w:rPr>
          <w:rFonts w:ascii="Times New Roman" w:eastAsia="Times New Roman" w:hAnsi="Times New Roman" w:cs="Times New Roman"/>
          <w:b/>
          <w:sz w:val="24"/>
          <w:szCs w:val="24"/>
        </w:rPr>
        <w:t>Table S1</w:t>
      </w:r>
      <w:r w:rsidRPr="005F44EF">
        <w:rPr>
          <w:rFonts w:ascii="Times New Roman" w:eastAsia="Times New Roman" w:hAnsi="Times New Roman" w:cs="Times New Roman"/>
          <w:sz w:val="24"/>
          <w:szCs w:val="24"/>
        </w:rPr>
        <w:t>.</w:t>
      </w:r>
      <w:r w:rsidR="000F3A2D" w:rsidRPr="005F44EF">
        <w:rPr>
          <w:rFonts w:ascii="Times New Roman" w:eastAsia="Times New Roman" w:hAnsi="Times New Roman" w:cs="Times New Roman"/>
          <w:sz w:val="24"/>
          <w:szCs w:val="24"/>
        </w:rPr>
        <w:t xml:space="preserve"> </w:t>
      </w:r>
    </w:p>
    <w:p w14:paraId="61216C94" w14:textId="5851EE20" w:rsidR="000F3A2D" w:rsidRPr="005F44EF" w:rsidRDefault="000F3A2D" w:rsidP="000F3A2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For laser particle size analysis, sieved sediment samples (~1g, &lt;2mm) were bathed for 24 hours in sodium hexametaphosphate (0.5%) solution and agitated in an ultrasonic bath, with samples rinsed in purified water prior to analysis in a Malvern </w:t>
      </w:r>
      <w:proofErr w:type="spellStart"/>
      <w:r w:rsidRPr="005F44EF">
        <w:rPr>
          <w:rFonts w:ascii="Times New Roman" w:eastAsia="Times New Roman" w:hAnsi="Times New Roman" w:cs="Times New Roman"/>
          <w:sz w:val="24"/>
          <w:szCs w:val="24"/>
        </w:rPr>
        <w:t>Mastersizer</w:t>
      </w:r>
      <w:proofErr w:type="spellEnd"/>
      <w:r w:rsidRPr="005F44EF">
        <w:rPr>
          <w:rFonts w:ascii="Times New Roman" w:eastAsia="Times New Roman" w:hAnsi="Times New Roman" w:cs="Times New Roman"/>
          <w:sz w:val="24"/>
          <w:szCs w:val="24"/>
        </w:rPr>
        <w:t xml:space="preserve"> 3000. Characterisation of the grain size results were conducted using Gradistat</w:t>
      </w:r>
      <w:r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{"citationItems":[{"id":"ITEM-1","itemData":{"DOI":"10.1002/ESP.261","ISSN":"01979337","abstract":"Grain size analysis is an essential tool for classifying sedimentary environments. The calculation of statistics for many samples can, however, be a laborious process. A computer program called GRADISTAT has been written for the rapid analysis of grain size statistics from any of the standard measuring techniques, such as sieving and laser granulometry. Mean, mode, sorting, skewness and other statistics are calculated arithmetically and geometrically (in metric units) and logarithmically (in phi units) using moment and Folk and Ward graphical methods. Method comparison has allowed Folk and Ward descriptive terms to be assigned to moments statistics. Results indicate that Folk and Ward measures, expressed in metric units, appear to provide the most robust basis for routine comparisons of compositionally variable sediments. The program runs within the Microsoft Excel spreadsheet package and is extremely versatile, accepting standard and non-standard size data, and producing a range of graphical outputs including frequency and ternary plots. Copyright © 2001 John Wiley and Sons, Ltd.","author":[{"dropping-particle":"","family":"Blott","given":"Simon J.","non-dropping-particle":"","parse-names":false,"suffix":""},{"dropping-particle":"","family":"Pye","given":"Kenneth","non-dropping-particle":"","parse-names":false,"suffix":""}],"container-title":"Earth Surface Processes and Landforms","id":"ITEM-1","issue":"11","issued":{"date-parts":[["2001","10"]]},"page":"1237-1248","title":"Gradistat: A grain size distribution and statistics package for the analysis of unconsolidated sediments","type":"article-journal","volume":"26"},"uris":["http://www.mendeley.com/documents/?uuid=b79debb1-b036-3227-ab54-e7801bb7afbc"]}],"mendeley":{"formattedCitation":"&lt;sup&gt;70&lt;/sup&gt;","plainTextFormattedCitation":"70","previouslyFormattedCitation":"&lt;sup&gt;70&lt;/sup&gt;"},"properties":{"noteIndex":0},"schema":"https://github.com/citation-style-language/schema/raw/master/csl-citation.json"}</w:instrText>
      </w:r>
      <w:r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70</w:t>
      </w:r>
      <w:r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For loss on ignition studies, sediment samples (~10 g) were weighed (to three decimal places, i.e. 0.001g) and heated in a muffle furnace to 105°C, 550°C, and 950°C (allowing the sediments to cool to 105°C for weighing between steps) to calculate the proportions of water, total organic matter, carbonates, and mineral residue. Magnetic susceptibility was measured in the laboratory using a </w:t>
      </w:r>
      <w:proofErr w:type="spellStart"/>
      <w:r w:rsidRPr="005F44EF">
        <w:rPr>
          <w:rFonts w:ascii="Times New Roman" w:eastAsia="Times New Roman" w:hAnsi="Times New Roman" w:cs="Times New Roman"/>
          <w:sz w:val="24"/>
          <w:szCs w:val="24"/>
        </w:rPr>
        <w:t>Bartington</w:t>
      </w:r>
      <w:proofErr w:type="spellEnd"/>
      <w:r w:rsidRPr="005F44EF">
        <w:rPr>
          <w:rFonts w:ascii="Times New Roman" w:eastAsia="Times New Roman" w:hAnsi="Times New Roman" w:cs="Times New Roman"/>
          <w:sz w:val="24"/>
          <w:szCs w:val="24"/>
        </w:rPr>
        <w:t xml:space="preserve"> MS3 magnetic susceptibility meter coupled with the MS3B sensor to analyse ~12 g samples, weighed on precision scales to enable calculation of mass specific values presented as </w:t>
      </w:r>
      <w:proofErr w:type="spellStart"/>
      <w:r w:rsidRPr="005F44EF">
        <w:rPr>
          <w:rFonts w:ascii="Times New Roman" w:eastAsia="Times New Roman" w:hAnsi="Times New Roman" w:cs="Times New Roman"/>
          <w:sz w:val="24"/>
          <w:szCs w:val="24"/>
        </w:rPr>
        <w:t>Χ</w:t>
      </w:r>
      <w:r w:rsidRPr="00802679">
        <w:rPr>
          <w:rFonts w:ascii="Times New Roman" w:eastAsia="Times New Roman" w:hAnsi="Times New Roman" w:cs="Times New Roman"/>
          <w:sz w:val="24"/>
          <w:szCs w:val="24"/>
          <w:vertAlign w:val="subscript"/>
        </w:rPr>
        <w:t>mass</w:t>
      </w:r>
      <w:proofErr w:type="spellEnd"/>
      <w:r w:rsidRPr="005F44EF">
        <w:rPr>
          <w:rFonts w:ascii="Times New Roman" w:eastAsia="Times New Roman" w:hAnsi="Times New Roman" w:cs="Times New Roman"/>
          <w:sz w:val="24"/>
          <w:szCs w:val="24"/>
        </w:rPr>
        <w:t xml:space="preserve"> (10</w:t>
      </w:r>
      <w:r w:rsidRPr="005F44EF">
        <w:rPr>
          <w:rFonts w:ascii="Times New Roman" w:eastAsia="Times New Roman" w:hAnsi="Times New Roman" w:cs="Times New Roman"/>
          <w:sz w:val="24"/>
          <w:szCs w:val="24"/>
          <w:vertAlign w:val="superscript"/>
        </w:rPr>
        <w:t>-8</w:t>
      </w:r>
      <w:r w:rsidRPr="005F44EF">
        <w:rPr>
          <w:rFonts w:ascii="Times New Roman" w:eastAsia="Times New Roman" w:hAnsi="Times New Roman" w:cs="Times New Roman"/>
          <w:sz w:val="24"/>
          <w:szCs w:val="24"/>
        </w:rPr>
        <w:t>m</w:t>
      </w:r>
      <w:r w:rsidRPr="005F44EF">
        <w:rPr>
          <w:rFonts w:ascii="Times New Roman" w:eastAsia="Times New Roman" w:hAnsi="Times New Roman" w:cs="Times New Roman"/>
          <w:sz w:val="24"/>
          <w:szCs w:val="24"/>
          <w:vertAlign w:val="superscript"/>
        </w:rPr>
        <w:t>3</w:t>
      </w:r>
      <w:r w:rsidRPr="005F44EF">
        <w:rPr>
          <w:rFonts w:ascii="Times New Roman" w:eastAsia="Times New Roman" w:hAnsi="Times New Roman" w:cs="Times New Roman"/>
          <w:sz w:val="24"/>
          <w:szCs w:val="24"/>
        </w:rPr>
        <w:t>/kg)</w:t>
      </w:r>
      <w:r w:rsidR="003E5B9A">
        <w:rPr>
          <w:rFonts w:ascii="Times New Roman" w:eastAsia="Times New Roman" w:hAnsi="Times New Roman" w:cs="Times New Roman"/>
          <w:sz w:val="24"/>
          <w:szCs w:val="24"/>
        </w:rPr>
        <w:t xml:space="preserve">, with data collected using </w:t>
      </w:r>
      <w:proofErr w:type="spellStart"/>
      <w:r w:rsidR="003E5B9A">
        <w:rPr>
          <w:rFonts w:ascii="Times New Roman" w:eastAsia="Times New Roman" w:hAnsi="Times New Roman" w:cs="Times New Roman"/>
          <w:sz w:val="24"/>
          <w:szCs w:val="24"/>
        </w:rPr>
        <w:t>BartSoft</w:t>
      </w:r>
      <w:proofErr w:type="spellEnd"/>
      <w:r w:rsidR="003E5B9A">
        <w:rPr>
          <w:rFonts w:ascii="Times New Roman" w:eastAsia="Times New Roman" w:hAnsi="Times New Roman" w:cs="Times New Roman"/>
          <w:sz w:val="24"/>
          <w:szCs w:val="24"/>
        </w:rPr>
        <w:t xml:space="preserve"> v4.2</w:t>
      </w:r>
      <w:r w:rsidRPr="005F44EF">
        <w:rPr>
          <w:rFonts w:ascii="Times New Roman" w:eastAsia="Times New Roman" w:hAnsi="Times New Roman" w:cs="Times New Roman"/>
          <w:sz w:val="24"/>
          <w:szCs w:val="24"/>
        </w:rPr>
        <w:t>.</w:t>
      </w:r>
    </w:p>
    <w:p w14:paraId="5A4F5CDB" w14:textId="77777777" w:rsidR="000F3A2D" w:rsidRPr="005F44EF" w:rsidRDefault="000F3A2D" w:rsidP="000F3A2D">
      <w:pPr>
        <w:spacing w:after="0" w:line="276" w:lineRule="auto"/>
        <w:jc w:val="both"/>
        <w:rPr>
          <w:rFonts w:ascii="Times New Roman" w:eastAsia="Times New Roman" w:hAnsi="Times New Roman" w:cs="Times New Roman"/>
          <w:sz w:val="24"/>
          <w:szCs w:val="24"/>
        </w:rPr>
      </w:pPr>
    </w:p>
    <w:p w14:paraId="31AA1766" w14:textId="77777777" w:rsidR="000F3A2D" w:rsidRPr="005F44EF" w:rsidRDefault="000F3A2D" w:rsidP="000F3A2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Unit A is comprised of a ~27 cm thick unit of brownish grey, bimodal, very poorly sorted medium to fine silty sand with a substantial organic component (including visible charcoals). Unit B is comprised of a ~30 cm thick pale greyish/brownish yellow, bimodal, very poorly sorted fine silty to muddy medium sands. The sediment is typically comprised of 2% organic components. Magnetic susceptibility values rise from 23.8 to a peak at 25.5 before marking the start of a decline with depth toward the Unit C sequence. A level but gradual contact is observed with the underlying sediment unit. Unit C and is comprised of a ~1m thick deposit of mid brownish red, trimodal, very poorly sorted muddy medium sands. Minor bioturbation was identified and attributed to the presence of termite activity, whilst multiple lithic artefacts were also observed in the sections. A minor increase (2.3 to 3.1%) in organics is observed with depth, whereas magnetic susceptibility decreases (21.5 to 19.1 10</w:t>
      </w:r>
      <w:r w:rsidRPr="005F44EF">
        <w:rPr>
          <w:rFonts w:ascii="Times New Roman" w:eastAsia="Times New Roman" w:hAnsi="Times New Roman" w:cs="Times New Roman"/>
          <w:sz w:val="24"/>
          <w:szCs w:val="24"/>
          <w:vertAlign w:val="superscript"/>
        </w:rPr>
        <w:t>-8</w:t>
      </w:r>
      <w:r w:rsidRPr="005F44EF">
        <w:rPr>
          <w:rFonts w:ascii="Times New Roman" w:eastAsia="Times New Roman" w:hAnsi="Times New Roman" w:cs="Times New Roman"/>
          <w:sz w:val="24"/>
          <w:szCs w:val="24"/>
        </w:rPr>
        <w:t>m</w:t>
      </w:r>
      <w:r w:rsidRPr="005F44EF">
        <w:rPr>
          <w:rFonts w:ascii="Times New Roman" w:eastAsia="Times New Roman" w:hAnsi="Times New Roman" w:cs="Times New Roman"/>
          <w:sz w:val="24"/>
          <w:szCs w:val="24"/>
          <w:vertAlign w:val="superscript"/>
        </w:rPr>
        <w:t>3</w:t>
      </w:r>
      <w:r w:rsidRPr="005F44EF">
        <w:rPr>
          <w:rFonts w:ascii="Times New Roman" w:eastAsia="Times New Roman" w:hAnsi="Times New Roman" w:cs="Times New Roman"/>
          <w:sz w:val="24"/>
          <w:szCs w:val="24"/>
        </w:rPr>
        <w:t xml:space="preserve">/kg) gradually with depth. </w:t>
      </w:r>
    </w:p>
    <w:p w14:paraId="655075B9" w14:textId="77777777" w:rsidR="000F3A2D" w:rsidRPr="005F44EF" w:rsidRDefault="000F3A2D" w:rsidP="000F3A2D">
      <w:pPr>
        <w:spacing w:after="0" w:line="276" w:lineRule="auto"/>
        <w:jc w:val="both"/>
        <w:rPr>
          <w:rFonts w:ascii="Times New Roman" w:eastAsia="Times New Roman" w:hAnsi="Times New Roman" w:cs="Times New Roman"/>
          <w:sz w:val="24"/>
          <w:szCs w:val="24"/>
        </w:rPr>
      </w:pPr>
    </w:p>
    <w:p w14:paraId="624B9C6C" w14:textId="6B1956F0" w:rsidR="00BB7AA9" w:rsidRPr="005F44EF" w:rsidRDefault="000F3A2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In the field, the contact with underlying deposits was observed as diffuse and obfuscated by a gradual increase in mottling, and this is supported by results of laboratory analysis which identify gradual decreases in particle size and magnetic susceptibility and increases in organic components. On this basis we identified a discrete ~25 cm thick transition horizon, labelled Unit C-D, comprised of trimodal, very poorly sorted medium sandy muds with mean particle sizes of 204.2 to 161 µm, 4.5-5.1% organic components and magnetic susceptibility values decreasing from 17.5 to 16.7 in this unit. </w:t>
      </w:r>
    </w:p>
    <w:p w14:paraId="09BCC2A4" w14:textId="363E57F8" w:rsidR="00BB7AA9" w:rsidRPr="005F44EF" w:rsidRDefault="00D20599" w:rsidP="008F1244">
      <w:pPr>
        <w:spacing w:after="0" w:line="276" w:lineRule="auto"/>
        <w:jc w:val="center"/>
        <w:rPr>
          <w:rFonts w:ascii="Times New Roman" w:eastAsia="Times New Roman" w:hAnsi="Times New Roman" w:cs="Times New Roman"/>
          <w:sz w:val="24"/>
          <w:szCs w:val="24"/>
        </w:rPr>
      </w:pPr>
      <w:r w:rsidRPr="005F44EF">
        <w:rPr>
          <w:rFonts w:ascii="Times New Roman" w:eastAsia="Times New Roman" w:hAnsi="Times New Roman" w:cs="Times New Roman"/>
          <w:noProof/>
          <w:sz w:val="24"/>
          <w:szCs w:val="24"/>
          <w:lang w:val="en-AU" w:eastAsia="en-AU"/>
        </w:rPr>
        <w:lastRenderedPageBreak/>
        <w:drawing>
          <wp:inline distT="0" distB="0" distL="0" distR="0" wp14:anchorId="10C189CE" wp14:editId="5A0FB6B1">
            <wp:extent cx="4670854" cy="7697951"/>
            <wp:effectExtent l="0" t="0" r="0" b="0"/>
            <wp:docPr id="37" name="Picture 36">
              <a:extLst xmlns:a="http://schemas.openxmlformats.org/drawingml/2006/main">
                <a:ext uri="{FF2B5EF4-FFF2-40B4-BE49-F238E27FC236}">
                  <a16:creationId xmlns:a16="http://schemas.microsoft.com/office/drawing/2014/main" id="{3A2A4DB2-F12A-25C6-C85B-FC27458D20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6" descr="A screenshot of a screenshot of a site&#10;&#10;Description automatically generated">
                      <a:extLst>
                        <a:ext uri="{FF2B5EF4-FFF2-40B4-BE49-F238E27FC236}">
                          <a16:creationId xmlns:a16="http://schemas.microsoft.com/office/drawing/2014/main" id="{3A2A4DB2-F12A-25C6-C85B-FC27458D2002}"/>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70854" cy="7697951"/>
                    </a:xfrm>
                    <a:prstGeom prst="rect">
                      <a:avLst/>
                    </a:prstGeom>
                  </pic:spPr>
                </pic:pic>
              </a:graphicData>
            </a:graphic>
          </wp:inline>
        </w:drawing>
      </w:r>
    </w:p>
    <w:p w14:paraId="67537433" w14:textId="012C223A" w:rsidR="00D20599" w:rsidRPr="005F44EF" w:rsidRDefault="00D20599">
      <w:pPr>
        <w:spacing w:after="0" w:line="276" w:lineRule="auto"/>
        <w:jc w:val="both"/>
        <w:rPr>
          <w:rFonts w:ascii="Times New Roman" w:eastAsia="Times New Roman" w:hAnsi="Times New Roman" w:cs="Times New Roman"/>
          <w:sz w:val="24"/>
          <w:szCs w:val="24"/>
        </w:rPr>
      </w:pPr>
      <w:bookmarkStart w:id="17" w:name="_Hlk170654051"/>
      <w:r w:rsidRPr="005F44EF">
        <w:rPr>
          <w:rFonts w:ascii="Times New Roman" w:eastAsia="Times New Roman" w:hAnsi="Times New Roman" w:cs="Times New Roman"/>
          <w:b/>
          <w:sz w:val="24"/>
          <w:szCs w:val="24"/>
        </w:rPr>
        <w:t>Figure S</w:t>
      </w:r>
      <w:r w:rsidR="00EA0F52" w:rsidRPr="005F44EF">
        <w:rPr>
          <w:rFonts w:ascii="Times New Roman" w:eastAsia="Times New Roman" w:hAnsi="Times New Roman" w:cs="Times New Roman"/>
          <w:b/>
          <w:sz w:val="24"/>
          <w:szCs w:val="24"/>
        </w:rPr>
        <w:t>5</w:t>
      </w:r>
      <w:r w:rsidRPr="005F44EF">
        <w:rPr>
          <w:rFonts w:ascii="Times New Roman" w:eastAsia="Times New Roman" w:hAnsi="Times New Roman" w:cs="Times New Roman"/>
          <w:b/>
          <w:sz w:val="24"/>
          <w:szCs w:val="24"/>
        </w:rPr>
        <w:t>:</w:t>
      </w:r>
      <w:r w:rsidRPr="005F44EF">
        <w:rPr>
          <w:rFonts w:ascii="Times New Roman" w:eastAsia="Times New Roman" w:hAnsi="Times New Roman" w:cs="Times New Roman"/>
          <w:sz w:val="24"/>
          <w:szCs w:val="24"/>
        </w:rPr>
        <w:t xml:space="preserve"> Photos illustrating sediment</w:t>
      </w:r>
      <w:r w:rsidR="00DF185A" w:rsidRPr="005F44EF">
        <w:rPr>
          <w:rFonts w:ascii="Times New Roman" w:eastAsia="Times New Roman" w:hAnsi="Times New Roman" w:cs="Times New Roman"/>
          <w:sz w:val="24"/>
          <w:szCs w:val="24"/>
        </w:rPr>
        <w:t xml:space="preserve"> exposure</w:t>
      </w:r>
      <w:r w:rsidR="00923CFA" w:rsidRPr="005F44EF">
        <w:rPr>
          <w:rFonts w:ascii="Times New Roman" w:eastAsia="Times New Roman" w:hAnsi="Times New Roman" w:cs="Times New Roman"/>
          <w:sz w:val="24"/>
          <w:szCs w:val="24"/>
        </w:rPr>
        <w:t>s</w:t>
      </w:r>
      <w:r w:rsidR="00DF185A" w:rsidRPr="005F44EF">
        <w:rPr>
          <w:rFonts w:ascii="Times New Roman" w:eastAsia="Times New Roman" w:hAnsi="Times New Roman" w:cs="Times New Roman"/>
          <w:sz w:val="24"/>
          <w:szCs w:val="24"/>
        </w:rPr>
        <w:t xml:space="preserve"> and geochronological sample locations on the uppermost four steps of the step trench at Bété I</w:t>
      </w:r>
      <w:r w:rsidR="008519C4" w:rsidRPr="005F44EF">
        <w:rPr>
          <w:rFonts w:ascii="Times New Roman" w:eastAsia="Times New Roman" w:hAnsi="Times New Roman" w:cs="Times New Roman"/>
          <w:sz w:val="24"/>
          <w:szCs w:val="24"/>
        </w:rPr>
        <w:t>.</w:t>
      </w:r>
    </w:p>
    <w:bookmarkEnd w:id="17"/>
    <w:p w14:paraId="08E1280D" w14:textId="600DC664"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lastRenderedPageBreak/>
        <w:t xml:space="preserve">Unit D extends throughout the lower examined sequence, where mottling of pale yellowish, pinkish and orangish red sediments vary and include dappled, linear and haloed features, which may result from combinations of weathering and past bioturbation. Isolated lithic artefacts were identified at multiple levels in the lower two trench steps. Sedimentological analyses enable three discrete horizons to be distinguished within Unit D. The uppermost, Unit D1, is composed of trimodal, very poorly sorted medium sandy muds to clays, marking a continued decrease in mean particle size as a result of sharp increase in proportion of fine clays (size) and decrease in silts, as well as a notable peak in organic components of 6.8%, and continued gradual decline in magnetic susceptibility values. Units D2 and D3, both characterizable as bi- or trimodal very poorly sorted medium to fine sandy clays, continue gradual decreases in mean particle size and organic components with depth. Unit D2 marks a distinct departure from overlying and underlying deposits due to a pronounced peak in magnetic susceptibility values at </w:t>
      </w:r>
      <w:r w:rsidR="007A213D" w:rsidRPr="005F44EF">
        <w:rPr>
          <w:rFonts w:ascii="Times New Roman" w:eastAsia="Times New Roman" w:hAnsi="Times New Roman" w:cs="Times New Roman"/>
          <w:sz w:val="24"/>
          <w:szCs w:val="24"/>
        </w:rPr>
        <w:t>23.66</w:t>
      </w:r>
      <w:r w:rsidR="00F32530" w:rsidRPr="005F44EF">
        <w:rPr>
          <w:rFonts w:ascii="Times New Roman" w:eastAsia="Times New Roman" w:hAnsi="Times New Roman" w:cs="Times New Roman"/>
          <w:sz w:val="24"/>
          <w:szCs w:val="24"/>
        </w:rPr>
        <w:t xml:space="preserve"> x </w:t>
      </w:r>
      <w:r w:rsidR="007A213D" w:rsidRPr="005F44EF">
        <w:rPr>
          <w:rFonts w:ascii="Times New Roman" w:eastAsia="Times New Roman" w:hAnsi="Times New Roman" w:cs="Times New Roman"/>
          <w:sz w:val="24"/>
          <w:szCs w:val="24"/>
        </w:rPr>
        <w:t>10</w:t>
      </w:r>
      <w:r w:rsidR="007A213D" w:rsidRPr="005F44EF">
        <w:rPr>
          <w:rFonts w:ascii="Times New Roman" w:eastAsia="Times New Roman" w:hAnsi="Times New Roman" w:cs="Times New Roman"/>
          <w:sz w:val="24"/>
          <w:szCs w:val="24"/>
          <w:vertAlign w:val="superscript"/>
        </w:rPr>
        <w:t>-8</w:t>
      </w:r>
      <w:r w:rsidR="007A213D" w:rsidRPr="005F44EF">
        <w:rPr>
          <w:rFonts w:ascii="Times New Roman" w:eastAsia="Times New Roman" w:hAnsi="Times New Roman" w:cs="Times New Roman"/>
          <w:sz w:val="24"/>
          <w:szCs w:val="24"/>
        </w:rPr>
        <w:t>m</w:t>
      </w:r>
      <w:r w:rsidR="007A213D" w:rsidRPr="005F44EF">
        <w:rPr>
          <w:rFonts w:ascii="Times New Roman" w:eastAsia="Times New Roman" w:hAnsi="Times New Roman" w:cs="Times New Roman"/>
          <w:sz w:val="24"/>
          <w:szCs w:val="24"/>
          <w:vertAlign w:val="superscript"/>
        </w:rPr>
        <w:t>3</w:t>
      </w:r>
      <w:r w:rsidR="007A213D" w:rsidRPr="005F44EF">
        <w:rPr>
          <w:rFonts w:ascii="Times New Roman" w:eastAsia="Times New Roman" w:hAnsi="Times New Roman" w:cs="Times New Roman"/>
          <w:sz w:val="24"/>
          <w:szCs w:val="24"/>
        </w:rPr>
        <w:t>/kg</w:t>
      </w:r>
      <w:r w:rsidRPr="005F44EF">
        <w:rPr>
          <w:rFonts w:ascii="Times New Roman" w:eastAsia="Times New Roman" w:hAnsi="Times New Roman" w:cs="Times New Roman"/>
          <w:sz w:val="24"/>
          <w:szCs w:val="24"/>
        </w:rPr>
        <w:t xml:space="preserve">. </w:t>
      </w:r>
    </w:p>
    <w:p w14:paraId="03B63B79" w14:textId="77777777" w:rsidR="000F3A2D" w:rsidRPr="005F44EF" w:rsidRDefault="000F3A2D" w:rsidP="000F3A2D">
      <w:pPr>
        <w:spacing w:after="0" w:line="276" w:lineRule="auto"/>
        <w:jc w:val="both"/>
        <w:rPr>
          <w:rFonts w:ascii="Times New Roman" w:eastAsia="Times New Roman" w:hAnsi="Times New Roman" w:cs="Times New Roman"/>
          <w:bCs/>
          <w:color w:val="000000"/>
          <w:sz w:val="24"/>
          <w:szCs w:val="24"/>
        </w:rPr>
      </w:pPr>
    </w:p>
    <w:p w14:paraId="73FFE1D4" w14:textId="4970792A" w:rsidR="000F3A2D" w:rsidRPr="005F44EF" w:rsidRDefault="000F3A2D" w:rsidP="000F3A2D">
      <w:pPr>
        <w:spacing w:after="0" w:line="276" w:lineRule="auto"/>
        <w:jc w:val="both"/>
        <w:rPr>
          <w:rFonts w:ascii="Times New Roman" w:eastAsia="Times New Roman" w:hAnsi="Times New Roman" w:cs="Times New Roman"/>
          <w:bCs/>
          <w:color w:val="000000"/>
          <w:sz w:val="24"/>
          <w:szCs w:val="24"/>
        </w:rPr>
      </w:pPr>
      <w:r w:rsidRPr="005F44EF">
        <w:rPr>
          <w:rFonts w:ascii="Times New Roman" w:eastAsia="Times New Roman" w:hAnsi="Times New Roman" w:cs="Times New Roman"/>
          <w:bCs/>
          <w:color w:val="000000"/>
          <w:sz w:val="24"/>
          <w:szCs w:val="24"/>
        </w:rPr>
        <w:t xml:space="preserve">These findings are consistent with those of previous researchers, and particularly align with the detailed descriptions of the sediment sequence by </w:t>
      </w:r>
      <w:proofErr w:type="spellStart"/>
      <w:r w:rsidRPr="005F44EF">
        <w:rPr>
          <w:rFonts w:ascii="Times New Roman" w:eastAsia="Times New Roman" w:hAnsi="Times New Roman" w:cs="Times New Roman"/>
          <w:bCs/>
          <w:color w:val="000000"/>
          <w:sz w:val="24"/>
          <w:szCs w:val="24"/>
        </w:rPr>
        <w:t>Sedov</w:t>
      </w:r>
      <w:proofErr w:type="spellEnd"/>
      <w:r w:rsidRPr="005F44EF">
        <w:rPr>
          <w:rFonts w:ascii="Times New Roman" w:eastAsia="Times New Roman" w:hAnsi="Times New Roman" w:cs="Times New Roman"/>
          <w:bCs/>
          <w:color w:val="000000"/>
          <w:sz w:val="24"/>
          <w:szCs w:val="24"/>
        </w:rPr>
        <w:t xml:space="preserve">, presented by </w:t>
      </w:r>
      <w:proofErr w:type="spellStart"/>
      <w:r w:rsidR="00614E13">
        <w:rPr>
          <w:rFonts w:ascii="Times New Roman" w:eastAsia="Times New Roman" w:hAnsi="Times New Roman" w:cs="Times New Roman"/>
          <w:bCs/>
          <w:color w:val="000000"/>
          <w:sz w:val="24"/>
          <w:szCs w:val="24"/>
        </w:rPr>
        <w:t>Lioubin</w:t>
      </w:r>
      <w:proofErr w:type="spellEnd"/>
      <w:r w:rsidRPr="005F44EF">
        <w:rPr>
          <w:rFonts w:ascii="Times New Roman" w:eastAsia="Times New Roman" w:hAnsi="Times New Roman" w:cs="Times New Roman"/>
          <w:bCs/>
          <w:color w:val="000000"/>
          <w:sz w:val="24"/>
          <w:szCs w:val="24"/>
        </w:rPr>
        <w:t xml:space="preserve"> and Guédé</w:t>
      </w:r>
      <w:r w:rsidRPr="005F44EF">
        <w:rPr>
          <w:rFonts w:ascii="Times New Roman" w:eastAsia="Times New Roman" w:hAnsi="Times New Roman" w:cs="Times New Roman"/>
          <w:bCs/>
          <w:color w:val="000000"/>
          <w:sz w:val="24"/>
          <w:szCs w:val="24"/>
        </w:rPr>
        <w:fldChar w:fldCharType="begin" w:fldLock="1"/>
      </w:r>
      <w:r w:rsidR="00614E13">
        <w:rPr>
          <w:rFonts w:ascii="Times New Roman" w:eastAsia="Times New Roman" w:hAnsi="Times New Roman" w:cs="Times New Roman"/>
          <w:bCs/>
          <w:color w:val="000000"/>
          <w:sz w:val="24"/>
          <w:szCs w:val="24"/>
        </w:rPr>
        <w:instrText>ADDIN CSL_CITATION {"citationItems":[{"id":"ITEM-1","itemData":{"author":[{"dropping-particle":"","family":"Lioubin","given":"V.P.","non-dropping-particle":"","parse-names":false,"suffix":""},{"dropping-particle":"","family":"Guédé","given":"F.Y.","non-dropping-particle":"","parse-names":false,"suffix":""}],"container-title":"Russian Academy of Sciences, Institute of the History of Material Culture Proceedings, vol. 3","id":"ITEM-1","issued":{"date-parts":[["2000"]]},"publisher-place":"St. Petersburg","title":"Paleolit Respubliki Kot d'Ivvuar (Zapadnaya Afrika) [The Palaeolithic of the Republic of Cote d'Ivoire (West Africa)]","type":"book"},"uris":["http://www.mendeley.com/documents/?uuid=aa04e7e7-917b-48f3-b7ff-044d552e4799"]}],"mendeley":{"formattedCitation":"&lt;sup&gt;39&lt;/sup&gt;","plainTextFormattedCitation":"39","previouslyFormattedCitation":"&lt;sup&gt;39&lt;/sup&gt;"},"properties":{"noteIndex":0},"schema":"https://github.com/citation-style-language/schema/raw/master/csl-citation.json"}</w:instrText>
      </w:r>
      <w:r w:rsidRPr="005F44EF">
        <w:rPr>
          <w:rFonts w:ascii="Times New Roman" w:eastAsia="Times New Roman" w:hAnsi="Times New Roman" w:cs="Times New Roman"/>
          <w:bCs/>
          <w:color w:val="000000"/>
          <w:sz w:val="24"/>
          <w:szCs w:val="24"/>
        </w:rPr>
        <w:fldChar w:fldCharType="separate"/>
      </w:r>
      <w:r w:rsidRPr="005F44EF">
        <w:rPr>
          <w:rFonts w:ascii="Times New Roman" w:eastAsia="Times New Roman" w:hAnsi="Times New Roman" w:cs="Times New Roman"/>
          <w:bCs/>
          <w:noProof/>
          <w:color w:val="000000"/>
          <w:sz w:val="24"/>
          <w:szCs w:val="24"/>
          <w:vertAlign w:val="superscript"/>
        </w:rPr>
        <w:t>39</w:t>
      </w:r>
      <w:r w:rsidRPr="005F44EF">
        <w:rPr>
          <w:rFonts w:ascii="Times New Roman" w:eastAsia="Times New Roman" w:hAnsi="Times New Roman" w:cs="Times New Roman"/>
          <w:bCs/>
          <w:color w:val="000000"/>
          <w:sz w:val="24"/>
          <w:szCs w:val="24"/>
        </w:rPr>
        <w:fldChar w:fldCharType="end"/>
      </w:r>
      <w:r w:rsidRPr="005F44EF">
        <w:rPr>
          <w:rFonts w:ascii="Times New Roman" w:eastAsia="Times New Roman" w:hAnsi="Times New Roman" w:cs="Times New Roman"/>
          <w:bCs/>
          <w:color w:val="000000"/>
          <w:sz w:val="24"/>
          <w:szCs w:val="24"/>
        </w:rPr>
        <w:t xml:space="preserve">. The downward increase in the clay fraction is consistent with the suggestion for </w:t>
      </w:r>
      <w:proofErr w:type="spellStart"/>
      <w:r w:rsidRPr="005F44EF">
        <w:rPr>
          <w:rFonts w:ascii="Times New Roman" w:eastAsia="Times New Roman" w:hAnsi="Times New Roman" w:cs="Times New Roman"/>
          <w:sz w:val="24"/>
          <w:szCs w:val="24"/>
        </w:rPr>
        <w:t>lassivage</w:t>
      </w:r>
      <w:proofErr w:type="spellEnd"/>
      <w:r w:rsidRPr="005F44EF">
        <w:rPr>
          <w:rFonts w:ascii="Times New Roman" w:eastAsia="Times New Roman" w:hAnsi="Times New Roman" w:cs="Times New Roman"/>
          <w:sz w:val="24"/>
          <w:szCs w:val="24"/>
        </w:rPr>
        <w:t xml:space="preserve"> processes, with the broad similarity in sand fractions supporting the interpretation of a consistent alluvial depositional regime throughout the upper Terre de Barre deposits (Units A-D) overprinted by in situ weathering processes. Our age estimate for Unit C deposits helps to constrain the longevity of this depositional sequence, suggesting continued alluvial deposition at the end of the Pleistocene, and combined with an early Holocene age for deposits in the present valley floor (see above), indicates incision of this sequence coincident with the onset of the Holocene. More limited evidence of weathering processes is evident in Unit C deposits, than in underlying Unit D deposits. While this may be a factor of time, other potential influences include differences in climatic regime, with Unit D deposits forming during or exposed to warmer, wetter conditions during MIS 5, a shift in ground water conditions relating the incision of the modern valley may also play a role. The gradual transition we see between Units C and D, termed C/D, may potentially reflect patterns of bioturbation, a weathering front associated with groundwater levels, or potentially both. </w:t>
      </w:r>
    </w:p>
    <w:p w14:paraId="40CA26C8" w14:textId="77777777" w:rsidR="00BB7AA9" w:rsidRPr="005F44EF" w:rsidRDefault="00BB7AA9">
      <w:pPr>
        <w:spacing w:line="276" w:lineRule="auto"/>
        <w:rPr>
          <w:rFonts w:ascii="Times New Roman" w:eastAsia="Times New Roman" w:hAnsi="Times New Roman" w:cs="Times New Roman"/>
          <w:b/>
          <w:sz w:val="24"/>
          <w:szCs w:val="24"/>
        </w:rPr>
      </w:pPr>
    </w:p>
    <w:p w14:paraId="3E41CBAC" w14:textId="77777777" w:rsidR="000F3A2D" w:rsidRPr="005F44EF" w:rsidRDefault="000F3A2D">
      <w:pPr>
        <w:pBdr>
          <w:top w:val="nil"/>
          <w:left w:val="nil"/>
          <w:bottom w:val="nil"/>
          <w:right w:val="nil"/>
          <w:between w:val="nil"/>
        </w:pBdr>
        <w:spacing w:after="200" w:line="276" w:lineRule="auto"/>
        <w:jc w:val="both"/>
        <w:rPr>
          <w:rFonts w:ascii="Times New Roman" w:eastAsia="Times New Roman" w:hAnsi="Times New Roman" w:cs="Times New Roman"/>
          <w:b/>
          <w:color w:val="404040"/>
          <w:sz w:val="24"/>
          <w:szCs w:val="24"/>
        </w:rPr>
      </w:pPr>
      <w:bookmarkStart w:id="18" w:name="_Hlk170654070"/>
    </w:p>
    <w:p w14:paraId="1447F6E2" w14:textId="1A59857C" w:rsidR="000F3A2D" w:rsidRPr="005F44EF" w:rsidRDefault="000F3A2D">
      <w:pPr>
        <w:pBdr>
          <w:top w:val="nil"/>
          <w:left w:val="nil"/>
          <w:bottom w:val="nil"/>
          <w:right w:val="nil"/>
          <w:between w:val="nil"/>
        </w:pBdr>
        <w:spacing w:after="200" w:line="276" w:lineRule="auto"/>
        <w:jc w:val="both"/>
        <w:rPr>
          <w:rFonts w:ascii="Times New Roman" w:eastAsia="Times New Roman" w:hAnsi="Times New Roman" w:cs="Times New Roman"/>
          <w:b/>
          <w:color w:val="404040"/>
          <w:sz w:val="24"/>
          <w:szCs w:val="24"/>
        </w:rPr>
      </w:pPr>
    </w:p>
    <w:p w14:paraId="7762A775" w14:textId="77777777" w:rsidR="008F1244" w:rsidRPr="005F44EF" w:rsidRDefault="008F1244">
      <w:pPr>
        <w:pBdr>
          <w:top w:val="nil"/>
          <w:left w:val="nil"/>
          <w:bottom w:val="nil"/>
          <w:right w:val="nil"/>
          <w:between w:val="nil"/>
        </w:pBdr>
        <w:spacing w:after="200" w:line="276" w:lineRule="auto"/>
        <w:jc w:val="both"/>
        <w:rPr>
          <w:rFonts w:ascii="Times New Roman" w:eastAsia="Times New Roman" w:hAnsi="Times New Roman" w:cs="Times New Roman"/>
          <w:b/>
          <w:color w:val="404040"/>
          <w:sz w:val="24"/>
          <w:szCs w:val="24"/>
        </w:rPr>
      </w:pPr>
    </w:p>
    <w:p w14:paraId="51BA7D57" w14:textId="77777777" w:rsidR="000F3A2D" w:rsidRPr="005F44EF" w:rsidRDefault="000F3A2D">
      <w:pPr>
        <w:pBdr>
          <w:top w:val="nil"/>
          <w:left w:val="nil"/>
          <w:bottom w:val="nil"/>
          <w:right w:val="nil"/>
          <w:between w:val="nil"/>
        </w:pBdr>
        <w:spacing w:after="200" w:line="276" w:lineRule="auto"/>
        <w:jc w:val="both"/>
        <w:rPr>
          <w:rFonts w:ascii="Times New Roman" w:eastAsia="Times New Roman" w:hAnsi="Times New Roman" w:cs="Times New Roman"/>
          <w:b/>
          <w:color w:val="404040"/>
          <w:sz w:val="24"/>
          <w:szCs w:val="24"/>
        </w:rPr>
      </w:pPr>
    </w:p>
    <w:p w14:paraId="5941F882" w14:textId="77777777" w:rsidR="000F3A2D" w:rsidRPr="005F44EF" w:rsidRDefault="000F3A2D">
      <w:pPr>
        <w:pBdr>
          <w:top w:val="nil"/>
          <w:left w:val="nil"/>
          <w:bottom w:val="nil"/>
          <w:right w:val="nil"/>
          <w:between w:val="nil"/>
        </w:pBdr>
        <w:spacing w:after="200" w:line="276" w:lineRule="auto"/>
        <w:jc w:val="both"/>
        <w:rPr>
          <w:rFonts w:ascii="Times New Roman" w:eastAsia="Times New Roman" w:hAnsi="Times New Roman" w:cs="Times New Roman"/>
          <w:b/>
          <w:color w:val="404040"/>
          <w:sz w:val="24"/>
          <w:szCs w:val="24"/>
        </w:rPr>
      </w:pPr>
    </w:p>
    <w:p w14:paraId="13C51CE1" w14:textId="15214D72" w:rsidR="000F3A2D" w:rsidRDefault="000F3A2D">
      <w:pPr>
        <w:pBdr>
          <w:top w:val="nil"/>
          <w:left w:val="nil"/>
          <w:bottom w:val="nil"/>
          <w:right w:val="nil"/>
          <w:between w:val="nil"/>
        </w:pBdr>
        <w:spacing w:after="200" w:line="276" w:lineRule="auto"/>
        <w:jc w:val="both"/>
        <w:rPr>
          <w:rFonts w:ascii="Times New Roman" w:eastAsia="Times New Roman" w:hAnsi="Times New Roman" w:cs="Times New Roman"/>
          <w:b/>
          <w:color w:val="404040"/>
          <w:sz w:val="24"/>
          <w:szCs w:val="24"/>
        </w:rPr>
      </w:pPr>
    </w:p>
    <w:p w14:paraId="39A4DBE4" w14:textId="77777777" w:rsidR="009F0C7A" w:rsidRPr="005F44EF" w:rsidRDefault="009F0C7A">
      <w:pPr>
        <w:pBdr>
          <w:top w:val="nil"/>
          <w:left w:val="nil"/>
          <w:bottom w:val="nil"/>
          <w:right w:val="nil"/>
          <w:between w:val="nil"/>
        </w:pBdr>
        <w:spacing w:after="200" w:line="276" w:lineRule="auto"/>
        <w:jc w:val="both"/>
        <w:rPr>
          <w:rFonts w:ascii="Times New Roman" w:eastAsia="Times New Roman" w:hAnsi="Times New Roman" w:cs="Times New Roman"/>
          <w:b/>
          <w:color w:val="404040"/>
          <w:sz w:val="24"/>
          <w:szCs w:val="24"/>
        </w:rPr>
      </w:pPr>
    </w:p>
    <w:p w14:paraId="426E1AFE" w14:textId="61A86204" w:rsidR="00BB7AA9" w:rsidRPr="005F44EF" w:rsidRDefault="00B9564D">
      <w:pPr>
        <w:pBdr>
          <w:top w:val="nil"/>
          <w:left w:val="nil"/>
          <w:bottom w:val="nil"/>
          <w:right w:val="nil"/>
          <w:between w:val="nil"/>
        </w:pBdr>
        <w:spacing w:after="200" w:line="276" w:lineRule="auto"/>
        <w:jc w:val="both"/>
        <w:rPr>
          <w:rFonts w:ascii="Times New Roman" w:eastAsia="Times New Roman" w:hAnsi="Times New Roman" w:cs="Times New Roman"/>
          <w:color w:val="000000" w:themeColor="text1"/>
          <w:sz w:val="24"/>
          <w:szCs w:val="24"/>
        </w:rPr>
      </w:pPr>
      <w:r w:rsidRPr="005F44EF">
        <w:rPr>
          <w:rFonts w:ascii="Times New Roman" w:eastAsia="Times New Roman" w:hAnsi="Times New Roman" w:cs="Times New Roman"/>
          <w:b/>
          <w:color w:val="404040"/>
          <w:sz w:val="24"/>
          <w:szCs w:val="24"/>
        </w:rPr>
        <w:lastRenderedPageBreak/>
        <w:t xml:space="preserve">Table S1: </w:t>
      </w:r>
      <w:r w:rsidRPr="005F44EF">
        <w:rPr>
          <w:rFonts w:ascii="Times New Roman" w:eastAsia="Times New Roman" w:hAnsi="Times New Roman" w:cs="Times New Roman"/>
          <w:color w:val="000000" w:themeColor="text1"/>
          <w:sz w:val="24"/>
          <w:szCs w:val="24"/>
        </w:rPr>
        <w:t xml:space="preserve">Results of sedimentological studies based on laser particle size, loss on ignition, and magnetic susceptibility analyses. </w:t>
      </w:r>
      <w:bookmarkEnd w:id="18"/>
      <w:r w:rsidRPr="005F44EF">
        <w:rPr>
          <w:rFonts w:ascii="Times New Roman" w:eastAsia="Times New Roman" w:hAnsi="Times New Roman" w:cs="Times New Roman"/>
          <w:color w:val="000000" w:themeColor="text1"/>
          <w:sz w:val="24"/>
          <w:szCs w:val="24"/>
        </w:rPr>
        <w:t xml:space="preserve">The IDs refer to the numbers along the sequence displayed in </w:t>
      </w:r>
      <w:r w:rsidRPr="005F44EF">
        <w:rPr>
          <w:rFonts w:ascii="Times New Roman" w:eastAsia="Times New Roman" w:hAnsi="Times New Roman" w:cs="Times New Roman"/>
          <w:b/>
          <w:color w:val="000000" w:themeColor="text1"/>
          <w:sz w:val="24"/>
          <w:szCs w:val="24"/>
        </w:rPr>
        <w:t>Figure 2</w:t>
      </w:r>
      <w:r w:rsidRPr="005F44EF">
        <w:rPr>
          <w:rFonts w:ascii="Times New Roman" w:eastAsia="Times New Roman" w:hAnsi="Times New Roman" w:cs="Times New Roman"/>
          <w:color w:val="000000" w:themeColor="text1"/>
          <w:sz w:val="24"/>
          <w:szCs w:val="24"/>
        </w:rPr>
        <w:t xml:space="preserve">. These analyses for units A and B were carried out in order to provide information on the entire sequence, even though units C and D are of primary interest in this study. </w:t>
      </w:r>
    </w:p>
    <w:tbl>
      <w:tblPr>
        <w:tblStyle w:val="a"/>
        <w:tblW w:w="9498" w:type="dxa"/>
        <w:tblLayout w:type="fixed"/>
        <w:tblLook w:val="0400" w:firstRow="0" w:lastRow="0" w:firstColumn="0" w:lastColumn="0" w:noHBand="0" w:noVBand="1"/>
      </w:tblPr>
      <w:tblGrid>
        <w:gridCol w:w="1104"/>
        <w:gridCol w:w="1121"/>
        <w:gridCol w:w="1020"/>
        <w:gridCol w:w="1067"/>
        <w:gridCol w:w="1414"/>
        <w:gridCol w:w="1240"/>
        <w:gridCol w:w="1258"/>
        <w:gridCol w:w="1274"/>
      </w:tblGrid>
      <w:tr w:rsidR="00FE6DAC" w:rsidRPr="005F44EF" w14:paraId="16936F3B" w14:textId="77777777" w:rsidTr="00894540">
        <w:trPr>
          <w:trHeight w:val="219"/>
        </w:trPr>
        <w:tc>
          <w:tcPr>
            <w:tcW w:w="1104" w:type="dxa"/>
            <w:tcBorders>
              <w:top w:val="single" w:sz="4" w:space="0" w:color="auto"/>
              <w:bottom w:val="single" w:sz="4" w:space="0" w:color="auto"/>
            </w:tcBorders>
            <w:shd w:val="clear" w:color="auto" w:fill="D9D9D9" w:themeFill="background1" w:themeFillShade="D9"/>
            <w:vAlign w:val="center"/>
          </w:tcPr>
          <w:p w14:paraId="150E488F" w14:textId="77777777" w:rsidR="00FE6DAC" w:rsidRPr="005F44EF" w:rsidRDefault="00FE6DAC" w:rsidP="00FE6DAC">
            <w:pPr>
              <w:spacing w:line="276" w:lineRule="auto"/>
              <w:jc w:val="center"/>
              <w:rPr>
                <w:rFonts w:ascii="Times New Roman" w:eastAsia="Times New Roman" w:hAnsi="Times New Roman" w:cs="Times New Roman"/>
                <w:b/>
                <w:sz w:val="20"/>
                <w:szCs w:val="20"/>
              </w:rPr>
            </w:pPr>
            <w:r w:rsidRPr="005F44EF">
              <w:rPr>
                <w:rFonts w:ascii="Times New Roman" w:eastAsia="Times New Roman" w:hAnsi="Times New Roman" w:cs="Times New Roman"/>
                <w:b/>
                <w:sz w:val="20"/>
                <w:szCs w:val="20"/>
              </w:rPr>
              <w:t>Sample number</w:t>
            </w:r>
          </w:p>
        </w:tc>
        <w:tc>
          <w:tcPr>
            <w:tcW w:w="1121" w:type="dxa"/>
            <w:tcBorders>
              <w:top w:val="single" w:sz="4" w:space="0" w:color="auto"/>
              <w:bottom w:val="single" w:sz="4" w:space="0" w:color="auto"/>
            </w:tcBorders>
            <w:shd w:val="clear" w:color="auto" w:fill="D9D9D9" w:themeFill="background1" w:themeFillShade="D9"/>
            <w:vAlign w:val="center"/>
          </w:tcPr>
          <w:p w14:paraId="600257F6" w14:textId="77777777" w:rsidR="00FE6DAC" w:rsidRPr="005F44EF" w:rsidRDefault="00FE6DAC" w:rsidP="00FE6DAC">
            <w:pPr>
              <w:spacing w:line="276" w:lineRule="auto"/>
              <w:jc w:val="center"/>
              <w:rPr>
                <w:rFonts w:ascii="Times New Roman" w:eastAsia="Times New Roman" w:hAnsi="Times New Roman" w:cs="Times New Roman"/>
                <w:b/>
                <w:sz w:val="20"/>
                <w:szCs w:val="20"/>
              </w:rPr>
            </w:pPr>
            <w:r w:rsidRPr="005F44EF">
              <w:rPr>
                <w:rFonts w:ascii="Times New Roman" w:eastAsia="Times New Roman" w:hAnsi="Times New Roman" w:cs="Times New Roman"/>
                <w:b/>
                <w:sz w:val="20"/>
                <w:szCs w:val="20"/>
              </w:rPr>
              <w:t>Depth</w:t>
            </w:r>
          </w:p>
          <w:p w14:paraId="54F5532E" w14:textId="77777777" w:rsidR="00FE6DAC" w:rsidRPr="005F44EF" w:rsidRDefault="00FE6DAC" w:rsidP="00FE6DAC">
            <w:pPr>
              <w:spacing w:line="276" w:lineRule="auto"/>
              <w:jc w:val="center"/>
              <w:rPr>
                <w:rFonts w:ascii="Times New Roman" w:eastAsia="Times New Roman" w:hAnsi="Times New Roman" w:cs="Times New Roman"/>
                <w:b/>
                <w:sz w:val="20"/>
                <w:szCs w:val="20"/>
              </w:rPr>
            </w:pPr>
            <w:r w:rsidRPr="005F44EF">
              <w:rPr>
                <w:rFonts w:ascii="Times New Roman" w:eastAsia="Times New Roman" w:hAnsi="Times New Roman" w:cs="Times New Roman"/>
                <w:b/>
                <w:sz w:val="20"/>
                <w:szCs w:val="20"/>
              </w:rPr>
              <w:t>(m)</w:t>
            </w:r>
          </w:p>
        </w:tc>
        <w:tc>
          <w:tcPr>
            <w:tcW w:w="1020" w:type="dxa"/>
            <w:tcBorders>
              <w:top w:val="single" w:sz="4" w:space="0" w:color="auto"/>
              <w:bottom w:val="single" w:sz="4" w:space="0" w:color="auto"/>
            </w:tcBorders>
            <w:shd w:val="clear" w:color="auto" w:fill="D9D9D9" w:themeFill="background1" w:themeFillShade="D9"/>
            <w:vAlign w:val="center"/>
          </w:tcPr>
          <w:p w14:paraId="6284EB3E" w14:textId="77777777" w:rsidR="00FE6DAC" w:rsidRPr="005F44EF" w:rsidRDefault="00FE6DAC" w:rsidP="00FE6DAC">
            <w:pPr>
              <w:spacing w:line="276" w:lineRule="auto"/>
              <w:jc w:val="center"/>
              <w:rPr>
                <w:rFonts w:ascii="Times New Roman" w:eastAsia="Times New Roman" w:hAnsi="Times New Roman" w:cs="Times New Roman"/>
                <w:b/>
                <w:sz w:val="20"/>
                <w:szCs w:val="20"/>
              </w:rPr>
            </w:pPr>
            <w:r w:rsidRPr="005F44EF">
              <w:rPr>
                <w:rFonts w:ascii="Times New Roman" w:eastAsia="Times New Roman" w:hAnsi="Times New Roman" w:cs="Times New Roman"/>
                <w:b/>
                <w:sz w:val="20"/>
                <w:szCs w:val="20"/>
              </w:rPr>
              <w:t>Unit</w:t>
            </w:r>
          </w:p>
        </w:tc>
        <w:tc>
          <w:tcPr>
            <w:tcW w:w="1067" w:type="dxa"/>
            <w:tcBorders>
              <w:top w:val="single" w:sz="4" w:space="0" w:color="auto"/>
              <w:bottom w:val="single" w:sz="4" w:space="0" w:color="auto"/>
            </w:tcBorders>
            <w:shd w:val="clear" w:color="auto" w:fill="D9D9D9" w:themeFill="background1" w:themeFillShade="D9"/>
            <w:vAlign w:val="center"/>
          </w:tcPr>
          <w:p w14:paraId="20419A11" w14:textId="77777777" w:rsidR="00FE6DAC" w:rsidRPr="005F44EF" w:rsidRDefault="00FE6DAC" w:rsidP="00FE6DAC">
            <w:pPr>
              <w:spacing w:line="276" w:lineRule="auto"/>
              <w:jc w:val="center"/>
              <w:rPr>
                <w:rFonts w:ascii="Times New Roman" w:eastAsia="Times New Roman" w:hAnsi="Times New Roman" w:cs="Times New Roman"/>
                <w:b/>
                <w:sz w:val="20"/>
                <w:szCs w:val="20"/>
              </w:rPr>
            </w:pPr>
            <w:r w:rsidRPr="005F44EF">
              <w:rPr>
                <w:rFonts w:ascii="Times New Roman" w:eastAsia="Times New Roman" w:hAnsi="Times New Roman" w:cs="Times New Roman"/>
                <w:b/>
                <w:sz w:val="20"/>
                <w:szCs w:val="20"/>
              </w:rPr>
              <w:t>Organic Content (%) LOI</w:t>
            </w:r>
          </w:p>
        </w:tc>
        <w:tc>
          <w:tcPr>
            <w:tcW w:w="1414" w:type="dxa"/>
            <w:tcBorders>
              <w:top w:val="single" w:sz="4" w:space="0" w:color="auto"/>
              <w:bottom w:val="single" w:sz="4" w:space="0" w:color="auto"/>
            </w:tcBorders>
            <w:shd w:val="clear" w:color="auto" w:fill="D9D9D9" w:themeFill="background1" w:themeFillShade="D9"/>
            <w:vAlign w:val="center"/>
          </w:tcPr>
          <w:p w14:paraId="0FC05146" w14:textId="3257BC45" w:rsidR="00FE6DAC" w:rsidRPr="005F44EF" w:rsidRDefault="00FE6DAC" w:rsidP="00FE6DAC">
            <w:pPr>
              <w:spacing w:line="276" w:lineRule="auto"/>
              <w:jc w:val="center"/>
              <w:rPr>
                <w:rFonts w:ascii="Times New Roman" w:eastAsia="Times New Roman" w:hAnsi="Times New Roman" w:cs="Times New Roman"/>
                <w:b/>
                <w:sz w:val="20"/>
                <w:szCs w:val="20"/>
              </w:rPr>
            </w:pPr>
            <w:r w:rsidRPr="005F44EF">
              <w:rPr>
                <w:rFonts w:ascii="Times New Roman" w:eastAsia="Times New Roman" w:hAnsi="Times New Roman" w:cs="Times New Roman"/>
                <w:b/>
                <w:sz w:val="20"/>
                <w:szCs w:val="20"/>
              </w:rPr>
              <w:t xml:space="preserve">LF Average (Mag Sus, </w:t>
            </w:r>
            <w:bookmarkStart w:id="19" w:name="_Hlk157871246"/>
            <w:r w:rsidRPr="005F44EF">
              <w:rPr>
                <w:rFonts w:ascii="Times New Roman" w:eastAsia="Times New Roman" w:hAnsi="Times New Roman" w:cs="Times New Roman"/>
                <w:b/>
                <w:sz w:val="20"/>
                <w:szCs w:val="20"/>
              </w:rPr>
              <w:t>10</w:t>
            </w:r>
            <w:r w:rsidRPr="005F44EF">
              <w:rPr>
                <w:rFonts w:ascii="Times New Roman" w:eastAsia="Times New Roman" w:hAnsi="Times New Roman" w:cs="Times New Roman"/>
                <w:b/>
                <w:sz w:val="20"/>
                <w:szCs w:val="20"/>
                <w:vertAlign w:val="superscript"/>
              </w:rPr>
              <w:t>-8</w:t>
            </w:r>
            <w:r w:rsidRPr="005F44EF">
              <w:rPr>
                <w:rFonts w:ascii="Times New Roman" w:eastAsia="Times New Roman" w:hAnsi="Times New Roman" w:cs="Times New Roman"/>
                <w:b/>
                <w:sz w:val="20"/>
                <w:szCs w:val="20"/>
              </w:rPr>
              <w:t>m</w:t>
            </w:r>
            <w:r w:rsidRPr="005F44EF">
              <w:rPr>
                <w:rFonts w:ascii="Times New Roman" w:eastAsia="Times New Roman" w:hAnsi="Times New Roman" w:cs="Times New Roman"/>
                <w:b/>
                <w:sz w:val="20"/>
                <w:szCs w:val="20"/>
                <w:vertAlign w:val="superscript"/>
              </w:rPr>
              <w:t>3</w:t>
            </w:r>
            <w:r w:rsidRPr="005F44EF">
              <w:rPr>
                <w:rFonts w:ascii="Times New Roman" w:eastAsia="Times New Roman" w:hAnsi="Times New Roman" w:cs="Times New Roman"/>
                <w:b/>
                <w:sz w:val="20"/>
                <w:szCs w:val="20"/>
              </w:rPr>
              <w:t>/</w:t>
            </w:r>
            <w:r w:rsidR="00F62B9F" w:rsidRPr="005F44EF">
              <w:rPr>
                <w:rFonts w:ascii="Times New Roman" w:eastAsia="Times New Roman" w:hAnsi="Times New Roman" w:cs="Times New Roman"/>
                <w:b/>
                <w:sz w:val="20"/>
                <w:szCs w:val="20"/>
              </w:rPr>
              <w:t>k</w:t>
            </w:r>
            <w:r w:rsidRPr="005F44EF">
              <w:rPr>
                <w:rFonts w:ascii="Times New Roman" w:eastAsia="Times New Roman" w:hAnsi="Times New Roman" w:cs="Times New Roman"/>
                <w:b/>
                <w:sz w:val="20"/>
                <w:szCs w:val="20"/>
              </w:rPr>
              <w:t>g</w:t>
            </w:r>
            <w:bookmarkEnd w:id="19"/>
            <w:r w:rsidRPr="005F44EF">
              <w:rPr>
                <w:rFonts w:ascii="Times New Roman" w:eastAsia="Times New Roman" w:hAnsi="Times New Roman" w:cs="Times New Roman"/>
                <w:b/>
                <w:sz w:val="20"/>
                <w:szCs w:val="20"/>
              </w:rPr>
              <w:t>)</w:t>
            </w:r>
          </w:p>
        </w:tc>
        <w:tc>
          <w:tcPr>
            <w:tcW w:w="1240" w:type="dxa"/>
            <w:tcBorders>
              <w:top w:val="single" w:sz="4" w:space="0" w:color="auto"/>
              <w:bottom w:val="single" w:sz="4" w:space="0" w:color="auto"/>
            </w:tcBorders>
            <w:shd w:val="clear" w:color="auto" w:fill="D9D9D9" w:themeFill="background1" w:themeFillShade="D9"/>
            <w:vAlign w:val="center"/>
          </w:tcPr>
          <w:p w14:paraId="5FFAAEC3" w14:textId="172D8762" w:rsidR="00FE6DAC" w:rsidRPr="005F44EF" w:rsidRDefault="00FE6DAC" w:rsidP="00FE6DAC">
            <w:pPr>
              <w:spacing w:line="276" w:lineRule="auto"/>
              <w:jc w:val="center"/>
              <w:rPr>
                <w:rFonts w:ascii="Times New Roman" w:eastAsia="Times New Roman" w:hAnsi="Times New Roman" w:cs="Times New Roman"/>
                <w:b/>
                <w:sz w:val="20"/>
                <w:szCs w:val="20"/>
              </w:rPr>
            </w:pPr>
            <w:r w:rsidRPr="005F44EF">
              <w:rPr>
                <w:rFonts w:ascii="Times New Roman" w:eastAsia="Times New Roman" w:hAnsi="Times New Roman" w:cs="Times New Roman"/>
                <w:b/>
                <w:sz w:val="20"/>
                <w:szCs w:val="20"/>
              </w:rPr>
              <w:t>All Clays (%)</w:t>
            </w:r>
          </w:p>
        </w:tc>
        <w:tc>
          <w:tcPr>
            <w:tcW w:w="1258" w:type="dxa"/>
            <w:tcBorders>
              <w:top w:val="single" w:sz="4" w:space="0" w:color="auto"/>
              <w:bottom w:val="single" w:sz="4" w:space="0" w:color="auto"/>
            </w:tcBorders>
            <w:shd w:val="clear" w:color="auto" w:fill="D9D9D9" w:themeFill="background1" w:themeFillShade="D9"/>
            <w:vAlign w:val="center"/>
          </w:tcPr>
          <w:p w14:paraId="6DBA0EC0" w14:textId="705AF854" w:rsidR="00FE6DAC" w:rsidRPr="005F44EF" w:rsidRDefault="00FE6DAC" w:rsidP="00FE6DAC">
            <w:pPr>
              <w:spacing w:line="276" w:lineRule="auto"/>
              <w:jc w:val="center"/>
              <w:rPr>
                <w:rFonts w:ascii="Times New Roman" w:eastAsia="Times New Roman" w:hAnsi="Times New Roman" w:cs="Times New Roman"/>
                <w:b/>
                <w:sz w:val="20"/>
                <w:szCs w:val="20"/>
              </w:rPr>
            </w:pPr>
            <w:r w:rsidRPr="005F44EF">
              <w:rPr>
                <w:rFonts w:ascii="Times New Roman" w:eastAsia="Times New Roman" w:hAnsi="Times New Roman" w:cs="Times New Roman"/>
                <w:b/>
                <w:sz w:val="20"/>
                <w:szCs w:val="20"/>
              </w:rPr>
              <w:t>Silt</w:t>
            </w:r>
          </w:p>
          <w:p w14:paraId="15D4DB35" w14:textId="77777777" w:rsidR="00FE6DAC" w:rsidRPr="005F44EF" w:rsidRDefault="00FE6DAC" w:rsidP="00FE6DAC">
            <w:pPr>
              <w:spacing w:line="276" w:lineRule="auto"/>
              <w:jc w:val="center"/>
              <w:rPr>
                <w:rFonts w:ascii="Times New Roman" w:eastAsia="Times New Roman" w:hAnsi="Times New Roman" w:cs="Times New Roman"/>
                <w:b/>
                <w:sz w:val="20"/>
                <w:szCs w:val="20"/>
              </w:rPr>
            </w:pPr>
            <w:r w:rsidRPr="005F44EF">
              <w:rPr>
                <w:rFonts w:ascii="Times New Roman" w:eastAsia="Times New Roman" w:hAnsi="Times New Roman" w:cs="Times New Roman"/>
                <w:b/>
                <w:sz w:val="20"/>
                <w:szCs w:val="20"/>
              </w:rPr>
              <w:t>(%)</w:t>
            </w:r>
          </w:p>
        </w:tc>
        <w:tc>
          <w:tcPr>
            <w:tcW w:w="1274" w:type="dxa"/>
            <w:tcBorders>
              <w:top w:val="single" w:sz="4" w:space="0" w:color="auto"/>
              <w:bottom w:val="single" w:sz="4" w:space="0" w:color="auto"/>
            </w:tcBorders>
            <w:shd w:val="clear" w:color="auto" w:fill="D9D9D9" w:themeFill="background1" w:themeFillShade="D9"/>
            <w:vAlign w:val="center"/>
          </w:tcPr>
          <w:p w14:paraId="21EA32AF" w14:textId="6CF5A281" w:rsidR="00FE6DAC" w:rsidRPr="005F44EF" w:rsidRDefault="00FE6DAC" w:rsidP="00FE6DAC">
            <w:pPr>
              <w:spacing w:line="276" w:lineRule="auto"/>
              <w:jc w:val="center"/>
              <w:rPr>
                <w:rFonts w:ascii="Times New Roman" w:eastAsia="Times New Roman" w:hAnsi="Times New Roman" w:cs="Times New Roman"/>
                <w:b/>
                <w:sz w:val="20"/>
                <w:szCs w:val="20"/>
              </w:rPr>
            </w:pPr>
            <w:r w:rsidRPr="005F44EF">
              <w:rPr>
                <w:rFonts w:ascii="Times New Roman" w:eastAsia="Times New Roman" w:hAnsi="Times New Roman" w:cs="Times New Roman"/>
                <w:b/>
                <w:sz w:val="20"/>
                <w:szCs w:val="20"/>
              </w:rPr>
              <w:t>Sand</w:t>
            </w:r>
          </w:p>
          <w:p w14:paraId="30A7206B" w14:textId="77777777" w:rsidR="00FE6DAC" w:rsidRPr="005F44EF" w:rsidRDefault="00FE6DAC" w:rsidP="00FE6DAC">
            <w:pPr>
              <w:spacing w:line="276" w:lineRule="auto"/>
              <w:jc w:val="center"/>
              <w:rPr>
                <w:rFonts w:ascii="Times New Roman" w:eastAsia="Times New Roman" w:hAnsi="Times New Roman" w:cs="Times New Roman"/>
                <w:b/>
                <w:sz w:val="20"/>
                <w:szCs w:val="20"/>
              </w:rPr>
            </w:pPr>
            <w:r w:rsidRPr="005F44EF">
              <w:rPr>
                <w:rFonts w:ascii="Times New Roman" w:eastAsia="Times New Roman" w:hAnsi="Times New Roman" w:cs="Times New Roman"/>
                <w:b/>
                <w:sz w:val="20"/>
                <w:szCs w:val="20"/>
              </w:rPr>
              <w:t>(%)</w:t>
            </w:r>
          </w:p>
        </w:tc>
      </w:tr>
      <w:tr w:rsidR="00FE6DAC" w:rsidRPr="005F44EF" w14:paraId="592A3E08" w14:textId="77777777" w:rsidTr="005F44EF">
        <w:trPr>
          <w:trHeight w:val="219"/>
        </w:trPr>
        <w:tc>
          <w:tcPr>
            <w:tcW w:w="1104" w:type="dxa"/>
            <w:tcBorders>
              <w:top w:val="single" w:sz="4" w:space="0" w:color="auto"/>
            </w:tcBorders>
            <w:vAlign w:val="center"/>
          </w:tcPr>
          <w:p w14:paraId="311EF36A"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w:t>
            </w:r>
          </w:p>
        </w:tc>
        <w:tc>
          <w:tcPr>
            <w:tcW w:w="1121" w:type="dxa"/>
            <w:tcBorders>
              <w:top w:val="single" w:sz="4" w:space="0" w:color="auto"/>
            </w:tcBorders>
            <w:vAlign w:val="center"/>
          </w:tcPr>
          <w:p w14:paraId="0B6D0034"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0.1</w:t>
            </w:r>
          </w:p>
        </w:tc>
        <w:tc>
          <w:tcPr>
            <w:tcW w:w="1020" w:type="dxa"/>
            <w:tcBorders>
              <w:top w:val="single" w:sz="4" w:space="0" w:color="auto"/>
            </w:tcBorders>
            <w:vAlign w:val="center"/>
          </w:tcPr>
          <w:p w14:paraId="6FAD846F"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A</w:t>
            </w:r>
          </w:p>
        </w:tc>
        <w:tc>
          <w:tcPr>
            <w:tcW w:w="1067" w:type="dxa"/>
            <w:tcBorders>
              <w:top w:val="single" w:sz="4" w:space="0" w:color="auto"/>
            </w:tcBorders>
            <w:vAlign w:val="center"/>
          </w:tcPr>
          <w:p w14:paraId="6EBE8358"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2.25</w:t>
            </w:r>
          </w:p>
        </w:tc>
        <w:tc>
          <w:tcPr>
            <w:tcW w:w="1414" w:type="dxa"/>
            <w:tcBorders>
              <w:top w:val="single" w:sz="4" w:space="0" w:color="auto"/>
            </w:tcBorders>
            <w:vAlign w:val="center"/>
          </w:tcPr>
          <w:p w14:paraId="1DC1ABE6"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20.20</w:t>
            </w:r>
          </w:p>
        </w:tc>
        <w:tc>
          <w:tcPr>
            <w:tcW w:w="1240" w:type="dxa"/>
            <w:tcBorders>
              <w:top w:val="single" w:sz="4" w:space="0" w:color="auto"/>
            </w:tcBorders>
            <w:vAlign w:val="center"/>
          </w:tcPr>
          <w:p w14:paraId="29EC63CF" w14:textId="3A3051C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7.56</w:t>
            </w:r>
          </w:p>
        </w:tc>
        <w:tc>
          <w:tcPr>
            <w:tcW w:w="1258" w:type="dxa"/>
            <w:tcBorders>
              <w:top w:val="single" w:sz="4" w:space="0" w:color="auto"/>
            </w:tcBorders>
            <w:vAlign w:val="center"/>
          </w:tcPr>
          <w:p w14:paraId="4598DF8B"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40.79</w:t>
            </w:r>
          </w:p>
        </w:tc>
        <w:tc>
          <w:tcPr>
            <w:tcW w:w="1274" w:type="dxa"/>
            <w:tcBorders>
              <w:top w:val="single" w:sz="4" w:space="0" w:color="auto"/>
            </w:tcBorders>
            <w:vAlign w:val="center"/>
          </w:tcPr>
          <w:p w14:paraId="14C4B396"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51.65</w:t>
            </w:r>
          </w:p>
        </w:tc>
      </w:tr>
      <w:tr w:rsidR="00FE6DAC" w:rsidRPr="005F44EF" w14:paraId="1961123D" w14:textId="77777777" w:rsidTr="005F44EF">
        <w:trPr>
          <w:trHeight w:val="219"/>
        </w:trPr>
        <w:tc>
          <w:tcPr>
            <w:tcW w:w="1104" w:type="dxa"/>
            <w:vAlign w:val="center"/>
          </w:tcPr>
          <w:p w14:paraId="449AB01E"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w:t>
            </w:r>
          </w:p>
        </w:tc>
        <w:tc>
          <w:tcPr>
            <w:tcW w:w="1121" w:type="dxa"/>
            <w:vAlign w:val="center"/>
          </w:tcPr>
          <w:p w14:paraId="7D63485C"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0.2</w:t>
            </w:r>
          </w:p>
        </w:tc>
        <w:tc>
          <w:tcPr>
            <w:tcW w:w="1020" w:type="dxa"/>
            <w:vAlign w:val="center"/>
          </w:tcPr>
          <w:p w14:paraId="64DBECFA"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A</w:t>
            </w:r>
          </w:p>
        </w:tc>
        <w:tc>
          <w:tcPr>
            <w:tcW w:w="1067" w:type="dxa"/>
            <w:vAlign w:val="center"/>
          </w:tcPr>
          <w:p w14:paraId="641F20E3"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2.28</w:t>
            </w:r>
          </w:p>
        </w:tc>
        <w:tc>
          <w:tcPr>
            <w:tcW w:w="1414" w:type="dxa"/>
            <w:vAlign w:val="center"/>
          </w:tcPr>
          <w:p w14:paraId="193D9E27"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20.62</w:t>
            </w:r>
          </w:p>
        </w:tc>
        <w:tc>
          <w:tcPr>
            <w:tcW w:w="1240" w:type="dxa"/>
            <w:vAlign w:val="center"/>
          </w:tcPr>
          <w:p w14:paraId="6BE8F10B" w14:textId="1A1BFBEC"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9.85</w:t>
            </w:r>
          </w:p>
        </w:tc>
        <w:tc>
          <w:tcPr>
            <w:tcW w:w="1258" w:type="dxa"/>
            <w:vAlign w:val="center"/>
          </w:tcPr>
          <w:p w14:paraId="1B08C974"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32.39</w:t>
            </w:r>
          </w:p>
        </w:tc>
        <w:tc>
          <w:tcPr>
            <w:tcW w:w="1274" w:type="dxa"/>
            <w:vAlign w:val="center"/>
          </w:tcPr>
          <w:p w14:paraId="3B2519F1"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57.76</w:t>
            </w:r>
          </w:p>
        </w:tc>
      </w:tr>
      <w:tr w:rsidR="00FE6DAC" w:rsidRPr="005F44EF" w14:paraId="4C76385B" w14:textId="77777777" w:rsidTr="005F44EF">
        <w:trPr>
          <w:trHeight w:val="219"/>
        </w:trPr>
        <w:tc>
          <w:tcPr>
            <w:tcW w:w="1104" w:type="dxa"/>
            <w:vAlign w:val="center"/>
          </w:tcPr>
          <w:p w14:paraId="3C055FEA"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3</w:t>
            </w:r>
          </w:p>
        </w:tc>
        <w:tc>
          <w:tcPr>
            <w:tcW w:w="1121" w:type="dxa"/>
            <w:vAlign w:val="center"/>
          </w:tcPr>
          <w:p w14:paraId="353D5EDD"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0.3</w:t>
            </w:r>
          </w:p>
        </w:tc>
        <w:tc>
          <w:tcPr>
            <w:tcW w:w="1020" w:type="dxa"/>
            <w:vAlign w:val="center"/>
          </w:tcPr>
          <w:p w14:paraId="0E6D095F"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A</w:t>
            </w:r>
          </w:p>
        </w:tc>
        <w:tc>
          <w:tcPr>
            <w:tcW w:w="1067" w:type="dxa"/>
            <w:vAlign w:val="center"/>
          </w:tcPr>
          <w:p w14:paraId="080D4720"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8.41</w:t>
            </w:r>
          </w:p>
        </w:tc>
        <w:tc>
          <w:tcPr>
            <w:tcW w:w="1414" w:type="dxa"/>
            <w:vAlign w:val="center"/>
          </w:tcPr>
          <w:p w14:paraId="006E404A"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22.04</w:t>
            </w:r>
          </w:p>
        </w:tc>
        <w:tc>
          <w:tcPr>
            <w:tcW w:w="1240" w:type="dxa"/>
            <w:vAlign w:val="center"/>
          </w:tcPr>
          <w:p w14:paraId="20A50A10" w14:textId="0DB3CE22"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8.14</w:t>
            </w:r>
          </w:p>
        </w:tc>
        <w:tc>
          <w:tcPr>
            <w:tcW w:w="1258" w:type="dxa"/>
            <w:vAlign w:val="center"/>
          </w:tcPr>
          <w:p w14:paraId="1D99FF0D"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31.41</w:t>
            </w:r>
          </w:p>
        </w:tc>
        <w:tc>
          <w:tcPr>
            <w:tcW w:w="1274" w:type="dxa"/>
            <w:vAlign w:val="center"/>
          </w:tcPr>
          <w:p w14:paraId="37DA4AD9"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60.45</w:t>
            </w:r>
          </w:p>
        </w:tc>
      </w:tr>
      <w:tr w:rsidR="00FE6DAC" w:rsidRPr="005F44EF" w14:paraId="649797B3" w14:textId="77777777" w:rsidTr="005F44EF">
        <w:trPr>
          <w:trHeight w:val="219"/>
        </w:trPr>
        <w:tc>
          <w:tcPr>
            <w:tcW w:w="1104" w:type="dxa"/>
            <w:vAlign w:val="center"/>
          </w:tcPr>
          <w:p w14:paraId="6E5CC682"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w:t>
            </w:r>
          </w:p>
        </w:tc>
        <w:tc>
          <w:tcPr>
            <w:tcW w:w="1121" w:type="dxa"/>
            <w:vAlign w:val="center"/>
          </w:tcPr>
          <w:p w14:paraId="7838660E"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0.4</w:t>
            </w:r>
          </w:p>
        </w:tc>
        <w:tc>
          <w:tcPr>
            <w:tcW w:w="1020" w:type="dxa"/>
            <w:vAlign w:val="center"/>
          </w:tcPr>
          <w:p w14:paraId="26B0189B"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B</w:t>
            </w:r>
          </w:p>
        </w:tc>
        <w:tc>
          <w:tcPr>
            <w:tcW w:w="1067" w:type="dxa"/>
            <w:vAlign w:val="center"/>
          </w:tcPr>
          <w:p w14:paraId="4CACACFA"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2.00</w:t>
            </w:r>
          </w:p>
        </w:tc>
        <w:tc>
          <w:tcPr>
            <w:tcW w:w="1414" w:type="dxa"/>
            <w:vAlign w:val="center"/>
          </w:tcPr>
          <w:p w14:paraId="1774D547"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23.30</w:t>
            </w:r>
          </w:p>
        </w:tc>
        <w:tc>
          <w:tcPr>
            <w:tcW w:w="1240" w:type="dxa"/>
            <w:vAlign w:val="center"/>
          </w:tcPr>
          <w:p w14:paraId="7826D231" w14:textId="4A80773C"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8.95</w:t>
            </w:r>
          </w:p>
        </w:tc>
        <w:tc>
          <w:tcPr>
            <w:tcW w:w="1258" w:type="dxa"/>
            <w:vAlign w:val="center"/>
          </w:tcPr>
          <w:p w14:paraId="21EC4A39"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23.11</w:t>
            </w:r>
          </w:p>
        </w:tc>
        <w:tc>
          <w:tcPr>
            <w:tcW w:w="1274" w:type="dxa"/>
            <w:vAlign w:val="center"/>
          </w:tcPr>
          <w:p w14:paraId="00E8231C"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67.94</w:t>
            </w:r>
          </w:p>
        </w:tc>
      </w:tr>
      <w:tr w:rsidR="00FE6DAC" w:rsidRPr="005F44EF" w14:paraId="26290E08" w14:textId="77777777" w:rsidTr="005F44EF">
        <w:trPr>
          <w:trHeight w:val="219"/>
        </w:trPr>
        <w:tc>
          <w:tcPr>
            <w:tcW w:w="1104" w:type="dxa"/>
            <w:vAlign w:val="center"/>
          </w:tcPr>
          <w:p w14:paraId="26A3A684"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5</w:t>
            </w:r>
          </w:p>
        </w:tc>
        <w:tc>
          <w:tcPr>
            <w:tcW w:w="1121" w:type="dxa"/>
            <w:vAlign w:val="center"/>
          </w:tcPr>
          <w:p w14:paraId="6F37D7E3"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0.5</w:t>
            </w:r>
          </w:p>
        </w:tc>
        <w:tc>
          <w:tcPr>
            <w:tcW w:w="1020" w:type="dxa"/>
            <w:vAlign w:val="center"/>
          </w:tcPr>
          <w:p w14:paraId="4C6219AC"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B</w:t>
            </w:r>
          </w:p>
        </w:tc>
        <w:tc>
          <w:tcPr>
            <w:tcW w:w="1067" w:type="dxa"/>
            <w:vAlign w:val="center"/>
          </w:tcPr>
          <w:p w14:paraId="6A7FBF36"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1.98</w:t>
            </w:r>
          </w:p>
        </w:tc>
        <w:tc>
          <w:tcPr>
            <w:tcW w:w="1414" w:type="dxa"/>
            <w:vAlign w:val="center"/>
          </w:tcPr>
          <w:p w14:paraId="41D771C1"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25.00</w:t>
            </w:r>
          </w:p>
        </w:tc>
        <w:tc>
          <w:tcPr>
            <w:tcW w:w="1240" w:type="dxa"/>
            <w:vAlign w:val="center"/>
          </w:tcPr>
          <w:p w14:paraId="0133CB9D" w14:textId="51C1F159"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12.42</w:t>
            </w:r>
          </w:p>
        </w:tc>
        <w:tc>
          <w:tcPr>
            <w:tcW w:w="1258" w:type="dxa"/>
            <w:vAlign w:val="center"/>
          </w:tcPr>
          <w:p w14:paraId="7B5AC92A"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27.93</w:t>
            </w:r>
          </w:p>
        </w:tc>
        <w:tc>
          <w:tcPr>
            <w:tcW w:w="1274" w:type="dxa"/>
            <w:vAlign w:val="center"/>
          </w:tcPr>
          <w:p w14:paraId="64E451F5"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59.65</w:t>
            </w:r>
          </w:p>
        </w:tc>
      </w:tr>
      <w:tr w:rsidR="00FE6DAC" w:rsidRPr="005F44EF" w14:paraId="1FFD69B4" w14:textId="77777777" w:rsidTr="005F44EF">
        <w:trPr>
          <w:trHeight w:val="219"/>
        </w:trPr>
        <w:tc>
          <w:tcPr>
            <w:tcW w:w="1104" w:type="dxa"/>
            <w:vAlign w:val="center"/>
          </w:tcPr>
          <w:p w14:paraId="100BFD36"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6</w:t>
            </w:r>
          </w:p>
        </w:tc>
        <w:tc>
          <w:tcPr>
            <w:tcW w:w="1121" w:type="dxa"/>
            <w:vAlign w:val="center"/>
          </w:tcPr>
          <w:p w14:paraId="36FDABDA"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0.6</w:t>
            </w:r>
          </w:p>
        </w:tc>
        <w:tc>
          <w:tcPr>
            <w:tcW w:w="1020" w:type="dxa"/>
            <w:vAlign w:val="center"/>
          </w:tcPr>
          <w:p w14:paraId="3CB69C9E"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B</w:t>
            </w:r>
          </w:p>
        </w:tc>
        <w:tc>
          <w:tcPr>
            <w:tcW w:w="1067" w:type="dxa"/>
            <w:vAlign w:val="center"/>
          </w:tcPr>
          <w:p w14:paraId="44A32BBF"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2.01</w:t>
            </w:r>
          </w:p>
        </w:tc>
        <w:tc>
          <w:tcPr>
            <w:tcW w:w="1414" w:type="dxa"/>
            <w:vAlign w:val="center"/>
          </w:tcPr>
          <w:p w14:paraId="42D209C4"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23.38</w:t>
            </w:r>
          </w:p>
        </w:tc>
        <w:tc>
          <w:tcPr>
            <w:tcW w:w="1240" w:type="dxa"/>
            <w:vAlign w:val="center"/>
          </w:tcPr>
          <w:p w14:paraId="0ECD73B5" w14:textId="086DF5B1"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10.97</w:t>
            </w:r>
          </w:p>
        </w:tc>
        <w:tc>
          <w:tcPr>
            <w:tcW w:w="1258" w:type="dxa"/>
            <w:vAlign w:val="center"/>
          </w:tcPr>
          <w:p w14:paraId="7A7A8D99"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21.68</w:t>
            </w:r>
          </w:p>
        </w:tc>
        <w:tc>
          <w:tcPr>
            <w:tcW w:w="1274" w:type="dxa"/>
            <w:vAlign w:val="center"/>
          </w:tcPr>
          <w:p w14:paraId="4A970DE8"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67.35</w:t>
            </w:r>
          </w:p>
        </w:tc>
      </w:tr>
      <w:tr w:rsidR="00FE6DAC" w:rsidRPr="005F44EF" w14:paraId="5FA65BD0" w14:textId="77777777" w:rsidTr="005F44EF">
        <w:trPr>
          <w:trHeight w:val="219"/>
        </w:trPr>
        <w:tc>
          <w:tcPr>
            <w:tcW w:w="1104" w:type="dxa"/>
            <w:vAlign w:val="center"/>
          </w:tcPr>
          <w:p w14:paraId="57CCF1DC"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7</w:t>
            </w:r>
          </w:p>
        </w:tc>
        <w:tc>
          <w:tcPr>
            <w:tcW w:w="1121" w:type="dxa"/>
            <w:vAlign w:val="center"/>
          </w:tcPr>
          <w:p w14:paraId="6C676C19"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0.7</w:t>
            </w:r>
          </w:p>
        </w:tc>
        <w:tc>
          <w:tcPr>
            <w:tcW w:w="1020" w:type="dxa"/>
            <w:vAlign w:val="center"/>
          </w:tcPr>
          <w:p w14:paraId="56AAD97E"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B</w:t>
            </w:r>
          </w:p>
        </w:tc>
        <w:tc>
          <w:tcPr>
            <w:tcW w:w="1067" w:type="dxa"/>
            <w:vAlign w:val="center"/>
          </w:tcPr>
          <w:p w14:paraId="73668B84"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1.63</w:t>
            </w:r>
          </w:p>
        </w:tc>
        <w:tc>
          <w:tcPr>
            <w:tcW w:w="1414" w:type="dxa"/>
            <w:vAlign w:val="center"/>
          </w:tcPr>
          <w:p w14:paraId="40033180"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21.90</w:t>
            </w:r>
          </w:p>
        </w:tc>
        <w:tc>
          <w:tcPr>
            <w:tcW w:w="1240" w:type="dxa"/>
            <w:vAlign w:val="center"/>
          </w:tcPr>
          <w:p w14:paraId="558EE0BA" w14:textId="61A97AE1"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11.91</w:t>
            </w:r>
          </w:p>
        </w:tc>
        <w:tc>
          <w:tcPr>
            <w:tcW w:w="1258" w:type="dxa"/>
            <w:vAlign w:val="center"/>
          </w:tcPr>
          <w:p w14:paraId="4F332890"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21.61</w:t>
            </w:r>
          </w:p>
        </w:tc>
        <w:tc>
          <w:tcPr>
            <w:tcW w:w="1274" w:type="dxa"/>
            <w:vAlign w:val="center"/>
          </w:tcPr>
          <w:p w14:paraId="78A7FD1E"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66.48</w:t>
            </w:r>
          </w:p>
        </w:tc>
      </w:tr>
      <w:tr w:rsidR="00FE6DAC" w:rsidRPr="005F44EF" w14:paraId="5C491E44" w14:textId="77777777" w:rsidTr="005F44EF">
        <w:trPr>
          <w:trHeight w:val="219"/>
        </w:trPr>
        <w:tc>
          <w:tcPr>
            <w:tcW w:w="1104" w:type="dxa"/>
            <w:vAlign w:val="center"/>
          </w:tcPr>
          <w:p w14:paraId="0C1D1468"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8</w:t>
            </w:r>
          </w:p>
        </w:tc>
        <w:tc>
          <w:tcPr>
            <w:tcW w:w="1121" w:type="dxa"/>
            <w:vAlign w:val="center"/>
          </w:tcPr>
          <w:p w14:paraId="52A48517"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0.8</w:t>
            </w:r>
          </w:p>
        </w:tc>
        <w:tc>
          <w:tcPr>
            <w:tcW w:w="1020" w:type="dxa"/>
            <w:vAlign w:val="center"/>
          </w:tcPr>
          <w:p w14:paraId="0C929CC0"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C</w:t>
            </w:r>
          </w:p>
        </w:tc>
        <w:tc>
          <w:tcPr>
            <w:tcW w:w="1067" w:type="dxa"/>
            <w:vAlign w:val="center"/>
          </w:tcPr>
          <w:p w14:paraId="6F94199C"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2.33</w:t>
            </w:r>
          </w:p>
        </w:tc>
        <w:tc>
          <w:tcPr>
            <w:tcW w:w="1414" w:type="dxa"/>
            <w:vAlign w:val="center"/>
          </w:tcPr>
          <w:p w14:paraId="1FA767CA"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19.88</w:t>
            </w:r>
          </w:p>
        </w:tc>
        <w:tc>
          <w:tcPr>
            <w:tcW w:w="1240" w:type="dxa"/>
            <w:vAlign w:val="center"/>
          </w:tcPr>
          <w:p w14:paraId="74457C6F" w14:textId="381DF1C8"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15.71</w:t>
            </w:r>
          </w:p>
        </w:tc>
        <w:tc>
          <w:tcPr>
            <w:tcW w:w="1258" w:type="dxa"/>
            <w:vAlign w:val="center"/>
          </w:tcPr>
          <w:p w14:paraId="72650CE5"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27.39</w:t>
            </w:r>
          </w:p>
        </w:tc>
        <w:tc>
          <w:tcPr>
            <w:tcW w:w="1274" w:type="dxa"/>
            <w:vAlign w:val="center"/>
          </w:tcPr>
          <w:p w14:paraId="29AC9126"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56.90</w:t>
            </w:r>
          </w:p>
        </w:tc>
      </w:tr>
      <w:tr w:rsidR="00FE6DAC" w:rsidRPr="005F44EF" w14:paraId="30DD7046" w14:textId="77777777" w:rsidTr="005F44EF">
        <w:trPr>
          <w:trHeight w:val="219"/>
        </w:trPr>
        <w:tc>
          <w:tcPr>
            <w:tcW w:w="1104" w:type="dxa"/>
            <w:vAlign w:val="center"/>
          </w:tcPr>
          <w:p w14:paraId="7C1B1122"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9</w:t>
            </w:r>
          </w:p>
        </w:tc>
        <w:tc>
          <w:tcPr>
            <w:tcW w:w="1121" w:type="dxa"/>
            <w:vAlign w:val="center"/>
          </w:tcPr>
          <w:p w14:paraId="356D3DEA"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0.9</w:t>
            </w:r>
          </w:p>
        </w:tc>
        <w:tc>
          <w:tcPr>
            <w:tcW w:w="1020" w:type="dxa"/>
            <w:vAlign w:val="center"/>
          </w:tcPr>
          <w:p w14:paraId="3AECF786"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C</w:t>
            </w:r>
          </w:p>
        </w:tc>
        <w:tc>
          <w:tcPr>
            <w:tcW w:w="1067" w:type="dxa"/>
            <w:vAlign w:val="center"/>
          </w:tcPr>
          <w:p w14:paraId="2FE0AE64"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2.58</w:t>
            </w:r>
          </w:p>
        </w:tc>
        <w:tc>
          <w:tcPr>
            <w:tcW w:w="1414" w:type="dxa"/>
            <w:vAlign w:val="center"/>
          </w:tcPr>
          <w:p w14:paraId="598EFC95"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20.94</w:t>
            </w:r>
          </w:p>
        </w:tc>
        <w:tc>
          <w:tcPr>
            <w:tcW w:w="1240" w:type="dxa"/>
            <w:vAlign w:val="center"/>
          </w:tcPr>
          <w:p w14:paraId="5D7CBA31" w14:textId="4EFB94CA"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15.44</w:t>
            </w:r>
          </w:p>
        </w:tc>
        <w:tc>
          <w:tcPr>
            <w:tcW w:w="1258" w:type="dxa"/>
            <w:vAlign w:val="center"/>
          </w:tcPr>
          <w:p w14:paraId="34E9E644"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23.76</w:t>
            </w:r>
          </w:p>
        </w:tc>
        <w:tc>
          <w:tcPr>
            <w:tcW w:w="1274" w:type="dxa"/>
            <w:vAlign w:val="center"/>
          </w:tcPr>
          <w:p w14:paraId="0C338E0E"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60.80</w:t>
            </w:r>
          </w:p>
        </w:tc>
      </w:tr>
      <w:tr w:rsidR="00FE6DAC" w:rsidRPr="005F44EF" w14:paraId="11212F99" w14:textId="77777777" w:rsidTr="005F44EF">
        <w:trPr>
          <w:trHeight w:val="219"/>
        </w:trPr>
        <w:tc>
          <w:tcPr>
            <w:tcW w:w="1104" w:type="dxa"/>
            <w:vAlign w:val="center"/>
          </w:tcPr>
          <w:p w14:paraId="3A290852"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10</w:t>
            </w:r>
          </w:p>
        </w:tc>
        <w:tc>
          <w:tcPr>
            <w:tcW w:w="1121" w:type="dxa"/>
            <w:vAlign w:val="center"/>
          </w:tcPr>
          <w:p w14:paraId="5330F1ED"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w:t>
            </w:r>
          </w:p>
        </w:tc>
        <w:tc>
          <w:tcPr>
            <w:tcW w:w="1020" w:type="dxa"/>
            <w:vAlign w:val="center"/>
          </w:tcPr>
          <w:p w14:paraId="17BDFD86"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C</w:t>
            </w:r>
          </w:p>
        </w:tc>
        <w:tc>
          <w:tcPr>
            <w:tcW w:w="1067" w:type="dxa"/>
            <w:vAlign w:val="center"/>
          </w:tcPr>
          <w:p w14:paraId="6EB3AAC9"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2.83</w:t>
            </w:r>
          </w:p>
        </w:tc>
        <w:tc>
          <w:tcPr>
            <w:tcW w:w="1414" w:type="dxa"/>
            <w:vAlign w:val="center"/>
          </w:tcPr>
          <w:p w14:paraId="7DABC831"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19.28</w:t>
            </w:r>
          </w:p>
        </w:tc>
        <w:tc>
          <w:tcPr>
            <w:tcW w:w="1240" w:type="dxa"/>
            <w:vAlign w:val="center"/>
          </w:tcPr>
          <w:p w14:paraId="422C04A6" w14:textId="0E07BDA8"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20.43</w:t>
            </w:r>
          </w:p>
        </w:tc>
        <w:tc>
          <w:tcPr>
            <w:tcW w:w="1258" w:type="dxa"/>
            <w:vAlign w:val="center"/>
          </w:tcPr>
          <w:p w14:paraId="0130CFC1"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20.05</w:t>
            </w:r>
          </w:p>
        </w:tc>
        <w:tc>
          <w:tcPr>
            <w:tcW w:w="1274" w:type="dxa"/>
            <w:vAlign w:val="center"/>
          </w:tcPr>
          <w:p w14:paraId="489EDA15"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59.52</w:t>
            </w:r>
          </w:p>
        </w:tc>
      </w:tr>
      <w:tr w:rsidR="00FE6DAC" w:rsidRPr="005F44EF" w14:paraId="3410AF61" w14:textId="77777777" w:rsidTr="005F44EF">
        <w:trPr>
          <w:trHeight w:val="219"/>
        </w:trPr>
        <w:tc>
          <w:tcPr>
            <w:tcW w:w="1104" w:type="dxa"/>
            <w:vAlign w:val="center"/>
          </w:tcPr>
          <w:p w14:paraId="412BC8F7"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11</w:t>
            </w:r>
          </w:p>
        </w:tc>
        <w:tc>
          <w:tcPr>
            <w:tcW w:w="1121" w:type="dxa"/>
            <w:vAlign w:val="center"/>
          </w:tcPr>
          <w:p w14:paraId="47C9710A"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1.1</w:t>
            </w:r>
          </w:p>
        </w:tc>
        <w:tc>
          <w:tcPr>
            <w:tcW w:w="1020" w:type="dxa"/>
            <w:vAlign w:val="center"/>
          </w:tcPr>
          <w:p w14:paraId="16026726"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C</w:t>
            </w:r>
          </w:p>
        </w:tc>
        <w:tc>
          <w:tcPr>
            <w:tcW w:w="1067" w:type="dxa"/>
            <w:vAlign w:val="center"/>
          </w:tcPr>
          <w:p w14:paraId="753BE076"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2.82</w:t>
            </w:r>
          </w:p>
        </w:tc>
        <w:tc>
          <w:tcPr>
            <w:tcW w:w="1414" w:type="dxa"/>
            <w:vAlign w:val="center"/>
          </w:tcPr>
          <w:p w14:paraId="151F0FE6"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17.58</w:t>
            </w:r>
          </w:p>
        </w:tc>
        <w:tc>
          <w:tcPr>
            <w:tcW w:w="1240" w:type="dxa"/>
            <w:vAlign w:val="center"/>
          </w:tcPr>
          <w:p w14:paraId="63B195F0" w14:textId="5468D5C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20.79</w:t>
            </w:r>
          </w:p>
        </w:tc>
        <w:tc>
          <w:tcPr>
            <w:tcW w:w="1258" w:type="dxa"/>
            <w:vAlign w:val="center"/>
          </w:tcPr>
          <w:p w14:paraId="4838DCF7"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18.73</w:t>
            </w:r>
          </w:p>
        </w:tc>
        <w:tc>
          <w:tcPr>
            <w:tcW w:w="1274" w:type="dxa"/>
            <w:vAlign w:val="center"/>
          </w:tcPr>
          <w:p w14:paraId="4881BBDB"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60.48</w:t>
            </w:r>
          </w:p>
        </w:tc>
      </w:tr>
      <w:tr w:rsidR="00FE6DAC" w:rsidRPr="005F44EF" w14:paraId="3BCA7751" w14:textId="77777777" w:rsidTr="005F44EF">
        <w:trPr>
          <w:trHeight w:val="219"/>
        </w:trPr>
        <w:tc>
          <w:tcPr>
            <w:tcW w:w="1104" w:type="dxa"/>
            <w:vAlign w:val="center"/>
          </w:tcPr>
          <w:p w14:paraId="7F24E883"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12</w:t>
            </w:r>
          </w:p>
        </w:tc>
        <w:tc>
          <w:tcPr>
            <w:tcW w:w="1121" w:type="dxa"/>
            <w:vAlign w:val="center"/>
          </w:tcPr>
          <w:p w14:paraId="45F8E658"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1.2</w:t>
            </w:r>
          </w:p>
        </w:tc>
        <w:tc>
          <w:tcPr>
            <w:tcW w:w="1020" w:type="dxa"/>
            <w:vAlign w:val="center"/>
          </w:tcPr>
          <w:p w14:paraId="78A9A870"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C</w:t>
            </w:r>
          </w:p>
        </w:tc>
        <w:tc>
          <w:tcPr>
            <w:tcW w:w="1067" w:type="dxa"/>
            <w:vAlign w:val="center"/>
          </w:tcPr>
          <w:p w14:paraId="1FAFD52A"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3.02</w:t>
            </w:r>
          </w:p>
        </w:tc>
        <w:tc>
          <w:tcPr>
            <w:tcW w:w="1414" w:type="dxa"/>
            <w:vAlign w:val="center"/>
          </w:tcPr>
          <w:p w14:paraId="37916521"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18.32</w:t>
            </w:r>
          </w:p>
        </w:tc>
        <w:tc>
          <w:tcPr>
            <w:tcW w:w="1240" w:type="dxa"/>
            <w:vAlign w:val="center"/>
          </w:tcPr>
          <w:p w14:paraId="5FE177A8" w14:textId="66E1150E"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22.32</w:t>
            </w:r>
          </w:p>
        </w:tc>
        <w:tc>
          <w:tcPr>
            <w:tcW w:w="1258" w:type="dxa"/>
            <w:vAlign w:val="center"/>
          </w:tcPr>
          <w:p w14:paraId="243988E0"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17.27</w:t>
            </w:r>
          </w:p>
        </w:tc>
        <w:tc>
          <w:tcPr>
            <w:tcW w:w="1274" w:type="dxa"/>
            <w:vAlign w:val="center"/>
          </w:tcPr>
          <w:p w14:paraId="4E44ADC0"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60.41</w:t>
            </w:r>
          </w:p>
        </w:tc>
      </w:tr>
      <w:tr w:rsidR="00FE6DAC" w:rsidRPr="005F44EF" w14:paraId="1AD289DA" w14:textId="77777777" w:rsidTr="005F44EF">
        <w:trPr>
          <w:trHeight w:val="219"/>
        </w:trPr>
        <w:tc>
          <w:tcPr>
            <w:tcW w:w="1104" w:type="dxa"/>
            <w:vAlign w:val="center"/>
          </w:tcPr>
          <w:p w14:paraId="61502CB9"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13</w:t>
            </w:r>
          </w:p>
        </w:tc>
        <w:tc>
          <w:tcPr>
            <w:tcW w:w="1121" w:type="dxa"/>
            <w:vAlign w:val="center"/>
          </w:tcPr>
          <w:p w14:paraId="5BD0AE4A"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1.3</w:t>
            </w:r>
          </w:p>
        </w:tc>
        <w:tc>
          <w:tcPr>
            <w:tcW w:w="1020" w:type="dxa"/>
            <w:vAlign w:val="center"/>
          </w:tcPr>
          <w:p w14:paraId="6FBB3B1A"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C</w:t>
            </w:r>
          </w:p>
        </w:tc>
        <w:tc>
          <w:tcPr>
            <w:tcW w:w="1067" w:type="dxa"/>
            <w:vAlign w:val="center"/>
          </w:tcPr>
          <w:p w14:paraId="7CD735B3"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3.11</w:t>
            </w:r>
          </w:p>
        </w:tc>
        <w:tc>
          <w:tcPr>
            <w:tcW w:w="1414" w:type="dxa"/>
            <w:vAlign w:val="center"/>
          </w:tcPr>
          <w:p w14:paraId="67340B89"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18.48</w:t>
            </w:r>
          </w:p>
        </w:tc>
        <w:tc>
          <w:tcPr>
            <w:tcW w:w="1240" w:type="dxa"/>
            <w:vAlign w:val="center"/>
          </w:tcPr>
          <w:p w14:paraId="52AB7C2E" w14:textId="47FDE32A"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22.59</w:t>
            </w:r>
          </w:p>
        </w:tc>
        <w:tc>
          <w:tcPr>
            <w:tcW w:w="1258" w:type="dxa"/>
            <w:vAlign w:val="center"/>
          </w:tcPr>
          <w:p w14:paraId="6A52CB1F"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17.24</w:t>
            </w:r>
          </w:p>
        </w:tc>
        <w:tc>
          <w:tcPr>
            <w:tcW w:w="1274" w:type="dxa"/>
            <w:vAlign w:val="center"/>
          </w:tcPr>
          <w:p w14:paraId="05474945"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60.17</w:t>
            </w:r>
          </w:p>
        </w:tc>
      </w:tr>
      <w:tr w:rsidR="00FE6DAC" w:rsidRPr="005F44EF" w14:paraId="2F8AAF88" w14:textId="77777777" w:rsidTr="005F44EF">
        <w:trPr>
          <w:trHeight w:val="219"/>
        </w:trPr>
        <w:tc>
          <w:tcPr>
            <w:tcW w:w="1104" w:type="dxa"/>
            <w:vAlign w:val="center"/>
          </w:tcPr>
          <w:p w14:paraId="19FF2300"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14</w:t>
            </w:r>
          </w:p>
        </w:tc>
        <w:tc>
          <w:tcPr>
            <w:tcW w:w="1121" w:type="dxa"/>
            <w:vAlign w:val="center"/>
          </w:tcPr>
          <w:p w14:paraId="6BEE7051"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1.4</w:t>
            </w:r>
          </w:p>
        </w:tc>
        <w:tc>
          <w:tcPr>
            <w:tcW w:w="1020" w:type="dxa"/>
            <w:vAlign w:val="center"/>
          </w:tcPr>
          <w:p w14:paraId="3557D1E8"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C/D</w:t>
            </w:r>
          </w:p>
        </w:tc>
        <w:tc>
          <w:tcPr>
            <w:tcW w:w="1067" w:type="dxa"/>
            <w:vAlign w:val="center"/>
          </w:tcPr>
          <w:p w14:paraId="051C7C23"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5.05</w:t>
            </w:r>
          </w:p>
        </w:tc>
        <w:tc>
          <w:tcPr>
            <w:tcW w:w="1414" w:type="dxa"/>
            <w:vAlign w:val="center"/>
          </w:tcPr>
          <w:p w14:paraId="30D30FCD"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16.62</w:t>
            </w:r>
          </w:p>
        </w:tc>
        <w:tc>
          <w:tcPr>
            <w:tcW w:w="1240" w:type="dxa"/>
            <w:vAlign w:val="center"/>
          </w:tcPr>
          <w:p w14:paraId="2C11F115" w14:textId="1AD34F61"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25.7</w:t>
            </w:r>
          </w:p>
        </w:tc>
        <w:tc>
          <w:tcPr>
            <w:tcW w:w="1258" w:type="dxa"/>
            <w:vAlign w:val="center"/>
          </w:tcPr>
          <w:p w14:paraId="76531A34"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24.01</w:t>
            </w:r>
          </w:p>
        </w:tc>
        <w:tc>
          <w:tcPr>
            <w:tcW w:w="1274" w:type="dxa"/>
            <w:vAlign w:val="center"/>
          </w:tcPr>
          <w:p w14:paraId="6D213F6A"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50.29</w:t>
            </w:r>
          </w:p>
        </w:tc>
      </w:tr>
      <w:tr w:rsidR="00FE6DAC" w:rsidRPr="005F44EF" w14:paraId="7AE660FC" w14:textId="77777777" w:rsidTr="005F44EF">
        <w:trPr>
          <w:trHeight w:val="219"/>
        </w:trPr>
        <w:tc>
          <w:tcPr>
            <w:tcW w:w="1104" w:type="dxa"/>
            <w:vAlign w:val="center"/>
          </w:tcPr>
          <w:p w14:paraId="767CCF24"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15</w:t>
            </w:r>
          </w:p>
        </w:tc>
        <w:tc>
          <w:tcPr>
            <w:tcW w:w="1121" w:type="dxa"/>
            <w:vAlign w:val="center"/>
          </w:tcPr>
          <w:p w14:paraId="2D239702"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1.5</w:t>
            </w:r>
          </w:p>
        </w:tc>
        <w:tc>
          <w:tcPr>
            <w:tcW w:w="1020" w:type="dxa"/>
            <w:vAlign w:val="center"/>
          </w:tcPr>
          <w:p w14:paraId="4964F62D"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C/D</w:t>
            </w:r>
          </w:p>
        </w:tc>
        <w:tc>
          <w:tcPr>
            <w:tcW w:w="1067" w:type="dxa"/>
            <w:vAlign w:val="center"/>
          </w:tcPr>
          <w:p w14:paraId="4144FD01"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4.49</w:t>
            </w:r>
          </w:p>
        </w:tc>
        <w:tc>
          <w:tcPr>
            <w:tcW w:w="1414" w:type="dxa"/>
            <w:vAlign w:val="center"/>
          </w:tcPr>
          <w:p w14:paraId="0EAAF558"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15.98</w:t>
            </w:r>
          </w:p>
        </w:tc>
        <w:tc>
          <w:tcPr>
            <w:tcW w:w="1240" w:type="dxa"/>
            <w:vAlign w:val="center"/>
          </w:tcPr>
          <w:p w14:paraId="4F92EC9C" w14:textId="03D772A3"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30.36</w:t>
            </w:r>
          </w:p>
        </w:tc>
        <w:tc>
          <w:tcPr>
            <w:tcW w:w="1258" w:type="dxa"/>
            <w:vAlign w:val="center"/>
          </w:tcPr>
          <w:p w14:paraId="61DB2A76"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21.22</w:t>
            </w:r>
          </w:p>
        </w:tc>
        <w:tc>
          <w:tcPr>
            <w:tcW w:w="1274" w:type="dxa"/>
            <w:vAlign w:val="center"/>
          </w:tcPr>
          <w:p w14:paraId="2FF8E7EE"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48.42</w:t>
            </w:r>
          </w:p>
        </w:tc>
      </w:tr>
      <w:tr w:rsidR="00FE6DAC" w:rsidRPr="005F44EF" w14:paraId="4F8F5A8A" w14:textId="77777777" w:rsidTr="005F44EF">
        <w:trPr>
          <w:trHeight w:val="79"/>
        </w:trPr>
        <w:tc>
          <w:tcPr>
            <w:tcW w:w="1104" w:type="dxa"/>
            <w:vAlign w:val="center"/>
          </w:tcPr>
          <w:p w14:paraId="7323A758" w14:textId="77777777" w:rsidR="00FE6DAC" w:rsidRPr="005F44EF" w:rsidRDefault="00FE6DAC" w:rsidP="005F44EF">
            <w:pPr>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16</w:t>
            </w:r>
          </w:p>
        </w:tc>
        <w:tc>
          <w:tcPr>
            <w:tcW w:w="1121" w:type="dxa"/>
            <w:vAlign w:val="center"/>
          </w:tcPr>
          <w:p w14:paraId="39D7C84A" w14:textId="77777777" w:rsidR="00FE6DAC" w:rsidRPr="005F44EF" w:rsidRDefault="00FE6DAC" w:rsidP="005F44EF">
            <w:pPr>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1.6</w:t>
            </w:r>
          </w:p>
        </w:tc>
        <w:tc>
          <w:tcPr>
            <w:tcW w:w="1020" w:type="dxa"/>
            <w:vAlign w:val="center"/>
          </w:tcPr>
          <w:p w14:paraId="262B9953" w14:textId="77777777" w:rsidR="00FE6DAC" w:rsidRPr="005F44EF" w:rsidRDefault="00FE6DAC" w:rsidP="005F44EF">
            <w:pPr>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D1</w:t>
            </w:r>
          </w:p>
        </w:tc>
        <w:tc>
          <w:tcPr>
            <w:tcW w:w="1067" w:type="dxa"/>
            <w:vAlign w:val="center"/>
          </w:tcPr>
          <w:p w14:paraId="71A5C1D7" w14:textId="77777777" w:rsidR="00FE6DAC" w:rsidRPr="005F44EF" w:rsidRDefault="00FE6DAC" w:rsidP="005F44EF">
            <w:pPr>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5.42</w:t>
            </w:r>
          </w:p>
        </w:tc>
        <w:tc>
          <w:tcPr>
            <w:tcW w:w="1414" w:type="dxa"/>
            <w:vAlign w:val="center"/>
          </w:tcPr>
          <w:p w14:paraId="7F0A5A40" w14:textId="77777777" w:rsidR="00FE6DAC" w:rsidRPr="005F44EF" w:rsidRDefault="00FE6DAC" w:rsidP="005F44EF">
            <w:pPr>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14.52</w:t>
            </w:r>
          </w:p>
        </w:tc>
        <w:tc>
          <w:tcPr>
            <w:tcW w:w="1240" w:type="dxa"/>
            <w:vAlign w:val="center"/>
          </w:tcPr>
          <w:p w14:paraId="4B3540E9" w14:textId="7B557CC0" w:rsidR="00FE6DAC" w:rsidRPr="005F44EF" w:rsidRDefault="00FE6DAC" w:rsidP="005F44EF">
            <w:pPr>
              <w:jc w:val="center"/>
              <w:rPr>
                <w:rFonts w:ascii="Times New Roman" w:eastAsia="Times New Roman" w:hAnsi="Times New Roman" w:cs="Times New Roman"/>
                <w:sz w:val="20"/>
                <w:szCs w:val="20"/>
              </w:rPr>
            </w:pPr>
            <w:r w:rsidRPr="005F44EF">
              <w:rPr>
                <w:rFonts w:ascii="Times New Roman" w:hAnsi="Times New Roman" w:cs="Times New Roman"/>
                <w:sz w:val="20"/>
                <w:szCs w:val="20"/>
              </w:rPr>
              <w:t>32.67</w:t>
            </w:r>
          </w:p>
        </w:tc>
        <w:tc>
          <w:tcPr>
            <w:tcW w:w="1258" w:type="dxa"/>
            <w:tcMar>
              <w:top w:w="100" w:type="dxa"/>
              <w:left w:w="100" w:type="dxa"/>
              <w:bottom w:w="100" w:type="dxa"/>
              <w:right w:w="100" w:type="dxa"/>
            </w:tcMar>
            <w:vAlign w:val="center"/>
          </w:tcPr>
          <w:p w14:paraId="3019954A" w14:textId="77777777" w:rsidR="00FE6DAC" w:rsidRPr="005F44EF" w:rsidRDefault="00FE6DAC" w:rsidP="005F44EF">
            <w:pPr>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23.6</w:t>
            </w:r>
          </w:p>
        </w:tc>
        <w:tc>
          <w:tcPr>
            <w:tcW w:w="1274" w:type="dxa"/>
            <w:tcMar>
              <w:top w:w="100" w:type="dxa"/>
              <w:left w:w="100" w:type="dxa"/>
              <w:bottom w:w="100" w:type="dxa"/>
              <w:right w:w="100" w:type="dxa"/>
            </w:tcMar>
            <w:vAlign w:val="center"/>
          </w:tcPr>
          <w:p w14:paraId="6080FDA4" w14:textId="77777777" w:rsidR="00FE6DAC" w:rsidRPr="005F44EF" w:rsidRDefault="00FE6DAC" w:rsidP="005F44EF">
            <w:pPr>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43.73</w:t>
            </w:r>
          </w:p>
        </w:tc>
      </w:tr>
      <w:tr w:rsidR="00FE6DAC" w:rsidRPr="005F44EF" w14:paraId="4977E55C" w14:textId="77777777" w:rsidTr="005F44EF">
        <w:trPr>
          <w:trHeight w:val="219"/>
        </w:trPr>
        <w:tc>
          <w:tcPr>
            <w:tcW w:w="1104" w:type="dxa"/>
            <w:vAlign w:val="center"/>
          </w:tcPr>
          <w:p w14:paraId="4991316E"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17</w:t>
            </w:r>
          </w:p>
        </w:tc>
        <w:tc>
          <w:tcPr>
            <w:tcW w:w="1121" w:type="dxa"/>
            <w:vAlign w:val="center"/>
          </w:tcPr>
          <w:p w14:paraId="622225DF"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1.7</w:t>
            </w:r>
          </w:p>
        </w:tc>
        <w:tc>
          <w:tcPr>
            <w:tcW w:w="1020" w:type="dxa"/>
            <w:vAlign w:val="center"/>
          </w:tcPr>
          <w:p w14:paraId="5313BED7"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D1</w:t>
            </w:r>
          </w:p>
        </w:tc>
        <w:tc>
          <w:tcPr>
            <w:tcW w:w="1067" w:type="dxa"/>
            <w:vAlign w:val="center"/>
          </w:tcPr>
          <w:p w14:paraId="378D2E59"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5.09</w:t>
            </w:r>
          </w:p>
        </w:tc>
        <w:tc>
          <w:tcPr>
            <w:tcW w:w="1414" w:type="dxa"/>
            <w:vAlign w:val="center"/>
          </w:tcPr>
          <w:p w14:paraId="3E37E9EB"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14.60</w:t>
            </w:r>
          </w:p>
        </w:tc>
        <w:tc>
          <w:tcPr>
            <w:tcW w:w="1240" w:type="dxa"/>
            <w:vAlign w:val="center"/>
          </w:tcPr>
          <w:p w14:paraId="0215B132" w14:textId="23492F2F"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38.8</w:t>
            </w:r>
          </w:p>
        </w:tc>
        <w:tc>
          <w:tcPr>
            <w:tcW w:w="1258" w:type="dxa"/>
            <w:vAlign w:val="center"/>
          </w:tcPr>
          <w:p w14:paraId="2442C49A"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22.65</w:t>
            </w:r>
          </w:p>
        </w:tc>
        <w:tc>
          <w:tcPr>
            <w:tcW w:w="1274" w:type="dxa"/>
            <w:vAlign w:val="center"/>
          </w:tcPr>
          <w:p w14:paraId="307D1413"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38.55</w:t>
            </w:r>
          </w:p>
        </w:tc>
      </w:tr>
      <w:tr w:rsidR="00FE6DAC" w:rsidRPr="005F44EF" w14:paraId="2A552F58" w14:textId="77777777" w:rsidTr="005F44EF">
        <w:trPr>
          <w:trHeight w:val="219"/>
        </w:trPr>
        <w:tc>
          <w:tcPr>
            <w:tcW w:w="1104" w:type="dxa"/>
            <w:vAlign w:val="center"/>
          </w:tcPr>
          <w:p w14:paraId="17A6C6B4"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18</w:t>
            </w:r>
          </w:p>
        </w:tc>
        <w:tc>
          <w:tcPr>
            <w:tcW w:w="1121" w:type="dxa"/>
            <w:vAlign w:val="center"/>
          </w:tcPr>
          <w:p w14:paraId="7421976B"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1.8</w:t>
            </w:r>
          </w:p>
        </w:tc>
        <w:tc>
          <w:tcPr>
            <w:tcW w:w="1020" w:type="dxa"/>
            <w:vAlign w:val="center"/>
          </w:tcPr>
          <w:p w14:paraId="47BACE45"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D1</w:t>
            </w:r>
          </w:p>
        </w:tc>
        <w:tc>
          <w:tcPr>
            <w:tcW w:w="1067" w:type="dxa"/>
            <w:vAlign w:val="center"/>
          </w:tcPr>
          <w:p w14:paraId="64880435"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6.30</w:t>
            </w:r>
          </w:p>
        </w:tc>
        <w:tc>
          <w:tcPr>
            <w:tcW w:w="1414" w:type="dxa"/>
            <w:vAlign w:val="center"/>
          </w:tcPr>
          <w:p w14:paraId="5116489C"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13.44</w:t>
            </w:r>
          </w:p>
        </w:tc>
        <w:tc>
          <w:tcPr>
            <w:tcW w:w="1240" w:type="dxa"/>
            <w:vAlign w:val="center"/>
          </w:tcPr>
          <w:p w14:paraId="5EEC5CF7" w14:textId="31BB4592"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39.33</w:t>
            </w:r>
          </w:p>
        </w:tc>
        <w:tc>
          <w:tcPr>
            <w:tcW w:w="1258" w:type="dxa"/>
            <w:vAlign w:val="center"/>
          </w:tcPr>
          <w:p w14:paraId="108B00D3"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20.65</w:t>
            </w:r>
          </w:p>
        </w:tc>
        <w:tc>
          <w:tcPr>
            <w:tcW w:w="1274" w:type="dxa"/>
            <w:vAlign w:val="center"/>
          </w:tcPr>
          <w:p w14:paraId="3FAB5128"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40.02</w:t>
            </w:r>
          </w:p>
        </w:tc>
      </w:tr>
      <w:tr w:rsidR="00FE6DAC" w:rsidRPr="005F44EF" w14:paraId="350F344E" w14:textId="77777777" w:rsidTr="005F44EF">
        <w:trPr>
          <w:trHeight w:val="219"/>
        </w:trPr>
        <w:tc>
          <w:tcPr>
            <w:tcW w:w="1104" w:type="dxa"/>
            <w:vAlign w:val="center"/>
          </w:tcPr>
          <w:p w14:paraId="21060535"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19</w:t>
            </w:r>
          </w:p>
        </w:tc>
        <w:tc>
          <w:tcPr>
            <w:tcW w:w="1121" w:type="dxa"/>
            <w:vAlign w:val="center"/>
          </w:tcPr>
          <w:p w14:paraId="7F028B9B"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1.9</w:t>
            </w:r>
          </w:p>
        </w:tc>
        <w:tc>
          <w:tcPr>
            <w:tcW w:w="1020" w:type="dxa"/>
            <w:vAlign w:val="center"/>
          </w:tcPr>
          <w:p w14:paraId="1FB2B2D8"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D1</w:t>
            </w:r>
          </w:p>
        </w:tc>
        <w:tc>
          <w:tcPr>
            <w:tcW w:w="1067" w:type="dxa"/>
            <w:vAlign w:val="center"/>
          </w:tcPr>
          <w:p w14:paraId="2583D3EC"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6.82</w:t>
            </w:r>
          </w:p>
        </w:tc>
        <w:tc>
          <w:tcPr>
            <w:tcW w:w="1414" w:type="dxa"/>
            <w:vAlign w:val="center"/>
          </w:tcPr>
          <w:p w14:paraId="4D65DB33"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13.88</w:t>
            </w:r>
          </w:p>
        </w:tc>
        <w:tc>
          <w:tcPr>
            <w:tcW w:w="1240" w:type="dxa"/>
            <w:vAlign w:val="center"/>
          </w:tcPr>
          <w:p w14:paraId="579724E5" w14:textId="64BEC6CD"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39.46</w:t>
            </w:r>
          </w:p>
        </w:tc>
        <w:tc>
          <w:tcPr>
            <w:tcW w:w="1258" w:type="dxa"/>
            <w:vAlign w:val="center"/>
          </w:tcPr>
          <w:p w14:paraId="31CC5359"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15.82</w:t>
            </w:r>
          </w:p>
        </w:tc>
        <w:tc>
          <w:tcPr>
            <w:tcW w:w="1274" w:type="dxa"/>
            <w:vAlign w:val="center"/>
          </w:tcPr>
          <w:p w14:paraId="06A64E1C"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44.72</w:t>
            </w:r>
          </w:p>
        </w:tc>
      </w:tr>
      <w:tr w:rsidR="00FE6DAC" w:rsidRPr="005F44EF" w14:paraId="70CF9B3A" w14:textId="77777777" w:rsidTr="005F44EF">
        <w:trPr>
          <w:trHeight w:val="219"/>
        </w:trPr>
        <w:tc>
          <w:tcPr>
            <w:tcW w:w="1104" w:type="dxa"/>
            <w:vAlign w:val="center"/>
          </w:tcPr>
          <w:p w14:paraId="23566DA7"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20</w:t>
            </w:r>
          </w:p>
        </w:tc>
        <w:tc>
          <w:tcPr>
            <w:tcW w:w="1121" w:type="dxa"/>
            <w:vAlign w:val="center"/>
          </w:tcPr>
          <w:p w14:paraId="45B966ED"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w:t>
            </w:r>
          </w:p>
        </w:tc>
        <w:tc>
          <w:tcPr>
            <w:tcW w:w="1020" w:type="dxa"/>
            <w:vAlign w:val="center"/>
          </w:tcPr>
          <w:p w14:paraId="74AE61F8"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D1</w:t>
            </w:r>
          </w:p>
        </w:tc>
        <w:tc>
          <w:tcPr>
            <w:tcW w:w="1067" w:type="dxa"/>
            <w:vAlign w:val="center"/>
          </w:tcPr>
          <w:p w14:paraId="60F1590F"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5.63</w:t>
            </w:r>
          </w:p>
        </w:tc>
        <w:tc>
          <w:tcPr>
            <w:tcW w:w="1414" w:type="dxa"/>
            <w:vAlign w:val="center"/>
          </w:tcPr>
          <w:p w14:paraId="25F278EE"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14.00</w:t>
            </w:r>
          </w:p>
        </w:tc>
        <w:tc>
          <w:tcPr>
            <w:tcW w:w="1240" w:type="dxa"/>
            <w:vAlign w:val="center"/>
          </w:tcPr>
          <w:p w14:paraId="62160C30" w14:textId="1EE93F38"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45.54</w:t>
            </w:r>
          </w:p>
        </w:tc>
        <w:tc>
          <w:tcPr>
            <w:tcW w:w="1258" w:type="dxa"/>
            <w:vAlign w:val="center"/>
          </w:tcPr>
          <w:p w14:paraId="2D65AFD7"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17.00</w:t>
            </w:r>
          </w:p>
        </w:tc>
        <w:tc>
          <w:tcPr>
            <w:tcW w:w="1274" w:type="dxa"/>
            <w:vAlign w:val="center"/>
          </w:tcPr>
          <w:p w14:paraId="31179583"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37.46</w:t>
            </w:r>
          </w:p>
        </w:tc>
      </w:tr>
      <w:tr w:rsidR="00FE6DAC" w:rsidRPr="005F44EF" w14:paraId="741B1973" w14:textId="77777777" w:rsidTr="005F44EF">
        <w:trPr>
          <w:trHeight w:val="219"/>
        </w:trPr>
        <w:tc>
          <w:tcPr>
            <w:tcW w:w="1104" w:type="dxa"/>
            <w:vAlign w:val="center"/>
          </w:tcPr>
          <w:p w14:paraId="6782FBB3"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21</w:t>
            </w:r>
          </w:p>
        </w:tc>
        <w:tc>
          <w:tcPr>
            <w:tcW w:w="1121" w:type="dxa"/>
            <w:vAlign w:val="center"/>
          </w:tcPr>
          <w:p w14:paraId="26FEF724"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2.2</w:t>
            </w:r>
          </w:p>
        </w:tc>
        <w:tc>
          <w:tcPr>
            <w:tcW w:w="1020" w:type="dxa"/>
            <w:vAlign w:val="center"/>
          </w:tcPr>
          <w:p w14:paraId="1E5BF63F"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D1</w:t>
            </w:r>
          </w:p>
        </w:tc>
        <w:tc>
          <w:tcPr>
            <w:tcW w:w="1067" w:type="dxa"/>
            <w:vAlign w:val="center"/>
          </w:tcPr>
          <w:p w14:paraId="4902A461"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5.59</w:t>
            </w:r>
          </w:p>
        </w:tc>
        <w:tc>
          <w:tcPr>
            <w:tcW w:w="1414" w:type="dxa"/>
            <w:vAlign w:val="center"/>
          </w:tcPr>
          <w:p w14:paraId="056900BF"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14.26</w:t>
            </w:r>
          </w:p>
        </w:tc>
        <w:tc>
          <w:tcPr>
            <w:tcW w:w="1240" w:type="dxa"/>
            <w:vAlign w:val="center"/>
          </w:tcPr>
          <w:p w14:paraId="284E5B42" w14:textId="0D74D57F"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41.37</w:t>
            </w:r>
          </w:p>
        </w:tc>
        <w:tc>
          <w:tcPr>
            <w:tcW w:w="1258" w:type="dxa"/>
            <w:vAlign w:val="center"/>
          </w:tcPr>
          <w:p w14:paraId="31321926"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13.05</w:t>
            </w:r>
          </w:p>
        </w:tc>
        <w:tc>
          <w:tcPr>
            <w:tcW w:w="1274" w:type="dxa"/>
            <w:vAlign w:val="center"/>
          </w:tcPr>
          <w:p w14:paraId="69FB98A0"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45.58</w:t>
            </w:r>
          </w:p>
        </w:tc>
      </w:tr>
      <w:tr w:rsidR="00FE6DAC" w:rsidRPr="005F44EF" w14:paraId="66E67353" w14:textId="77777777" w:rsidTr="005F44EF">
        <w:trPr>
          <w:trHeight w:val="219"/>
        </w:trPr>
        <w:tc>
          <w:tcPr>
            <w:tcW w:w="1104" w:type="dxa"/>
            <w:vAlign w:val="center"/>
          </w:tcPr>
          <w:p w14:paraId="4EAC3D20"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22</w:t>
            </w:r>
          </w:p>
        </w:tc>
        <w:tc>
          <w:tcPr>
            <w:tcW w:w="1121" w:type="dxa"/>
            <w:vAlign w:val="center"/>
          </w:tcPr>
          <w:p w14:paraId="40B1C147"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2.4</w:t>
            </w:r>
          </w:p>
        </w:tc>
        <w:tc>
          <w:tcPr>
            <w:tcW w:w="1020" w:type="dxa"/>
            <w:vAlign w:val="center"/>
          </w:tcPr>
          <w:p w14:paraId="7E5093A9"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D2</w:t>
            </w:r>
          </w:p>
        </w:tc>
        <w:tc>
          <w:tcPr>
            <w:tcW w:w="1067" w:type="dxa"/>
            <w:vAlign w:val="center"/>
          </w:tcPr>
          <w:p w14:paraId="743DB68C"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4.65</w:t>
            </w:r>
          </w:p>
        </w:tc>
        <w:tc>
          <w:tcPr>
            <w:tcW w:w="1414" w:type="dxa"/>
            <w:vAlign w:val="center"/>
          </w:tcPr>
          <w:p w14:paraId="7E91184F"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16.12</w:t>
            </w:r>
          </w:p>
        </w:tc>
        <w:tc>
          <w:tcPr>
            <w:tcW w:w="1240" w:type="dxa"/>
            <w:vAlign w:val="center"/>
          </w:tcPr>
          <w:p w14:paraId="1F5E8DDB" w14:textId="6BF5DBD6"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41.82</w:t>
            </w:r>
          </w:p>
        </w:tc>
        <w:tc>
          <w:tcPr>
            <w:tcW w:w="1258" w:type="dxa"/>
            <w:vAlign w:val="center"/>
          </w:tcPr>
          <w:p w14:paraId="601560A5"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12.28</w:t>
            </w:r>
          </w:p>
        </w:tc>
        <w:tc>
          <w:tcPr>
            <w:tcW w:w="1274" w:type="dxa"/>
            <w:vAlign w:val="center"/>
          </w:tcPr>
          <w:p w14:paraId="2F29852A"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45.90</w:t>
            </w:r>
          </w:p>
        </w:tc>
      </w:tr>
      <w:tr w:rsidR="00FE6DAC" w:rsidRPr="005F44EF" w14:paraId="6A2A9BEC" w14:textId="77777777" w:rsidTr="005F44EF">
        <w:trPr>
          <w:trHeight w:val="219"/>
        </w:trPr>
        <w:tc>
          <w:tcPr>
            <w:tcW w:w="1104" w:type="dxa"/>
            <w:vAlign w:val="center"/>
          </w:tcPr>
          <w:p w14:paraId="31E3138A"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23</w:t>
            </w:r>
          </w:p>
        </w:tc>
        <w:tc>
          <w:tcPr>
            <w:tcW w:w="1121" w:type="dxa"/>
            <w:vAlign w:val="center"/>
          </w:tcPr>
          <w:p w14:paraId="6F716D8C"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2.6</w:t>
            </w:r>
          </w:p>
        </w:tc>
        <w:tc>
          <w:tcPr>
            <w:tcW w:w="1020" w:type="dxa"/>
            <w:vAlign w:val="center"/>
          </w:tcPr>
          <w:p w14:paraId="6D847A95"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D2</w:t>
            </w:r>
          </w:p>
        </w:tc>
        <w:tc>
          <w:tcPr>
            <w:tcW w:w="1067" w:type="dxa"/>
            <w:vAlign w:val="center"/>
          </w:tcPr>
          <w:p w14:paraId="0E5FA789"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4.63</w:t>
            </w:r>
          </w:p>
        </w:tc>
        <w:tc>
          <w:tcPr>
            <w:tcW w:w="1414" w:type="dxa"/>
            <w:vAlign w:val="center"/>
          </w:tcPr>
          <w:p w14:paraId="06AADA8F"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18.44</w:t>
            </w:r>
          </w:p>
        </w:tc>
        <w:tc>
          <w:tcPr>
            <w:tcW w:w="1240" w:type="dxa"/>
            <w:vAlign w:val="center"/>
          </w:tcPr>
          <w:p w14:paraId="638F64BB" w14:textId="570D72D1"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40.57</w:t>
            </w:r>
          </w:p>
        </w:tc>
        <w:tc>
          <w:tcPr>
            <w:tcW w:w="1258" w:type="dxa"/>
            <w:vAlign w:val="center"/>
          </w:tcPr>
          <w:p w14:paraId="32D11333"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12.49</w:t>
            </w:r>
          </w:p>
        </w:tc>
        <w:tc>
          <w:tcPr>
            <w:tcW w:w="1274" w:type="dxa"/>
            <w:vAlign w:val="center"/>
          </w:tcPr>
          <w:p w14:paraId="19DA6392"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46.94</w:t>
            </w:r>
          </w:p>
        </w:tc>
      </w:tr>
      <w:tr w:rsidR="00FE6DAC" w:rsidRPr="005F44EF" w14:paraId="05D1F467" w14:textId="77777777" w:rsidTr="005F44EF">
        <w:trPr>
          <w:trHeight w:val="219"/>
        </w:trPr>
        <w:tc>
          <w:tcPr>
            <w:tcW w:w="1104" w:type="dxa"/>
            <w:vAlign w:val="center"/>
          </w:tcPr>
          <w:p w14:paraId="7FAC9C4D"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24</w:t>
            </w:r>
          </w:p>
        </w:tc>
        <w:tc>
          <w:tcPr>
            <w:tcW w:w="1121" w:type="dxa"/>
            <w:vAlign w:val="center"/>
          </w:tcPr>
          <w:p w14:paraId="1BF52192"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2.8</w:t>
            </w:r>
          </w:p>
        </w:tc>
        <w:tc>
          <w:tcPr>
            <w:tcW w:w="1020" w:type="dxa"/>
            <w:vAlign w:val="center"/>
          </w:tcPr>
          <w:p w14:paraId="2615B196"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D2</w:t>
            </w:r>
          </w:p>
        </w:tc>
        <w:tc>
          <w:tcPr>
            <w:tcW w:w="1067" w:type="dxa"/>
            <w:vAlign w:val="center"/>
          </w:tcPr>
          <w:p w14:paraId="294A8F46"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4.89</w:t>
            </w:r>
          </w:p>
        </w:tc>
        <w:tc>
          <w:tcPr>
            <w:tcW w:w="1414" w:type="dxa"/>
            <w:vAlign w:val="center"/>
          </w:tcPr>
          <w:p w14:paraId="2C674AB8"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21.54</w:t>
            </w:r>
          </w:p>
        </w:tc>
        <w:tc>
          <w:tcPr>
            <w:tcW w:w="1240" w:type="dxa"/>
            <w:vAlign w:val="center"/>
          </w:tcPr>
          <w:p w14:paraId="11AA49F7" w14:textId="5C33BEAD"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39.89</w:t>
            </w:r>
          </w:p>
        </w:tc>
        <w:tc>
          <w:tcPr>
            <w:tcW w:w="1258" w:type="dxa"/>
            <w:vAlign w:val="center"/>
          </w:tcPr>
          <w:p w14:paraId="6CE07829"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13.04</w:t>
            </w:r>
          </w:p>
        </w:tc>
        <w:tc>
          <w:tcPr>
            <w:tcW w:w="1274" w:type="dxa"/>
            <w:vAlign w:val="center"/>
          </w:tcPr>
          <w:p w14:paraId="7A6EC03E"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47.07</w:t>
            </w:r>
          </w:p>
        </w:tc>
      </w:tr>
      <w:tr w:rsidR="00FE6DAC" w:rsidRPr="005F44EF" w14:paraId="767E6FD8" w14:textId="77777777" w:rsidTr="005F44EF">
        <w:trPr>
          <w:trHeight w:val="219"/>
        </w:trPr>
        <w:tc>
          <w:tcPr>
            <w:tcW w:w="1104" w:type="dxa"/>
            <w:vAlign w:val="center"/>
          </w:tcPr>
          <w:p w14:paraId="6299B9DB"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25</w:t>
            </w:r>
          </w:p>
        </w:tc>
        <w:tc>
          <w:tcPr>
            <w:tcW w:w="1121" w:type="dxa"/>
            <w:vAlign w:val="center"/>
          </w:tcPr>
          <w:p w14:paraId="3E7BE75E"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3</w:t>
            </w:r>
          </w:p>
        </w:tc>
        <w:tc>
          <w:tcPr>
            <w:tcW w:w="1020" w:type="dxa"/>
            <w:vAlign w:val="center"/>
          </w:tcPr>
          <w:p w14:paraId="3267CEB3"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D2</w:t>
            </w:r>
          </w:p>
        </w:tc>
        <w:tc>
          <w:tcPr>
            <w:tcW w:w="1067" w:type="dxa"/>
            <w:vAlign w:val="center"/>
          </w:tcPr>
          <w:p w14:paraId="537182CA"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4.58</w:t>
            </w:r>
          </w:p>
        </w:tc>
        <w:tc>
          <w:tcPr>
            <w:tcW w:w="1414" w:type="dxa"/>
            <w:vAlign w:val="center"/>
          </w:tcPr>
          <w:p w14:paraId="44B37073"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23.66</w:t>
            </w:r>
          </w:p>
        </w:tc>
        <w:tc>
          <w:tcPr>
            <w:tcW w:w="1240" w:type="dxa"/>
            <w:vAlign w:val="center"/>
          </w:tcPr>
          <w:p w14:paraId="32EDC94A" w14:textId="171C445B"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41.53</w:t>
            </w:r>
          </w:p>
        </w:tc>
        <w:tc>
          <w:tcPr>
            <w:tcW w:w="1258" w:type="dxa"/>
            <w:vAlign w:val="center"/>
          </w:tcPr>
          <w:p w14:paraId="7FC6A091"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14.10</w:t>
            </w:r>
          </w:p>
        </w:tc>
        <w:tc>
          <w:tcPr>
            <w:tcW w:w="1274" w:type="dxa"/>
            <w:vAlign w:val="center"/>
          </w:tcPr>
          <w:p w14:paraId="020AE1A0"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44.37</w:t>
            </w:r>
          </w:p>
        </w:tc>
      </w:tr>
      <w:tr w:rsidR="00FE6DAC" w:rsidRPr="005F44EF" w14:paraId="29FBAF16" w14:textId="77777777" w:rsidTr="005F44EF">
        <w:trPr>
          <w:trHeight w:val="219"/>
        </w:trPr>
        <w:tc>
          <w:tcPr>
            <w:tcW w:w="1104" w:type="dxa"/>
            <w:vAlign w:val="center"/>
          </w:tcPr>
          <w:p w14:paraId="6B959E90"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26</w:t>
            </w:r>
          </w:p>
        </w:tc>
        <w:tc>
          <w:tcPr>
            <w:tcW w:w="1121" w:type="dxa"/>
            <w:vAlign w:val="center"/>
          </w:tcPr>
          <w:p w14:paraId="65F0FD36"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3.2</w:t>
            </w:r>
          </w:p>
        </w:tc>
        <w:tc>
          <w:tcPr>
            <w:tcW w:w="1020" w:type="dxa"/>
            <w:vAlign w:val="center"/>
          </w:tcPr>
          <w:p w14:paraId="692EE70B"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D2</w:t>
            </w:r>
          </w:p>
        </w:tc>
        <w:tc>
          <w:tcPr>
            <w:tcW w:w="1067" w:type="dxa"/>
            <w:vAlign w:val="center"/>
          </w:tcPr>
          <w:p w14:paraId="47627673"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4.53</w:t>
            </w:r>
          </w:p>
        </w:tc>
        <w:tc>
          <w:tcPr>
            <w:tcW w:w="1414" w:type="dxa"/>
            <w:vAlign w:val="center"/>
          </w:tcPr>
          <w:p w14:paraId="2766F15F"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19.72</w:t>
            </w:r>
          </w:p>
        </w:tc>
        <w:tc>
          <w:tcPr>
            <w:tcW w:w="1240" w:type="dxa"/>
            <w:vAlign w:val="center"/>
          </w:tcPr>
          <w:p w14:paraId="334689F3" w14:textId="2000ABB9"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41.65</w:t>
            </w:r>
          </w:p>
        </w:tc>
        <w:tc>
          <w:tcPr>
            <w:tcW w:w="1258" w:type="dxa"/>
            <w:vAlign w:val="center"/>
          </w:tcPr>
          <w:p w14:paraId="59CC079A"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12.96</w:t>
            </w:r>
          </w:p>
        </w:tc>
        <w:tc>
          <w:tcPr>
            <w:tcW w:w="1274" w:type="dxa"/>
            <w:vAlign w:val="center"/>
          </w:tcPr>
          <w:p w14:paraId="034C87A0"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45.39</w:t>
            </w:r>
          </w:p>
        </w:tc>
      </w:tr>
      <w:tr w:rsidR="00FE6DAC" w:rsidRPr="005F44EF" w14:paraId="08BC4AE5" w14:textId="77777777" w:rsidTr="005F44EF">
        <w:trPr>
          <w:trHeight w:val="219"/>
        </w:trPr>
        <w:tc>
          <w:tcPr>
            <w:tcW w:w="1104" w:type="dxa"/>
            <w:vAlign w:val="center"/>
          </w:tcPr>
          <w:p w14:paraId="3778AE0B"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27</w:t>
            </w:r>
          </w:p>
        </w:tc>
        <w:tc>
          <w:tcPr>
            <w:tcW w:w="1121" w:type="dxa"/>
            <w:vAlign w:val="center"/>
          </w:tcPr>
          <w:p w14:paraId="2BB9BEAE"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3.4</w:t>
            </w:r>
          </w:p>
        </w:tc>
        <w:tc>
          <w:tcPr>
            <w:tcW w:w="1020" w:type="dxa"/>
            <w:vAlign w:val="center"/>
          </w:tcPr>
          <w:p w14:paraId="0FD4D528"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D2</w:t>
            </w:r>
          </w:p>
        </w:tc>
        <w:tc>
          <w:tcPr>
            <w:tcW w:w="1067" w:type="dxa"/>
            <w:vAlign w:val="center"/>
          </w:tcPr>
          <w:p w14:paraId="73021EFE"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4.40</w:t>
            </w:r>
          </w:p>
        </w:tc>
        <w:tc>
          <w:tcPr>
            <w:tcW w:w="1414" w:type="dxa"/>
            <w:vAlign w:val="center"/>
          </w:tcPr>
          <w:p w14:paraId="336BF0B5"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16.94</w:t>
            </w:r>
          </w:p>
        </w:tc>
        <w:tc>
          <w:tcPr>
            <w:tcW w:w="1240" w:type="dxa"/>
            <w:vAlign w:val="center"/>
          </w:tcPr>
          <w:p w14:paraId="4EFE2219" w14:textId="2EA61319"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43.49</w:t>
            </w:r>
          </w:p>
        </w:tc>
        <w:tc>
          <w:tcPr>
            <w:tcW w:w="1258" w:type="dxa"/>
            <w:vAlign w:val="center"/>
          </w:tcPr>
          <w:p w14:paraId="6CFF1026"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12.16</w:t>
            </w:r>
          </w:p>
        </w:tc>
        <w:tc>
          <w:tcPr>
            <w:tcW w:w="1274" w:type="dxa"/>
            <w:vAlign w:val="center"/>
          </w:tcPr>
          <w:p w14:paraId="101B774C"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44.35</w:t>
            </w:r>
          </w:p>
        </w:tc>
      </w:tr>
      <w:tr w:rsidR="00FE6DAC" w:rsidRPr="005F44EF" w14:paraId="7AE6C778" w14:textId="77777777" w:rsidTr="005F44EF">
        <w:trPr>
          <w:trHeight w:val="219"/>
        </w:trPr>
        <w:tc>
          <w:tcPr>
            <w:tcW w:w="1104" w:type="dxa"/>
            <w:vAlign w:val="center"/>
          </w:tcPr>
          <w:p w14:paraId="3A91F414"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28</w:t>
            </w:r>
          </w:p>
        </w:tc>
        <w:tc>
          <w:tcPr>
            <w:tcW w:w="1121" w:type="dxa"/>
            <w:vAlign w:val="center"/>
          </w:tcPr>
          <w:p w14:paraId="0C4D88A6"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3.6</w:t>
            </w:r>
          </w:p>
        </w:tc>
        <w:tc>
          <w:tcPr>
            <w:tcW w:w="1020" w:type="dxa"/>
            <w:vAlign w:val="center"/>
          </w:tcPr>
          <w:p w14:paraId="157FF291"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D2</w:t>
            </w:r>
          </w:p>
        </w:tc>
        <w:tc>
          <w:tcPr>
            <w:tcW w:w="1067" w:type="dxa"/>
            <w:vAlign w:val="center"/>
          </w:tcPr>
          <w:p w14:paraId="6889693C"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4.74</w:t>
            </w:r>
          </w:p>
        </w:tc>
        <w:tc>
          <w:tcPr>
            <w:tcW w:w="1414" w:type="dxa"/>
            <w:vAlign w:val="center"/>
          </w:tcPr>
          <w:p w14:paraId="7A97045A"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15.72</w:t>
            </w:r>
          </w:p>
        </w:tc>
        <w:tc>
          <w:tcPr>
            <w:tcW w:w="1240" w:type="dxa"/>
            <w:vAlign w:val="center"/>
          </w:tcPr>
          <w:p w14:paraId="0E8EDD92" w14:textId="4ED1C250"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42.78</w:t>
            </w:r>
          </w:p>
        </w:tc>
        <w:tc>
          <w:tcPr>
            <w:tcW w:w="1258" w:type="dxa"/>
            <w:vAlign w:val="center"/>
          </w:tcPr>
          <w:p w14:paraId="628FA78A"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12.27</w:t>
            </w:r>
          </w:p>
        </w:tc>
        <w:tc>
          <w:tcPr>
            <w:tcW w:w="1274" w:type="dxa"/>
            <w:vAlign w:val="center"/>
          </w:tcPr>
          <w:p w14:paraId="3C1B35AB"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44.95</w:t>
            </w:r>
          </w:p>
        </w:tc>
      </w:tr>
      <w:tr w:rsidR="00FE6DAC" w:rsidRPr="005F44EF" w14:paraId="702CB87E" w14:textId="77777777" w:rsidTr="005F44EF">
        <w:trPr>
          <w:trHeight w:val="219"/>
        </w:trPr>
        <w:tc>
          <w:tcPr>
            <w:tcW w:w="1104" w:type="dxa"/>
            <w:vAlign w:val="center"/>
          </w:tcPr>
          <w:p w14:paraId="027F4B72"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29</w:t>
            </w:r>
          </w:p>
        </w:tc>
        <w:tc>
          <w:tcPr>
            <w:tcW w:w="1121" w:type="dxa"/>
            <w:vAlign w:val="center"/>
          </w:tcPr>
          <w:p w14:paraId="687E09D6"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3.8</w:t>
            </w:r>
          </w:p>
        </w:tc>
        <w:tc>
          <w:tcPr>
            <w:tcW w:w="1020" w:type="dxa"/>
            <w:vAlign w:val="center"/>
          </w:tcPr>
          <w:p w14:paraId="464C4424"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D2</w:t>
            </w:r>
          </w:p>
        </w:tc>
        <w:tc>
          <w:tcPr>
            <w:tcW w:w="1067" w:type="dxa"/>
            <w:vAlign w:val="center"/>
          </w:tcPr>
          <w:p w14:paraId="76DEEB0C"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4.48</w:t>
            </w:r>
          </w:p>
        </w:tc>
        <w:tc>
          <w:tcPr>
            <w:tcW w:w="1414" w:type="dxa"/>
            <w:vAlign w:val="center"/>
          </w:tcPr>
          <w:p w14:paraId="60EC209F"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13.64</w:t>
            </w:r>
          </w:p>
        </w:tc>
        <w:tc>
          <w:tcPr>
            <w:tcW w:w="1240" w:type="dxa"/>
            <w:vAlign w:val="center"/>
          </w:tcPr>
          <w:p w14:paraId="5DAC57F0" w14:textId="210C9245"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46.14</w:t>
            </w:r>
          </w:p>
        </w:tc>
        <w:tc>
          <w:tcPr>
            <w:tcW w:w="1258" w:type="dxa"/>
            <w:vAlign w:val="center"/>
          </w:tcPr>
          <w:p w14:paraId="714341B2"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13.72</w:t>
            </w:r>
          </w:p>
        </w:tc>
        <w:tc>
          <w:tcPr>
            <w:tcW w:w="1274" w:type="dxa"/>
            <w:vAlign w:val="center"/>
          </w:tcPr>
          <w:p w14:paraId="3C3C4B97"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40.14</w:t>
            </w:r>
          </w:p>
        </w:tc>
      </w:tr>
      <w:tr w:rsidR="00FE6DAC" w:rsidRPr="005F44EF" w14:paraId="5B835343" w14:textId="77777777" w:rsidTr="005F44EF">
        <w:trPr>
          <w:trHeight w:val="219"/>
        </w:trPr>
        <w:tc>
          <w:tcPr>
            <w:tcW w:w="1104" w:type="dxa"/>
            <w:vAlign w:val="center"/>
          </w:tcPr>
          <w:p w14:paraId="7EAEB567"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30</w:t>
            </w:r>
          </w:p>
        </w:tc>
        <w:tc>
          <w:tcPr>
            <w:tcW w:w="1121" w:type="dxa"/>
            <w:vAlign w:val="center"/>
          </w:tcPr>
          <w:p w14:paraId="0F722589"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w:t>
            </w:r>
          </w:p>
        </w:tc>
        <w:tc>
          <w:tcPr>
            <w:tcW w:w="1020" w:type="dxa"/>
            <w:vAlign w:val="center"/>
          </w:tcPr>
          <w:p w14:paraId="2916A8A7"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D3</w:t>
            </w:r>
          </w:p>
        </w:tc>
        <w:tc>
          <w:tcPr>
            <w:tcW w:w="1067" w:type="dxa"/>
            <w:vAlign w:val="center"/>
          </w:tcPr>
          <w:p w14:paraId="6550C4C4"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4.37</w:t>
            </w:r>
          </w:p>
        </w:tc>
        <w:tc>
          <w:tcPr>
            <w:tcW w:w="1414" w:type="dxa"/>
            <w:vAlign w:val="center"/>
          </w:tcPr>
          <w:p w14:paraId="66997296"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9.46</w:t>
            </w:r>
          </w:p>
        </w:tc>
        <w:tc>
          <w:tcPr>
            <w:tcW w:w="1240" w:type="dxa"/>
            <w:vAlign w:val="center"/>
          </w:tcPr>
          <w:p w14:paraId="27CDC71A" w14:textId="0BF48D00"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41.63</w:t>
            </w:r>
          </w:p>
        </w:tc>
        <w:tc>
          <w:tcPr>
            <w:tcW w:w="1258" w:type="dxa"/>
            <w:vAlign w:val="center"/>
          </w:tcPr>
          <w:p w14:paraId="0C7D23D3"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12.37</w:t>
            </w:r>
          </w:p>
        </w:tc>
        <w:tc>
          <w:tcPr>
            <w:tcW w:w="1274" w:type="dxa"/>
            <w:vAlign w:val="center"/>
          </w:tcPr>
          <w:p w14:paraId="37D402FC"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46.00</w:t>
            </w:r>
          </w:p>
        </w:tc>
      </w:tr>
      <w:tr w:rsidR="00FE6DAC" w:rsidRPr="005F44EF" w14:paraId="4D34FC2E" w14:textId="77777777" w:rsidTr="005F44EF">
        <w:trPr>
          <w:trHeight w:val="219"/>
        </w:trPr>
        <w:tc>
          <w:tcPr>
            <w:tcW w:w="1104" w:type="dxa"/>
            <w:vAlign w:val="center"/>
          </w:tcPr>
          <w:p w14:paraId="581E29C0"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31</w:t>
            </w:r>
          </w:p>
        </w:tc>
        <w:tc>
          <w:tcPr>
            <w:tcW w:w="1121" w:type="dxa"/>
            <w:vAlign w:val="center"/>
          </w:tcPr>
          <w:p w14:paraId="1834809F"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4.2</w:t>
            </w:r>
          </w:p>
        </w:tc>
        <w:tc>
          <w:tcPr>
            <w:tcW w:w="1020" w:type="dxa"/>
            <w:vAlign w:val="center"/>
          </w:tcPr>
          <w:p w14:paraId="31370D62"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D3</w:t>
            </w:r>
          </w:p>
        </w:tc>
        <w:tc>
          <w:tcPr>
            <w:tcW w:w="1067" w:type="dxa"/>
            <w:vAlign w:val="center"/>
          </w:tcPr>
          <w:p w14:paraId="2809363B"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4.98</w:t>
            </w:r>
          </w:p>
        </w:tc>
        <w:tc>
          <w:tcPr>
            <w:tcW w:w="1414" w:type="dxa"/>
            <w:vAlign w:val="center"/>
          </w:tcPr>
          <w:p w14:paraId="04722FCF"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10.44</w:t>
            </w:r>
          </w:p>
        </w:tc>
        <w:tc>
          <w:tcPr>
            <w:tcW w:w="1240" w:type="dxa"/>
            <w:vAlign w:val="center"/>
          </w:tcPr>
          <w:p w14:paraId="2BA0B86C" w14:textId="74724A1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48.54</w:t>
            </w:r>
          </w:p>
        </w:tc>
        <w:tc>
          <w:tcPr>
            <w:tcW w:w="1258" w:type="dxa"/>
            <w:vAlign w:val="center"/>
          </w:tcPr>
          <w:p w14:paraId="6FD5E2CE"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15.58</w:t>
            </w:r>
          </w:p>
        </w:tc>
        <w:tc>
          <w:tcPr>
            <w:tcW w:w="1274" w:type="dxa"/>
            <w:vAlign w:val="center"/>
          </w:tcPr>
          <w:p w14:paraId="7B6AD9DD"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35.88</w:t>
            </w:r>
          </w:p>
        </w:tc>
      </w:tr>
      <w:tr w:rsidR="00FE6DAC" w:rsidRPr="005F44EF" w14:paraId="1ED2F14C" w14:textId="77777777" w:rsidTr="005F44EF">
        <w:trPr>
          <w:trHeight w:val="219"/>
        </w:trPr>
        <w:tc>
          <w:tcPr>
            <w:tcW w:w="1104" w:type="dxa"/>
            <w:vAlign w:val="center"/>
          </w:tcPr>
          <w:p w14:paraId="04BB4529"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32</w:t>
            </w:r>
          </w:p>
        </w:tc>
        <w:tc>
          <w:tcPr>
            <w:tcW w:w="1121" w:type="dxa"/>
            <w:vAlign w:val="center"/>
          </w:tcPr>
          <w:p w14:paraId="1F58DE35"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4.4</w:t>
            </w:r>
          </w:p>
        </w:tc>
        <w:tc>
          <w:tcPr>
            <w:tcW w:w="1020" w:type="dxa"/>
            <w:vAlign w:val="center"/>
          </w:tcPr>
          <w:p w14:paraId="2F516674"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D3</w:t>
            </w:r>
          </w:p>
        </w:tc>
        <w:tc>
          <w:tcPr>
            <w:tcW w:w="1067" w:type="dxa"/>
            <w:vAlign w:val="center"/>
          </w:tcPr>
          <w:p w14:paraId="60D449C1"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3.94</w:t>
            </w:r>
          </w:p>
        </w:tc>
        <w:tc>
          <w:tcPr>
            <w:tcW w:w="1414" w:type="dxa"/>
            <w:vAlign w:val="center"/>
          </w:tcPr>
          <w:p w14:paraId="4B1E543E"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11.20</w:t>
            </w:r>
          </w:p>
        </w:tc>
        <w:tc>
          <w:tcPr>
            <w:tcW w:w="1240" w:type="dxa"/>
            <w:vAlign w:val="center"/>
          </w:tcPr>
          <w:p w14:paraId="6592B446" w14:textId="6600FCB6"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42.91</w:t>
            </w:r>
          </w:p>
        </w:tc>
        <w:tc>
          <w:tcPr>
            <w:tcW w:w="1258" w:type="dxa"/>
            <w:vAlign w:val="center"/>
          </w:tcPr>
          <w:p w14:paraId="48662B82"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13.06</w:t>
            </w:r>
          </w:p>
        </w:tc>
        <w:tc>
          <w:tcPr>
            <w:tcW w:w="1274" w:type="dxa"/>
            <w:vAlign w:val="center"/>
          </w:tcPr>
          <w:p w14:paraId="129FFDA9"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44.03</w:t>
            </w:r>
          </w:p>
        </w:tc>
      </w:tr>
      <w:tr w:rsidR="00FE6DAC" w:rsidRPr="005F44EF" w14:paraId="7FB0CCEF" w14:textId="77777777" w:rsidTr="005F44EF">
        <w:trPr>
          <w:trHeight w:val="219"/>
        </w:trPr>
        <w:tc>
          <w:tcPr>
            <w:tcW w:w="1104" w:type="dxa"/>
            <w:vAlign w:val="center"/>
          </w:tcPr>
          <w:p w14:paraId="1D7FAD3B"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33</w:t>
            </w:r>
          </w:p>
        </w:tc>
        <w:tc>
          <w:tcPr>
            <w:tcW w:w="1121" w:type="dxa"/>
            <w:vAlign w:val="center"/>
          </w:tcPr>
          <w:p w14:paraId="462561E3"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4.6</w:t>
            </w:r>
          </w:p>
        </w:tc>
        <w:tc>
          <w:tcPr>
            <w:tcW w:w="1020" w:type="dxa"/>
            <w:vAlign w:val="center"/>
          </w:tcPr>
          <w:p w14:paraId="232916CF"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D3</w:t>
            </w:r>
          </w:p>
        </w:tc>
        <w:tc>
          <w:tcPr>
            <w:tcW w:w="1067" w:type="dxa"/>
            <w:vAlign w:val="center"/>
          </w:tcPr>
          <w:p w14:paraId="7A5CD8C4"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4.68</w:t>
            </w:r>
          </w:p>
        </w:tc>
        <w:tc>
          <w:tcPr>
            <w:tcW w:w="1414" w:type="dxa"/>
            <w:vAlign w:val="center"/>
          </w:tcPr>
          <w:p w14:paraId="56F4C1AD"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10.18</w:t>
            </w:r>
          </w:p>
        </w:tc>
        <w:tc>
          <w:tcPr>
            <w:tcW w:w="1240" w:type="dxa"/>
            <w:vAlign w:val="center"/>
          </w:tcPr>
          <w:p w14:paraId="06B6E809" w14:textId="444FEF3C"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38.78</w:t>
            </w:r>
          </w:p>
        </w:tc>
        <w:tc>
          <w:tcPr>
            <w:tcW w:w="1258" w:type="dxa"/>
            <w:vAlign w:val="center"/>
          </w:tcPr>
          <w:p w14:paraId="6DCA3FB8"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16.36</w:t>
            </w:r>
          </w:p>
        </w:tc>
        <w:tc>
          <w:tcPr>
            <w:tcW w:w="1274" w:type="dxa"/>
            <w:vAlign w:val="center"/>
          </w:tcPr>
          <w:p w14:paraId="02FB59CD"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44.86</w:t>
            </w:r>
          </w:p>
        </w:tc>
      </w:tr>
      <w:tr w:rsidR="00FE6DAC" w:rsidRPr="005F44EF" w14:paraId="676C1587" w14:textId="77777777" w:rsidTr="005F44EF">
        <w:trPr>
          <w:trHeight w:val="219"/>
        </w:trPr>
        <w:tc>
          <w:tcPr>
            <w:tcW w:w="1104" w:type="dxa"/>
            <w:vAlign w:val="center"/>
          </w:tcPr>
          <w:p w14:paraId="3CB2E743"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34</w:t>
            </w:r>
          </w:p>
        </w:tc>
        <w:tc>
          <w:tcPr>
            <w:tcW w:w="1121" w:type="dxa"/>
            <w:vAlign w:val="center"/>
          </w:tcPr>
          <w:p w14:paraId="365EB840"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4.8</w:t>
            </w:r>
          </w:p>
        </w:tc>
        <w:tc>
          <w:tcPr>
            <w:tcW w:w="1020" w:type="dxa"/>
            <w:vAlign w:val="center"/>
          </w:tcPr>
          <w:p w14:paraId="6ACF50F4"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D3</w:t>
            </w:r>
          </w:p>
        </w:tc>
        <w:tc>
          <w:tcPr>
            <w:tcW w:w="1067" w:type="dxa"/>
            <w:vAlign w:val="center"/>
          </w:tcPr>
          <w:p w14:paraId="2E619B73"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4.22</w:t>
            </w:r>
          </w:p>
        </w:tc>
        <w:tc>
          <w:tcPr>
            <w:tcW w:w="1414" w:type="dxa"/>
            <w:vAlign w:val="center"/>
          </w:tcPr>
          <w:p w14:paraId="71955986"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10.38</w:t>
            </w:r>
          </w:p>
        </w:tc>
        <w:tc>
          <w:tcPr>
            <w:tcW w:w="1240" w:type="dxa"/>
            <w:vAlign w:val="center"/>
          </w:tcPr>
          <w:p w14:paraId="09986637" w14:textId="256535B6"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39.91</w:t>
            </w:r>
          </w:p>
        </w:tc>
        <w:tc>
          <w:tcPr>
            <w:tcW w:w="1258" w:type="dxa"/>
            <w:vAlign w:val="center"/>
          </w:tcPr>
          <w:p w14:paraId="32D5046B"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14.29</w:t>
            </w:r>
          </w:p>
        </w:tc>
        <w:tc>
          <w:tcPr>
            <w:tcW w:w="1274" w:type="dxa"/>
            <w:vAlign w:val="center"/>
          </w:tcPr>
          <w:p w14:paraId="311756DC"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45.80</w:t>
            </w:r>
          </w:p>
        </w:tc>
      </w:tr>
      <w:tr w:rsidR="00FE6DAC" w:rsidRPr="005F44EF" w14:paraId="6CBE40B1" w14:textId="77777777" w:rsidTr="005F44EF">
        <w:trPr>
          <w:trHeight w:val="219"/>
        </w:trPr>
        <w:tc>
          <w:tcPr>
            <w:tcW w:w="1104" w:type="dxa"/>
            <w:vAlign w:val="center"/>
          </w:tcPr>
          <w:p w14:paraId="3882D38E"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35</w:t>
            </w:r>
          </w:p>
        </w:tc>
        <w:tc>
          <w:tcPr>
            <w:tcW w:w="1121" w:type="dxa"/>
            <w:vAlign w:val="center"/>
          </w:tcPr>
          <w:p w14:paraId="0DFABD90"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5</w:t>
            </w:r>
          </w:p>
        </w:tc>
        <w:tc>
          <w:tcPr>
            <w:tcW w:w="1020" w:type="dxa"/>
            <w:vAlign w:val="center"/>
          </w:tcPr>
          <w:p w14:paraId="67470205"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D3</w:t>
            </w:r>
          </w:p>
        </w:tc>
        <w:tc>
          <w:tcPr>
            <w:tcW w:w="1067" w:type="dxa"/>
            <w:vAlign w:val="center"/>
          </w:tcPr>
          <w:p w14:paraId="2A256950"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4.37</w:t>
            </w:r>
          </w:p>
        </w:tc>
        <w:tc>
          <w:tcPr>
            <w:tcW w:w="1414" w:type="dxa"/>
            <w:vAlign w:val="center"/>
          </w:tcPr>
          <w:p w14:paraId="7845E053"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9.84</w:t>
            </w:r>
          </w:p>
        </w:tc>
        <w:tc>
          <w:tcPr>
            <w:tcW w:w="1240" w:type="dxa"/>
            <w:vAlign w:val="center"/>
          </w:tcPr>
          <w:p w14:paraId="2BBBCE2F" w14:textId="08D77824"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42.08</w:t>
            </w:r>
          </w:p>
        </w:tc>
        <w:tc>
          <w:tcPr>
            <w:tcW w:w="1258" w:type="dxa"/>
            <w:vAlign w:val="center"/>
          </w:tcPr>
          <w:p w14:paraId="120F143D"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13.51</w:t>
            </w:r>
          </w:p>
        </w:tc>
        <w:tc>
          <w:tcPr>
            <w:tcW w:w="1274" w:type="dxa"/>
            <w:vAlign w:val="center"/>
          </w:tcPr>
          <w:p w14:paraId="67882347"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44.41</w:t>
            </w:r>
          </w:p>
        </w:tc>
      </w:tr>
      <w:tr w:rsidR="00FE6DAC" w:rsidRPr="005F44EF" w14:paraId="469E0761" w14:textId="77777777" w:rsidTr="005F44EF">
        <w:trPr>
          <w:trHeight w:val="219"/>
        </w:trPr>
        <w:tc>
          <w:tcPr>
            <w:tcW w:w="1104" w:type="dxa"/>
            <w:vAlign w:val="center"/>
          </w:tcPr>
          <w:p w14:paraId="59C4C7B3"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36</w:t>
            </w:r>
          </w:p>
        </w:tc>
        <w:tc>
          <w:tcPr>
            <w:tcW w:w="1121" w:type="dxa"/>
            <w:vAlign w:val="center"/>
          </w:tcPr>
          <w:p w14:paraId="6D2E128A"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5.2</w:t>
            </w:r>
          </w:p>
        </w:tc>
        <w:tc>
          <w:tcPr>
            <w:tcW w:w="1020" w:type="dxa"/>
            <w:vAlign w:val="center"/>
          </w:tcPr>
          <w:p w14:paraId="1B8A2348"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D3</w:t>
            </w:r>
          </w:p>
        </w:tc>
        <w:tc>
          <w:tcPr>
            <w:tcW w:w="1067" w:type="dxa"/>
            <w:vAlign w:val="center"/>
          </w:tcPr>
          <w:p w14:paraId="1D785168"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4.83</w:t>
            </w:r>
          </w:p>
        </w:tc>
        <w:tc>
          <w:tcPr>
            <w:tcW w:w="1414" w:type="dxa"/>
            <w:vAlign w:val="center"/>
          </w:tcPr>
          <w:p w14:paraId="2BD7CADD"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9.64</w:t>
            </w:r>
          </w:p>
        </w:tc>
        <w:tc>
          <w:tcPr>
            <w:tcW w:w="1240" w:type="dxa"/>
            <w:vAlign w:val="center"/>
          </w:tcPr>
          <w:p w14:paraId="108E5016" w14:textId="2F688DF9"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hAnsi="Times New Roman" w:cs="Times New Roman"/>
                <w:sz w:val="20"/>
                <w:szCs w:val="20"/>
              </w:rPr>
              <w:t>40.43</w:t>
            </w:r>
          </w:p>
        </w:tc>
        <w:tc>
          <w:tcPr>
            <w:tcW w:w="1258" w:type="dxa"/>
            <w:vAlign w:val="center"/>
          </w:tcPr>
          <w:p w14:paraId="132782A7"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14.39</w:t>
            </w:r>
          </w:p>
        </w:tc>
        <w:tc>
          <w:tcPr>
            <w:tcW w:w="1274" w:type="dxa"/>
            <w:vAlign w:val="center"/>
          </w:tcPr>
          <w:p w14:paraId="6DCC030D" w14:textId="77777777" w:rsidR="00FE6DAC" w:rsidRPr="005F44EF" w:rsidRDefault="00FE6DAC" w:rsidP="005F44EF">
            <w:pPr>
              <w:spacing w:line="276" w:lineRule="auto"/>
              <w:jc w:val="center"/>
              <w:rPr>
                <w:rFonts w:ascii="Times New Roman" w:eastAsia="Times New Roman" w:hAnsi="Times New Roman" w:cs="Times New Roman"/>
                <w:sz w:val="20"/>
                <w:szCs w:val="20"/>
              </w:rPr>
            </w:pPr>
            <w:r w:rsidRPr="005F44EF">
              <w:rPr>
                <w:rFonts w:ascii="Times New Roman" w:eastAsia="Times New Roman" w:hAnsi="Times New Roman" w:cs="Times New Roman"/>
                <w:sz w:val="20"/>
                <w:szCs w:val="20"/>
              </w:rPr>
              <w:t>45.18</w:t>
            </w:r>
          </w:p>
        </w:tc>
      </w:tr>
      <w:tr w:rsidR="00FE6DAC" w:rsidRPr="005F44EF" w14:paraId="099D7F47" w14:textId="77777777" w:rsidTr="005F44EF">
        <w:trPr>
          <w:trHeight w:val="219"/>
        </w:trPr>
        <w:tc>
          <w:tcPr>
            <w:tcW w:w="1104" w:type="dxa"/>
            <w:vAlign w:val="center"/>
          </w:tcPr>
          <w:p w14:paraId="378DDF3E" w14:textId="77777777" w:rsidR="00FE6DAC" w:rsidRPr="005F44EF" w:rsidRDefault="00FE6DAC" w:rsidP="005F44EF">
            <w:pPr>
              <w:jc w:val="center"/>
              <w:rPr>
                <w:rFonts w:ascii="Times New Roman" w:hAnsi="Times New Roman" w:cs="Times New Roman"/>
                <w:sz w:val="20"/>
                <w:szCs w:val="20"/>
              </w:rPr>
            </w:pPr>
            <w:r w:rsidRPr="005F44EF">
              <w:rPr>
                <w:rFonts w:ascii="Times New Roman" w:hAnsi="Times New Roman" w:cs="Times New Roman"/>
                <w:sz w:val="20"/>
                <w:szCs w:val="20"/>
              </w:rPr>
              <w:t>37</w:t>
            </w:r>
          </w:p>
        </w:tc>
        <w:tc>
          <w:tcPr>
            <w:tcW w:w="1121" w:type="dxa"/>
            <w:vAlign w:val="center"/>
          </w:tcPr>
          <w:p w14:paraId="58BA208B" w14:textId="77777777" w:rsidR="00FE6DAC" w:rsidRPr="005F44EF" w:rsidRDefault="00FE6DAC" w:rsidP="005F44EF">
            <w:pPr>
              <w:jc w:val="center"/>
              <w:rPr>
                <w:rFonts w:ascii="Times New Roman" w:hAnsi="Times New Roman" w:cs="Times New Roman"/>
                <w:sz w:val="20"/>
                <w:szCs w:val="20"/>
              </w:rPr>
            </w:pPr>
            <w:r w:rsidRPr="005F44EF">
              <w:rPr>
                <w:rFonts w:ascii="Times New Roman" w:hAnsi="Times New Roman" w:cs="Times New Roman"/>
                <w:sz w:val="20"/>
                <w:szCs w:val="20"/>
              </w:rPr>
              <w:t>5.4</w:t>
            </w:r>
          </w:p>
        </w:tc>
        <w:tc>
          <w:tcPr>
            <w:tcW w:w="1020" w:type="dxa"/>
            <w:vAlign w:val="center"/>
          </w:tcPr>
          <w:p w14:paraId="777F5839" w14:textId="77777777" w:rsidR="00FE6DAC" w:rsidRPr="005F44EF" w:rsidRDefault="00FE6DAC" w:rsidP="005F44EF">
            <w:pPr>
              <w:jc w:val="center"/>
              <w:rPr>
                <w:rFonts w:ascii="Times New Roman" w:hAnsi="Times New Roman" w:cs="Times New Roman"/>
                <w:sz w:val="20"/>
                <w:szCs w:val="20"/>
              </w:rPr>
            </w:pPr>
            <w:r w:rsidRPr="005F44EF">
              <w:rPr>
                <w:rFonts w:ascii="Times New Roman" w:hAnsi="Times New Roman" w:cs="Times New Roman"/>
                <w:sz w:val="20"/>
                <w:szCs w:val="20"/>
              </w:rPr>
              <w:t>D3</w:t>
            </w:r>
          </w:p>
        </w:tc>
        <w:tc>
          <w:tcPr>
            <w:tcW w:w="1067" w:type="dxa"/>
            <w:vAlign w:val="center"/>
          </w:tcPr>
          <w:p w14:paraId="6B6879D7" w14:textId="77777777" w:rsidR="00FE6DAC" w:rsidRPr="005F44EF" w:rsidRDefault="00FE6DAC" w:rsidP="005F44EF">
            <w:pPr>
              <w:jc w:val="center"/>
              <w:rPr>
                <w:rFonts w:ascii="Times New Roman" w:hAnsi="Times New Roman" w:cs="Times New Roman"/>
                <w:sz w:val="20"/>
                <w:szCs w:val="20"/>
              </w:rPr>
            </w:pPr>
            <w:r w:rsidRPr="005F44EF">
              <w:rPr>
                <w:rFonts w:ascii="Times New Roman" w:hAnsi="Times New Roman" w:cs="Times New Roman"/>
                <w:sz w:val="20"/>
                <w:szCs w:val="20"/>
              </w:rPr>
              <w:t>4.55</w:t>
            </w:r>
          </w:p>
        </w:tc>
        <w:tc>
          <w:tcPr>
            <w:tcW w:w="1414" w:type="dxa"/>
            <w:vAlign w:val="center"/>
          </w:tcPr>
          <w:p w14:paraId="2217261E" w14:textId="77777777" w:rsidR="00FE6DAC" w:rsidRPr="005F44EF" w:rsidRDefault="00FE6DAC" w:rsidP="005F44EF">
            <w:pPr>
              <w:jc w:val="center"/>
              <w:rPr>
                <w:rFonts w:ascii="Times New Roman" w:hAnsi="Times New Roman" w:cs="Times New Roman"/>
                <w:sz w:val="20"/>
                <w:szCs w:val="20"/>
              </w:rPr>
            </w:pPr>
            <w:r w:rsidRPr="005F44EF">
              <w:rPr>
                <w:rFonts w:ascii="Times New Roman" w:hAnsi="Times New Roman" w:cs="Times New Roman"/>
                <w:sz w:val="20"/>
                <w:szCs w:val="20"/>
              </w:rPr>
              <w:t>9.16</w:t>
            </w:r>
          </w:p>
        </w:tc>
        <w:tc>
          <w:tcPr>
            <w:tcW w:w="1240" w:type="dxa"/>
            <w:vAlign w:val="center"/>
          </w:tcPr>
          <w:p w14:paraId="6D1E0DDC" w14:textId="06D7B929" w:rsidR="00FE6DAC" w:rsidRPr="005F44EF" w:rsidRDefault="00FE6DAC" w:rsidP="005F44EF">
            <w:pPr>
              <w:jc w:val="center"/>
              <w:rPr>
                <w:rFonts w:ascii="Times New Roman" w:hAnsi="Times New Roman" w:cs="Times New Roman"/>
                <w:sz w:val="20"/>
                <w:szCs w:val="20"/>
              </w:rPr>
            </w:pPr>
            <w:r w:rsidRPr="005F44EF">
              <w:rPr>
                <w:rFonts w:ascii="Times New Roman" w:hAnsi="Times New Roman" w:cs="Times New Roman"/>
                <w:sz w:val="20"/>
                <w:szCs w:val="20"/>
              </w:rPr>
              <w:t>41.42</w:t>
            </w:r>
          </w:p>
        </w:tc>
        <w:tc>
          <w:tcPr>
            <w:tcW w:w="1258" w:type="dxa"/>
            <w:vAlign w:val="center"/>
          </w:tcPr>
          <w:p w14:paraId="59CC2CB8" w14:textId="77777777" w:rsidR="00FE6DAC" w:rsidRPr="005F44EF" w:rsidRDefault="00FE6DAC" w:rsidP="005F44EF">
            <w:pPr>
              <w:jc w:val="center"/>
              <w:rPr>
                <w:rFonts w:ascii="Times New Roman" w:hAnsi="Times New Roman" w:cs="Times New Roman"/>
                <w:sz w:val="20"/>
                <w:szCs w:val="20"/>
              </w:rPr>
            </w:pPr>
            <w:r w:rsidRPr="005F44EF">
              <w:rPr>
                <w:rFonts w:ascii="Times New Roman" w:hAnsi="Times New Roman" w:cs="Times New Roman"/>
                <w:sz w:val="20"/>
                <w:szCs w:val="20"/>
              </w:rPr>
              <w:t>11.72</w:t>
            </w:r>
          </w:p>
        </w:tc>
        <w:tc>
          <w:tcPr>
            <w:tcW w:w="1274" w:type="dxa"/>
            <w:vAlign w:val="center"/>
          </w:tcPr>
          <w:p w14:paraId="08DC61B8" w14:textId="77777777" w:rsidR="00FE6DAC" w:rsidRPr="005F44EF" w:rsidRDefault="00FE6DAC" w:rsidP="005F44EF">
            <w:pPr>
              <w:jc w:val="center"/>
              <w:rPr>
                <w:rFonts w:ascii="Times New Roman" w:hAnsi="Times New Roman" w:cs="Times New Roman"/>
                <w:sz w:val="20"/>
                <w:szCs w:val="20"/>
              </w:rPr>
            </w:pPr>
            <w:r w:rsidRPr="005F44EF">
              <w:rPr>
                <w:rFonts w:ascii="Times New Roman" w:hAnsi="Times New Roman" w:cs="Times New Roman"/>
                <w:sz w:val="20"/>
                <w:szCs w:val="20"/>
              </w:rPr>
              <w:t>46.86</w:t>
            </w:r>
          </w:p>
        </w:tc>
      </w:tr>
    </w:tbl>
    <w:p w14:paraId="2A10C505" w14:textId="77777777" w:rsidR="00BE42E9" w:rsidRPr="005F44EF" w:rsidRDefault="00BE42E9" w:rsidP="00BE42E9">
      <w:pPr>
        <w:rPr>
          <w:rFonts w:ascii="Times New Roman" w:hAnsi="Times New Roman" w:cs="Times New Roman"/>
        </w:rPr>
      </w:pPr>
    </w:p>
    <w:p w14:paraId="4D17DE88" w14:textId="77777777" w:rsidR="00BE42E9" w:rsidRPr="005F44EF" w:rsidRDefault="00BE42E9" w:rsidP="00BE42E9">
      <w:pPr>
        <w:rPr>
          <w:rFonts w:ascii="Times New Roman" w:hAnsi="Times New Roman" w:cs="Times New Roman"/>
        </w:rPr>
      </w:pPr>
    </w:p>
    <w:p w14:paraId="324AE71F" w14:textId="562E6650" w:rsidR="00BB7AA9" w:rsidRPr="005F44EF" w:rsidRDefault="00B9564D" w:rsidP="008F1244">
      <w:pPr>
        <w:pStyle w:val="Heading1"/>
        <w:rPr>
          <w:rFonts w:cs="Times New Roman"/>
          <w:szCs w:val="24"/>
        </w:rPr>
      </w:pPr>
      <w:bookmarkStart w:id="20" w:name="_Toc178429925"/>
      <w:r w:rsidRPr="005F44EF">
        <w:rPr>
          <w:rFonts w:cs="Times New Roman"/>
        </w:rPr>
        <w:lastRenderedPageBreak/>
        <w:t>SI 3 - OSL and ESR dating of quartz grains</w:t>
      </w:r>
      <w:bookmarkEnd w:id="20"/>
    </w:p>
    <w:p w14:paraId="2C806F08" w14:textId="77777777" w:rsidR="00BB7AA9" w:rsidRPr="005F44EF" w:rsidRDefault="00B9564D" w:rsidP="008F1244">
      <w:pPr>
        <w:pStyle w:val="Heading2"/>
        <w:rPr>
          <w:rFonts w:cs="Times New Roman"/>
        </w:rPr>
      </w:pPr>
      <w:bookmarkStart w:id="21" w:name="_Toc178429926"/>
      <w:r w:rsidRPr="005F44EF">
        <w:rPr>
          <w:rFonts w:cs="Times New Roman"/>
        </w:rPr>
        <w:t>3.1 Material</w:t>
      </w:r>
      <w:bookmarkEnd w:id="21"/>
      <w:r w:rsidRPr="005F44EF">
        <w:rPr>
          <w:rFonts w:cs="Times New Roman"/>
        </w:rPr>
        <w:t xml:space="preserve"> </w:t>
      </w:r>
    </w:p>
    <w:p w14:paraId="563050C2" w14:textId="77777777" w:rsidR="00BB7AA9" w:rsidRPr="005F44EF" w:rsidRDefault="00BB7AA9">
      <w:pPr>
        <w:spacing w:after="0" w:line="276" w:lineRule="auto"/>
        <w:jc w:val="both"/>
        <w:rPr>
          <w:rFonts w:ascii="Times New Roman" w:eastAsia="Times New Roman" w:hAnsi="Times New Roman" w:cs="Times New Roman"/>
          <w:b/>
          <w:i/>
          <w:sz w:val="24"/>
          <w:szCs w:val="24"/>
        </w:rPr>
      </w:pPr>
    </w:p>
    <w:p w14:paraId="16970DED" w14:textId="1575060D"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Eight sediment samples (</w:t>
      </w:r>
      <w:r w:rsidRPr="005F44EF">
        <w:rPr>
          <w:rFonts w:ascii="Times New Roman" w:eastAsia="Times New Roman" w:hAnsi="Times New Roman" w:cs="Times New Roman"/>
          <w:b/>
          <w:sz w:val="24"/>
          <w:szCs w:val="24"/>
        </w:rPr>
        <w:t>Table S2</w:t>
      </w:r>
      <w:r w:rsidRPr="005F44EF">
        <w:rPr>
          <w:rFonts w:ascii="Times New Roman" w:eastAsia="Times New Roman" w:hAnsi="Times New Roman" w:cs="Times New Roman"/>
          <w:sz w:val="24"/>
          <w:szCs w:val="24"/>
        </w:rPr>
        <w:t>) from the Bété I excavated sequence were collected using opaque metal tubes (25 cm in length and 4 cm in diameter), sealed with adhesive tape, and packed in black light-opaque bags to preserve the light-sensitive OSL signal during transport. T</w:t>
      </w:r>
      <w:r w:rsidR="00B137BE">
        <w:rPr>
          <w:rFonts w:ascii="Times New Roman" w:eastAsia="Times New Roman" w:hAnsi="Times New Roman" w:cs="Times New Roman"/>
          <w:sz w:val="24"/>
          <w:szCs w:val="24"/>
        </w:rPr>
        <w:t>wo</w:t>
      </w:r>
      <w:r w:rsidRPr="005F44EF">
        <w:rPr>
          <w:rFonts w:ascii="Times New Roman" w:eastAsia="Times New Roman" w:hAnsi="Times New Roman" w:cs="Times New Roman"/>
          <w:sz w:val="24"/>
          <w:szCs w:val="24"/>
        </w:rPr>
        <w:t xml:space="preserve"> sediments were sampled from Unit C</w:t>
      </w:r>
      <w:r w:rsidR="00B137BE">
        <w:rPr>
          <w:rFonts w:ascii="Times New Roman" w:eastAsia="Times New Roman" w:hAnsi="Times New Roman" w:cs="Times New Roman"/>
          <w:sz w:val="24"/>
          <w:szCs w:val="24"/>
        </w:rPr>
        <w:t>. one at the transition between Units C and D,</w:t>
      </w:r>
      <w:r w:rsidR="00B87550">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 xml:space="preserve">and five sediments from Unit D. The samples were taken from the sections of the first excavations of the site and named “steps”. </w:t>
      </w:r>
      <w:bookmarkStart w:id="22" w:name="_Hlk181883194"/>
      <w:r w:rsidRPr="005F44EF">
        <w:rPr>
          <w:rFonts w:ascii="Times New Roman" w:eastAsia="Times New Roman" w:hAnsi="Times New Roman" w:cs="Times New Roman"/>
          <w:sz w:val="24"/>
          <w:szCs w:val="24"/>
        </w:rPr>
        <w:t xml:space="preserve">The samples cover the </w:t>
      </w:r>
      <w:r w:rsidR="008D523D" w:rsidRPr="008D523D">
        <w:rPr>
          <w:rFonts w:ascii="Times New Roman" w:eastAsia="Times New Roman" w:hAnsi="Times New Roman" w:cs="Times New Roman"/>
          <w:sz w:val="24"/>
          <w:szCs w:val="24"/>
        </w:rPr>
        <w:t>uppermost five metres</w:t>
      </w:r>
      <w:r w:rsidR="008D523D" w:rsidRPr="008D523D" w:rsidDel="008D523D">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 xml:space="preserve">of the stratigraphic sequence. </w:t>
      </w:r>
      <w:bookmarkEnd w:id="22"/>
      <w:r w:rsidRPr="005F44EF">
        <w:rPr>
          <w:rFonts w:ascii="Times New Roman" w:eastAsia="Times New Roman" w:hAnsi="Times New Roman" w:cs="Times New Roman"/>
          <w:sz w:val="24"/>
          <w:szCs w:val="24"/>
        </w:rPr>
        <w:t xml:space="preserve">Unit C is a homogenous but poorly sorted mid-brownish red silty sand. Regarding Unit D, the sediments are a mottled poorly sorted yellow pink and orangish red silty sand; mottling may represent </w:t>
      </w:r>
      <w:r w:rsidRPr="005F44EF">
        <w:rPr>
          <w:rFonts w:ascii="Times New Roman" w:eastAsia="Times New Roman" w:hAnsi="Times New Roman" w:cs="Times New Roman"/>
          <w:i/>
          <w:sz w:val="24"/>
          <w:szCs w:val="24"/>
        </w:rPr>
        <w:t>in situ</w:t>
      </w:r>
      <w:r w:rsidRPr="005F44EF">
        <w:rPr>
          <w:rFonts w:ascii="Times New Roman" w:eastAsia="Times New Roman" w:hAnsi="Times New Roman" w:cs="Times New Roman"/>
          <w:sz w:val="24"/>
          <w:szCs w:val="24"/>
        </w:rPr>
        <w:t xml:space="preserve"> weathering with differing patterns of chemical mobility; alternatively, bioturbation could have occurred during the process of weathering; mottling appears dappled and distinct from its appearance lower in the sequence. The division of the Unit D in subunits D1, D2 and D3 is based on the new sedimentary characterization detailed in </w:t>
      </w:r>
      <w:r w:rsidRPr="005F44EF">
        <w:rPr>
          <w:rFonts w:ascii="Times New Roman" w:eastAsia="Times New Roman" w:hAnsi="Times New Roman" w:cs="Times New Roman"/>
          <w:b/>
          <w:sz w:val="24"/>
          <w:szCs w:val="24"/>
        </w:rPr>
        <w:t>SI 2</w:t>
      </w:r>
      <w:r w:rsidRPr="005F44EF">
        <w:rPr>
          <w:rFonts w:ascii="Times New Roman" w:eastAsia="Times New Roman" w:hAnsi="Times New Roman" w:cs="Times New Roman"/>
          <w:sz w:val="24"/>
          <w:szCs w:val="24"/>
        </w:rPr>
        <w:t>.</w:t>
      </w:r>
    </w:p>
    <w:p w14:paraId="77D3174D" w14:textId="77777777" w:rsidR="00AB47F3" w:rsidRPr="005F44EF" w:rsidRDefault="00AB47F3">
      <w:pPr>
        <w:spacing w:after="0" w:line="276" w:lineRule="auto"/>
        <w:jc w:val="both"/>
        <w:rPr>
          <w:rFonts w:ascii="Times New Roman" w:eastAsia="Times New Roman" w:hAnsi="Times New Roman" w:cs="Times New Roman"/>
          <w:sz w:val="24"/>
          <w:szCs w:val="24"/>
        </w:rPr>
      </w:pPr>
    </w:p>
    <w:p w14:paraId="1ABAA9C8" w14:textId="2395FC27" w:rsidR="00BB7AA9" w:rsidRPr="005F44EF" w:rsidRDefault="00757DFF">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Feldspars were looked for within all sample</w:t>
      </w:r>
      <w:r w:rsidR="00A133EB" w:rsidRPr="005F44EF">
        <w:rPr>
          <w:rFonts w:ascii="Times New Roman" w:eastAsia="Times New Roman" w:hAnsi="Times New Roman" w:cs="Times New Roman"/>
          <w:sz w:val="24"/>
          <w:szCs w:val="24"/>
        </w:rPr>
        <w:t>s</w:t>
      </w:r>
      <w:r w:rsidRPr="005F44EF">
        <w:rPr>
          <w:rFonts w:ascii="Times New Roman" w:eastAsia="Times New Roman" w:hAnsi="Times New Roman" w:cs="Times New Roman"/>
          <w:sz w:val="24"/>
          <w:szCs w:val="24"/>
        </w:rPr>
        <w:t xml:space="preserve"> in order to utilise the post-IR-IRSL protocols which have higher saturation limits and are more suitable for older samples</w:t>
      </w:r>
      <w:r w:rsidR="008911DC"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 xml:space="preserve">ADDIN CSL_CITATION {"citationItems":[{"id":"ITEM-1","itemData":{"DOI":"10.1016/J.RADMEAS.2009.02.007","ISSN":"1350-4487","abstract":"Thomsen, K.J., Murray, A.S., Jain, M., Bøtter-Jensen, L. [2008. Laboratory fading rates of various luminescence signals from feldspar-rich sediment extracts. Radiat. Meas. 43, 1474-1486] have identified a number of feldspar signals which show significantly less anomalous fading than the conventional IRSL signal stimulated at 50 °C and detected in the blue-violet region of the spectrum. One of these was the post-IR IR signal in which first an IR bleach is carried out at a low temperature (e.g. 100 s at 50 °C) and a remaining IRSL signal is measured at an elevated temperature (100 s at 225 °C; detection in the blue-violet region). It is the latter signal that is of interest in this paper. We test such a post-IR IR dating protocol on K-feldspar extracts from a variety of locations and depositional environments and compare the results with those from the conventional IR at 50 °C protocol. Based on laboratory tests (recycling ratio, recuperation, dose recovery) we show that our SAR protocol is suitable for these samples. The observed post-IR IR fading rates (mean g2days = 1.62 ± 0.06%/decade, n = 24; assuming logarithmic fading) are significantly lower than those measured at 50 °C (mean g2days = 3.23 ± 0.13%/decade, n = 24). The signal is bleachable in nature although residual doses of the order of a few Gy are to be expected. After fading correction the ages are indistinguishable from those measured by IR at 50 °C over an age range from a few ka to &gt;260 ka. However, the correction factor for anomalous fading is only </w:instrText>
      </w:r>
      <w:r w:rsidR="00614E13">
        <w:rPr>
          <w:rFonts w:ascii="Cambria Math" w:eastAsia="Times New Roman" w:hAnsi="Cambria Math" w:cs="Cambria Math"/>
          <w:sz w:val="24"/>
          <w:szCs w:val="24"/>
        </w:rPr>
        <w:instrText>∼</w:instrText>
      </w:r>
      <w:r w:rsidR="00614E13">
        <w:rPr>
          <w:rFonts w:ascii="Times New Roman" w:eastAsia="Times New Roman" w:hAnsi="Times New Roman" w:cs="Times New Roman"/>
          <w:sz w:val="24"/>
          <w:szCs w:val="24"/>
        </w:rPr>
        <w:instrText>39% of that of the conventional IR at 50 °C signal. This smaller correction factor makes the new post-IR IR ages much less dependent on the inherent assumptions included in the fading correction model. © 2009 Elsevier Ltd. All rights reserved.","author":[{"dropping-particle":"","family":"Buylaert","given":"J. P.","non-dropping-particle":"","parse-names":false,"suffix":""},{"dropping-particle":"","family":"Murray","given":"A. S.","non-dropping-particle":"","parse-names":false,"suffix":""},{"dropping-particle":"","family":"Thomsen","given":"K. J.","non-dropping-particle":"","parse-names":false,"suffix":""},{"dropping-particle":"","family":"Jain","given":"M.","non-dropping-particle":"","parse-names":false,"suffix":""}],"container-title":"Radiation Measurements","id":"ITEM-1","issue":"5-6","issued":{"date-parts":[["2009","5"]]},"page":"560-565","publisher":"Pergamon Press","title":"Testing the potential of an elevated temperature IRSL signal from K-feldspar","type":"article-journal","volume":"44"},"uris":["http://www.mendeley.com/documents/?uuid=2b6cd586-a51e-3bf7-80e7-92476cda05dc"]}],"mendeley":{"formattedCitation":"&lt;sup&gt;71&lt;/sup&gt;","plainTextFormattedCitation":"71","previouslyFormattedCitation":"&lt;sup&gt;71&lt;/sup&gt;"},"properties":{"noteIndex":0},"schema":"https://github.com/citation-style-language/schema/raw/master/csl-citation.json"}</w:instrText>
      </w:r>
      <w:r w:rsidR="008911DC"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71</w:t>
      </w:r>
      <w:r w:rsidR="008911DC"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but the samples </w:t>
      </w:r>
      <w:r w:rsidR="00A133EB" w:rsidRPr="005F44EF">
        <w:rPr>
          <w:rFonts w:ascii="Times New Roman" w:eastAsia="Times New Roman" w:hAnsi="Times New Roman" w:cs="Times New Roman"/>
          <w:sz w:val="24"/>
          <w:szCs w:val="24"/>
        </w:rPr>
        <w:t xml:space="preserve">were found </w:t>
      </w:r>
      <w:r w:rsidRPr="005F44EF">
        <w:rPr>
          <w:rFonts w:ascii="Times New Roman" w:eastAsia="Times New Roman" w:hAnsi="Times New Roman" w:cs="Times New Roman"/>
          <w:sz w:val="24"/>
          <w:szCs w:val="24"/>
        </w:rPr>
        <w:t xml:space="preserve">to contain none. </w:t>
      </w:r>
      <w:r w:rsidR="00B9564D" w:rsidRPr="005F44EF">
        <w:rPr>
          <w:rFonts w:ascii="Times New Roman" w:eastAsia="Times New Roman" w:hAnsi="Times New Roman" w:cs="Times New Roman"/>
          <w:sz w:val="24"/>
          <w:szCs w:val="24"/>
        </w:rPr>
        <w:t>Sample preparation was carried out at the Sheffield Luminescence Dating Laboratory (University of Sheffield</w:t>
      </w:r>
      <w:r w:rsidR="008911DC" w:rsidRPr="005F44EF">
        <w:rPr>
          <w:rFonts w:ascii="Times New Roman" w:eastAsia="Times New Roman" w:hAnsi="Times New Roman" w:cs="Times New Roman"/>
          <w:sz w:val="24"/>
          <w:szCs w:val="24"/>
        </w:rPr>
        <w:t>,</w:t>
      </w:r>
      <w:r w:rsidR="00B9564D" w:rsidRPr="005F44EF">
        <w:rPr>
          <w:rFonts w:ascii="Times New Roman" w:eastAsia="Times New Roman" w:hAnsi="Times New Roman" w:cs="Times New Roman"/>
          <w:sz w:val="24"/>
          <w:szCs w:val="24"/>
        </w:rPr>
        <w:t xml:space="preserve"> UK). T</w:t>
      </w:r>
      <w:r w:rsidRPr="005F44EF">
        <w:rPr>
          <w:rFonts w:ascii="Times New Roman" w:eastAsia="Times New Roman" w:hAnsi="Times New Roman" w:cs="Times New Roman"/>
          <w:sz w:val="24"/>
          <w:szCs w:val="24"/>
        </w:rPr>
        <w:t>h</w:t>
      </w:r>
      <w:r w:rsidR="00B9564D" w:rsidRPr="005F44EF">
        <w:rPr>
          <w:rFonts w:ascii="Times New Roman" w:eastAsia="Times New Roman" w:hAnsi="Times New Roman" w:cs="Times New Roman"/>
          <w:sz w:val="24"/>
          <w:szCs w:val="24"/>
        </w:rPr>
        <w:t>e samples were prepared under subdued red lighting following the extract and clean coarse quartz procedure outlined in Bateman and Catt</w:t>
      </w:r>
      <w:r w:rsidR="00A63DE1"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{"citationItems":[{"id":"ITEM-1","itemData":{"DOI":"10.1002/(SICI)1099-1417(199609/10)11:5&lt;389::AID-JQS260&gt;3.0.CO;2-K","ISSN":"02678179","abstract":"The raised beach sediments revealed in the cliffs at Sewerby, East Yorkshire are widely regarded as Ipswichian in age. Previously reported evidence for this dating is reviewed and new results from a range of luminescence dating techniques applied to the blown sand deposit overlying the raised beach are reported. These provide the first absolute date for the Sewerby site of 120.84 ± 11.82 ka, which places the blown sand at the boundary between oxygen isotope stages (OIS) 5e and 5d. As the underlying raised beach is little older than the blown sand, it probably formed during OIS Stage 5e as suggested by the faunal evidence.","author":[{"dropping-particle":"","family":"BATEMAN","given":"M. D.","non-dropping-particle":"","parse-names":false,"suffix":""},{"dropping-particle":"","family":"CATT","given":"J. A.","non-dropping-particle":"","parse-names":false,"suffix":""}],"container-title":"Journal of Quaternary Science","id":"ITEM-1","issue":"5","issued":{"date-parts":[["1996","9","1"]]},"page":"389-395","publisher":"John Wiley and Sons Ltd","title":"An absolute chronology for the raised beach and associated deposits at Sewerby, East Yorkshire, England","type":"article-journal","volume":"11"},"uris":["http://www.mendeley.com/documents/?uuid=20216830-62d9-3abd-a592-caeb36bf7ad9"]}],"mendeley":{"formattedCitation":"&lt;sup&gt;72&lt;/sup&gt;","plainTextFormattedCitation":"72","previouslyFormattedCitation":"&lt;sup&gt;72&lt;/sup&gt;"},"properties":{"noteIndex":0},"schema":"https://github.com/citation-style-language/schema/raw/master/csl-citation.json"}</w:instrText>
      </w:r>
      <w:r w:rsidR="00A63DE1"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72</w:t>
      </w:r>
      <w:r w:rsidR="00A63DE1" w:rsidRPr="005F44EF">
        <w:rPr>
          <w:rFonts w:ascii="Times New Roman" w:eastAsia="Times New Roman" w:hAnsi="Times New Roman" w:cs="Times New Roman"/>
          <w:sz w:val="24"/>
          <w:szCs w:val="24"/>
        </w:rPr>
        <w:fldChar w:fldCharType="end"/>
      </w:r>
      <w:r w:rsidR="00B9564D" w:rsidRPr="005F44EF">
        <w:rPr>
          <w:rFonts w:ascii="Times New Roman" w:eastAsia="Times New Roman" w:hAnsi="Times New Roman" w:cs="Times New Roman"/>
          <w:sz w:val="24"/>
          <w:szCs w:val="24"/>
        </w:rPr>
        <w:t>. This included use of HCI solution to remove carbonate material, H</w:t>
      </w:r>
      <w:r w:rsidR="00B9564D" w:rsidRPr="005F44EF">
        <w:rPr>
          <w:rFonts w:ascii="Times New Roman" w:eastAsia="Times New Roman" w:hAnsi="Times New Roman" w:cs="Times New Roman"/>
          <w:sz w:val="24"/>
          <w:szCs w:val="24"/>
          <w:vertAlign w:val="subscript"/>
        </w:rPr>
        <w:t>2</w:t>
      </w:r>
      <w:r w:rsidR="00B9564D" w:rsidRPr="005F44EF">
        <w:rPr>
          <w:rFonts w:ascii="Times New Roman" w:eastAsia="Times New Roman" w:hAnsi="Times New Roman" w:cs="Times New Roman"/>
          <w:sz w:val="24"/>
          <w:szCs w:val="24"/>
        </w:rPr>
        <w:t>O</w:t>
      </w:r>
      <w:r w:rsidR="00B9564D" w:rsidRPr="005F44EF">
        <w:rPr>
          <w:rFonts w:ascii="Times New Roman" w:eastAsia="Times New Roman" w:hAnsi="Times New Roman" w:cs="Times New Roman"/>
          <w:sz w:val="24"/>
          <w:szCs w:val="24"/>
          <w:vertAlign w:val="subscript"/>
        </w:rPr>
        <w:t>2</w:t>
      </w:r>
      <w:r w:rsidR="00B9564D" w:rsidRPr="005F44EF">
        <w:rPr>
          <w:rFonts w:ascii="Times New Roman" w:eastAsia="Times New Roman" w:hAnsi="Times New Roman" w:cs="Times New Roman"/>
          <w:sz w:val="24"/>
          <w:szCs w:val="24"/>
        </w:rPr>
        <w:t xml:space="preserve"> to remove organic material and dry sieving to separate a reduced size fraction of 180-212 µm. Sodium </w:t>
      </w:r>
      <w:proofErr w:type="spellStart"/>
      <w:r w:rsidR="00B9564D" w:rsidRPr="005F44EF">
        <w:rPr>
          <w:rFonts w:ascii="Times New Roman" w:eastAsia="Times New Roman" w:hAnsi="Times New Roman" w:cs="Times New Roman"/>
          <w:sz w:val="24"/>
          <w:szCs w:val="24"/>
        </w:rPr>
        <w:t>polytungstate</w:t>
      </w:r>
      <w:proofErr w:type="spellEnd"/>
      <w:r w:rsidR="00B9564D" w:rsidRPr="005F44EF">
        <w:rPr>
          <w:rFonts w:ascii="Times New Roman" w:eastAsia="Times New Roman" w:hAnsi="Times New Roman" w:cs="Times New Roman"/>
          <w:sz w:val="24"/>
          <w:szCs w:val="24"/>
        </w:rPr>
        <w:t xml:space="preserve"> solution (2.70 g/cm</w:t>
      </w:r>
      <w:r w:rsidR="00B9564D" w:rsidRPr="005F44EF">
        <w:rPr>
          <w:rFonts w:ascii="Times New Roman" w:eastAsia="Times New Roman" w:hAnsi="Times New Roman" w:cs="Times New Roman"/>
          <w:sz w:val="24"/>
          <w:szCs w:val="24"/>
          <w:vertAlign w:val="superscript"/>
        </w:rPr>
        <w:t>3</w:t>
      </w:r>
      <w:r w:rsidR="00B9564D" w:rsidRPr="005F44EF">
        <w:rPr>
          <w:rFonts w:ascii="Times New Roman" w:eastAsia="Times New Roman" w:hAnsi="Times New Roman" w:cs="Times New Roman"/>
          <w:sz w:val="24"/>
          <w:szCs w:val="24"/>
        </w:rPr>
        <w:t xml:space="preserve">) and HF etching was used to isolate and clean quartz from other minerals. </w:t>
      </w:r>
    </w:p>
    <w:p w14:paraId="061010D6" w14:textId="77777777" w:rsidR="00BB7AA9" w:rsidRPr="005F44EF" w:rsidRDefault="00BB7AA9">
      <w:pPr>
        <w:spacing w:after="0" w:line="276" w:lineRule="auto"/>
        <w:jc w:val="both"/>
        <w:rPr>
          <w:rFonts w:ascii="Times New Roman" w:eastAsia="Times New Roman" w:hAnsi="Times New Roman" w:cs="Times New Roman"/>
          <w:b/>
          <w:sz w:val="24"/>
          <w:szCs w:val="24"/>
        </w:rPr>
      </w:pPr>
    </w:p>
    <w:p w14:paraId="3162978B" w14:textId="0251958B" w:rsidR="00BB7AA9" w:rsidRPr="005F44EF" w:rsidRDefault="00B9564D">
      <w:pPr>
        <w:spacing w:after="200" w:line="276" w:lineRule="auto"/>
        <w:jc w:val="both"/>
        <w:rPr>
          <w:rFonts w:ascii="Times New Roman" w:eastAsia="Times New Roman" w:hAnsi="Times New Roman" w:cs="Times New Roman"/>
          <w:sz w:val="24"/>
          <w:szCs w:val="24"/>
        </w:rPr>
      </w:pPr>
      <w:bookmarkStart w:id="23" w:name="_1fob9te" w:colFirst="0" w:colLast="0"/>
      <w:bookmarkStart w:id="24" w:name="_Hlk170654095"/>
      <w:bookmarkEnd w:id="23"/>
      <w:r w:rsidRPr="005F44EF">
        <w:rPr>
          <w:rFonts w:ascii="Times New Roman" w:eastAsia="Times New Roman" w:hAnsi="Times New Roman" w:cs="Times New Roman"/>
          <w:b/>
          <w:sz w:val="24"/>
          <w:szCs w:val="24"/>
        </w:rPr>
        <w:t xml:space="preserve">Table S2: </w:t>
      </w:r>
      <w:r w:rsidRPr="005F44EF">
        <w:rPr>
          <w:rFonts w:ascii="Times New Roman" w:eastAsia="Times New Roman" w:hAnsi="Times New Roman" w:cs="Times New Roman"/>
          <w:sz w:val="24"/>
          <w:szCs w:val="24"/>
        </w:rPr>
        <w:t xml:space="preserve">List of sediments samples </w:t>
      </w:r>
      <w:proofErr w:type="spellStart"/>
      <w:r w:rsidRPr="005F44EF">
        <w:rPr>
          <w:rFonts w:ascii="Times New Roman" w:eastAsia="Times New Roman" w:hAnsi="Times New Roman" w:cs="Times New Roman"/>
          <w:sz w:val="24"/>
          <w:szCs w:val="24"/>
        </w:rPr>
        <w:t>analyzed</w:t>
      </w:r>
      <w:proofErr w:type="spellEnd"/>
      <w:r w:rsidRPr="005F44EF">
        <w:rPr>
          <w:rFonts w:ascii="Times New Roman" w:eastAsia="Times New Roman" w:hAnsi="Times New Roman" w:cs="Times New Roman"/>
          <w:sz w:val="24"/>
          <w:szCs w:val="24"/>
        </w:rPr>
        <w:t xml:space="preserve"> in this work. </w:t>
      </w:r>
      <w:bookmarkEnd w:id="24"/>
      <w:r w:rsidRPr="005F44EF">
        <w:rPr>
          <w:rFonts w:ascii="Times New Roman" w:eastAsia="Times New Roman" w:hAnsi="Times New Roman" w:cs="Times New Roman"/>
          <w:sz w:val="24"/>
          <w:szCs w:val="24"/>
        </w:rPr>
        <w:t>T</w:t>
      </w:r>
      <w:r w:rsidR="00AE7301" w:rsidRPr="005F44EF">
        <w:rPr>
          <w:rFonts w:ascii="Times New Roman" w:eastAsia="Times New Roman" w:hAnsi="Times New Roman" w:cs="Times New Roman"/>
          <w:sz w:val="24"/>
          <w:szCs w:val="24"/>
        </w:rPr>
        <w:t xml:space="preserve">he depth of each sample </w:t>
      </w:r>
      <w:r w:rsidR="00FB7430" w:rsidRPr="005F44EF">
        <w:rPr>
          <w:rFonts w:ascii="Times New Roman" w:eastAsia="Times New Roman" w:hAnsi="Times New Roman" w:cs="Times New Roman"/>
          <w:sz w:val="24"/>
          <w:szCs w:val="24"/>
        </w:rPr>
        <w:t>relates to the estimated ground surface prior to initial excavation at the site in the 1980's/90s</w:t>
      </w:r>
    </w:p>
    <w:tbl>
      <w:tblPr>
        <w:tblStyle w:val="a0"/>
        <w:tblW w:w="73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2"/>
        <w:gridCol w:w="2563"/>
        <w:gridCol w:w="1344"/>
        <w:gridCol w:w="1010"/>
      </w:tblGrid>
      <w:tr w:rsidR="001A7FF1" w:rsidRPr="005F44EF" w14:paraId="254C5F94" w14:textId="77777777" w:rsidTr="00180FF4">
        <w:trPr>
          <w:trHeight w:val="348"/>
          <w:jc w:val="center"/>
        </w:trPr>
        <w:tc>
          <w:tcPr>
            <w:tcW w:w="2472" w:type="dxa"/>
            <w:tcBorders>
              <w:top w:val="single" w:sz="4" w:space="0" w:color="auto"/>
              <w:left w:val="nil"/>
              <w:bottom w:val="single" w:sz="4" w:space="0" w:color="auto"/>
              <w:right w:val="nil"/>
            </w:tcBorders>
            <w:shd w:val="clear" w:color="auto" w:fill="D9D9D9" w:themeFill="background1" w:themeFillShade="D9"/>
            <w:vAlign w:val="center"/>
          </w:tcPr>
          <w:p w14:paraId="2E5C7302" w14:textId="41D25068" w:rsidR="001A7FF1" w:rsidRPr="005F44EF" w:rsidRDefault="001F4B77">
            <w:pPr>
              <w:spacing w:after="0" w:line="276" w:lineRule="auto"/>
              <w:jc w:val="both"/>
              <w:rPr>
                <w:rFonts w:ascii="Times New Roman" w:eastAsia="Times New Roman" w:hAnsi="Times New Roman" w:cs="Times New Roman"/>
                <w:b/>
                <w:color w:val="000000"/>
                <w:sz w:val="20"/>
                <w:szCs w:val="20"/>
              </w:rPr>
            </w:pPr>
            <w:r w:rsidRPr="005F44EF">
              <w:rPr>
                <w:rFonts w:ascii="Times New Roman" w:eastAsia="Times New Roman" w:hAnsi="Times New Roman" w:cs="Times New Roman"/>
                <w:b/>
                <w:color w:val="000000"/>
                <w:sz w:val="20"/>
                <w:szCs w:val="20"/>
              </w:rPr>
              <w:t xml:space="preserve">ID Field </w:t>
            </w:r>
          </w:p>
        </w:tc>
        <w:tc>
          <w:tcPr>
            <w:tcW w:w="2563" w:type="dxa"/>
            <w:tcBorders>
              <w:top w:val="single" w:sz="4" w:space="0" w:color="auto"/>
              <w:left w:val="nil"/>
              <w:bottom w:val="single" w:sz="4" w:space="0" w:color="auto"/>
              <w:right w:val="nil"/>
            </w:tcBorders>
            <w:shd w:val="clear" w:color="auto" w:fill="D9D9D9" w:themeFill="background1" w:themeFillShade="D9"/>
            <w:vAlign w:val="center"/>
          </w:tcPr>
          <w:p w14:paraId="2BB4E074" w14:textId="7BFFFE89" w:rsidR="001A7FF1" w:rsidRPr="005F44EF" w:rsidRDefault="001A7FF1">
            <w:pPr>
              <w:spacing w:after="0" w:line="276" w:lineRule="auto"/>
              <w:jc w:val="both"/>
              <w:rPr>
                <w:rFonts w:ascii="Times New Roman" w:eastAsia="Times New Roman" w:hAnsi="Times New Roman" w:cs="Times New Roman"/>
                <w:b/>
                <w:color w:val="000000"/>
                <w:sz w:val="20"/>
                <w:szCs w:val="20"/>
                <w:lang w:val="de-DE"/>
              </w:rPr>
            </w:pPr>
            <w:r w:rsidRPr="005F44EF">
              <w:rPr>
                <w:rFonts w:ascii="Times New Roman" w:eastAsia="Times New Roman" w:hAnsi="Times New Roman" w:cs="Times New Roman"/>
                <w:b/>
                <w:color w:val="000000"/>
                <w:sz w:val="20"/>
                <w:szCs w:val="20"/>
                <w:lang w:val="de-DE"/>
              </w:rPr>
              <w:t>OSL lab code</w:t>
            </w:r>
            <w:r w:rsidR="00FA2221" w:rsidRPr="005F44EF">
              <w:rPr>
                <w:rFonts w:ascii="Times New Roman" w:eastAsia="Times New Roman" w:hAnsi="Times New Roman" w:cs="Times New Roman"/>
                <w:b/>
                <w:color w:val="000000"/>
                <w:sz w:val="20"/>
                <w:szCs w:val="20"/>
                <w:lang w:val="de-DE"/>
              </w:rPr>
              <w:t>/ESR lab code</w:t>
            </w:r>
          </w:p>
        </w:tc>
        <w:tc>
          <w:tcPr>
            <w:tcW w:w="1344" w:type="dxa"/>
            <w:tcBorders>
              <w:top w:val="single" w:sz="4" w:space="0" w:color="auto"/>
              <w:left w:val="nil"/>
              <w:bottom w:val="single" w:sz="4" w:space="0" w:color="auto"/>
              <w:right w:val="nil"/>
            </w:tcBorders>
            <w:shd w:val="clear" w:color="auto" w:fill="D9D9D9" w:themeFill="background1" w:themeFillShade="D9"/>
            <w:vAlign w:val="center"/>
          </w:tcPr>
          <w:p w14:paraId="6C53BDDA" w14:textId="77777777" w:rsidR="001A7FF1" w:rsidRPr="005F44EF" w:rsidRDefault="001A7FF1">
            <w:pPr>
              <w:spacing w:after="0" w:line="276" w:lineRule="auto"/>
              <w:jc w:val="both"/>
              <w:rPr>
                <w:rFonts w:ascii="Times New Roman" w:eastAsia="Times New Roman" w:hAnsi="Times New Roman" w:cs="Times New Roman"/>
                <w:b/>
                <w:color w:val="000000"/>
                <w:sz w:val="20"/>
                <w:szCs w:val="20"/>
              </w:rPr>
            </w:pPr>
            <w:r w:rsidRPr="005F44EF">
              <w:rPr>
                <w:rFonts w:ascii="Times New Roman" w:eastAsia="Times New Roman" w:hAnsi="Times New Roman" w:cs="Times New Roman"/>
                <w:b/>
                <w:color w:val="000000"/>
                <w:sz w:val="20"/>
                <w:szCs w:val="20"/>
              </w:rPr>
              <w:t xml:space="preserve">Unit </w:t>
            </w:r>
          </w:p>
        </w:tc>
        <w:tc>
          <w:tcPr>
            <w:tcW w:w="1010" w:type="dxa"/>
            <w:tcBorders>
              <w:top w:val="single" w:sz="4" w:space="0" w:color="auto"/>
              <w:left w:val="nil"/>
              <w:bottom w:val="single" w:sz="4" w:space="0" w:color="auto"/>
              <w:right w:val="nil"/>
            </w:tcBorders>
            <w:shd w:val="clear" w:color="auto" w:fill="D9D9D9" w:themeFill="background1" w:themeFillShade="D9"/>
            <w:vAlign w:val="center"/>
          </w:tcPr>
          <w:p w14:paraId="63A753F2" w14:textId="77777777" w:rsidR="001A7FF1" w:rsidRPr="005F44EF" w:rsidRDefault="001A7FF1">
            <w:pPr>
              <w:spacing w:after="0" w:line="276" w:lineRule="auto"/>
              <w:jc w:val="both"/>
              <w:rPr>
                <w:rFonts w:ascii="Times New Roman" w:eastAsia="Times New Roman" w:hAnsi="Times New Roman" w:cs="Times New Roman"/>
                <w:b/>
                <w:color w:val="000000"/>
                <w:sz w:val="20"/>
                <w:szCs w:val="20"/>
              </w:rPr>
            </w:pPr>
            <w:r w:rsidRPr="005F44EF">
              <w:rPr>
                <w:rFonts w:ascii="Times New Roman" w:eastAsia="Times New Roman" w:hAnsi="Times New Roman" w:cs="Times New Roman"/>
                <w:b/>
                <w:color w:val="000000"/>
                <w:sz w:val="20"/>
                <w:szCs w:val="20"/>
              </w:rPr>
              <w:t>Depth (m)</w:t>
            </w:r>
          </w:p>
        </w:tc>
      </w:tr>
      <w:tr w:rsidR="001A7FF1" w:rsidRPr="005F44EF" w14:paraId="6EBE5655" w14:textId="77777777" w:rsidTr="00180FF4">
        <w:trPr>
          <w:trHeight w:val="348"/>
          <w:jc w:val="center"/>
        </w:trPr>
        <w:tc>
          <w:tcPr>
            <w:tcW w:w="2472" w:type="dxa"/>
            <w:tcBorders>
              <w:top w:val="single" w:sz="4" w:space="0" w:color="auto"/>
              <w:left w:val="nil"/>
              <w:bottom w:val="nil"/>
              <w:right w:val="nil"/>
            </w:tcBorders>
            <w:shd w:val="clear" w:color="auto" w:fill="auto"/>
            <w:vAlign w:val="center"/>
          </w:tcPr>
          <w:p w14:paraId="7DFB837C" w14:textId="77777777" w:rsidR="001A7FF1" w:rsidRPr="005F44EF" w:rsidRDefault="001A7FF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ANY20-02</w:t>
            </w:r>
          </w:p>
        </w:tc>
        <w:tc>
          <w:tcPr>
            <w:tcW w:w="2563" w:type="dxa"/>
            <w:tcBorders>
              <w:top w:val="single" w:sz="4" w:space="0" w:color="auto"/>
              <w:left w:val="nil"/>
              <w:bottom w:val="nil"/>
              <w:right w:val="nil"/>
            </w:tcBorders>
            <w:shd w:val="clear" w:color="auto" w:fill="auto"/>
            <w:vAlign w:val="center"/>
          </w:tcPr>
          <w:p w14:paraId="34F01A44" w14:textId="77777777" w:rsidR="001A7FF1" w:rsidRPr="005F44EF" w:rsidRDefault="001A7FF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Shfd20130</w:t>
            </w:r>
          </w:p>
        </w:tc>
        <w:tc>
          <w:tcPr>
            <w:tcW w:w="1344" w:type="dxa"/>
            <w:tcBorders>
              <w:top w:val="single" w:sz="4" w:space="0" w:color="auto"/>
              <w:left w:val="nil"/>
              <w:bottom w:val="nil"/>
              <w:right w:val="nil"/>
            </w:tcBorders>
            <w:shd w:val="clear" w:color="auto" w:fill="auto"/>
            <w:vAlign w:val="center"/>
          </w:tcPr>
          <w:p w14:paraId="18D2253D" w14:textId="77777777" w:rsidR="001A7FF1" w:rsidRPr="005F44EF" w:rsidRDefault="001A7FF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C</w:t>
            </w:r>
          </w:p>
        </w:tc>
        <w:tc>
          <w:tcPr>
            <w:tcW w:w="1010" w:type="dxa"/>
            <w:tcBorders>
              <w:top w:val="single" w:sz="4" w:space="0" w:color="auto"/>
              <w:left w:val="nil"/>
              <w:bottom w:val="nil"/>
              <w:right w:val="nil"/>
            </w:tcBorders>
            <w:vAlign w:val="center"/>
          </w:tcPr>
          <w:p w14:paraId="50EB523A" w14:textId="77777777" w:rsidR="001A7FF1" w:rsidRPr="005F44EF" w:rsidRDefault="001A7FF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0.85</w:t>
            </w:r>
          </w:p>
        </w:tc>
      </w:tr>
      <w:tr w:rsidR="001A7FF1" w:rsidRPr="005F44EF" w14:paraId="139EBD75" w14:textId="77777777" w:rsidTr="00180FF4">
        <w:trPr>
          <w:trHeight w:val="348"/>
          <w:jc w:val="center"/>
        </w:trPr>
        <w:tc>
          <w:tcPr>
            <w:tcW w:w="2472" w:type="dxa"/>
            <w:tcBorders>
              <w:top w:val="nil"/>
              <w:left w:val="nil"/>
              <w:bottom w:val="nil"/>
              <w:right w:val="nil"/>
            </w:tcBorders>
            <w:shd w:val="clear" w:color="auto" w:fill="auto"/>
            <w:vAlign w:val="center"/>
          </w:tcPr>
          <w:p w14:paraId="1702DDDD" w14:textId="77777777" w:rsidR="001A7FF1" w:rsidRPr="005F44EF" w:rsidRDefault="001A7FF1" w:rsidP="004D069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ANY20-03</w:t>
            </w:r>
          </w:p>
        </w:tc>
        <w:tc>
          <w:tcPr>
            <w:tcW w:w="2563" w:type="dxa"/>
            <w:tcBorders>
              <w:top w:val="nil"/>
              <w:left w:val="nil"/>
              <w:bottom w:val="nil"/>
              <w:right w:val="nil"/>
            </w:tcBorders>
            <w:shd w:val="clear" w:color="auto" w:fill="auto"/>
            <w:vAlign w:val="center"/>
          </w:tcPr>
          <w:p w14:paraId="640618D0" w14:textId="7BC79515" w:rsidR="001A7FF1" w:rsidRPr="005F44EF" w:rsidRDefault="001A7FF1" w:rsidP="004D069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Shfd20131</w:t>
            </w:r>
            <w:r w:rsidR="006E30EE" w:rsidRPr="005F44EF">
              <w:rPr>
                <w:rFonts w:ascii="Times New Roman" w:eastAsia="Times New Roman" w:hAnsi="Times New Roman" w:cs="Times New Roman"/>
                <w:color w:val="000000"/>
                <w:sz w:val="20"/>
                <w:szCs w:val="20"/>
              </w:rPr>
              <w:t>/ANY20-03</w:t>
            </w:r>
          </w:p>
        </w:tc>
        <w:tc>
          <w:tcPr>
            <w:tcW w:w="1344" w:type="dxa"/>
            <w:tcBorders>
              <w:top w:val="nil"/>
              <w:left w:val="nil"/>
              <w:bottom w:val="nil"/>
              <w:right w:val="nil"/>
            </w:tcBorders>
            <w:shd w:val="clear" w:color="auto" w:fill="auto"/>
            <w:vAlign w:val="center"/>
          </w:tcPr>
          <w:p w14:paraId="73B7C5D2" w14:textId="77777777" w:rsidR="001A7FF1" w:rsidRPr="005F44EF" w:rsidRDefault="001A7FF1" w:rsidP="004D069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C</w:t>
            </w:r>
          </w:p>
        </w:tc>
        <w:tc>
          <w:tcPr>
            <w:tcW w:w="1010" w:type="dxa"/>
            <w:tcBorders>
              <w:top w:val="nil"/>
              <w:left w:val="nil"/>
              <w:bottom w:val="nil"/>
              <w:right w:val="nil"/>
            </w:tcBorders>
            <w:vAlign w:val="center"/>
          </w:tcPr>
          <w:p w14:paraId="6C2CF422" w14:textId="77777777" w:rsidR="001A7FF1" w:rsidRPr="005F44EF" w:rsidRDefault="001A7FF1" w:rsidP="004D069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1.15</w:t>
            </w:r>
          </w:p>
        </w:tc>
      </w:tr>
      <w:tr w:rsidR="001A7FF1" w:rsidRPr="005F44EF" w14:paraId="3AAC16F3" w14:textId="77777777" w:rsidTr="00180FF4">
        <w:trPr>
          <w:trHeight w:val="348"/>
          <w:jc w:val="center"/>
        </w:trPr>
        <w:tc>
          <w:tcPr>
            <w:tcW w:w="2472" w:type="dxa"/>
            <w:tcBorders>
              <w:top w:val="nil"/>
              <w:left w:val="nil"/>
              <w:bottom w:val="nil"/>
              <w:right w:val="nil"/>
            </w:tcBorders>
            <w:shd w:val="clear" w:color="auto" w:fill="auto"/>
            <w:vAlign w:val="center"/>
          </w:tcPr>
          <w:p w14:paraId="4BD6E3C8" w14:textId="77777777" w:rsidR="001A7FF1" w:rsidRPr="005F44EF" w:rsidRDefault="001A7FF1" w:rsidP="004D069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ANY20-04</w:t>
            </w:r>
          </w:p>
        </w:tc>
        <w:tc>
          <w:tcPr>
            <w:tcW w:w="2563" w:type="dxa"/>
            <w:tcBorders>
              <w:top w:val="nil"/>
              <w:left w:val="nil"/>
              <w:bottom w:val="nil"/>
              <w:right w:val="nil"/>
            </w:tcBorders>
            <w:shd w:val="clear" w:color="auto" w:fill="auto"/>
            <w:vAlign w:val="center"/>
          </w:tcPr>
          <w:p w14:paraId="0DED44EE" w14:textId="6EC91116" w:rsidR="001A7FF1" w:rsidRPr="005F44EF" w:rsidRDefault="001A7FF1" w:rsidP="004D069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Shfd20132</w:t>
            </w:r>
            <w:r w:rsidR="006E30EE" w:rsidRPr="005F44EF">
              <w:rPr>
                <w:rFonts w:ascii="Times New Roman" w:eastAsia="Times New Roman" w:hAnsi="Times New Roman" w:cs="Times New Roman"/>
                <w:color w:val="000000"/>
                <w:sz w:val="20"/>
                <w:szCs w:val="20"/>
              </w:rPr>
              <w:t>/ANY20-04</w:t>
            </w:r>
          </w:p>
        </w:tc>
        <w:tc>
          <w:tcPr>
            <w:tcW w:w="1344" w:type="dxa"/>
            <w:tcBorders>
              <w:top w:val="nil"/>
              <w:left w:val="nil"/>
              <w:bottom w:val="nil"/>
              <w:right w:val="nil"/>
            </w:tcBorders>
            <w:shd w:val="clear" w:color="auto" w:fill="auto"/>
            <w:vAlign w:val="center"/>
          </w:tcPr>
          <w:p w14:paraId="7E5FC941" w14:textId="2901AC14" w:rsidR="001A7FF1" w:rsidRPr="005F44EF" w:rsidRDefault="001A7FF1" w:rsidP="004D069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Interface C/D</w:t>
            </w:r>
          </w:p>
        </w:tc>
        <w:tc>
          <w:tcPr>
            <w:tcW w:w="1010" w:type="dxa"/>
            <w:tcBorders>
              <w:top w:val="nil"/>
              <w:left w:val="nil"/>
              <w:bottom w:val="nil"/>
              <w:right w:val="nil"/>
            </w:tcBorders>
            <w:vAlign w:val="center"/>
          </w:tcPr>
          <w:p w14:paraId="3BB8C6B6" w14:textId="77777777" w:rsidR="001A7FF1" w:rsidRPr="005F44EF" w:rsidRDefault="001A7FF1" w:rsidP="004D069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0.90</w:t>
            </w:r>
          </w:p>
        </w:tc>
      </w:tr>
      <w:tr w:rsidR="001A7FF1" w:rsidRPr="005F44EF" w14:paraId="6346D7E8" w14:textId="77777777" w:rsidTr="00180FF4">
        <w:trPr>
          <w:trHeight w:val="348"/>
          <w:jc w:val="center"/>
        </w:trPr>
        <w:tc>
          <w:tcPr>
            <w:tcW w:w="2472" w:type="dxa"/>
            <w:tcBorders>
              <w:top w:val="nil"/>
              <w:left w:val="nil"/>
              <w:bottom w:val="nil"/>
              <w:right w:val="nil"/>
            </w:tcBorders>
            <w:shd w:val="clear" w:color="auto" w:fill="auto"/>
            <w:vAlign w:val="center"/>
          </w:tcPr>
          <w:p w14:paraId="76F93227" w14:textId="77777777" w:rsidR="001A7FF1" w:rsidRPr="005F44EF" w:rsidRDefault="001A7FF1" w:rsidP="004D069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ANY20-05</w:t>
            </w:r>
          </w:p>
        </w:tc>
        <w:tc>
          <w:tcPr>
            <w:tcW w:w="2563" w:type="dxa"/>
            <w:tcBorders>
              <w:top w:val="nil"/>
              <w:left w:val="nil"/>
              <w:bottom w:val="nil"/>
              <w:right w:val="nil"/>
            </w:tcBorders>
            <w:shd w:val="clear" w:color="auto" w:fill="auto"/>
            <w:vAlign w:val="center"/>
          </w:tcPr>
          <w:p w14:paraId="5106061E" w14:textId="3A47BC09" w:rsidR="001A7FF1" w:rsidRPr="005F44EF" w:rsidRDefault="001A7FF1" w:rsidP="004D069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Shfd20133</w:t>
            </w:r>
            <w:r w:rsidR="006E30EE" w:rsidRPr="005F44EF">
              <w:rPr>
                <w:rFonts w:ascii="Times New Roman" w:eastAsia="Times New Roman" w:hAnsi="Times New Roman" w:cs="Times New Roman"/>
                <w:color w:val="000000"/>
                <w:sz w:val="20"/>
                <w:szCs w:val="20"/>
              </w:rPr>
              <w:t>/ANY20-05</w:t>
            </w:r>
          </w:p>
        </w:tc>
        <w:tc>
          <w:tcPr>
            <w:tcW w:w="1344" w:type="dxa"/>
            <w:tcBorders>
              <w:top w:val="nil"/>
              <w:left w:val="nil"/>
              <w:bottom w:val="nil"/>
              <w:right w:val="nil"/>
            </w:tcBorders>
            <w:shd w:val="clear" w:color="auto" w:fill="auto"/>
            <w:vAlign w:val="center"/>
          </w:tcPr>
          <w:p w14:paraId="0CF11ADF" w14:textId="77777777" w:rsidR="001A7FF1" w:rsidRPr="005F44EF" w:rsidRDefault="001A7FF1" w:rsidP="004D069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D1</w:t>
            </w:r>
          </w:p>
        </w:tc>
        <w:tc>
          <w:tcPr>
            <w:tcW w:w="1010" w:type="dxa"/>
            <w:tcBorders>
              <w:top w:val="nil"/>
              <w:left w:val="nil"/>
              <w:bottom w:val="nil"/>
              <w:right w:val="nil"/>
            </w:tcBorders>
            <w:vAlign w:val="center"/>
          </w:tcPr>
          <w:p w14:paraId="18A0937D" w14:textId="77777777" w:rsidR="001A7FF1" w:rsidRPr="005F44EF" w:rsidRDefault="001A7FF1" w:rsidP="004D069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1.24</w:t>
            </w:r>
          </w:p>
        </w:tc>
      </w:tr>
      <w:tr w:rsidR="001A7FF1" w:rsidRPr="005F44EF" w14:paraId="69A59F95" w14:textId="77777777" w:rsidTr="00180FF4">
        <w:trPr>
          <w:trHeight w:val="348"/>
          <w:jc w:val="center"/>
        </w:trPr>
        <w:tc>
          <w:tcPr>
            <w:tcW w:w="2472" w:type="dxa"/>
            <w:tcBorders>
              <w:top w:val="nil"/>
              <w:left w:val="nil"/>
              <w:bottom w:val="nil"/>
              <w:right w:val="nil"/>
            </w:tcBorders>
            <w:shd w:val="clear" w:color="auto" w:fill="auto"/>
            <w:vAlign w:val="center"/>
          </w:tcPr>
          <w:p w14:paraId="2FD5D3A5" w14:textId="77777777" w:rsidR="001A7FF1" w:rsidRPr="005F44EF" w:rsidRDefault="001A7FF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ANY20-06</w:t>
            </w:r>
          </w:p>
        </w:tc>
        <w:tc>
          <w:tcPr>
            <w:tcW w:w="2563" w:type="dxa"/>
            <w:tcBorders>
              <w:top w:val="nil"/>
              <w:left w:val="nil"/>
              <w:bottom w:val="nil"/>
              <w:right w:val="nil"/>
            </w:tcBorders>
            <w:shd w:val="clear" w:color="auto" w:fill="auto"/>
            <w:vAlign w:val="center"/>
          </w:tcPr>
          <w:p w14:paraId="39253E27" w14:textId="77777777" w:rsidR="001A7FF1" w:rsidRPr="005F44EF" w:rsidRDefault="001A7FF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Shfd20134</w:t>
            </w:r>
          </w:p>
        </w:tc>
        <w:tc>
          <w:tcPr>
            <w:tcW w:w="1344" w:type="dxa"/>
            <w:tcBorders>
              <w:top w:val="nil"/>
              <w:left w:val="nil"/>
              <w:bottom w:val="nil"/>
              <w:right w:val="nil"/>
            </w:tcBorders>
            <w:shd w:val="clear" w:color="auto" w:fill="auto"/>
            <w:vAlign w:val="center"/>
          </w:tcPr>
          <w:p w14:paraId="560DF8FC" w14:textId="77777777" w:rsidR="001A7FF1" w:rsidRPr="005F44EF" w:rsidRDefault="001A7FF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D2</w:t>
            </w:r>
          </w:p>
        </w:tc>
        <w:tc>
          <w:tcPr>
            <w:tcW w:w="1010" w:type="dxa"/>
            <w:tcBorders>
              <w:top w:val="nil"/>
              <w:left w:val="nil"/>
              <w:bottom w:val="nil"/>
              <w:right w:val="nil"/>
            </w:tcBorders>
            <w:vAlign w:val="center"/>
          </w:tcPr>
          <w:p w14:paraId="7115BAA1" w14:textId="77777777" w:rsidR="001A7FF1" w:rsidRPr="005F44EF" w:rsidRDefault="001A7FF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1.90</w:t>
            </w:r>
          </w:p>
        </w:tc>
      </w:tr>
      <w:tr w:rsidR="001A7FF1" w:rsidRPr="005F44EF" w14:paraId="667AE424" w14:textId="77777777" w:rsidTr="00180FF4">
        <w:trPr>
          <w:trHeight w:val="348"/>
          <w:jc w:val="center"/>
        </w:trPr>
        <w:tc>
          <w:tcPr>
            <w:tcW w:w="2472" w:type="dxa"/>
            <w:tcBorders>
              <w:top w:val="nil"/>
              <w:left w:val="nil"/>
              <w:bottom w:val="nil"/>
              <w:right w:val="nil"/>
            </w:tcBorders>
            <w:shd w:val="clear" w:color="auto" w:fill="auto"/>
            <w:vAlign w:val="center"/>
          </w:tcPr>
          <w:p w14:paraId="11E802F4" w14:textId="77777777" w:rsidR="001A7FF1" w:rsidRPr="005F44EF" w:rsidRDefault="001A7FF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ANY20-07</w:t>
            </w:r>
          </w:p>
        </w:tc>
        <w:tc>
          <w:tcPr>
            <w:tcW w:w="2563" w:type="dxa"/>
            <w:tcBorders>
              <w:top w:val="nil"/>
              <w:left w:val="nil"/>
              <w:bottom w:val="nil"/>
              <w:right w:val="nil"/>
            </w:tcBorders>
            <w:shd w:val="clear" w:color="auto" w:fill="auto"/>
            <w:vAlign w:val="center"/>
          </w:tcPr>
          <w:p w14:paraId="0CC60CBB" w14:textId="77777777" w:rsidR="001A7FF1" w:rsidRPr="005F44EF" w:rsidRDefault="001A7FF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Shfd20135</w:t>
            </w:r>
          </w:p>
        </w:tc>
        <w:tc>
          <w:tcPr>
            <w:tcW w:w="1344" w:type="dxa"/>
            <w:tcBorders>
              <w:top w:val="nil"/>
              <w:left w:val="nil"/>
              <w:bottom w:val="nil"/>
              <w:right w:val="nil"/>
            </w:tcBorders>
            <w:shd w:val="clear" w:color="auto" w:fill="auto"/>
            <w:vAlign w:val="center"/>
          </w:tcPr>
          <w:p w14:paraId="37E9E11C" w14:textId="77777777" w:rsidR="001A7FF1" w:rsidRPr="005F44EF" w:rsidRDefault="001A7FF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D2</w:t>
            </w:r>
          </w:p>
        </w:tc>
        <w:tc>
          <w:tcPr>
            <w:tcW w:w="1010" w:type="dxa"/>
            <w:tcBorders>
              <w:top w:val="nil"/>
              <w:left w:val="nil"/>
              <w:bottom w:val="nil"/>
              <w:right w:val="nil"/>
            </w:tcBorders>
            <w:vAlign w:val="center"/>
          </w:tcPr>
          <w:p w14:paraId="226DB9BA" w14:textId="77777777" w:rsidR="001A7FF1" w:rsidRPr="005F44EF" w:rsidRDefault="001A7FF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2.60</w:t>
            </w:r>
          </w:p>
        </w:tc>
      </w:tr>
      <w:tr w:rsidR="001A7FF1" w:rsidRPr="005F44EF" w14:paraId="2842353B" w14:textId="77777777" w:rsidTr="00180FF4">
        <w:trPr>
          <w:trHeight w:val="348"/>
          <w:jc w:val="center"/>
        </w:trPr>
        <w:tc>
          <w:tcPr>
            <w:tcW w:w="2472" w:type="dxa"/>
            <w:tcBorders>
              <w:top w:val="nil"/>
              <w:left w:val="nil"/>
              <w:bottom w:val="nil"/>
              <w:right w:val="nil"/>
            </w:tcBorders>
            <w:shd w:val="clear" w:color="auto" w:fill="auto"/>
            <w:vAlign w:val="center"/>
          </w:tcPr>
          <w:p w14:paraId="138F3589" w14:textId="77777777" w:rsidR="001A7FF1" w:rsidRPr="005F44EF" w:rsidRDefault="001A7FF1" w:rsidP="004D069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ANY20-08</w:t>
            </w:r>
          </w:p>
        </w:tc>
        <w:tc>
          <w:tcPr>
            <w:tcW w:w="2563" w:type="dxa"/>
            <w:tcBorders>
              <w:top w:val="nil"/>
              <w:left w:val="nil"/>
              <w:bottom w:val="nil"/>
              <w:right w:val="nil"/>
            </w:tcBorders>
            <w:shd w:val="clear" w:color="auto" w:fill="auto"/>
            <w:vAlign w:val="center"/>
          </w:tcPr>
          <w:p w14:paraId="7805974B" w14:textId="1B5E0611" w:rsidR="001A7FF1" w:rsidRPr="005F44EF" w:rsidRDefault="001A7FF1" w:rsidP="004D069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Shfd20136</w:t>
            </w:r>
            <w:r w:rsidR="006E30EE" w:rsidRPr="005F44EF">
              <w:rPr>
                <w:rFonts w:ascii="Times New Roman" w:eastAsia="Times New Roman" w:hAnsi="Times New Roman" w:cs="Times New Roman"/>
                <w:color w:val="000000"/>
                <w:sz w:val="20"/>
                <w:szCs w:val="20"/>
              </w:rPr>
              <w:t>/ANY20-08</w:t>
            </w:r>
          </w:p>
        </w:tc>
        <w:tc>
          <w:tcPr>
            <w:tcW w:w="1344" w:type="dxa"/>
            <w:tcBorders>
              <w:top w:val="nil"/>
              <w:left w:val="nil"/>
              <w:bottom w:val="nil"/>
              <w:right w:val="nil"/>
            </w:tcBorders>
            <w:shd w:val="clear" w:color="auto" w:fill="auto"/>
            <w:vAlign w:val="center"/>
          </w:tcPr>
          <w:p w14:paraId="0E29EFF2" w14:textId="77777777" w:rsidR="001A7FF1" w:rsidRPr="005F44EF" w:rsidRDefault="001A7FF1" w:rsidP="004D069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D3</w:t>
            </w:r>
          </w:p>
        </w:tc>
        <w:tc>
          <w:tcPr>
            <w:tcW w:w="1010" w:type="dxa"/>
            <w:tcBorders>
              <w:top w:val="nil"/>
              <w:left w:val="nil"/>
              <w:bottom w:val="nil"/>
              <w:right w:val="nil"/>
            </w:tcBorders>
            <w:vAlign w:val="center"/>
          </w:tcPr>
          <w:p w14:paraId="79E6D9E6" w14:textId="77777777" w:rsidR="001A7FF1" w:rsidRPr="005F44EF" w:rsidRDefault="001A7FF1" w:rsidP="004D069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3.60</w:t>
            </w:r>
          </w:p>
        </w:tc>
      </w:tr>
      <w:tr w:rsidR="001A7FF1" w:rsidRPr="005F44EF" w14:paraId="4266B999" w14:textId="77777777" w:rsidTr="00180FF4">
        <w:trPr>
          <w:trHeight w:val="348"/>
          <w:jc w:val="center"/>
        </w:trPr>
        <w:tc>
          <w:tcPr>
            <w:tcW w:w="2472" w:type="dxa"/>
            <w:tcBorders>
              <w:top w:val="nil"/>
              <w:left w:val="nil"/>
              <w:bottom w:val="nil"/>
              <w:right w:val="nil"/>
            </w:tcBorders>
            <w:shd w:val="clear" w:color="auto" w:fill="auto"/>
            <w:vAlign w:val="center"/>
          </w:tcPr>
          <w:p w14:paraId="0F00E8D6" w14:textId="77777777" w:rsidR="001A7FF1" w:rsidRPr="005F44EF" w:rsidRDefault="001A7FF1" w:rsidP="004D069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ANY20-09</w:t>
            </w:r>
          </w:p>
        </w:tc>
        <w:tc>
          <w:tcPr>
            <w:tcW w:w="2563" w:type="dxa"/>
            <w:tcBorders>
              <w:top w:val="nil"/>
              <w:left w:val="nil"/>
              <w:bottom w:val="nil"/>
              <w:right w:val="nil"/>
            </w:tcBorders>
            <w:shd w:val="clear" w:color="auto" w:fill="auto"/>
            <w:vAlign w:val="center"/>
          </w:tcPr>
          <w:p w14:paraId="30F10966" w14:textId="248A52EB" w:rsidR="001A7FF1" w:rsidRPr="005F44EF" w:rsidRDefault="001A7FF1" w:rsidP="004D069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Shfd20137</w:t>
            </w:r>
            <w:r w:rsidR="006E30EE" w:rsidRPr="005F44EF">
              <w:rPr>
                <w:rFonts w:ascii="Times New Roman" w:eastAsia="Times New Roman" w:hAnsi="Times New Roman" w:cs="Times New Roman"/>
                <w:color w:val="000000"/>
                <w:sz w:val="20"/>
                <w:szCs w:val="20"/>
              </w:rPr>
              <w:t>/ANY20-09</w:t>
            </w:r>
          </w:p>
        </w:tc>
        <w:tc>
          <w:tcPr>
            <w:tcW w:w="1344" w:type="dxa"/>
            <w:tcBorders>
              <w:top w:val="nil"/>
              <w:left w:val="nil"/>
              <w:bottom w:val="nil"/>
              <w:right w:val="nil"/>
            </w:tcBorders>
            <w:shd w:val="clear" w:color="auto" w:fill="auto"/>
            <w:vAlign w:val="center"/>
          </w:tcPr>
          <w:p w14:paraId="369B2D6B" w14:textId="77777777" w:rsidR="001A7FF1" w:rsidRPr="005F44EF" w:rsidRDefault="001A7FF1" w:rsidP="004D069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D3</w:t>
            </w:r>
          </w:p>
        </w:tc>
        <w:tc>
          <w:tcPr>
            <w:tcW w:w="1010" w:type="dxa"/>
            <w:tcBorders>
              <w:top w:val="nil"/>
              <w:left w:val="nil"/>
              <w:bottom w:val="nil"/>
              <w:right w:val="nil"/>
            </w:tcBorders>
            <w:vAlign w:val="center"/>
          </w:tcPr>
          <w:p w14:paraId="7A2A4359" w14:textId="77777777" w:rsidR="001A7FF1" w:rsidRPr="005F44EF" w:rsidRDefault="001A7FF1" w:rsidP="004D0691">
            <w:pPr>
              <w:spacing w:after="0" w:line="276" w:lineRule="auto"/>
              <w:rPr>
                <w:rFonts w:ascii="Times New Roman" w:eastAsia="Times New Roman" w:hAnsi="Times New Roman" w:cs="Times New Roman"/>
                <w:color w:val="000000"/>
                <w:sz w:val="20"/>
                <w:szCs w:val="20"/>
              </w:rPr>
            </w:pPr>
            <w:r w:rsidRPr="005F44EF">
              <w:rPr>
                <w:rFonts w:ascii="Times New Roman" w:eastAsia="Times New Roman" w:hAnsi="Times New Roman" w:cs="Times New Roman"/>
                <w:color w:val="000000"/>
                <w:sz w:val="20"/>
                <w:szCs w:val="20"/>
              </w:rPr>
              <w:t>4.60</w:t>
            </w:r>
          </w:p>
        </w:tc>
      </w:tr>
    </w:tbl>
    <w:p w14:paraId="60AB1812" w14:textId="6873AB5D" w:rsidR="00BB7AA9" w:rsidRPr="005F44EF" w:rsidRDefault="00B9564D" w:rsidP="008F1244">
      <w:pPr>
        <w:pStyle w:val="Heading2"/>
        <w:rPr>
          <w:rFonts w:cs="Times New Roman"/>
        </w:rPr>
      </w:pPr>
      <w:bookmarkStart w:id="25" w:name="_Toc178429927"/>
      <w:r w:rsidRPr="005F44EF">
        <w:rPr>
          <w:rFonts w:cs="Times New Roman"/>
        </w:rPr>
        <w:lastRenderedPageBreak/>
        <w:t>3.2 Luminescence analyses</w:t>
      </w:r>
      <w:bookmarkEnd w:id="25"/>
      <w:r w:rsidRPr="005F44EF">
        <w:rPr>
          <w:rFonts w:cs="Times New Roman"/>
        </w:rPr>
        <w:t xml:space="preserve"> </w:t>
      </w:r>
    </w:p>
    <w:p w14:paraId="45264C52" w14:textId="3BA2293D" w:rsidR="00757DFF" w:rsidRPr="005F44EF" w:rsidRDefault="00757DFF">
      <w:pPr>
        <w:spacing w:after="0" w:line="276" w:lineRule="auto"/>
        <w:jc w:val="both"/>
        <w:rPr>
          <w:rFonts w:ascii="Times New Roman" w:eastAsia="Times New Roman" w:hAnsi="Times New Roman" w:cs="Times New Roman"/>
          <w:b/>
          <w:i/>
          <w:sz w:val="24"/>
          <w:szCs w:val="24"/>
        </w:rPr>
      </w:pPr>
    </w:p>
    <w:p w14:paraId="18A86C4C" w14:textId="63D78F8D" w:rsidR="006A08AE" w:rsidRPr="005F44EF" w:rsidRDefault="00757DFF" w:rsidP="006A08AE">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Given the alluvial depositional context described above for the sampled sediments, the potential for inclusion of incompletely bleached grains was recognised.</w:t>
      </w:r>
      <w:r w:rsidR="00F24010">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Whilst measurement of individual grains could have been made, such measurements suffer from an intrinsically weaker measurable signal above background with few grains providing measurable signals and often high uncertainties.</w:t>
      </w:r>
      <w:r w:rsidR="00F24010">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 xml:space="preserve">In low dose environment (as found at this site – See section 3.4 for details), beta dose heterogeneity is also </w:t>
      </w:r>
      <w:r w:rsidR="005B65E9" w:rsidRPr="005F44EF">
        <w:rPr>
          <w:rFonts w:ascii="Times New Roman" w:eastAsia="Times New Roman" w:hAnsi="Times New Roman" w:cs="Times New Roman"/>
          <w:sz w:val="24"/>
          <w:szCs w:val="24"/>
        </w:rPr>
        <w:t>a possible</w:t>
      </w:r>
      <w:r w:rsidRPr="005F44EF">
        <w:rPr>
          <w:rFonts w:ascii="Times New Roman" w:eastAsia="Times New Roman" w:hAnsi="Times New Roman" w:cs="Times New Roman"/>
          <w:sz w:val="24"/>
          <w:szCs w:val="24"/>
        </w:rPr>
        <w:t xml:space="preserve"> problem</w:t>
      </w:r>
      <w:r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{"citationItems":[{"id":"ITEM-1","itemData":{"DOI":"10.1016/S0277-3791(03)00019-2","ISSN":"02773791","abstract":"Much effort has been focussed on understanding the luminescence properties of natural minerals to achieve a reliable, accurate and precise dating technique. However, some field related aspects, such as the influence or effect of post-depositional disturbance on luminescence dates, are as yet underexplored. In the case of pedoturbation, depending on its intensity, the rate of sedimentation and unit thicknesses, potentially the whole sedimentary record at a site can be affected. This may lead to distorted OSL chronologies and erroneous sediment burial ages. Pedoturbation can result in sediment mixing and/or exhumation that affect luminescence both at the bulk and single grain level. Effects of these two principle processes on luminescence ages are examined using standard multigrain and single grain protocols. High resolution sampling of surface gopher mounds was used to determine the efficiency of bio-exhumation in resetting luminescence signal. Results show this is an inefficient mechanism for onsite sediment bleaching. The effects on luminescence signal of bio-mixing were explored by comparing a sample collected from within a krotovina (infilled burrow) to an adjacent undisturbed sample. Results show the difficulties in identifying pedoturbated samples at the single aliquot level and the possible inaccuracies in using the lowest palaeodose values to calculate OSL ages. Where pedoturbation of samples is suspected, use of probability plots of palaeodoses data is recommended. From these plots it is proposed that only data falling within a normal distribution centred on the peak probability be used to calculated OSL ages and to mitigate problems arising from pedoturbation. © 2003 Elsevier Science Ltd. All rights reserved.","author":[{"dropping-particle":"","family":"Bateman","given":"Mark D.","non-dropping-particle":"","parse-names":false,"suffix":""},{"dropping-particle":"","family":"Frederick","given":"Charles D.","non-dropping-particle":"","parse-names":false,"suffix":""},{"dropping-particle":"","family":"Jaiswal","given":"Manoj K.","non-dropping-particle":"","parse-names":false,"suffix":""},{"dropping-particle":"","family":"Singhvi","given":"Ashok K.","non-dropping-particle":"","parse-names":false,"suffix":""}],"container-title":"Quaternary Science Reviews","id":"ITEM-1","issue":"10-13","issued":{"date-parts":[["2003"]]},"page":"1169-1176","publisher":"Elsevier Ltd","title":"Investigations into the potential effects of pedoturbation on luminescence dating","type":"article-journal","volume":"22"},"uris":["http://www.mendeley.com/documents/?uuid=2d819696-6049-3db1-822e-794dca07716e"]}],"mendeley":{"formattedCitation":"&lt;sup&gt;73&lt;/sup&gt;","plainTextFormattedCitation":"73","previouslyFormattedCitation":"&lt;sup&gt;73&lt;/sup&gt;"},"properties":{"noteIndex":0},"schema":"https://github.com/citation-style-language/schema/raw/master/csl-citation.json"}</w:instrText>
      </w:r>
      <w:r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73</w:t>
      </w:r>
      <w:r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which at the single grain level can lead to age under-estimations if minimum age models are applied.</w:t>
      </w:r>
      <w:r w:rsidR="00A133EB"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In contrast, measurements at the single aliquot level, containing 1500-2000 grains measured simultaneously</w:t>
      </w:r>
      <w:r w:rsidR="00A133EB" w:rsidRPr="005F44EF">
        <w:rPr>
          <w:rFonts w:ascii="Times New Roman" w:eastAsia="Times New Roman" w:hAnsi="Times New Roman" w:cs="Times New Roman"/>
          <w:sz w:val="24"/>
          <w:szCs w:val="24"/>
        </w:rPr>
        <w:t xml:space="preserve"> may offer stronger measurable signals, but</w:t>
      </w:r>
      <w:r w:rsidRPr="005F44EF">
        <w:rPr>
          <w:rFonts w:ascii="Times New Roman" w:eastAsia="Times New Roman" w:hAnsi="Times New Roman" w:cs="Times New Roman"/>
          <w:sz w:val="24"/>
          <w:szCs w:val="24"/>
        </w:rPr>
        <w:t xml:space="preserve"> suffers from signal</w:t>
      </w:r>
      <w:r w:rsidR="00A133EB" w:rsidRPr="005F44EF">
        <w:rPr>
          <w:rFonts w:ascii="Times New Roman" w:eastAsia="Times New Roman" w:hAnsi="Times New Roman" w:cs="Times New Roman"/>
          <w:sz w:val="24"/>
          <w:szCs w:val="24"/>
        </w:rPr>
        <w:t>/grain</w:t>
      </w:r>
      <w:r w:rsidRPr="005F44EF">
        <w:rPr>
          <w:rFonts w:ascii="Times New Roman" w:eastAsia="Times New Roman" w:hAnsi="Times New Roman" w:cs="Times New Roman"/>
          <w:sz w:val="24"/>
          <w:szCs w:val="24"/>
        </w:rPr>
        <w:t xml:space="preserve"> averaging effects making it difficult or impossible to separate out poorly bleached and erroneously high </w:t>
      </w:r>
      <w:proofErr w:type="spellStart"/>
      <w:r w:rsidRPr="005F44EF">
        <w:rPr>
          <w:rFonts w:ascii="Times New Roman" w:eastAsia="Times New Roman" w:hAnsi="Times New Roman" w:cs="Times New Roman"/>
          <w:sz w:val="24"/>
          <w:szCs w:val="24"/>
        </w:rPr>
        <w:t>palaeodose</w:t>
      </w:r>
      <w:proofErr w:type="spellEnd"/>
      <w:r w:rsidRPr="005F44EF">
        <w:rPr>
          <w:rFonts w:ascii="Times New Roman" w:eastAsia="Times New Roman" w:hAnsi="Times New Roman" w:cs="Times New Roman"/>
          <w:sz w:val="24"/>
          <w:szCs w:val="24"/>
        </w:rPr>
        <w:t xml:space="preserve"> measurements from those relating to true burial age</w:t>
      </w:r>
      <w:r w:rsidR="00180FF4"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{"citationItems":[{"id":"ITEM-1","itemData":{"DOI":"10.1111/j.1502-3885.2008.00051.x","ISSN":"0300-9483","author":[{"dropping-particle":"","family":"Duller","given":"Geoffrey A T","non-dropping-particle":"","parse-names":false,"suffix":""}],"container-title":"Boreas","id":"ITEM-1","issued":{"date-parts":[["2008"]]},"page":"589-612","title":"Single-grain optical dating of Quaternary sediments: why aliquot size matters in luminescence dating ?","type":"article-journal","volume":"37"},"uris":["http://www.mendeley.com/documents/?uuid=e1456b0f-c0c0-3c73-ba2c-c0227ebce789"]}],"mendeley":{"formattedCitation":"&lt;sup&gt;74&lt;/sup&gt;","plainTextFormattedCitation":"74","previouslyFormattedCitation":"&lt;sup&gt;74&lt;/sup&gt;"},"properties":{"noteIndex":0},"schema":"https://github.com/citation-style-language/schema/raw/master/csl-citation.json"}</w:instrText>
      </w:r>
      <w:r w:rsidR="00180FF4"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74</w:t>
      </w:r>
      <w:r w:rsidR="00180FF4"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w:t>
      </w:r>
      <w:r w:rsidR="00F24010">
        <w:rPr>
          <w:rFonts w:ascii="Times New Roman" w:eastAsia="Times New Roman" w:hAnsi="Times New Roman" w:cs="Times New Roman"/>
          <w:sz w:val="24"/>
          <w:szCs w:val="24"/>
        </w:rPr>
        <w:t xml:space="preserve"> </w:t>
      </w:r>
      <w:bookmarkStart w:id="26" w:name="_Hlk170680762"/>
      <w:r w:rsidR="00970EBD" w:rsidRPr="005F44EF">
        <w:rPr>
          <w:rFonts w:ascii="Times New Roman" w:eastAsia="Times New Roman" w:hAnsi="Times New Roman" w:cs="Times New Roman"/>
          <w:sz w:val="24"/>
          <w:szCs w:val="24"/>
        </w:rPr>
        <w:t xml:space="preserve">Based on these considerations, we </w:t>
      </w:r>
      <w:r w:rsidR="004B3A14" w:rsidRPr="005F44EF">
        <w:rPr>
          <w:rFonts w:ascii="Times New Roman" w:eastAsia="Times New Roman" w:hAnsi="Times New Roman" w:cs="Times New Roman"/>
          <w:sz w:val="24"/>
          <w:szCs w:val="24"/>
        </w:rPr>
        <w:t xml:space="preserve">initially </w:t>
      </w:r>
      <w:r w:rsidR="00970EBD" w:rsidRPr="005F44EF">
        <w:rPr>
          <w:rFonts w:ascii="Times New Roman" w:eastAsia="Times New Roman" w:hAnsi="Times New Roman" w:cs="Times New Roman"/>
          <w:sz w:val="24"/>
          <w:szCs w:val="24"/>
        </w:rPr>
        <w:t>decided to follow an intermediate approach that would benefit from the advantages of both procedures, by measuring very small aliquots containing around 100 grains.</w:t>
      </w:r>
      <w:bookmarkEnd w:id="26"/>
      <w:r w:rsidR="00970EBD" w:rsidRPr="005F44EF">
        <w:rPr>
          <w:rFonts w:ascii="Times New Roman" w:eastAsia="Times New Roman" w:hAnsi="Times New Roman" w:cs="Times New Roman"/>
          <w:sz w:val="24"/>
          <w:szCs w:val="24"/>
        </w:rPr>
        <w:t xml:space="preserve"> </w:t>
      </w:r>
      <w:r w:rsidR="006A08AE" w:rsidRPr="005F44EF">
        <w:rPr>
          <w:rFonts w:ascii="Times New Roman" w:eastAsia="Times New Roman" w:hAnsi="Times New Roman" w:cs="Times New Roman"/>
          <w:sz w:val="24"/>
          <w:szCs w:val="24"/>
        </w:rPr>
        <w:t>Previous single grain measurements (n=100) from a sample at an adjacent archaeological site located about 100 m away in the same sedimentary environment and catchment, showed that 50% of the signal would come from 3 grains, and 75% of the signal from &lt;7 grains (</w:t>
      </w:r>
      <w:r w:rsidR="006A08AE" w:rsidRPr="005F44EF">
        <w:rPr>
          <w:rFonts w:ascii="Times New Roman" w:eastAsia="Times New Roman" w:hAnsi="Times New Roman" w:cs="Times New Roman"/>
          <w:b/>
          <w:sz w:val="24"/>
          <w:szCs w:val="24"/>
        </w:rPr>
        <w:t>Figure S</w:t>
      </w:r>
      <w:r w:rsidR="008F1244" w:rsidRPr="005F44EF">
        <w:rPr>
          <w:rFonts w:ascii="Times New Roman" w:eastAsia="Times New Roman" w:hAnsi="Times New Roman" w:cs="Times New Roman"/>
          <w:b/>
          <w:sz w:val="24"/>
          <w:szCs w:val="24"/>
        </w:rPr>
        <w:t>6</w:t>
      </w:r>
      <w:r w:rsidR="006A08AE" w:rsidRPr="005F44EF">
        <w:rPr>
          <w:rFonts w:ascii="Times New Roman" w:eastAsia="Times New Roman" w:hAnsi="Times New Roman" w:cs="Times New Roman"/>
          <w:sz w:val="24"/>
          <w:szCs w:val="24"/>
        </w:rPr>
        <w:t xml:space="preserve">). Thus, whilst gaining on the one hand from a better signal to noise ratio with multi-grain aliquots, on the other hand we sought to minimise grain averaging effects to a level where if aliquots did contain incompletely bleached grains, these would be discernible in the resultant </w:t>
      </w:r>
      <w:proofErr w:type="spellStart"/>
      <w:r w:rsidR="006A08AE" w:rsidRPr="005F44EF">
        <w:rPr>
          <w:rFonts w:ascii="Times New Roman" w:eastAsia="Times New Roman" w:hAnsi="Times New Roman" w:cs="Times New Roman"/>
          <w:sz w:val="24"/>
          <w:szCs w:val="24"/>
        </w:rPr>
        <w:t>palaeodose</w:t>
      </w:r>
      <w:proofErr w:type="spellEnd"/>
      <w:r w:rsidR="006A08AE" w:rsidRPr="005F44EF">
        <w:rPr>
          <w:rFonts w:ascii="Times New Roman" w:eastAsia="Times New Roman" w:hAnsi="Times New Roman" w:cs="Times New Roman"/>
          <w:sz w:val="24"/>
          <w:szCs w:val="24"/>
        </w:rPr>
        <w:t xml:space="preserve"> replicate distribution</w:t>
      </w:r>
      <w:r w:rsidR="004B3A14" w:rsidRPr="005F44EF">
        <w:rPr>
          <w:rFonts w:ascii="Times New Roman" w:eastAsia="Times New Roman" w:hAnsi="Times New Roman" w:cs="Times New Roman"/>
          <w:sz w:val="24"/>
          <w:szCs w:val="24"/>
        </w:rPr>
        <w:t>.</w:t>
      </w:r>
    </w:p>
    <w:p w14:paraId="4D566CC4" w14:textId="76328D82" w:rsidR="00757DFF" w:rsidRPr="005F44EF" w:rsidRDefault="00757DFF" w:rsidP="006A08AE">
      <w:pPr>
        <w:spacing w:after="0" w:line="276" w:lineRule="auto"/>
        <w:jc w:val="both"/>
        <w:rPr>
          <w:rFonts w:ascii="Times New Roman" w:eastAsia="Times New Roman" w:hAnsi="Times New Roman" w:cs="Times New Roman"/>
          <w:sz w:val="24"/>
          <w:szCs w:val="24"/>
        </w:rPr>
      </w:pPr>
      <w:r w:rsidRPr="005F44EF">
        <w:rPr>
          <w:rFonts w:ascii="Times New Roman" w:hAnsi="Times New Roman" w:cs="Times New Roman"/>
          <w:noProof/>
          <w:lang w:val="en-AU" w:eastAsia="en-AU"/>
        </w:rPr>
        <w:drawing>
          <wp:inline distT="0" distB="0" distL="0" distR="0" wp14:anchorId="57FEFDD7" wp14:editId="592893EF">
            <wp:extent cx="5758543" cy="3048000"/>
            <wp:effectExtent l="0" t="0" r="0" b="0"/>
            <wp:docPr id="30" name="Chart 30">
              <a:extLst xmlns:a="http://schemas.openxmlformats.org/drawingml/2006/main">
                <a:ext uri="{FF2B5EF4-FFF2-40B4-BE49-F238E27FC236}">
                  <a16:creationId xmlns:a16="http://schemas.microsoft.com/office/drawing/2014/main" id="{EBA7EB0E-FE1E-4E35-E4B8-0FEF3B739E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797720C" w14:textId="6F43CAEE" w:rsidR="00757DFF" w:rsidRPr="005F44EF" w:rsidRDefault="00757DFF" w:rsidP="00757DFF">
      <w:pPr>
        <w:spacing w:after="0" w:line="276" w:lineRule="auto"/>
        <w:jc w:val="both"/>
        <w:rPr>
          <w:rFonts w:ascii="Times New Roman" w:eastAsia="Times New Roman" w:hAnsi="Times New Roman" w:cs="Times New Roman"/>
          <w:sz w:val="24"/>
          <w:szCs w:val="24"/>
        </w:rPr>
      </w:pPr>
      <w:bookmarkStart w:id="27" w:name="_Hlk170654213"/>
      <w:r w:rsidRPr="005F44EF">
        <w:rPr>
          <w:rFonts w:ascii="Times New Roman" w:eastAsia="Times New Roman" w:hAnsi="Times New Roman" w:cs="Times New Roman"/>
          <w:b/>
          <w:sz w:val="24"/>
          <w:szCs w:val="24"/>
        </w:rPr>
        <w:t>Figure S</w:t>
      </w:r>
      <w:r w:rsidR="008F1244" w:rsidRPr="005F44EF">
        <w:rPr>
          <w:rFonts w:ascii="Times New Roman" w:eastAsia="Times New Roman" w:hAnsi="Times New Roman" w:cs="Times New Roman"/>
          <w:b/>
          <w:sz w:val="24"/>
          <w:szCs w:val="24"/>
        </w:rPr>
        <w:t>6</w:t>
      </w:r>
      <w:r w:rsidRPr="005F44EF">
        <w:rPr>
          <w:rFonts w:ascii="Times New Roman" w:eastAsia="Times New Roman" w:hAnsi="Times New Roman" w:cs="Times New Roman"/>
          <w:sz w:val="24"/>
          <w:szCs w:val="24"/>
        </w:rPr>
        <w:t>: Single grain quartz OSL shine down data from a sample from an adjacent archaeological site less than 100m away from the A</w:t>
      </w:r>
      <w:r w:rsidR="00A77C7C" w:rsidRPr="005F44EF">
        <w:rPr>
          <w:rFonts w:ascii="Times New Roman" w:eastAsia="Times New Roman" w:hAnsi="Times New Roman" w:cs="Times New Roman"/>
          <w:sz w:val="24"/>
          <w:szCs w:val="24"/>
        </w:rPr>
        <w:t>n</w:t>
      </w:r>
      <w:r w:rsidRPr="005F44EF">
        <w:rPr>
          <w:rFonts w:ascii="Times New Roman" w:eastAsia="Times New Roman" w:hAnsi="Times New Roman" w:cs="Times New Roman"/>
          <w:sz w:val="24"/>
          <w:szCs w:val="24"/>
        </w:rPr>
        <w:t xml:space="preserve">yama site showing how the bulk of the OSL signal is derived from very few gains (&lt;7). </w:t>
      </w:r>
      <w:r w:rsidR="004B3A14" w:rsidRPr="005F44EF">
        <w:rPr>
          <w:rFonts w:ascii="Times New Roman" w:eastAsia="Times New Roman" w:hAnsi="Times New Roman" w:cs="Times New Roman"/>
          <w:sz w:val="24"/>
          <w:szCs w:val="24"/>
        </w:rPr>
        <w:t>Results shown with different line colours are from four different 100 grain single grain aliquots with the g</w:t>
      </w:r>
      <w:r w:rsidRPr="005F44EF">
        <w:rPr>
          <w:rFonts w:ascii="Times New Roman" w:eastAsia="Times New Roman" w:hAnsi="Times New Roman" w:cs="Times New Roman"/>
          <w:sz w:val="24"/>
          <w:szCs w:val="24"/>
        </w:rPr>
        <w:t xml:space="preserve">rains ranked by their </w:t>
      </w:r>
      <w:r w:rsidR="004B3A14" w:rsidRPr="005F44EF">
        <w:rPr>
          <w:rFonts w:ascii="Times New Roman" w:eastAsia="Times New Roman" w:hAnsi="Times New Roman" w:cs="Times New Roman"/>
          <w:sz w:val="24"/>
          <w:szCs w:val="24"/>
        </w:rPr>
        <w:t xml:space="preserve">OSL </w:t>
      </w:r>
      <w:r w:rsidRPr="005F44EF">
        <w:rPr>
          <w:rFonts w:ascii="Times New Roman" w:eastAsia="Times New Roman" w:hAnsi="Times New Roman" w:cs="Times New Roman"/>
          <w:sz w:val="24"/>
          <w:szCs w:val="24"/>
        </w:rPr>
        <w:t>signal size.</w:t>
      </w:r>
    </w:p>
    <w:p w14:paraId="2DEBB0EB" w14:textId="77777777" w:rsidR="005B65E9" w:rsidRPr="005F44EF" w:rsidRDefault="005B65E9" w:rsidP="00757DFF">
      <w:pPr>
        <w:spacing w:after="0" w:line="276" w:lineRule="auto"/>
        <w:jc w:val="both"/>
        <w:rPr>
          <w:rFonts w:ascii="Times New Roman" w:eastAsia="Times New Roman" w:hAnsi="Times New Roman" w:cs="Times New Roman"/>
          <w:sz w:val="24"/>
          <w:szCs w:val="24"/>
        </w:rPr>
      </w:pPr>
    </w:p>
    <w:bookmarkEnd w:id="27"/>
    <w:p w14:paraId="17CF0AEC" w14:textId="1AC10C36" w:rsidR="0053236B" w:rsidRDefault="0053236B" w:rsidP="0053236B">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lastRenderedPageBreak/>
        <w:t xml:space="preserve">In light of the above, for OSL measurement, quartz grains (180-212 µm) were mounted as a 2 mm diameter monolayer on 9.6 mm diameter stainless steel disks to form aliquots. All measurements were performed with a </w:t>
      </w:r>
      <w:proofErr w:type="spellStart"/>
      <w:r w:rsidRPr="005F44EF">
        <w:rPr>
          <w:rFonts w:ascii="Times New Roman" w:eastAsia="Times New Roman" w:hAnsi="Times New Roman" w:cs="Times New Roman"/>
          <w:sz w:val="24"/>
          <w:szCs w:val="24"/>
        </w:rPr>
        <w:t>Risø</w:t>
      </w:r>
      <w:proofErr w:type="spellEnd"/>
      <w:r w:rsidRPr="005F44EF">
        <w:rPr>
          <w:rFonts w:ascii="Times New Roman" w:eastAsia="Times New Roman" w:hAnsi="Times New Roman" w:cs="Times New Roman"/>
          <w:sz w:val="24"/>
          <w:szCs w:val="24"/>
        </w:rPr>
        <w:t xml:space="preserve"> DA-18 luminescence reader with a calibrated Sr</w:t>
      </w:r>
      <w:r w:rsidR="00D823A1" w:rsidRPr="005F44EF">
        <w:rPr>
          <w:rFonts w:ascii="Times New Roman" w:eastAsia="Times New Roman" w:hAnsi="Times New Roman" w:cs="Times New Roman"/>
          <w:sz w:val="24"/>
          <w:szCs w:val="24"/>
          <w:vertAlign w:val="superscript"/>
        </w:rPr>
        <w:t>90</w:t>
      </w:r>
      <w:r w:rsidRPr="005F44EF">
        <w:rPr>
          <w:rFonts w:ascii="Times New Roman" w:eastAsia="Times New Roman" w:hAnsi="Times New Roman" w:cs="Times New Roman"/>
          <w:sz w:val="24"/>
          <w:szCs w:val="24"/>
        </w:rPr>
        <w:t xml:space="preserve"> beta source, blu</w:t>
      </w:r>
      <w:r w:rsidR="00D823A1" w:rsidRPr="005F44EF">
        <w:rPr>
          <w:rFonts w:ascii="Times New Roman" w:eastAsia="Times New Roman" w:hAnsi="Times New Roman" w:cs="Times New Roman"/>
          <w:sz w:val="24"/>
          <w:szCs w:val="24"/>
        </w:rPr>
        <w:t>e</w:t>
      </w:r>
      <w:r w:rsidRPr="005F44EF">
        <w:rPr>
          <w:rFonts w:ascii="Times New Roman" w:eastAsia="Times New Roman" w:hAnsi="Times New Roman" w:cs="Times New Roman"/>
          <w:sz w:val="24"/>
          <w:szCs w:val="24"/>
        </w:rPr>
        <w:t xml:space="preserve"> LEDs </w:t>
      </w:r>
      <w:r w:rsidR="00D823A1" w:rsidRPr="005F44EF">
        <w:rPr>
          <w:rFonts w:ascii="Times New Roman" w:eastAsia="Times New Roman" w:hAnsi="Times New Roman" w:cs="Times New Roman"/>
          <w:sz w:val="24"/>
          <w:szCs w:val="24"/>
        </w:rPr>
        <w:t xml:space="preserve">(emitting at 470±30 nm) </w:t>
      </w:r>
      <w:r w:rsidRPr="005F44EF">
        <w:rPr>
          <w:rFonts w:ascii="Times New Roman" w:eastAsia="Times New Roman" w:hAnsi="Times New Roman" w:cs="Times New Roman"/>
          <w:sz w:val="24"/>
          <w:szCs w:val="24"/>
        </w:rPr>
        <w:t>for OSL stimulations and luminescence detection was through a Hoya U-340 filter. Twenty-four multi-grain aliquots per sample were measured. Equivalent dose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measurement was by the single aliquot regenerative (SAR) approach</w:t>
      </w:r>
      <w:r w:rsidR="005F5612" w:rsidRPr="005F44EF">
        <w:rPr>
          <w:rFonts w:ascii="Times New Roman" w:eastAsia="Times New Roman" w:hAnsi="Times New Roman" w:cs="Times New Roman"/>
          <w:sz w:val="24"/>
          <w:szCs w:val="24"/>
        </w:rPr>
        <w:t xml:space="preserve"> with OSL stimulations for 60s at 125</w:t>
      </w:r>
      <w:r w:rsidR="005F5612" w:rsidRPr="005F44EF">
        <w:rPr>
          <w:rFonts w:ascii="Times New Roman" w:eastAsia="Times New Roman" w:hAnsi="Times New Roman" w:cs="Times New Roman"/>
          <w:sz w:val="24"/>
          <w:szCs w:val="24"/>
          <w:vertAlign w:val="superscript"/>
        </w:rPr>
        <w:t>o</w:t>
      </w:r>
      <w:r w:rsidR="005F5612" w:rsidRPr="005F44EF">
        <w:rPr>
          <w:rFonts w:ascii="Times New Roman" w:eastAsia="Times New Roman" w:hAnsi="Times New Roman" w:cs="Times New Roman"/>
          <w:sz w:val="24"/>
          <w:szCs w:val="24"/>
        </w:rPr>
        <w:t>C</w:t>
      </w:r>
      <w:r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{"citationItems":[{"id":"ITEM-1","itemData":{"DOI":"10.1016/S1350-4487(03)00053-2","ISBN":"1350-4487","ISSN":"13504487","abstract":"This paper examines the effects of optically stimulated luminescence (OSL) components, other than that usually termed the fast component, on dose determination by the single-aliquot regenerative-dose (SAR) protocol. Results are presented for \"dose recovery tests\", in which a known laboratory dose, delivered after optical bleaching at room temperature, is measured using the SAR protocol. Data obtained using either the initial OSL signal or the fast component, derived by curve fitting, are compared. Dose recovery tests are also carried out when an additional step is added to the SAR protocol, aimed at reducing recuperation, i.e. the residual signal observed in a SAR cycle when no regenerative dose is applied. The results for quartz from various sources indicate much improved dose recovery when only a well-separated fast component is analysed. ?? 2003 Elsevier Science Ltd. All rights reserved.","author":[{"dropping-particle":"","family":"Murray","given":"A. S.","non-dropping-particle":"","parse-names":false,"suffix":""},{"dropping-particle":"","family":"Wintle","given":"A. G.","non-dropping-particle":"","parse-names":false,"suffix":""}],"container-title":"Radiation Measurements","id":"ITEM-1","issue":"4-5","issued":{"date-parts":[["2003"]]},"page":"377-381","title":"The single aliquot regenerative dose protocol: Potential for improvements in reliability","type":"article-journal","volume":"37"},"uris":["http://www.mendeley.com/documents/?uuid=576b503b-f72f-43fa-9a82-70c06b537c62"]},{"id":"ITEM-2","itemData":{"abstract":"Single aliquot protocols are now widely used as a means of measuring the equivalent dose (D e) in quartz and feldspar optical stimulated luminescence (OSL) dating of both heated and sedimentary materials. The most recent of these is the single-aliquot regenerative-dose (SAR) protocol, ®rst suggested by Murray and Roberts (Radiation Measurements 29, 503±515, 1998). In this approach, each natural or regenerated dose OSL measurement is corrected for changes in sensitivity using the OSL response to a subsequent test dose (10±20% of D e). If the sensitivity correction is adequate, then the corrected OSL response should be independent of prior dose and thermal/optical treatment, i.e. there should be no change in the sensitivity-corrected dose±response curve on remeasurement. Here we examine the interpretation of the sensitivity corrected growth curve as a function of dose, and the eect of changing measurement conditions (e.g. preheat temperature, size of test dose, stimulation temperature) on the estimation of D e . The dependence of the dose response on prior treatment is tested explicitly, and the signi®cance of thermal transfer discussed. It is concluded that a robust SAR protocol is now available for quartz, and that it is applicable to a wide range of heated and unheated materials. #","author":[{"dropping-particle":"","family":"Murray","given":"A S","non-dropping-particle":"","parse-names":false,"suffix":""},{"dropping-particle":"","family":"Wintle","given":"A G","non-dropping-particle":"","parse-names":false,"suffix":""}],"container-title":"Radiation Measurements","id":"ITEM-2","issued":{"date-parts":[["2000"]]},"page":"57-73","title":"Luminescence dating of quartz using an improved single-aliquot regenerative-dose protocol","type":"article-journal","volume":"32"},"uris":["http://www.mendeley.com/documents/?uuid=7220513d-723c-344b-a175-c0009cf1ec75"]}],"mendeley":{"formattedCitation":"&lt;sup&gt;75,76&lt;/sup&gt;","plainTextFormattedCitation":"75,76","previouslyFormattedCitation":"&lt;sup&gt;75,76&lt;/sup&gt;"},"properties":{"noteIndex":0},"schema":"https://github.com/citation-style-language/schema/raw/master/csl-citation.json"}</w:instrText>
      </w:r>
      <w:r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75,76</w:t>
      </w:r>
      <w:r w:rsidRPr="005F44EF">
        <w:rPr>
          <w:rFonts w:ascii="Times New Roman" w:eastAsia="Times New Roman" w:hAnsi="Times New Roman" w:cs="Times New Roman"/>
          <w:sz w:val="24"/>
          <w:szCs w:val="24"/>
        </w:rPr>
        <w:fldChar w:fldCharType="end"/>
      </w:r>
      <w:hyperlink r:id="rId19"/>
      <w:r w:rsidRPr="005F44EF">
        <w:rPr>
          <w:rFonts w:ascii="Times New Roman" w:eastAsia="Times New Roman" w:hAnsi="Times New Roman" w:cs="Times New Roman"/>
          <w:sz w:val="24"/>
          <w:szCs w:val="24"/>
        </w:rPr>
        <w:t>. Elsewhere, others have shown the capability of the quartz SAR protocol to accurately date sediments over 200 ka with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values in excess of 250 Gy</w:t>
      </w:r>
      <w:r w:rsidR="00277AB3">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 xml:space="preserve">ADDIN CSL_CITATION {"citationItems":[{"id":"ITEM-1","itemData":{"DOI":"10.1016/J.RADMEAS.2008.01.014","ISSN":"1350-4487","abstract":"There is some evidence that optically stimulated luminescence (OSL) dating using the fast component from quartz may underestimate the age by </w:instrText>
      </w:r>
      <w:r w:rsidR="00614E13">
        <w:rPr>
          <w:rFonts w:ascii="Cambria Math" w:eastAsia="Times New Roman" w:hAnsi="Cambria Math" w:cs="Cambria Math"/>
          <w:sz w:val="24"/>
          <w:szCs w:val="24"/>
        </w:rPr>
        <w:instrText>∼</w:instrText>
      </w:r>
      <w:r w:rsidR="00614E13">
        <w:rPr>
          <w:rFonts w:ascii="Times New Roman" w:eastAsia="Times New Roman" w:hAnsi="Times New Roman" w:cs="Times New Roman"/>
          <w:sz w:val="24"/>
          <w:szCs w:val="24"/>
        </w:rPr>
        <w:instrText xml:space="preserve"> 10 % at about 130 ka, or for values of De of </w:instrText>
      </w:r>
      <w:r w:rsidR="00614E13">
        <w:rPr>
          <w:rFonts w:ascii="Cambria Math" w:eastAsia="Times New Roman" w:hAnsi="Cambria Math" w:cs="Cambria Math"/>
          <w:sz w:val="24"/>
          <w:szCs w:val="24"/>
        </w:rPr>
        <w:instrText>∼</w:instrText>
      </w:r>
      <w:r w:rsidR="00614E13">
        <w:rPr>
          <w:rFonts w:ascii="Times New Roman" w:eastAsia="Times New Roman" w:hAnsi="Times New Roman" w:cs="Times New Roman"/>
          <w:sz w:val="24"/>
          <w:szCs w:val="24"/>
        </w:rPr>
        <w:instrText xml:space="preserve"> 150 - 200 Gy. Any significant underestimate in age, if true, would be inconsistent with the expected values for the stability of the OSL trap. However, the alternative explanation, that the age control provided by the beginning of marine isotope stage 5e is </w:instrText>
      </w:r>
      <w:r w:rsidR="00614E13">
        <w:rPr>
          <w:rFonts w:ascii="Cambria Math" w:eastAsia="Times New Roman" w:hAnsi="Cambria Math" w:cs="Cambria Math"/>
          <w:sz w:val="24"/>
          <w:szCs w:val="24"/>
        </w:rPr>
        <w:instrText>∼</w:instrText>
      </w:r>
      <w:r w:rsidR="00614E13">
        <w:rPr>
          <w:rFonts w:ascii="Times New Roman" w:eastAsia="Times New Roman" w:hAnsi="Times New Roman" w:cs="Times New Roman"/>
          <w:sz w:val="24"/>
          <w:szCs w:val="24"/>
        </w:rPr>
        <w:instrText xml:space="preserve"> 10 % too old, would be very contentious. As part of our continuing investigation of the reliability of quartz ages for older material, we describe results from a deposit on the Seyda River in northern Russia. Quartz was extracted from an organic-rich layer identified as being laid down in either MIS 7.1 (</w:instrText>
      </w:r>
      <w:r w:rsidR="00614E13">
        <w:rPr>
          <w:rFonts w:ascii="Cambria Math" w:eastAsia="Times New Roman" w:hAnsi="Cambria Math" w:cs="Cambria Math"/>
          <w:sz w:val="24"/>
          <w:szCs w:val="24"/>
        </w:rPr>
        <w:instrText>∼</w:instrText>
      </w:r>
      <w:r w:rsidR="00614E13">
        <w:rPr>
          <w:rFonts w:ascii="Times New Roman" w:eastAsia="Times New Roman" w:hAnsi="Times New Roman" w:cs="Times New Roman"/>
          <w:sz w:val="24"/>
          <w:szCs w:val="24"/>
        </w:rPr>
        <w:instrText xml:space="preserve"> 193 ka) or MIS 7.3 (</w:instrText>
      </w:r>
      <w:r w:rsidR="00614E13">
        <w:rPr>
          <w:rFonts w:ascii="Cambria Math" w:eastAsia="Times New Roman" w:hAnsi="Cambria Math" w:cs="Cambria Math"/>
          <w:sz w:val="24"/>
          <w:szCs w:val="24"/>
        </w:rPr>
        <w:instrText>∼</w:instrText>
      </w:r>
      <w:r w:rsidR="00614E13">
        <w:rPr>
          <w:rFonts w:ascii="Times New Roman" w:eastAsia="Times New Roman" w:hAnsi="Times New Roman" w:cs="Times New Roman"/>
          <w:sz w:val="24"/>
          <w:szCs w:val="24"/>
        </w:rPr>
        <w:instrText>215 ka), and U-series dated to 198 ± 7 ka, and from the immediately overlying fluvial sand. The resulting mean OSL age of 10 samples from these sedimentary units is 207 ± 12 ka. The results are also discussed in relation to the earlier quartz studies. © 2008 Elsevier Ltd. All rights reserved.","author":[{"dropping-particle":"","family":"Murray","given":"Andrew","non-dropping-particle":"","parse-names":false,"suffix":""},{"dropping-particle":"","family":"Buylaert","given":"Jan Pieter","non-dropping-particle":"","parse-names":false,"suffix":""},{"dropping-particle":"","family":"Henriksen","given":"Mona","non-dropping-particle":"","parse-names":false,"suffix":""},{"dropping-particle":"","family":"Svendsen","given":"John Inge","non-dropping-particle":"","parse-names":false,"suffix":""},{"dropping-particle":"","family":"Mangerud","given":"Jan","non-dropping-particle":"","parse-names":false,"suffix":""}],"container-title":"Radiation Measurements","id":"ITEM-1","issue":"2-6","issued":{"date-parts":[["2008","2","1"]]},"page":"776-780","publisher":"Pergamon","title":"Testing the reliability of quartz OSL ages beyond the Eemian","type":"article-journal","volume":"43"},"uris":["http://www.mendeley.com/documents/?uuid=cc27e4d3-3fd4-3298-880c-58697d4b136c"]}],"mendeley":{"formattedCitation":"&lt;sup&gt;77&lt;/sup&gt;","plainTextFormattedCitation":"77","previouslyFormattedCitation":"&lt;sup&gt;77&lt;/sup&gt;"},"properties":{"noteIndex":0},"schema":"https://github.com/citation-style-language/schema/raw/master/csl-citation.json"}</w:instrText>
      </w:r>
      <w:r w:rsidR="00277AB3">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77</w:t>
      </w:r>
      <w:r w:rsidR="00277AB3">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The most appropriate SAR preheat temperature of 200 °C was derived from a dose recovery preheat plateau test on Shfd20131 (</w:t>
      </w:r>
      <w:r w:rsidRPr="005F44EF">
        <w:rPr>
          <w:rFonts w:ascii="Times New Roman" w:eastAsia="Times New Roman" w:hAnsi="Times New Roman" w:cs="Times New Roman"/>
          <w:b/>
          <w:sz w:val="24"/>
          <w:szCs w:val="24"/>
        </w:rPr>
        <w:t>Figure S</w:t>
      </w:r>
      <w:r w:rsidR="008F1244" w:rsidRPr="005F44EF">
        <w:rPr>
          <w:rFonts w:ascii="Times New Roman" w:eastAsia="Times New Roman" w:hAnsi="Times New Roman" w:cs="Times New Roman"/>
          <w:b/>
          <w:sz w:val="24"/>
          <w:szCs w:val="24"/>
        </w:rPr>
        <w:t>7</w:t>
      </w:r>
      <w:r w:rsidRPr="005F44EF">
        <w:rPr>
          <w:rFonts w:ascii="Times New Roman" w:eastAsia="Times New Roman" w:hAnsi="Times New Roman" w:cs="Times New Roman"/>
          <w:sz w:val="24"/>
          <w:szCs w:val="24"/>
        </w:rPr>
        <w:t>), for which a dose recovery ratio close to unity</w:t>
      </w:r>
      <w:r w:rsidR="001068B9" w:rsidRPr="005F44EF">
        <w:rPr>
          <w:rFonts w:ascii="Times New Roman" w:eastAsia="Times New Roman" w:hAnsi="Times New Roman" w:cs="Times New Roman"/>
          <w:sz w:val="24"/>
          <w:szCs w:val="24"/>
        </w:rPr>
        <w:t xml:space="preserve"> was obtained</w:t>
      </w:r>
      <w:r w:rsidRPr="005F44EF">
        <w:rPr>
          <w:rFonts w:ascii="Times New Roman" w:eastAsia="Times New Roman" w:hAnsi="Times New Roman" w:cs="Times New Roman"/>
          <w:sz w:val="24"/>
          <w:szCs w:val="24"/>
        </w:rPr>
        <w:t xml:space="preserve"> (0.98 ± 0.02). A</w:t>
      </w:r>
      <w:r w:rsidRPr="005F44EF">
        <w:rPr>
          <w:rFonts w:ascii="Times New Roman" w:hAnsi="Times New Roman" w:cs="Times New Roman"/>
          <w:sz w:val="24"/>
          <w:szCs w:val="24"/>
        </w:rPr>
        <w:t>n IR ratio test (as per</w:t>
      </w:r>
      <w:r w:rsidR="00C1534D" w:rsidRPr="005F44EF">
        <w:rPr>
          <w:rFonts w:ascii="Times New Roman" w:hAnsi="Times New Roman" w:cs="Times New Roman"/>
          <w:sz w:val="24"/>
          <w:szCs w:val="24"/>
        </w:rPr>
        <w:fldChar w:fldCharType="begin" w:fldLock="1"/>
      </w:r>
      <w:r w:rsidR="00614E13">
        <w:rPr>
          <w:rFonts w:ascii="Times New Roman" w:hAnsi="Times New Roman" w:cs="Times New Roman"/>
          <w:sz w:val="24"/>
          <w:szCs w:val="24"/>
        </w:rPr>
        <w:instrText>ADDIN CSL_CITATION {"citationItems":[{"id":"ITEM-1","itemData":{"DOI":"10.1016/S1350-4487(02)00170-1","ISSN":"1350-4487","abstract":"Luminescence dating of single grains requires a method of distinguishing between quartz and feldspar based solely on their luminescence behaviour. Several methods are tested, including the shape of optically stimulated luminescence (OSL) decay curve, the effect of infrared stimulation upon the OSL signal, and the change in OSL decay curve shape and OSL intensity as a function of the temperature of the sample during stimulation. Of these, the last requires a large number of additional measurements, whilst the first is a poor discriminant. The most efficient means of distinguishing quartz and feldspar grains is by taking the ratio of the OSL signal when measured with and without prior infrared stimulation. This is termed the OSL IR depletion ratio. © 2003 Elsevier Science Ltd. All rights reserved.","author":[{"dropping-particle":"","family":"Duller","given":"G. A.T.","non-dropping-particle":"","parse-names":false,"suffix":""}],"container-title":"Radiation Measurements","id":"ITEM-1","issue":"2","issued":{"date-parts":[["2003","4","1"]]},"page":"161-165","publisher":"Pergamon","title":"Distinguishing quartz and feldspar in single grain luminescence measurements","type":"article-journal","volume":"37"},"uris":["http://www.mendeley.com/documents/?uuid=38cfa6b7-fd0d-3065-9f2f-ac19a900fb09"]}],"mendeley":{"formattedCitation":"&lt;sup&gt;78&lt;/sup&gt;","plainTextFormattedCitation":"78","previouslyFormattedCitation":"&lt;sup&gt;78&lt;/sup&gt;"},"properties":{"noteIndex":0},"schema":"https://github.com/citation-style-language/schema/raw/master/csl-citation.json"}</w:instrText>
      </w:r>
      <w:r w:rsidR="00C1534D" w:rsidRPr="005F44EF">
        <w:rPr>
          <w:rFonts w:ascii="Times New Roman" w:hAnsi="Times New Roman" w:cs="Times New Roman"/>
          <w:sz w:val="24"/>
          <w:szCs w:val="24"/>
        </w:rPr>
        <w:fldChar w:fldCharType="separate"/>
      </w:r>
      <w:r w:rsidR="00C212A1" w:rsidRPr="00C212A1">
        <w:rPr>
          <w:rFonts w:ascii="Times New Roman" w:hAnsi="Times New Roman" w:cs="Times New Roman"/>
          <w:noProof/>
          <w:sz w:val="24"/>
          <w:szCs w:val="24"/>
          <w:vertAlign w:val="superscript"/>
        </w:rPr>
        <w:t>78</w:t>
      </w:r>
      <w:r w:rsidR="00C1534D" w:rsidRPr="005F44EF">
        <w:rPr>
          <w:rFonts w:ascii="Times New Roman" w:hAnsi="Times New Roman" w:cs="Times New Roman"/>
          <w:sz w:val="24"/>
          <w:szCs w:val="24"/>
        </w:rPr>
        <w:fldChar w:fldCharType="end"/>
      </w:r>
      <w:r w:rsidRPr="005F44EF">
        <w:rPr>
          <w:rFonts w:ascii="Times New Roman" w:hAnsi="Times New Roman" w:cs="Times New Roman"/>
          <w:sz w:val="24"/>
          <w:szCs w:val="24"/>
        </w:rPr>
        <w:t xml:space="preserve">) </w:t>
      </w:r>
      <w:r w:rsidRPr="005F44EF">
        <w:rPr>
          <w:rFonts w:ascii="Times New Roman" w:eastAsia="Times New Roman" w:hAnsi="Times New Roman" w:cs="Times New Roman"/>
          <w:sz w:val="24"/>
          <w:szCs w:val="24"/>
        </w:rPr>
        <w:t xml:space="preserve">validated the absence of </w:t>
      </w:r>
      <w:r w:rsidR="004B3A14" w:rsidRPr="005F44EF">
        <w:rPr>
          <w:rFonts w:ascii="Times New Roman" w:eastAsia="Times New Roman" w:hAnsi="Times New Roman" w:cs="Times New Roman"/>
          <w:sz w:val="24"/>
          <w:szCs w:val="24"/>
        </w:rPr>
        <w:t xml:space="preserve">any </w:t>
      </w:r>
      <w:r w:rsidRPr="005F44EF">
        <w:rPr>
          <w:rFonts w:ascii="Times New Roman" w:eastAsia="Times New Roman" w:hAnsi="Times New Roman" w:cs="Times New Roman"/>
          <w:sz w:val="24"/>
          <w:szCs w:val="24"/>
        </w:rPr>
        <w:t xml:space="preserve">feldspar </w:t>
      </w:r>
      <w:r w:rsidR="004B3A14" w:rsidRPr="005F44EF">
        <w:rPr>
          <w:rFonts w:ascii="Times New Roman" w:eastAsia="Times New Roman" w:hAnsi="Times New Roman" w:cs="Times New Roman"/>
          <w:sz w:val="24"/>
          <w:szCs w:val="24"/>
        </w:rPr>
        <w:t xml:space="preserve">signal </w:t>
      </w:r>
      <w:r w:rsidRPr="005F44EF">
        <w:rPr>
          <w:rFonts w:ascii="Times New Roman" w:eastAsia="Times New Roman" w:hAnsi="Times New Roman" w:cs="Times New Roman"/>
          <w:sz w:val="24"/>
          <w:szCs w:val="24"/>
        </w:rPr>
        <w:t>in the prepared quartz extracts. Data were analysed using Analyst Software</w:t>
      </w:r>
      <w:r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{"citationItems":[{"id":"ITEM-1","itemData":{"ISSN":"0735-1348","abstract":"publishersversion","author":[{"dropping-particle":"","family":"Duller","given":"G.","non-dropping-particle":"","parse-names":false,"suffix":""}],"container-title":"Ancient TL","id":"ITEM-1","issue":"1","issued":{"date-parts":[["2015"]]},"page":"35-42","title":"The Analyst software package for luminescence data: overview and recent improvements","type":"article-journal","volume":"33"},"uris":["http://www.mendeley.com/documents/?uuid=1e446666-ba64-4154-946f-3d51ea851c8f"]}],"mendeley":{"formattedCitation":"&lt;sup&gt;79&lt;/sup&gt;","plainTextFormattedCitation":"79","previouslyFormattedCitation":"&lt;sup&gt;79&lt;/sup&gt;"},"properties":{"noteIndex":0},"schema":"https://github.com/citation-style-language/schema/raw/master/csl-citation.json"}</w:instrText>
      </w:r>
      <w:r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79</w:t>
      </w:r>
      <w:r w:rsidRPr="005F44EF">
        <w:rPr>
          <w:rFonts w:ascii="Times New Roman" w:eastAsia="Times New Roman" w:hAnsi="Times New Roman" w:cs="Times New Roman"/>
          <w:sz w:val="24"/>
          <w:szCs w:val="24"/>
        </w:rPr>
        <w:fldChar w:fldCharType="end"/>
      </w:r>
      <w:r w:rsidR="005B65E9" w:rsidRPr="005F44EF">
        <w:rPr>
          <w:rFonts w:ascii="Times New Roman" w:eastAsia="Times New Roman" w:hAnsi="Times New Roman" w:cs="Times New Roman"/>
          <w:sz w:val="24"/>
          <w:szCs w:val="24"/>
        </w:rPr>
        <w:t xml:space="preserve"> using OSL from the first 1.2s of stimulation as the signal integral and OSL from the last 12s as the background integral</w:t>
      </w:r>
      <w:r w:rsidRPr="005F44EF">
        <w:rPr>
          <w:rFonts w:ascii="Times New Roman" w:eastAsia="Times New Roman" w:hAnsi="Times New Roman" w:cs="Times New Roman"/>
          <w:sz w:val="24"/>
          <w:szCs w:val="24"/>
        </w:rPr>
        <w:t>.</w:t>
      </w:r>
      <w:r w:rsidR="00870959"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All samples display good luminescence characteristics with signal dominated by the rapidly decaying fast component (</w:t>
      </w:r>
      <w:r w:rsidRPr="005F44EF">
        <w:rPr>
          <w:rFonts w:ascii="Times New Roman" w:eastAsia="Times New Roman" w:hAnsi="Times New Roman" w:cs="Times New Roman"/>
          <w:b/>
          <w:sz w:val="24"/>
          <w:szCs w:val="24"/>
        </w:rPr>
        <w:t>Figure S</w:t>
      </w:r>
      <w:r w:rsidR="00C1534D" w:rsidRPr="005F44EF">
        <w:rPr>
          <w:rFonts w:ascii="Times New Roman" w:eastAsia="Times New Roman" w:hAnsi="Times New Roman" w:cs="Times New Roman"/>
          <w:b/>
          <w:sz w:val="24"/>
          <w:szCs w:val="24"/>
        </w:rPr>
        <w:t>8</w:t>
      </w:r>
      <w:r w:rsidR="00B137BE">
        <w:rPr>
          <w:rFonts w:ascii="Times New Roman" w:eastAsia="Times New Roman" w:hAnsi="Times New Roman" w:cs="Times New Roman"/>
          <w:b/>
          <w:sz w:val="24"/>
          <w:szCs w:val="24"/>
        </w:rPr>
        <w:t>-A</w:t>
      </w:r>
      <w:r w:rsidRPr="005F44EF">
        <w:rPr>
          <w:rFonts w:ascii="Times New Roman" w:eastAsia="Times New Roman" w:hAnsi="Times New Roman" w:cs="Times New Roman"/>
          <w:sz w:val="24"/>
          <w:szCs w:val="24"/>
        </w:rPr>
        <w:t xml:space="preserve">). The SAR data was best fitted with a single saturating exponential curve for the youngest samples </w:t>
      </w:r>
      <w:r w:rsidR="0060751A" w:rsidRPr="005F44EF">
        <w:rPr>
          <w:rFonts w:ascii="Times New Roman" w:eastAsia="Times New Roman" w:hAnsi="Times New Roman" w:cs="Times New Roman"/>
          <w:sz w:val="24"/>
          <w:szCs w:val="24"/>
        </w:rPr>
        <w:t>(Shfd</w:t>
      </w:r>
      <w:r w:rsidR="00277AB3">
        <w:rPr>
          <w:rFonts w:ascii="Times New Roman" w:eastAsia="Times New Roman" w:hAnsi="Times New Roman" w:cs="Times New Roman"/>
          <w:sz w:val="24"/>
          <w:szCs w:val="24"/>
        </w:rPr>
        <w:t>20</w:t>
      </w:r>
      <w:r w:rsidR="0060751A" w:rsidRPr="005F44EF">
        <w:rPr>
          <w:rFonts w:ascii="Times New Roman" w:eastAsia="Times New Roman" w:hAnsi="Times New Roman" w:cs="Times New Roman"/>
          <w:sz w:val="24"/>
          <w:szCs w:val="24"/>
        </w:rPr>
        <w:t xml:space="preserve">130-133) </w:t>
      </w:r>
      <w:r w:rsidRPr="005F44EF">
        <w:rPr>
          <w:rFonts w:ascii="Times New Roman" w:eastAsia="Times New Roman" w:hAnsi="Times New Roman" w:cs="Times New Roman"/>
          <w:sz w:val="24"/>
          <w:szCs w:val="24"/>
        </w:rPr>
        <w:t>and a single saturating exponential + linear curve for the older samples</w:t>
      </w:r>
      <w:r w:rsidR="0060751A" w:rsidRPr="005F44EF">
        <w:rPr>
          <w:rFonts w:ascii="Times New Roman" w:eastAsia="Times New Roman" w:hAnsi="Times New Roman" w:cs="Times New Roman"/>
          <w:sz w:val="24"/>
          <w:szCs w:val="24"/>
        </w:rPr>
        <w:t xml:space="preserve"> (</w:t>
      </w:r>
      <w:r w:rsidR="00277AB3" w:rsidRPr="005F44EF">
        <w:rPr>
          <w:rFonts w:ascii="Times New Roman" w:eastAsia="Times New Roman" w:hAnsi="Times New Roman" w:cs="Times New Roman"/>
          <w:sz w:val="24"/>
          <w:szCs w:val="24"/>
        </w:rPr>
        <w:t>Shfd</w:t>
      </w:r>
      <w:r w:rsidR="00277AB3">
        <w:rPr>
          <w:rFonts w:ascii="Times New Roman" w:eastAsia="Times New Roman" w:hAnsi="Times New Roman" w:cs="Times New Roman"/>
          <w:sz w:val="24"/>
          <w:szCs w:val="24"/>
        </w:rPr>
        <w:t>20</w:t>
      </w:r>
      <w:r w:rsidR="00277AB3" w:rsidRPr="005F44EF">
        <w:rPr>
          <w:rFonts w:ascii="Times New Roman" w:eastAsia="Times New Roman" w:hAnsi="Times New Roman" w:cs="Times New Roman"/>
          <w:sz w:val="24"/>
          <w:szCs w:val="24"/>
        </w:rPr>
        <w:t>134</w:t>
      </w:r>
      <w:r w:rsidR="0060751A" w:rsidRPr="005F44EF">
        <w:rPr>
          <w:rFonts w:ascii="Times New Roman" w:eastAsia="Times New Roman" w:hAnsi="Times New Roman" w:cs="Times New Roman"/>
          <w:sz w:val="24"/>
          <w:szCs w:val="24"/>
        </w:rPr>
        <w:t>-137)</w:t>
      </w:r>
      <w:r w:rsidRPr="005F44EF">
        <w:rPr>
          <w:rFonts w:ascii="Times New Roman" w:eastAsia="Times New Roman" w:hAnsi="Times New Roman" w:cs="Times New Roman"/>
          <w:sz w:val="24"/>
          <w:szCs w:val="24"/>
        </w:rPr>
        <w:t>.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values from each aliquot were accepted based on the following criteria: </w:t>
      </w:r>
      <w:proofErr w:type="spellStart"/>
      <w:r w:rsidRPr="005F44EF">
        <w:rPr>
          <w:rFonts w:ascii="Times New Roman" w:eastAsia="Times New Roman" w:hAnsi="Times New Roman" w:cs="Times New Roman"/>
          <w:sz w:val="24"/>
          <w:szCs w:val="24"/>
        </w:rPr>
        <w:t>i</w:t>
      </w:r>
      <w:proofErr w:type="spellEnd"/>
      <w:r w:rsidRPr="005F44EF">
        <w:rPr>
          <w:rFonts w:ascii="Times New Roman" w:eastAsia="Times New Roman" w:hAnsi="Times New Roman" w:cs="Times New Roman"/>
          <w:sz w:val="24"/>
          <w:szCs w:val="24"/>
        </w:rPr>
        <w:t xml:space="preserve">) a measurable OSL signal 3 </w:t>
      </w:r>
      <w:proofErr w:type="gramStart"/>
      <w:r w:rsidRPr="005F44EF">
        <w:rPr>
          <w:rFonts w:ascii="Times New Roman" w:eastAsia="Times New Roman" w:hAnsi="Times New Roman" w:cs="Times New Roman"/>
          <w:sz w:val="24"/>
          <w:szCs w:val="24"/>
        </w:rPr>
        <w:t>sigma</w:t>
      </w:r>
      <w:proofErr w:type="gramEnd"/>
      <w:r w:rsidRPr="005F44EF">
        <w:rPr>
          <w:rFonts w:ascii="Times New Roman" w:eastAsia="Times New Roman" w:hAnsi="Times New Roman" w:cs="Times New Roman"/>
          <w:sz w:val="24"/>
          <w:szCs w:val="24"/>
        </w:rPr>
        <w:t xml:space="preserve"> above background, ii) SAR growth curve within </w:t>
      </w:r>
      <w:r w:rsidR="00D41A78">
        <w:rPr>
          <w:rFonts w:ascii="Times New Roman" w:eastAsia="Times New Roman" w:hAnsi="Times New Roman" w:cs="Times New Roman"/>
          <w:sz w:val="24"/>
          <w:szCs w:val="24"/>
        </w:rPr>
        <w:t xml:space="preserve">1σ </w:t>
      </w:r>
      <w:r w:rsidRPr="005F44EF">
        <w:rPr>
          <w:rFonts w:ascii="Times New Roman" w:eastAsia="Times New Roman" w:hAnsi="Times New Roman" w:cs="Times New Roman"/>
          <w:sz w:val="24"/>
          <w:szCs w:val="24"/>
        </w:rPr>
        <w:t>errors of regeneration points, iii) recycling values within ± 10 % of unity, and iv) error on the SAR test dose &lt; 10 %. Despite measurement of large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values for samples from Unit D, SAR growth curves for most aliquot/samples showed good and continued </w:t>
      </w:r>
      <w:r w:rsidR="0060751A" w:rsidRPr="005F44EF">
        <w:rPr>
          <w:rFonts w:ascii="Times New Roman" w:eastAsia="Times New Roman" w:hAnsi="Times New Roman" w:cs="Times New Roman"/>
          <w:sz w:val="24"/>
          <w:szCs w:val="24"/>
        </w:rPr>
        <w:t xml:space="preserve">OSL signal </w:t>
      </w:r>
      <w:r w:rsidRPr="005F44EF">
        <w:rPr>
          <w:rFonts w:ascii="Times New Roman" w:eastAsia="Times New Roman" w:hAnsi="Times New Roman" w:cs="Times New Roman"/>
          <w:sz w:val="24"/>
          <w:szCs w:val="24"/>
        </w:rPr>
        <w:t>growth</w:t>
      </w:r>
      <w:r w:rsidR="0060751A" w:rsidRPr="005F44EF">
        <w:rPr>
          <w:rFonts w:ascii="Times New Roman" w:eastAsia="Times New Roman" w:hAnsi="Times New Roman" w:cs="Times New Roman"/>
          <w:sz w:val="24"/>
          <w:szCs w:val="24"/>
        </w:rPr>
        <w:t xml:space="preserve"> with increasing laboratory dose</w:t>
      </w:r>
      <w:r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b/>
          <w:sz w:val="24"/>
          <w:szCs w:val="24"/>
        </w:rPr>
        <w:t>Figure S</w:t>
      </w:r>
      <w:r w:rsidR="00C1534D" w:rsidRPr="005F44EF">
        <w:rPr>
          <w:rFonts w:ascii="Times New Roman" w:eastAsia="Times New Roman" w:hAnsi="Times New Roman" w:cs="Times New Roman"/>
          <w:b/>
          <w:sz w:val="24"/>
          <w:szCs w:val="24"/>
        </w:rPr>
        <w:t>8</w:t>
      </w:r>
      <w:r w:rsidR="00B137BE">
        <w:rPr>
          <w:rFonts w:ascii="Times New Roman" w:eastAsia="Times New Roman" w:hAnsi="Times New Roman" w:cs="Times New Roman"/>
          <w:b/>
          <w:sz w:val="24"/>
          <w:szCs w:val="24"/>
        </w:rPr>
        <w:t>-</w:t>
      </w:r>
      <w:r w:rsidR="00277AB3">
        <w:rPr>
          <w:rFonts w:ascii="Times New Roman" w:eastAsia="Times New Roman" w:hAnsi="Times New Roman" w:cs="Times New Roman"/>
          <w:b/>
          <w:sz w:val="24"/>
          <w:szCs w:val="24"/>
        </w:rPr>
        <w:t>C</w:t>
      </w:r>
      <w:r w:rsidRPr="005F44EF">
        <w:rPr>
          <w:rFonts w:ascii="Times New Roman" w:eastAsia="Times New Roman" w:hAnsi="Times New Roman" w:cs="Times New Roman"/>
          <w:sz w:val="24"/>
          <w:szCs w:val="24"/>
        </w:rPr>
        <w:t xml:space="preserve">). Finally, samples Shfd20133 and Shfd20137 showed some aliquots in saturation (4/24). Implications are discussed below in Section 3.5.5. </w:t>
      </w:r>
    </w:p>
    <w:p w14:paraId="4830BA5D" w14:textId="2355D4DA" w:rsidR="005E3735" w:rsidRPr="005F44EF" w:rsidRDefault="005E3735" w:rsidP="0053236B">
      <w:pPr>
        <w:spacing w:after="0" w:line="276" w:lineRule="auto"/>
        <w:jc w:val="both"/>
        <w:rPr>
          <w:rFonts w:ascii="Times New Roman" w:eastAsia="Times New Roman" w:hAnsi="Times New Roman" w:cs="Times New Roman"/>
          <w:sz w:val="24"/>
          <w:szCs w:val="24"/>
        </w:rPr>
      </w:pPr>
      <w:r w:rsidRPr="005E3735">
        <w:rPr>
          <w:rFonts w:ascii="Times New Roman" w:eastAsia="Times New Roman" w:hAnsi="Times New Roman" w:cs="Times New Roman"/>
          <w:sz w:val="24"/>
          <w:szCs w:val="24"/>
        </w:rPr>
        <w:t>Luminescence measurement</w:t>
      </w:r>
      <w:r w:rsidR="00401C13">
        <w:rPr>
          <w:rFonts w:ascii="Times New Roman" w:eastAsia="Times New Roman" w:hAnsi="Times New Roman" w:cs="Times New Roman"/>
          <w:sz w:val="24"/>
          <w:szCs w:val="24"/>
        </w:rPr>
        <w:t>s</w:t>
      </w:r>
      <w:r w:rsidRPr="005E3735">
        <w:rPr>
          <w:rFonts w:ascii="Times New Roman" w:eastAsia="Times New Roman" w:hAnsi="Times New Roman" w:cs="Times New Roman"/>
          <w:sz w:val="24"/>
          <w:szCs w:val="24"/>
        </w:rPr>
        <w:t xml:space="preserve"> data w</w:t>
      </w:r>
      <w:r w:rsidR="00401C13">
        <w:rPr>
          <w:rFonts w:ascii="Times New Roman" w:eastAsia="Times New Roman" w:hAnsi="Times New Roman" w:cs="Times New Roman"/>
          <w:sz w:val="24"/>
          <w:szCs w:val="24"/>
        </w:rPr>
        <w:t xml:space="preserve">ere </w:t>
      </w:r>
      <w:r w:rsidRPr="005E3735">
        <w:rPr>
          <w:rFonts w:ascii="Times New Roman" w:eastAsia="Times New Roman" w:hAnsi="Times New Roman" w:cs="Times New Roman"/>
          <w:sz w:val="24"/>
          <w:szCs w:val="24"/>
        </w:rPr>
        <w:t xml:space="preserve">analysed using Analyst </w:t>
      </w:r>
      <w:r w:rsidRPr="005F44EF">
        <w:rPr>
          <w:rFonts w:ascii="Times New Roman" w:eastAsia="Times New Roman" w:hAnsi="Times New Roman" w:cs="Times New Roman"/>
          <w:sz w:val="24"/>
          <w:szCs w:val="24"/>
        </w:rPr>
        <w:t>Software</w:t>
      </w:r>
      <w:r w:rsidR="00401C13">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{"citationItems":[{"id":"ITEM-1","itemData":{"author":[{"dropping-particle":"","family":"Duller","given":"Geoff A T","non-dropping-particle":"","parse-names":false,"suffix":""}],"id":"ITEM-1","issued":{"date-parts":[["2017"]]},"title":"Analyst User Manual","type":"article-journal"},"uris":["http://www.mendeley.com/documents/?uuid=e2a7bf4b-c50f-3d27-9451-b4ce81143dfb"]}],"mendeley":{"formattedCitation":"&lt;sup&gt;80&lt;/sup&gt;","plainTextFormattedCitation":"80","previouslyFormattedCitation":"&lt;sup&gt;80&lt;/sup&gt;"},"properties":{"noteIndex":0},"schema":"https://github.com/citation-style-language/schema/raw/master/csl-citation.json"}</w:instrText>
      </w:r>
      <w:r w:rsidR="00401C13">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80</w:t>
      </w:r>
      <w:r w:rsidR="00401C13">
        <w:rPr>
          <w:rFonts w:ascii="Times New Roman" w:eastAsia="Times New Roman" w:hAnsi="Times New Roman" w:cs="Times New Roman"/>
          <w:sz w:val="24"/>
          <w:szCs w:val="24"/>
        </w:rPr>
        <w:fldChar w:fldCharType="end"/>
      </w:r>
      <w:r w:rsidRPr="005E3735">
        <w:rPr>
          <w:rFonts w:ascii="Times New Roman" w:eastAsia="Times New Roman" w:hAnsi="Times New Roman" w:cs="Times New Roman"/>
          <w:sz w:val="24"/>
          <w:szCs w:val="24"/>
        </w:rPr>
        <w:t xml:space="preserve"> with further statistical analysis and plotting of the D</w:t>
      </w:r>
      <w:r w:rsidRPr="00BF27F5">
        <w:rPr>
          <w:rFonts w:ascii="Times New Roman" w:eastAsia="Times New Roman" w:hAnsi="Times New Roman" w:cs="Times New Roman"/>
          <w:sz w:val="24"/>
          <w:szCs w:val="24"/>
          <w:vertAlign w:val="subscript"/>
        </w:rPr>
        <w:t>e</w:t>
      </w:r>
      <w:r w:rsidRPr="005E3735">
        <w:rPr>
          <w:rFonts w:ascii="Times New Roman" w:eastAsia="Times New Roman" w:hAnsi="Times New Roman" w:cs="Times New Roman"/>
          <w:sz w:val="24"/>
          <w:szCs w:val="24"/>
        </w:rPr>
        <w:t xml:space="preserve"> data </w:t>
      </w:r>
      <w:r w:rsidR="00401C13">
        <w:rPr>
          <w:rFonts w:ascii="Times New Roman" w:eastAsia="Times New Roman" w:hAnsi="Times New Roman" w:cs="Times New Roman"/>
          <w:sz w:val="24"/>
          <w:szCs w:val="24"/>
        </w:rPr>
        <w:t xml:space="preserve">(see section 3.5.5) </w:t>
      </w:r>
      <w:r w:rsidRPr="005E3735">
        <w:rPr>
          <w:rFonts w:ascii="Times New Roman" w:eastAsia="Times New Roman" w:hAnsi="Times New Roman" w:cs="Times New Roman"/>
          <w:sz w:val="24"/>
          <w:szCs w:val="24"/>
        </w:rPr>
        <w:t xml:space="preserve">using R studio </w:t>
      </w:r>
      <w:r w:rsidR="00401C13">
        <w:rPr>
          <w:rFonts w:ascii="Times New Roman" w:eastAsia="Times New Roman" w:hAnsi="Times New Roman" w:cs="Times New Roman"/>
          <w:sz w:val="24"/>
          <w:szCs w:val="24"/>
        </w:rPr>
        <w:t xml:space="preserve">using </w:t>
      </w:r>
      <w:r w:rsidRPr="005E3735">
        <w:rPr>
          <w:rFonts w:ascii="Times New Roman" w:eastAsia="Times New Roman" w:hAnsi="Times New Roman" w:cs="Times New Roman"/>
          <w:sz w:val="24"/>
          <w:szCs w:val="24"/>
        </w:rPr>
        <w:t>RLumShiny</w:t>
      </w:r>
      <w:r w:rsidR="00401C13">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{"citationItems":[{"id":"ITEM-1","itemData":{"abstract":"Since the release of the R package 'Luminescence' in 2012 the functionality of the package has been greatly enhanced by implementing further functions for measurement data processing, statistical analysis and graphical output. Along with the accompanying increase in complexity of the package, working with the command-line interface of R can be tedious, especially for users without previous experience in programming languages. Here, we present a collection of interactive web applications that provide a user-friendly graphical user interface for the 'Luminescence' package. These applications can be accessed over the internet or used on a local computer using the R package 'RLumShiny'. A short installation and usage guide is accompanied by the presentation of two exemplary applications.","author":[{"dropping-particle":"","family":"Burow","given":"Christoph","non-dropping-particle":"","parse-names":false,"suffix":""},{"dropping-particle":"","family":"Kreutzer","given":"Sebastian","non-dropping-particle":"","parse-names":false,"suffix":""},{"dropping-particle":"","family":"Dietze","given":"Michael","non-dropping-particle":"","parse-names":false,"suffix":""},{"dropping-particle":"","family":"Fuchs","given":"Margret","non-dropping-particle":"","parse-names":false,"suffix":""},{"dropping-particle":"","family":"Fischer","given":"Manfred","non-dropping-particle":"","parse-names":false,"suffix":""},{"dropping-particle":"","family":"Schmidt","given":"Christoph","non-dropping-particle":"","parse-names":false,"suffix":""}],"container-title":"Ancient TL","id":"ITEM-1","issue":"2","issued":{"date-parts":[["2016"]]},"page":"22-32","title":"RLumShiny - A graphical user interface for the R Package 'Luminescence'","type":"article-journal","volume":"34"},"uris":["http://www.mendeley.com/documents/?uuid=08e33716-b7c8-4844-bcb3-473c7cf55a08"]}],"mendeley":{"formattedCitation":"&lt;sup&gt;81&lt;/sup&gt;","plainTextFormattedCitation":"81","previouslyFormattedCitation":"&lt;sup&gt;81&lt;/sup&gt;"},"properties":{"noteIndex":0},"schema":"https://github.com/citation-style-language/schema/raw/master/csl-citation.json"}</w:instrText>
      </w:r>
      <w:r w:rsidR="00401C13">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81</w:t>
      </w:r>
      <w:r w:rsidR="00401C13">
        <w:rPr>
          <w:rFonts w:ascii="Times New Roman" w:eastAsia="Times New Roman" w:hAnsi="Times New Roman" w:cs="Times New Roman"/>
          <w:sz w:val="24"/>
          <w:szCs w:val="24"/>
        </w:rPr>
        <w:fldChar w:fldCharType="end"/>
      </w:r>
      <w:r w:rsidRPr="005E3735">
        <w:rPr>
          <w:rFonts w:ascii="Times New Roman" w:eastAsia="Times New Roman" w:hAnsi="Times New Roman" w:cs="Times New Roman"/>
          <w:sz w:val="24"/>
          <w:szCs w:val="24"/>
        </w:rPr>
        <w:t xml:space="preserve"> and Luminescence</w:t>
      </w:r>
      <w:r w:rsidR="00401C13">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10.32614/CRAN.PACKAGE.LUMINESCENCE","author":[{"dropping-particle":"","family":"Kreutzer","given":"Sebastian","non-dropping-particle":"","parse-names":false,"suffix":""},{"dropping-particle":"","family":"Burow","given":"Christoph","non-dropping-particle":"","parse-names":false,"suffix":""},{"dropping-particle":"","family":"Dietze","given":"Michael","non-dropping-particle":"","parse-names":false,"suffix":""},{"dropping-particle":"","family":"Fuchs","given":"Margret C.","non-dropping-particle":"","parse-names":false,"suffix":""},{"dropping-particle":"","family":"Schmidt","given":"Christoph","non-dropping-particle":"","parse-names":false,"suffix":""},{"dropping-particle":"","family":"Fischer","given":"Manfred","non-dropping-particle":"","parse-names":false,"suffix":""},{"dropping-particle":"","family":"Friedrich","given":"Johannes","non-dropping-particle":"","parse-names":false,"suffix":""},{"dropping-particle":"","family":"Mercier","given":"Norbert","non-dropping-particle":"","parse-names":false,"suffix":""},{"dropping-particle":"","family":"Philippe","given":"Anne","non-dropping-particle":"","parse-names":false,"suffix":""},{"dropping-particle":"","family":"Riedesel","given":"Svenja","non-dropping-particle":"","parse-names":false,"suffix":""},{"dropping-particle":"","family":"Autzen","given":"Martin","non-dropping-particle":"","parse-names":false,"suffix":""},{"dropping-particle":"","family":"Mittelstrass","given":"Dirk","non-dropping-particle":"","parse-names":false,"suffix":""},{"dropping-particle":"","family":"Gray","given":"Harrison J.","non-dropping-particle":"","parse-names":false,"suffix":""},{"dropping-particle":"","family":"Galharret","given":"Jean-Michel","non-dropping-particle":"","parse-names":false,"suffix":""},{"dropping-particle":"","family":"Colombo","given":"Marco","non-dropping-particle":"","parse-names":false,"suffix":""}],"container-title":"CRAN: Contributed Packages","id":"ITEM-1","issued":{"date-parts":[["2024","11","18"]]},"publisher":"Comprehensive R Archive Network (CRAN)","title":"Comprehensive Luminescence Dating Data Analysis [R package Luminescence version 0.9.26]","type":"article-journal"},"uris":["http://www.mendeley.com/documents/?uuid=485a4a2f-a39e-3298-b813-92bb2266e6a1"]}],"mendeley":{"formattedCitation":"&lt;sup&gt;82&lt;/sup&gt;","plainTextFormattedCitation":"82","previouslyFormattedCitation":"&lt;sup&gt;82&lt;/sup&gt;"},"properties":{"noteIndex":0},"schema":"https://github.com/citation-style-language/schema/raw/master/csl-citation.json"}</w:instrText>
      </w:r>
      <w:r w:rsidR="00401C13">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82</w:t>
      </w:r>
      <w:r w:rsidR="00401C13">
        <w:rPr>
          <w:rFonts w:ascii="Times New Roman" w:eastAsia="Times New Roman" w:hAnsi="Times New Roman" w:cs="Times New Roman"/>
          <w:sz w:val="24"/>
          <w:szCs w:val="24"/>
        </w:rPr>
        <w:fldChar w:fldCharType="end"/>
      </w:r>
      <w:r w:rsidR="00401C13">
        <w:rPr>
          <w:rFonts w:ascii="Times New Roman" w:eastAsia="Times New Roman" w:hAnsi="Times New Roman" w:cs="Times New Roman"/>
          <w:sz w:val="24"/>
          <w:szCs w:val="24"/>
        </w:rPr>
        <w:t xml:space="preserve"> R packages. </w:t>
      </w:r>
    </w:p>
    <w:p w14:paraId="07C78A22" w14:textId="62F0EBA4" w:rsidR="00C22F48" w:rsidRPr="005F44EF" w:rsidRDefault="00C22F48" w:rsidP="0053236B">
      <w:pPr>
        <w:spacing w:after="0" w:line="276" w:lineRule="auto"/>
        <w:jc w:val="both"/>
        <w:rPr>
          <w:rFonts w:ascii="Times New Roman" w:eastAsia="Times New Roman" w:hAnsi="Times New Roman" w:cs="Times New Roman"/>
          <w:sz w:val="24"/>
          <w:szCs w:val="24"/>
        </w:rPr>
      </w:pPr>
    </w:p>
    <w:p w14:paraId="5C9EEF65" w14:textId="327A7AC8" w:rsidR="00C22F48" w:rsidRPr="005F44EF" w:rsidRDefault="00C22F48" w:rsidP="00C22F48">
      <w:pPr>
        <w:spacing w:after="0" w:line="276" w:lineRule="auto"/>
        <w:jc w:val="both"/>
        <w:rPr>
          <w:rFonts w:ascii="Times New Roman" w:hAnsi="Times New Roman" w:cs="Times New Roman"/>
          <w:sz w:val="24"/>
          <w:szCs w:val="24"/>
        </w:rPr>
      </w:pPr>
      <w:proofErr w:type="spellStart"/>
      <w:r w:rsidRPr="005F44EF">
        <w:rPr>
          <w:rFonts w:ascii="Times New Roman" w:eastAsia="Times New Roman" w:hAnsi="Times New Roman" w:cs="Times New Roman"/>
          <w:sz w:val="24"/>
          <w:szCs w:val="24"/>
        </w:rPr>
        <w:t>Not withstanding</w:t>
      </w:r>
      <w:proofErr w:type="spellEnd"/>
      <w:r w:rsidRPr="005F44EF">
        <w:rPr>
          <w:rFonts w:ascii="Times New Roman" w:eastAsia="Times New Roman" w:hAnsi="Times New Roman" w:cs="Times New Roman"/>
          <w:sz w:val="24"/>
          <w:szCs w:val="24"/>
        </w:rPr>
        <w:t xml:space="preserve"> the above, for comparative purposes all samples were also measured at the single grain level. Single grain</w:t>
      </w:r>
      <w:r w:rsidRPr="005F44EF">
        <w:rPr>
          <w:rFonts w:ascii="Times New Roman" w:hAnsi="Times New Roman" w:cs="Times New Roman"/>
          <w:sz w:val="24"/>
          <w:szCs w:val="24"/>
        </w:rPr>
        <w:t xml:space="preserve"> measurements were conducted with a </w:t>
      </w:r>
      <w:proofErr w:type="spellStart"/>
      <w:r w:rsidRPr="005F44EF">
        <w:rPr>
          <w:rFonts w:ascii="Times New Roman" w:hAnsi="Times New Roman" w:cs="Times New Roman"/>
          <w:sz w:val="24"/>
          <w:szCs w:val="24"/>
        </w:rPr>
        <w:t>Risø</w:t>
      </w:r>
      <w:proofErr w:type="spellEnd"/>
      <w:r w:rsidRPr="005F44EF">
        <w:rPr>
          <w:rFonts w:ascii="Times New Roman" w:hAnsi="Times New Roman" w:cs="Times New Roman"/>
          <w:sz w:val="24"/>
          <w:szCs w:val="24"/>
        </w:rPr>
        <w:t xml:space="preserve"> reader TLDA-15 equipped with a single grain attachment with a 10mW Nd:YVO4 solid state diode-pumped laser emitting at 532 nm</w:t>
      </w:r>
      <w:r w:rsidR="00F36420" w:rsidRPr="005F44EF">
        <w:rPr>
          <w:rFonts w:ascii="Times New Roman" w:hAnsi="Times New Roman" w:cs="Times New Roman"/>
          <w:sz w:val="24"/>
          <w:szCs w:val="24"/>
        </w:rPr>
        <w:fldChar w:fldCharType="begin" w:fldLock="1"/>
      </w:r>
      <w:r w:rsidR="00614E13">
        <w:rPr>
          <w:rFonts w:ascii="Times New Roman" w:hAnsi="Times New Roman" w:cs="Times New Roman"/>
          <w:sz w:val="24"/>
          <w:szCs w:val="24"/>
        </w:rPr>
        <w:instrText>ADDIN CSL_CITATION {"citationItems":[{"id":"ITEM-1","itemData":{"DOI":"10.1016/S0168-583X(99)00488-7","ISSN":"0168-583X","abstract":"Optically stimulated luminescence (OSL) is used widely for reconstructing past radiation exposure, either in connection with accidental release of radionuclides into the environment, or for dating the time since geological materials were deposited. Measurements of the optically stimulated luminescence properties of crystals are conventionally undertaken on groups of many hundred to many thousand sand-sized (90-300 μm) grains. However, it has long been known that different grains may have different luminescence properties (e.g., sensitivity to dose) and that more information could be gained if single grains could be measured separately, and thus avoid the effect of averaging. Here we describe an automated system that makes the routine measurement of OSL of a large number of single grains feasible for the first time. The concepts underlying the design are described, and initial measurements demonstrate that a reproducibility of 3% can be achieved in repeated OSL measurements of a single grain of Al2O3:C. Measurements on a geological quartz sample demonstrate that the system can also analyse natural samples.","author":[{"dropping-particle":"","family":"Duller","given":"G. A.T.","non-dropping-particle":"","parse-names":false,"suffix":""},{"dropping-particle":"","family":"Bøtter-Jensen","given":"L.","non-dropping-particle":"","parse-names":false,"suffix":""},{"dropping-particle":"","family":"Murray","given":"A. S.","non-dropping-particle":"","parse-names":false,"suffix":""},{"dropping-particle":"","family":"Truscott","given":"A. J.","non-dropping-particle":"","parse-names":false,"suffix":""}],"container-title":"Nuclear Instruments and Methods in Physics Research Section B: Beam Interactions with Materials and Atoms","id":"ITEM-1","issue":"4","issued":{"date-parts":[["1999","9","1"]]},"page":"506-514","publisher":"North-Holland","title":"Single grain laser luminescence (SGLL) measurements using a novel automated reader","type":"article-journal","volume":"155"},"uris":["http://www.mendeley.com/documents/?uuid=741ade58-7a28-3df4-bb4a-5e016fdc1430"]}],"mendeley":{"formattedCitation":"&lt;sup&gt;83&lt;/sup&gt;","plainTextFormattedCitation":"83","previouslyFormattedCitation":"&lt;sup&gt;83&lt;/sup&gt;"},"properties":{"noteIndex":0},"schema":"https://github.com/citation-style-language/schema/raw/master/csl-citation.json"}</w:instrText>
      </w:r>
      <w:r w:rsidR="00F36420" w:rsidRPr="005F44EF">
        <w:rPr>
          <w:rFonts w:ascii="Times New Roman" w:hAnsi="Times New Roman" w:cs="Times New Roman"/>
          <w:sz w:val="24"/>
          <w:szCs w:val="24"/>
        </w:rPr>
        <w:fldChar w:fldCharType="separate"/>
      </w:r>
      <w:r w:rsidR="00C212A1" w:rsidRPr="00C212A1">
        <w:rPr>
          <w:rFonts w:ascii="Times New Roman" w:hAnsi="Times New Roman" w:cs="Times New Roman"/>
          <w:noProof/>
          <w:sz w:val="24"/>
          <w:szCs w:val="24"/>
          <w:vertAlign w:val="superscript"/>
        </w:rPr>
        <w:t>83</w:t>
      </w:r>
      <w:r w:rsidR="00F36420" w:rsidRPr="005F44EF">
        <w:rPr>
          <w:rFonts w:ascii="Times New Roman" w:hAnsi="Times New Roman" w:cs="Times New Roman"/>
          <w:sz w:val="24"/>
          <w:szCs w:val="24"/>
        </w:rPr>
        <w:fldChar w:fldCharType="end"/>
      </w:r>
      <w:r w:rsidR="00F36420" w:rsidRPr="005F44EF">
        <w:rPr>
          <w:rFonts w:ascii="Times New Roman" w:hAnsi="Times New Roman" w:cs="Times New Roman"/>
          <w:sz w:val="24"/>
          <w:szCs w:val="24"/>
        </w:rPr>
        <w:t xml:space="preserve">. </w:t>
      </w:r>
      <w:r w:rsidRPr="005F44EF">
        <w:rPr>
          <w:rFonts w:ascii="Times New Roman" w:hAnsi="Times New Roman" w:cs="Times New Roman"/>
          <w:sz w:val="24"/>
          <w:szCs w:val="24"/>
        </w:rPr>
        <w:t>The luminescence emissions were detected through a Hoya U-340 filter. Single grains were measured on 9.6mm diameter aluminium discs containing 100 holes.</w:t>
      </w:r>
      <w:r w:rsidR="00E70D3E" w:rsidRPr="005F44EF">
        <w:rPr>
          <w:rFonts w:ascii="Times New Roman" w:hAnsi="Times New Roman" w:cs="Times New Roman"/>
          <w:sz w:val="24"/>
          <w:szCs w:val="24"/>
        </w:rPr>
        <w:t xml:space="preserve"> </w:t>
      </w:r>
      <w:r w:rsidRPr="005F44EF">
        <w:rPr>
          <w:rFonts w:ascii="Times New Roman" w:hAnsi="Times New Roman" w:cs="Times New Roman"/>
          <w:sz w:val="24"/>
          <w:szCs w:val="24"/>
        </w:rPr>
        <w:t>D</w:t>
      </w:r>
      <w:r w:rsidRPr="005F44EF">
        <w:rPr>
          <w:rFonts w:ascii="Times New Roman" w:hAnsi="Times New Roman" w:cs="Times New Roman"/>
          <w:sz w:val="24"/>
          <w:szCs w:val="24"/>
          <w:vertAlign w:val="subscript"/>
        </w:rPr>
        <w:t>e</w:t>
      </w:r>
      <w:r w:rsidRPr="005F44EF">
        <w:rPr>
          <w:rFonts w:ascii="Times New Roman" w:hAnsi="Times New Roman" w:cs="Times New Roman"/>
          <w:sz w:val="24"/>
          <w:szCs w:val="24"/>
        </w:rPr>
        <w:t xml:space="preserve"> determinations used an </w:t>
      </w:r>
      <w:r w:rsidR="00870959" w:rsidRPr="005F44EF">
        <w:rPr>
          <w:rFonts w:ascii="Times New Roman" w:hAnsi="Times New Roman" w:cs="Times New Roman"/>
          <w:sz w:val="24"/>
          <w:szCs w:val="24"/>
        </w:rPr>
        <w:t>identical</w:t>
      </w:r>
      <w:r w:rsidRPr="005F44EF">
        <w:rPr>
          <w:rFonts w:ascii="Times New Roman" w:hAnsi="Times New Roman" w:cs="Times New Roman"/>
          <w:sz w:val="24"/>
          <w:szCs w:val="24"/>
        </w:rPr>
        <w:t xml:space="preserve"> SAR protocol to that of the single aliquot measurements except that stimulation was for only 1 s at 125</w:t>
      </w:r>
      <w:r w:rsidRPr="005F44EF">
        <w:rPr>
          <w:rFonts w:ascii="Times New Roman" w:hAnsi="Times New Roman" w:cs="Times New Roman"/>
          <w:sz w:val="24"/>
          <w:szCs w:val="24"/>
          <w:vertAlign w:val="superscript"/>
        </w:rPr>
        <w:t>o</w:t>
      </w:r>
      <w:r w:rsidRPr="005F44EF">
        <w:rPr>
          <w:rFonts w:ascii="Times New Roman" w:hAnsi="Times New Roman" w:cs="Times New Roman"/>
          <w:sz w:val="24"/>
          <w:szCs w:val="24"/>
        </w:rPr>
        <w:t>C.</w:t>
      </w:r>
      <w:r w:rsidR="00F24010">
        <w:rPr>
          <w:rFonts w:ascii="Times New Roman" w:hAnsi="Times New Roman" w:cs="Times New Roman"/>
          <w:sz w:val="24"/>
          <w:szCs w:val="24"/>
        </w:rPr>
        <w:t xml:space="preserve"> </w:t>
      </w:r>
      <w:r w:rsidRPr="005F44EF">
        <w:rPr>
          <w:rFonts w:ascii="Times New Roman" w:hAnsi="Times New Roman" w:cs="Times New Roman"/>
          <w:sz w:val="24"/>
          <w:szCs w:val="24"/>
        </w:rPr>
        <w:t xml:space="preserve">Single grain data analysis used </w:t>
      </w:r>
      <w:r w:rsidRPr="005F44EF">
        <w:rPr>
          <w:rFonts w:ascii="Times New Roman" w:eastAsia="Times New Roman" w:hAnsi="Times New Roman" w:cs="Times New Roman"/>
          <w:sz w:val="24"/>
          <w:szCs w:val="24"/>
        </w:rPr>
        <w:t xml:space="preserve">OSL from the first 0.08s of stimulation as the signal integral and OSL from the last 0.48s as the background integral. </w:t>
      </w:r>
      <w:r w:rsidR="00277AB3">
        <w:rPr>
          <w:rFonts w:ascii="Times New Roman" w:eastAsia="Times New Roman" w:hAnsi="Times New Roman" w:cs="Times New Roman"/>
          <w:sz w:val="24"/>
          <w:szCs w:val="24"/>
        </w:rPr>
        <w:t>S</w:t>
      </w:r>
      <w:r w:rsidR="00277AB3" w:rsidRPr="005F44EF">
        <w:rPr>
          <w:rFonts w:ascii="Times New Roman" w:eastAsia="Times New Roman" w:hAnsi="Times New Roman" w:cs="Times New Roman"/>
          <w:sz w:val="24"/>
          <w:szCs w:val="24"/>
        </w:rPr>
        <w:t xml:space="preserve">ignal </w:t>
      </w:r>
      <w:r w:rsidR="00277AB3">
        <w:rPr>
          <w:rFonts w:ascii="Times New Roman" w:eastAsia="Times New Roman" w:hAnsi="Times New Roman" w:cs="Times New Roman"/>
          <w:sz w:val="24"/>
          <w:szCs w:val="24"/>
        </w:rPr>
        <w:t xml:space="preserve">was again </w:t>
      </w:r>
      <w:r w:rsidR="00277AB3" w:rsidRPr="005F44EF">
        <w:rPr>
          <w:rFonts w:ascii="Times New Roman" w:eastAsia="Times New Roman" w:hAnsi="Times New Roman" w:cs="Times New Roman"/>
          <w:sz w:val="24"/>
          <w:szCs w:val="24"/>
        </w:rPr>
        <w:t>dominated by the rapidly decaying fast component (</w:t>
      </w:r>
      <w:r w:rsidR="00277AB3" w:rsidRPr="005F44EF">
        <w:rPr>
          <w:rFonts w:ascii="Times New Roman" w:eastAsia="Times New Roman" w:hAnsi="Times New Roman" w:cs="Times New Roman"/>
          <w:b/>
          <w:sz w:val="24"/>
          <w:szCs w:val="24"/>
        </w:rPr>
        <w:t>Figure S8</w:t>
      </w:r>
      <w:r w:rsidR="00277AB3">
        <w:rPr>
          <w:rFonts w:ascii="Times New Roman" w:eastAsia="Times New Roman" w:hAnsi="Times New Roman" w:cs="Times New Roman"/>
          <w:b/>
          <w:sz w:val="24"/>
          <w:szCs w:val="24"/>
        </w:rPr>
        <w:t>-B)</w:t>
      </w:r>
      <w:r w:rsidR="00277AB3" w:rsidRPr="005F44EF">
        <w:rPr>
          <w:rFonts w:ascii="Times New Roman" w:eastAsia="Times New Roman" w:hAnsi="Times New Roman" w:cs="Times New Roman"/>
          <w:sz w:val="24"/>
          <w:szCs w:val="24"/>
        </w:rPr>
        <w:t>.</w:t>
      </w:r>
      <w:r w:rsidR="00277AB3">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Single grain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values from each aliquot were accepted following the criteria: </w:t>
      </w:r>
      <w:proofErr w:type="spellStart"/>
      <w:r w:rsidRPr="005F44EF">
        <w:rPr>
          <w:rFonts w:ascii="Times New Roman" w:eastAsia="Times New Roman" w:hAnsi="Times New Roman" w:cs="Times New Roman"/>
          <w:sz w:val="24"/>
          <w:szCs w:val="24"/>
        </w:rPr>
        <w:t>i</w:t>
      </w:r>
      <w:proofErr w:type="spellEnd"/>
      <w:r w:rsidRPr="005F44EF">
        <w:rPr>
          <w:rFonts w:ascii="Times New Roman" w:eastAsia="Times New Roman" w:hAnsi="Times New Roman" w:cs="Times New Roman"/>
          <w:sz w:val="24"/>
          <w:szCs w:val="24"/>
        </w:rPr>
        <w:t xml:space="preserve">) an OSL signal measurable 3 sigma above background, ii) SAR growth curve within </w:t>
      </w:r>
      <w:r w:rsidR="00D41A78">
        <w:rPr>
          <w:rFonts w:ascii="Times New Roman" w:eastAsia="Times New Roman" w:hAnsi="Times New Roman" w:cs="Times New Roman"/>
          <w:sz w:val="24"/>
          <w:szCs w:val="24"/>
        </w:rPr>
        <w:t xml:space="preserve">1σ </w:t>
      </w:r>
      <w:r w:rsidRPr="005F44EF">
        <w:rPr>
          <w:rFonts w:ascii="Times New Roman" w:eastAsia="Times New Roman" w:hAnsi="Times New Roman" w:cs="Times New Roman"/>
          <w:sz w:val="24"/>
          <w:szCs w:val="24"/>
        </w:rPr>
        <w:t>errors of regeneration points, iii) recycling values within ± 20 % of unity, and iv) the error on the test dose used within the SAR protocol was less than 20 %.</w:t>
      </w:r>
      <w:r w:rsidR="00F24010">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 xml:space="preserve">As with the single aliquot measurements, the single grain SAR data found to be best fitted with a single saturating exponential curve for the youngest samples </w:t>
      </w:r>
      <w:r w:rsidR="0060751A" w:rsidRPr="005F44EF">
        <w:rPr>
          <w:rFonts w:ascii="Times New Roman" w:eastAsia="Times New Roman" w:hAnsi="Times New Roman" w:cs="Times New Roman"/>
          <w:sz w:val="24"/>
          <w:szCs w:val="24"/>
        </w:rPr>
        <w:t>(Shfd</w:t>
      </w:r>
      <w:r w:rsidR="00277AB3">
        <w:rPr>
          <w:rFonts w:ascii="Times New Roman" w:eastAsia="Times New Roman" w:hAnsi="Times New Roman" w:cs="Times New Roman"/>
          <w:sz w:val="24"/>
          <w:szCs w:val="24"/>
        </w:rPr>
        <w:t>20</w:t>
      </w:r>
      <w:r w:rsidR="0060751A" w:rsidRPr="005F44EF">
        <w:rPr>
          <w:rFonts w:ascii="Times New Roman" w:eastAsia="Times New Roman" w:hAnsi="Times New Roman" w:cs="Times New Roman"/>
          <w:sz w:val="24"/>
          <w:szCs w:val="24"/>
        </w:rPr>
        <w:t xml:space="preserve">130-133) </w:t>
      </w:r>
      <w:r w:rsidRPr="005F44EF">
        <w:rPr>
          <w:rFonts w:ascii="Times New Roman" w:eastAsia="Times New Roman" w:hAnsi="Times New Roman" w:cs="Times New Roman"/>
          <w:sz w:val="24"/>
          <w:szCs w:val="24"/>
        </w:rPr>
        <w:t xml:space="preserve">and a single saturating </w:t>
      </w:r>
      <w:r w:rsidRPr="005F44EF">
        <w:rPr>
          <w:rFonts w:ascii="Times New Roman" w:eastAsia="Times New Roman" w:hAnsi="Times New Roman" w:cs="Times New Roman"/>
          <w:sz w:val="24"/>
          <w:szCs w:val="24"/>
        </w:rPr>
        <w:lastRenderedPageBreak/>
        <w:t>exponential + linear curve for the older samples</w:t>
      </w:r>
      <w:r w:rsidR="0060751A" w:rsidRPr="005F44EF">
        <w:rPr>
          <w:rFonts w:ascii="Times New Roman" w:eastAsia="Times New Roman" w:hAnsi="Times New Roman" w:cs="Times New Roman"/>
          <w:sz w:val="24"/>
          <w:szCs w:val="24"/>
        </w:rPr>
        <w:t xml:space="preserve"> (Shfd</w:t>
      </w:r>
      <w:r w:rsidR="00277AB3">
        <w:rPr>
          <w:rFonts w:ascii="Times New Roman" w:eastAsia="Times New Roman" w:hAnsi="Times New Roman" w:cs="Times New Roman"/>
          <w:sz w:val="24"/>
          <w:szCs w:val="24"/>
        </w:rPr>
        <w:t>20</w:t>
      </w:r>
      <w:r w:rsidR="0060751A" w:rsidRPr="005F44EF">
        <w:rPr>
          <w:rFonts w:ascii="Times New Roman" w:eastAsia="Times New Roman" w:hAnsi="Times New Roman" w:cs="Times New Roman"/>
          <w:sz w:val="24"/>
          <w:szCs w:val="24"/>
        </w:rPr>
        <w:t>134-137)</w:t>
      </w:r>
      <w:r w:rsidRPr="005F44EF">
        <w:rPr>
          <w:rFonts w:ascii="Times New Roman" w:eastAsia="Times New Roman" w:hAnsi="Times New Roman" w:cs="Times New Roman"/>
          <w:sz w:val="24"/>
          <w:szCs w:val="24"/>
        </w:rPr>
        <w:t>. Single grain</w:t>
      </w:r>
      <w:r w:rsidR="00870959"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SAR growth curves for most aliquot/samples showed good and continued growth (</w:t>
      </w:r>
      <w:r w:rsidRPr="005F44EF">
        <w:rPr>
          <w:rFonts w:ascii="Times New Roman" w:eastAsia="Times New Roman" w:hAnsi="Times New Roman" w:cs="Times New Roman"/>
          <w:b/>
          <w:sz w:val="24"/>
          <w:szCs w:val="24"/>
        </w:rPr>
        <w:t>Figure S8-</w:t>
      </w:r>
      <w:r w:rsidR="00277AB3">
        <w:rPr>
          <w:rFonts w:ascii="Times New Roman" w:eastAsia="Times New Roman" w:hAnsi="Times New Roman" w:cs="Times New Roman"/>
          <w:b/>
          <w:sz w:val="24"/>
          <w:szCs w:val="24"/>
        </w:rPr>
        <w:t>D</w:t>
      </w:r>
      <w:r w:rsidRPr="005F44EF">
        <w:rPr>
          <w:rFonts w:ascii="Times New Roman" w:eastAsia="Times New Roman" w:hAnsi="Times New Roman" w:cs="Times New Roman"/>
          <w:sz w:val="24"/>
          <w:szCs w:val="24"/>
        </w:rPr>
        <w:t>). All samples included some grains which were in saturation the implications of which are discussed below in Section 3.5.5.</w:t>
      </w:r>
      <w:r w:rsidR="00F24010">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S</w:t>
      </w:r>
      <w:r w:rsidRPr="005F44EF">
        <w:rPr>
          <w:rFonts w:ascii="Times New Roman" w:hAnsi="Times New Roman" w:cs="Times New Roman"/>
          <w:sz w:val="24"/>
          <w:szCs w:val="24"/>
        </w:rPr>
        <w:t>ingle grain dose recovery tests were undertaken on samples Shfd2</w:t>
      </w:r>
      <w:r w:rsidR="00277AB3">
        <w:rPr>
          <w:rFonts w:ascii="Times New Roman" w:hAnsi="Times New Roman" w:cs="Times New Roman"/>
          <w:sz w:val="24"/>
          <w:szCs w:val="24"/>
        </w:rPr>
        <w:t>0</w:t>
      </w:r>
      <w:r w:rsidRPr="005F44EF">
        <w:rPr>
          <w:rFonts w:ascii="Times New Roman" w:hAnsi="Times New Roman" w:cs="Times New Roman"/>
          <w:sz w:val="24"/>
          <w:szCs w:val="24"/>
        </w:rPr>
        <w:t xml:space="preserve">133 and </w:t>
      </w:r>
      <w:r w:rsidR="00277AB3" w:rsidRPr="005F44EF">
        <w:rPr>
          <w:rFonts w:ascii="Times New Roman" w:hAnsi="Times New Roman" w:cs="Times New Roman"/>
          <w:sz w:val="24"/>
          <w:szCs w:val="24"/>
        </w:rPr>
        <w:t>Shfd2</w:t>
      </w:r>
      <w:r w:rsidR="00277AB3">
        <w:rPr>
          <w:rFonts w:ascii="Times New Roman" w:hAnsi="Times New Roman" w:cs="Times New Roman"/>
          <w:sz w:val="24"/>
          <w:szCs w:val="24"/>
        </w:rPr>
        <w:t>0</w:t>
      </w:r>
      <w:r w:rsidR="00277AB3" w:rsidRPr="005F44EF">
        <w:rPr>
          <w:rFonts w:ascii="Times New Roman" w:hAnsi="Times New Roman" w:cs="Times New Roman"/>
          <w:sz w:val="24"/>
          <w:szCs w:val="24"/>
        </w:rPr>
        <w:t xml:space="preserve">136 </w:t>
      </w:r>
      <w:r w:rsidRPr="005F44EF">
        <w:rPr>
          <w:rFonts w:ascii="Times New Roman" w:hAnsi="Times New Roman" w:cs="Times New Roman"/>
          <w:sz w:val="24"/>
          <w:szCs w:val="24"/>
        </w:rPr>
        <w:t xml:space="preserve">with blue LED bleaching for 80s and laboratory doses of 78 Gy and 159 Gy respectively. </w:t>
      </w:r>
      <w:bookmarkStart w:id="28" w:name="_Hlk181883324"/>
      <w:r w:rsidRPr="005F44EF">
        <w:rPr>
          <w:rFonts w:ascii="Times New Roman" w:hAnsi="Times New Roman" w:cs="Times New Roman"/>
          <w:sz w:val="24"/>
          <w:szCs w:val="24"/>
        </w:rPr>
        <w:t xml:space="preserve">These </w:t>
      </w:r>
      <w:r w:rsidR="00D41A78">
        <w:rPr>
          <w:rFonts w:ascii="Times New Roman" w:hAnsi="Times New Roman" w:cs="Times New Roman"/>
          <w:sz w:val="24"/>
          <w:szCs w:val="24"/>
        </w:rPr>
        <w:t xml:space="preserve">dose </w:t>
      </w:r>
      <w:r w:rsidRPr="005F44EF">
        <w:rPr>
          <w:rFonts w:ascii="Times New Roman" w:hAnsi="Times New Roman" w:cs="Times New Roman"/>
          <w:sz w:val="24"/>
          <w:szCs w:val="24"/>
        </w:rPr>
        <w:t>recover</w:t>
      </w:r>
      <w:r w:rsidR="00D41A78">
        <w:rPr>
          <w:rFonts w:ascii="Times New Roman" w:hAnsi="Times New Roman" w:cs="Times New Roman"/>
          <w:sz w:val="24"/>
          <w:szCs w:val="24"/>
        </w:rPr>
        <w:t>y</w:t>
      </w:r>
      <w:r w:rsidRPr="005F44EF">
        <w:rPr>
          <w:rFonts w:ascii="Times New Roman" w:hAnsi="Times New Roman" w:cs="Times New Roman"/>
          <w:sz w:val="24"/>
          <w:szCs w:val="24"/>
        </w:rPr>
        <w:t xml:space="preserve"> </w:t>
      </w:r>
      <w:r w:rsidR="00D41A78">
        <w:rPr>
          <w:rFonts w:ascii="Times New Roman" w:hAnsi="Times New Roman" w:cs="Times New Roman"/>
          <w:sz w:val="24"/>
          <w:szCs w:val="24"/>
        </w:rPr>
        <w:t>ratios</w:t>
      </w:r>
      <w:r w:rsidRPr="005F44EF">
        <w:rPr>
          <w:rFonts w:ascii="Times New Roman" w:hAnsi="Times New Roman" w:cs="Times New Roman"/>
          <w:sz w:val="24"/>
          <w:szCs w:val="24"/>
        </w:rPr>
        <w:t xml:space="preserve"> of </w:t>
      </w:r>
      <w:bookmarkEnd w:id="28"/>
      <w:r w:rsidRPr="005F44EF">
        <w:rPr>
          <w:rFonts w:ascii="Times New Roman" w:hAnsi="Times New Roman" w:cs="Times New Roman"/>
          <w:sz w:val="24"/>
          <w:szCs w:val="24"/>
        </w:rPr>
        <w:t>1.01±0.01 and 0.90±0.04 (1σ) respectively with OD values of 17% and 13%</w:t>
      </w:r>
      <w:r w:rsidR="00807648" w:rsidRPr="005F44EF">
        <w:rPr>
          <w:rFonts w:ascii="Times New Roman" w:hAnsi="Times New Roman" w:cs="Times New Roman"/>
          <w:sz w:val="24"/>
          <w:szCs w:val="24"/>
        </w:rPr>
        <w:t xml:space="preserve"> </w:t>
      </w:r>
      <w:r w:rsidRPr="005F44EF">
        <w:rPr>
          <w:rFonts w:ascii="Times New Roman" w:hAnsi="Times New Roman" w:cs="Times New Roman"/>
          <w:sz w:val="24"/>
          <w:szCs w:val="24"/>
        </w:rPr>
        <w:t>show the single grain quartz OSL approach applied here was appropriate.</w:t>
      </w:r>
    </w:p>
    <w:p w14:paraId="4F8CE392" w14:textId="77777777" w:rsidR="00C22F48" w:rsidRPr="005F44EF" w:rsidRDefault="00C22F48" w:rsidP="0053236B">
      <w:pPr>
        <w:spacing w:after="0" w:line="276" w:lineRule="auto"/>
        <w:jc w:val="both"/>
        <w:rPr>
          <w:rFonts w:ascii="Times New Roman" w:eastAsia="Times New Roman" w:hAnsi="Times New Roman" w:cs="Times New Roman"/>
          <w:sz w:val="24"/>
          <w:szCs w:val="24"/>
        </w:rPr>
      </w:pPr>
    </w:p>
    <w:p w14:paraId="276A1919" w14:textId="77777777" w:rsidR="005E3735" w:rsidRPr="005F44EF" w:rsidRDefault="005E3735">
      <w:pPr>
        <w:spacing w:after="0" w:line="276" w:lineRule="auto"/>
        <w:jc w:val="both"/>
        <w:rPr>
          <w:rFonts w:ascii="Times New Roman" w:eastAsia="Times New Roman" w:hAnsi="Times New Roman" w:cs="Times New Roman"/>
          <w:sz w:val="24"/>
          <w:szCs w:val="24"/>
        </w:rPr>
      </w:pPr>
      <w:bookmarkStart w:id="29" w:name="_3znysh7" w:colFirst="0" w:colLast="0"/>
      <w:bookmarkEnd w:id="29"/>
    </w:p>
    <w:p w14:paraId="31528192" w14:textId="3DAA0A8B" w:rsidR="00BB7AA9" w:rsidRPr="005F44EF" w:rsidRDefault="00B9564D" w:rsidP="008F1244">
      <w:pPr>
        <w:spacing w:after="200" w:line="276" w:lineRule="auto"/>
        <w:jc w:val="both"/>
        <w:rPr>
          <w:rFonts w:ascii="Times New Roman" w:eastAsia="Times New Roman" w:hAnsi="Times New Roman" w:cs="Times New Roman"/>
          <w:b/>
          <w:sz w:val="24"/>
          <w:szCs w:val="24"/>
        </w:rPr>
      </w:pPr>
      <w:bookmarkStart w:id="30" w:name="_2et92p0" w:colFirst="0" w:colLast="0"/>
      <w:bookmarkEnd w:id="30"/>
      <w:r w:rsidRPr="005F44EF">
        <w:rPr>
          <w:rFonts w:ascii="Times New Roman" w:eastAsia="Times New Roman" w:hAnsi="Times New Roman" w:cs="Times New Roman"/>
          <w:b/>
          <w:sz w:val="24"/>
          <w:szCs w:val="24"/>
        </w:rPr>
        <w:t xml:space="preserve">Figure </w:t>
      </w:r>
      <w:r w:rsidR="008A78A0" w:rsidRPr="005F44EF">
        <w:rPr>
          <w:rFonts w:ascii="Times New Roman" w:eastAsia="Times New Roman" w:hAnsi="Times New Roman" w:cs="Times New Roman"/>
          <w:b/>
          <w:sz w:val="24"/>
          <w:szCs w:val="24"/>
        </w:rPr>
        <w:t>S</w:t>
      </w:r>
      <w:r w:rsidR="008F1244" w:rsidRPr="005F44EF">
        <w:rPr>
          <w:rFonts w:ascii="Times New Roman" w:eastAsia="Times New Roman" w:hAnsi="Times New Roman" w:cs="Times New Roman"/>
          <w:b/>
          <w:sz w:val="24"/>
          <w:szCs w:val="24"/>
        </w:rPr>
        <w:t>7</w:t>
      </w:r>
      <w:r w:rsidRPr="005F44EF">
        <w:rPr>
          <w:rFonts w:ascii="Times New Roman" w:eastAsia="Times New Roman" w:hAnsi="Times New Roman" w:cs="Times New Roman"/>
          <w:b/>
          <w:sz w:val="24"/>
          <w:szCs w:val="24"/>
        </w:rPr>
        <w:t xml:space="preserve">: </w:t>
      </w:r>
      <w:r w:rsidR="004B3A14" w:rsidRPr="005F44EF">
        <w:rPr>
          <w:rFonts w:ascii="Times New Roman" w:eastAsia="Times New Roman" w:hAnsi="Times New Roman" w:cs="Times New Roman"/>
          <w:b/>
          <w:sz w:val="24"/>
          <w:szCs w:val="24"/>
        </w:rPr>
        <w:t>SA-OSL r</w:t>
      </w:r>
      <w:r w:rsidRPr="005F44EF">
        <w:rPr>
          <w:rFonts w:ascii="Times New Roman" w:eastAsia="Times New Roman" w:hAnsi="Times New Roman" w:cs="Times New Roman"/>
          <w:sz w:val="24"/>
          <w:szCs w:val="24"/>
        </w:rPr>
        <w:t>esults of different preheat temperatures in recovering a ~30 Gy beta radiation dose from sample Shfd20131. (a) Given to recovered dose ratio at different preheat temperatures. (b) recycling ratio (ratio between the first and last dose point) at the different preheat temperatures. Data points in both plots are the averages of three measurements performed for each pre-heat temperature and shading indicate conventional accepted limits for dose recovery and recycling.</w:t>
      </w:r>
      <w:r w:rsidR="00757DFF" w:rsidRPr="005F44EF">
        <w:rPr>
          <w:rFonts w:ascii="Times New Roman" w:eastAsia="Times New Roman" w:hAnsi="Times New Roman" w:cs="Times New Roman"/>
          <w:sz w:val="24"/>
          <w:szCs w:val="24"/>
        </w:rPr>
        <w:t xml:space="preserve"> Uncertainties are calculated on the basis of three aliquots at each temperature.</w:t>
      </w:r>
      <w:r w:rsidR="008F1244" w:rsidRPr="005F44EF">
        <w:rPr>
          <w:rFonts w:ascii="Times New Roman" w:eastAsia="Times New Roman" w:hAnsi="Times New Roman" w:cs="Times New Roman"/>
          <w:sz w:val="24"/>
          <w:szCs w:val="24"/>
        </w:rPr>
        <w:t xml:space="preserve"> </w:t>
      </w:r>
      <w:bookmarkStart w:id="31" w:name="_jsxhhrkxyizj" w:colFirst="0" w:colLast="0"/>
      <w:bookmarkEnd w:id="31"/>
      <w:r w:rsidR="00757DFF" w:rsidRPr="005F44EF">
        <w:rPr>
          <w:rFonts w:ascii="Times New Roman" w:eastAsia="Times New Roman" w:hAnsi="Times New Roman" w:cs="Times New Roman"/>
          <w:b/>
          <w:noProof/>
          <w:sz w:val="24"/>
          <w:szCs w:val="24"/>
          <w:lang w:val="en-AU" w:eastAsia="en-AU"/>
        </w:rPr>
        <w:drawing>
          <wp:inline distT="0" distB="0" distL="0" distR="0" wp14:anchorId="2F66049F" wp14:editId="1AD4BDB8">
            <wp:extent cx="5976384" cy="2427515"/>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en Arous et al Fig S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002405" cy="2438084"/>
                    </a:xfrm>
                    <a:prstGeom prst="rect">
                      <a:avLst/>
                    </a:prstGeom>
                  </pic:spPr>
                </pic:pic>
              </a:graphicData>
            </a:graphic>
          </wp:inline>
        </w:drawing>
      </w:r>
    </w:p>
    <w:p w14:paraId="6F579DF3" w14:textId="7363A1E9" w:rsidR="00C22F48" w:rsidRPr="005F44EF" w:rsidRDefault="00C22F48">
      <w:pPr>
        <w:spacing w:after="200" w:line="276" w:lineRule="auto"/>
        <w:jc w:val="both"/>
        <w:rPr>
          <w:rFonts w:ascii="Times New Roman" w:eastAsia="Times New Roman" w:hAnsi="Times New Roman" w:cs="Times New Roman"/>
          <w:b/>
          <w:sz w:val="24"/>
          <w:szCs w:val="24"/>
        </w:rPr>
      </w:pPr>
      <w:bookmarkStart w:id="32" w:name="_3dy6vkm" w:colFirst="0" w:colLast="0"/>
      <w:bookmarkStart w:id="33" w:name="_Hlk170654296"/>
      <w:bookmarkEnd w:id="32"/>
    </w:p>
    <w:p w14:paraId="50475676" w14:textId="0D7AA0DA" w:rsidR="00825344" w:rsidRPr="005F44EF" w:rsidRDefault="00825344">
      <w:pPr>
        <w:spacing w:after="200" w:line="276" w:lineRule="auto"/>
        <w:jc w:val="both"/>
        <w:rPr>
          <w:rFonts w:ascii="Times New Roman" w:eastAsia="Times New Roman" w:hAnsi="Times New Roman" w:cs="Times New Roman"/>
          <w:b/>
          <w:sz w:val="24"/>
          <w:szCs w:val="24"/>
        </w:rPr>
      </w:pPr>
    </w:p>
    <w:p w14:paraId="34797741" w14:textId="06D4AE93" w:rsidR="00825344" w:rsidRPr="005F44EF" w:rsidRDefault="00825344">
      <w:pPr>
        <w:spacing w:after="200" w:line="276" w:lineRule="auto"/>
        <w:jc w:val="both"/>
        <w:rPr>
          <w:rFonts w:ascii="Times New Roman" w:eastAsia="Times New Roman" w:hAnsi="Times New Roman" w:cs="Times New Roman"/>
          <w:b/>
          <w:sz w:val="24"/>
          <w:szCs w:val="24"/>
        </w:rPr>
      </w:pPr>
    </w:p>
    <w:p w14:paraId="2839EA96" w14:textId="69943F5D" w:rsidR="00825344" w:rsidRPr="005F44EF" w:rsidRDefault="00825344">
      <w:pPr>
        <w:spacing w:after="200" w:line="276" w:lineRule="auto"/>
        <w:jc w:val="both"/>
        <w:rPr>
          <w:rFonts w:ascii="Times New Roman" w:eastAsia="Times New Roman" w:hAnsi="Times New Roman" w:cs="Times New Roman"/>
          <w:b/>
          <w:sz w:val="24"/>
          <w:szCs w:val="24"/>
        </w:rPr>
      </w:pPr>
    </w:p>
    <w:p w14:paraId="774FB550" w14:textId="0B58131B" w:rsidR="00825344" w:rsidRPr="005F44EF" w:rsidRDefault="00825344">
      <w:pPr>
        <w:spacing w:after="200" w:line="276" w:lineRule="auto"/>
        <w:jc w:val="both"/>
        <w:rPr>
          <w:rFonts w:ascii="Times New Roman" w:eastAsia="Times New Roman" w:hAnsi="Times New Roman" w:cs="Times New Roman"/>
          <w:b/>
          <w:sz w:val="24"/>
          <w:szCs w:val="24"/>
        </w:rPr>
      </w:pPr>
    </w:p>
    <w:p w14:paraId="3C247324" w14:textId="77777777" w:rsidR="00825344" w:rsidRPr="005F44EF" w:rsidRDefault="00825344">
      <w:pPr>
        <w:spacing w:after="200" w:line="276" w:lineRule="auto"/>
        <w:jc w:val="both"/>
        <w:rPr>
          <w:rFonts w:ascii="Times New Roman" w:eastAsia="Times New Roman" w:hAnsi="Times New Roman" w:cs="Times New Roman"/>
          <w:b/>
          <w:sz w:val="24"/>
          <w:szCs w:val="24"/>
        </w:rPr>
        <w:sectPr w:rsidR="00825344" w:rsidRPr="005F44EF">
          <w:footerReference w:type="even" r:id="rId21"/>
          <w:footerReference w:type="default" r:id="rId22"/>
          <w:pgSz w:w="12240" w:h="15840"/>
          <w:pgMar w:top="1417" w:right="1417" w:bottom="1134" w:left="1417" w:header="720" w:footer="720" w:gutter="0"/>
          <w:lnNumType w:countBy="1" w:restart="continuous"/>
          <w:pgNumType w:start="1"/>
          <w:cols w:space="720"/>
        </w:sectPr>
      </w:pPr>
    </w:p>
    <w:p w14:paraId="43747EC7" w14:textId="3F879612" w:rsidR="00825344" w:rsidRDefault="00B9564D" w:rsidP="00802679">
      <w:pPr>
        <w:spacing w:after="200" w:line="276" w:lineRule="auto"/>
        <w:jc w:val="both"/>
        <w:rPr>
          <w:rFonts w:ascii="Times New Roman" w:eastAsia="Times New Roman" w:hAnsi="Times New Roman" w:cs="Times New Roman"/>
          <w:noProof/>
          <w:sz w:val="24"/>
          <w:szCs w:val="24"/>
        </w:rPr>
      </w:pPr>
      <w:r w:rsidRPr="005F44EF">
        <w:rPr>
          <w:rFonts w:ascii="Times New Roman" w:eastAsia="Times New Roman" w:hAnsi="Times New Roman" w:cs="Times New Roman"/>
          <w:b/>
          <w:sz w:val="24"/>
          <w:szCs w:val="24"/>
        </w:rPr>
        <w:lastRenderedPageBreak/>
        <w:t xml:space="preserve">Figure </w:t>
      </w:r>
      <w:r w:rsidR="00C04450" w:rsidRPr="005F44EF">
        <w:rPr>
          <w:rFonts w:ascii="Times New Roman" w:eastAsia="Times New Roman" w:hAnsi="Times New Roman" w:cs="Times New Roman"/>
          <w:b/>
          <w:sz w:val="24"/>
          <w:szCs w:val="24"/>
        </w:rPr>
        <w:t>S</w:t>
      </w:r>
      <w:r w:rsidR="00EA0F52" w:rsidRPr="005F44EF">
        <w:rPr>
          <w:rFonts w:ascii="Times New Roman" w:eastAsia="Times New Roman" w:hAnsi="Times New Roman" w:cs="Times New Roman"/>
          <w:b/>
          <w:sz w:val="24"/>
          <w:szCs w:val="24"/>
        </w:rPr>
        <w:t>8</w:t>
      </w:r>
      <w:r w:rsidRPr="005F44EF">
        <w:rPr>
          <w:rFonts w:ascii="Times New Roman" w:eastAsia="Times New Roman" w:hAnsi="Times New Roman" w:cs="Times New Roman"/>
          <w:b/>
          <w:sz w:val="24"/>
          <w:szCs w:val="24"/>
        </w:rPr>
        <w:t xml:space="preserve">: </w:t>
      </w:r>
      <w:r w:rsidR="006D29A6" w:rsidRPr="005F44EF">
        <w:rPr>
          <w:rFonts w:ascii="Times New Roman" w:eastAsia="Times New Roman" w:hAnsi="Times New Roman" w:cs="Times New Roman"/>
          <w:sz w:val="24"/>
          <w:szCs w:val="24"/>
        </w:rPr>
        <w:t>Examples of OSL data: (A) small aliquot measurements from samples Shfd2013</w:t>
      </w:r>
      <w:r w:rsidR="00D41A78">
        <w:rPr>
          <w:rFonts w:ascii="Times New Roman" w:eastAsia="Times New Roman" w:hAnsi="Times New Roman" w:cs="Times New Roman"/>
          <w:sz w:val="24"/>
          <w:szCs w:val="24"/>
        </w:rPr>
        <w:t>1 (ANY20-0</w:t>
      </w:r>
      <w:r w:rsidR="00CE38DA">
        <w:rPr>
          <w:rFonts w:ascii="Times New Roman" w:eastAsia="Times New Roman" w:hAnsi="Times New Roman" w:cs="Times New Roman"/>
          <w:sz w:val="24"/>
          <w:szCs w:val="24"/>
        </w:rPr>
        <w:t>3</w:t>
      </w:r>
      <w:r w:rsidR="00D41A78">
        <w:rPr>
          <w:rFonts w:ascii="Times New Roman" w:eastAsia="Times New Roman" w:hAnsi="Times New Roman" w:cs="Times New Roman"/>
          <w:sz w:val="24"/>
          <w:szCs w:val="24"/>
        </w:rPr>
        <w:t>)</w:t>
      </w:r>
      <w:r w:rsidR="006D29A6" w:rsidRPr="005F44EF">
        <w:rPr>
          <w:rFonts w:ascii="Times New Roman" w:eastAsia="Times New Roman" w:hAnsi="Times New Roman" w:cs="Times New Roman"/>
          <w:sz w:val="24"/>
          <w:szCs w:val="24"/>
        </w:rPr>
        <w:t xml:space="preserve"> and Shfd2013</w:t>
      </w:r>
      <w:r w:rsidR="00D41A78">
        <w:rPr>
          <w:rFonts w:ascii="Times New Roman" w:eastAsia="Times New Roman" w:hAnsi="Times New Roman" w:cs="Times New Roman"/>
          <w:sz w:val="24"/>
          <w:szCs w:val="24"/>
        </w:rPr>
        <w:t>6 (ANY20-</w:t>
      </w:r>
      <w:r w:rsidR="00CE38DA">
        <w:rPr>
          <w:rFonts w:ascii="Times New Roman" w:eastAsia="Times New Roman" w:hAnsi="Times New Roman" w:cs="Times New Roman"/>
          <w:sz w:val="24"/>
          <w:szCs w:val="24"/>
        </w:rPr>
        <w:t>0</w:t>
      </w:r>
      <w:r w:rsidR="00D41A78">
        <w:rPr>
          <w:rFonts w:ascii="Times New Roman" w:eastAsia="Times New Roman" w:hAnsi="Times New Roman" w:cs="Times New Roman"/>
          <w:sz w:val="24"/>
          <w:szCs w:val="24"/>
        </w:rPr>
        <w:t xml:space="preserve">8) </w:t>
      </w:r>
      <w:r w:rsidR="006D29A6" w:rsidRPr="005F44EF">
        <w:rPr>
          <w:rFonts w:ascii="Times New Roman" w:eastAsia="Times New Roman" w:hAnsi="Times New Roman" w:cs="Times New Roman"/>
          <w:sz w:val="24"/>
          <w:szCs w:val="24"/>
        </w:rPr>
        <w:t xml:space="preserve">of rapid OSL decay of the naturally acquired signal indicating dominance of quartz fast component which has good bleaching and dose stability characteristics. </w:t>
      </w:r>
      <w:bookmarkEnd w:id="33"/>
      <w:r w:rsidR="006D29A6" w:rsidRPr="005F44EF">
        <w:rPr>
          <w:rFonts w:ascii="Times New Roman" w:eastAsia="Times New Roman" w:hAnsi="Times New Roman" w:cs="Times New Roman"/>
          <w:sz w:val="24"/>
          <w:szCs w:val="24"/>
        </w:rPr>
        <w:t xml:space="preserve">Inset shows first 3 seconds of OSL stimulation; </w:t>
      </w:r>
      <w:r w:rsidR="00D41A78">
        <w:rPr>
          <w:rFonts w:ascii="Times New Roman" w:eastAsia="Times New Roman" w:hAnsi="Times New Roman" w:cs="Times New Roman"/>
          <w:sz w:val="24"/>
          <w:szCs w:val="24"/>
        </w:rPr>
        <w:t xml:space="preserve">(B) </w:t>
      </w:r>
      <w:r w:rsidR="00D41A78" w:rsidRPr="005F44EF">
        <w:rPr>
          <w:rFonts w:ascii="Times New Roman" w:eastAsia="Times New Roman" w:hAnsi="Times New Roman" w:cs="Times New Roman"/>
          <w:sz w:val="24"/>
          <w:szCs w:val="24"/>
        </w:rPr>
        <w:t>s</w:t>
      </w:r>
      <w:r w:rsidR="00D41A78">
        <w:rPr>
          <w:rFonts w:ascii="Times New Roman" w:eastAsia="Times New Roman" w:hAnsi="Times New Roman" w:cs="Times New Roman"/>
          <w:sz w:val="24"/>
          <w:szCs w:val="24"/>
        </w:rPr>
        <w:t>ingle grain</w:t>
      </w:r>
      <w:r w:rsidR="00D41A78" w:rsidRPr="005F44EF">
        <w:rPr>
          <w:rFonts w:ascii="Times New Roman" w:eastAsia="Times New Roman" w:hAnsi="Times New Roman" w:cs="Times New Roman"/>
          <w:sz w:val="24"/>
          <w:szCs w:val="24"/>
        </w:rPr>
        <w:t xml:space="preserve"> measurements from samples Shfd2013</w:t>
      </w:r>
      <w:r w:rsidR="00CE38DA">
        <w:rPr>
          <w:rFonts w:ascii="Times New Roman" w:eastAsia="Times New Roman" w:hAnsi="Times New Roman" w:cs="Times New Roman"/>
          <w:sz w:val="24"/>
          <w:szCs w:val="24"/>
        </w:rPr>
        <w:t>0</w:t>
      </w:r>
      <w:r w:rsidR="00D41A78">
        <w:rPr>
          <w:rFonts w:ascii="Times New Roman" w:eastAsia="Times New Roman" w:hAnsi="Times New Roman" w:cs="Times New Roman"/>
          <w:sz w:val="24"/>
          <w:szCs w:val="24"/>
        </w:rPr>
        <w:t xml:space="preserve"> (ANY20-0</w:t>
      </w:r>
      <w:r w:rsidR="00CE38DA">
        <w:rPr>
          <w:rFonts w:ascii="Times New Roman" w:eastAsia="Times New Roman" w:hAnsi="Times New Roman" w:cs="Times New Roman"/>
          <w:sz w:val="24"/>
          <w:szCs w:val="24"/>
        </w:rPr>
        <w:t>2</w:t>
      </w:r>
      <w:r w:rsidR="00D41A78">
        <w:rPr>
          <w:rFonts w:ascii="Times New Roman" w:eastAsia="Times New Roman" w:hAnsi="Times New Roman" w:cs="Times New Roman"/>
          <w:sz w:val="24"/>
          <w:szCs w:val="24"/>
        </w:rPr>
        <w:t>)</w:t>
      </w:r>
      <w:r w:rsidR="00D41A78" w:rsidRPr="005F44EF">
        <w:rPr>
          <w:rFonts w:ascii="Times New Roman" w:eastAsia="Times New Roman" w:hAnsi="Times New Roman" w:cs="Times New Roman"/>
          <w:sz w:val="24"/>
          <w:szCs w:val="24"/>
        </w:rPr>
        <w:t xml:space="preserve"> and Shfd2013</w:t>
      </w:r>
      <w:r w:rsidR="00D41A78">
        <w:rPr>
          <w:rFonts w:ascii="Times New Roman" w:eastAsia="Times New Roman" w:hAnsi="Times New Roman" w:cs="Times New Roman"/>
          <w:sz w:val="24"/>
          <w:szCs w:val="24"/>
        </w:rPr>
        <w:t>6 (ANY20-</w:t>
      </w:r>
      <w:r w:rsidR="00CE38DA">
        <w:rPr>
          <w:rFonts w:ascii="Times New Roman" w:eastAsia="Times New Roman" w:hAnsi="Times New Roman" w:cs="Times New Roman"/>
          <w:sz w:val="24"/>
          <w:szCs w:val="24"/>
        </w:rPr>
        <w:t>0</w:t>
      </w:r>
      <w:r w:rsidR="00D41A78">
        <w:rPr>
          <w:rFonts w:ascii="Times New Roman" w:eastAsia="Times New Roman" w:hAnsi="Times New Roman" w:cs="Times New Roman"/>
          <w:sz w:val="24"/>
          <w:szCs w:val="24"/>
        </w:rPr>
        <w:t xml:space="preserve">8) </w:t>
      </w:r>
      <w:r w:rsidR="00CE38DA">
        <w:rPr>
          <w:rFonts w:ascii="Times New Roman" w:eastAsia="Times New Roman" w:hAnsi="Times New Roman" w:cs="Times New Roman"/>
          <w:sz w:val="24"/>
          <w:szCs w:val="24"/>
        </w:rPr>
        <w:t>also showing</w:t>
      </w:r>
      <w:r w:rsidR="00D41A78" w:rsidRPr="005F44EF">
        <w:rPr>
          <w:rFonts w:ascii="Times New Roman" w:eastAsia="Times New Roman" w:hAnsi="Times New Roman" w:cs="Times New Roman"/>
          <w:sz w:val="24"/>
          <w:szCs w:val="24"/>
        </w:rPr>
        <w:t xml:space="preserve"> rapid OSL decay of the naturally acquired signal; </w:t>
      </w:r>
      <w:r w:rsidR="006D29A6" w:rsidRPr="005F44EF">
        <w:rPr>
          <w:rFonts w:ascii="Times New Roman" w:eastAsia="Times New Roman" w:hAnsi="Times New Roman" w:cs="Times New Roman"/>
          <w:sz w:val="24"/>
          <w:szCs w:val="24"/>
        </w:rPr>
        <w:t>(</w:t>
      </w:r>
      <w:r w:rsidR="00D41A78">
        <w:rPr>
          <w:rFonts w:ascii="Times New Roman" w:eastAsia="Times New Roman" w:hAnsi="Times New Roman" w:cs="Times New Roman"/>
          <w:sz w:val="24"/>
          <w:szCs w:val="24"/>
        </w:rPr>
        <w:t>C</w:t>
      </w:r>
      <w:r w:rsidR="006D29A6" w:rsidRPr="005F44EF">
        <w:rPr>
          <w:rFonts w:ascii="Times New Roman" w:eastAsia="Times New Roman" w:hAnsi="Times New Roman" w:cs="Times New Roman"/>
          <w:sz w:val="24"/>
          <w:szCs w:val="24"/>
        </w:rPr>
        <w:t>) SAR growth curves from small aliquot measurements</w:t>
      </w:r>
      <w:r w:rsidR="00D823A1" w:rsidRPr="005F44EF">
        <w:rPr>
          <w:rFonts w:ascii="Times New Roman" w:eastAsia="Times New Roman" w:hAnsi="Times New Roman" w:cs="Times New Roman"/>
          <w:sz w:val="24"/>
          <w:szCs w:val="24"/>
        </w:rPr>
        <w:t xml:space="preserve"> using the first 1.2s as signal and last 12s of signal measured as background</w:t>
      </w:r>
      <w:r w:rsidR="006D29A6" w:rsidRPr="005F44EF">
        <w:rPr>
          <w:rFonts w:ascii="Times New Roman" w:eastAsia="Times New Roman" w:hAnsi="Times New Roman" w:cs="Times New Roman"/>
          <w:sz w:val="24"/>
          <w:szCs w:val="24"/>
        </w:rPr>
        <w:t>. These show</w:t>
      </w:r>
      <w:r w:rsidR="005B65E9" w:rsidRPr="005F44EF">
        <w:rPr>
          <w:rFonts w:ascii="Times New Roman" w:eastAsia="Times New Roman" w:hAnsi="Times New Roman" w:cs="Times New Roman"/>
          <w:sz w:val="24"/>
          <w:szCs w:val="24"/>
        </w:rPr>
        <w:t xml:space="preserve"> </w:t>
      </w:r>
      <w:r w:rsidR="006D29A6" w:rsidRPr="005F44EF">
        <w:rPr>
          <w:rFonts w:ascii="Times New Roman" w:eastAsia="Times New Roman" w:hAnsi="Times New Roman" w:cs="Times New Roman"/>
          <w:sz w:val="24"/>
          <w:szCs w:val="24"/>
        </w:rPr>
        <w:t>all samples have a good fit of regenerative points to a single saturating exponential for young samples and single saturating exponential + linear growth curve for old samples.</w:t>
      </w:r>
      <w:r w:rsidR="008F1244" w:rsidRPr="005F44EF">
        <w:rPr>
          <w:rFonts w:ascii="Times New Roman" w:eastAsia="Times New Roman" w:hAnsi="Times New Roman" w:cs="Times New Roman"/>
          <w:sz w:val="24"/>
          <w:szCs w:val="24"/>
        </w:rPr>
        <w:t xml:space="preserve"> </w:t>
      </w:r>
      <w:r w:rsidR="006D29A6" w:rsidRPr="005F44EF">
        <w:rPr>
          <w:rFonts w:ascii="Times New Roman" w:eastAsia="Times New Roman" w:hAnsi="Times New Roman" w:cs="Times New Roman"/>
          <w:sz w:val="24"/>
          <w:szCs w:val="24"/>
        </w:rPr>
        <w:t>(</w:t>
      </w:r>
      <w:r w:rsidR="00D41A78">
        <w:rPr>
          <w:rFonts w:ascii="Times New Roman" w:eastAsia="Times New Roman" w:hAnsi="Times New Roman" w:cs="Times New Roman"/>
          <w:sz w:val="24"/>
          <w:szCs w:val="24"/>
        </w:rPr>
        <w:t>D</w:t>
      </w:r>
      <w:bookmarkStart w:id="34" w:name="_Hlk181883376"/>
      <w:r w:rsidR="006D29A6" w:rsidRPr="005F44EF">
        <w:rPr>
          <w:rFonts w:ascii="Times New Roman" w:eastAsia="Times New Roman" w:hAnsi="Times New Roman" w:cs="Times New Roman"/>
          <w:sz w:val="24"/>
          <w:szCs w:val="24"/>
        </w:rPr>
        <w:t xml:space="preserve">) SAR growth curves from single grain measurements. This shows all </w:t>
      </w:r>
      <w:r w:rsidR="008F1244" w:rsidRPr="005F44EF">
        <w:rPr>
          <w:rFonts w:ascii="Times New Roman" w:eastAsia="Times New Roman" w:hAnsi="Times New Roman" w:cs="Times New Roman"/>
          <w:sz w:val="24"/>
          <w:szCs w:val="24"/>
        </w:rPr>
        <w:t xml:space="preserve">samples </w:t>
      </w:r>
      <w:r w:rsidR="006D29A6" w:rsidRPr="005F44EF">
        <w:rPr>
          <w:rFonts w:ascii="Times New Roman" w:eastAsia="Times New Roman" w:hAnsi="Times New Roman" w:cs="Times New Roman"/>
          <w:sz w:val="24"/>
          <w:szCs w:val="24"/>
        </w:rPr>
        <w:t>had a good fit of regenerative points to a single saturating exponential for young samples and single saturating exponential + linear growth curve for old samples.</w:t>
      </w:r>
      <w:r w:rsidR="00807648" w:rsidRPr="005F44EF">
        <w:rPr>
          <w:rFonts w:ascii="Times New Roman" w:eastAsia="Times New Roman" w:hAnsi="Times New Roman" w:cs="Times New Roman"/>
          <w:sz w:val="24"/>
          <w:szCs w:val="24"/>
        </w:rPr>
        <w:t xml:space="preserve"> </w:t>
      </w:r>
      <w:r w:rsidR="006D29A6" w:rsidRPr="005F44EF">
        <w:rPr>
          <w:rFonts w:ascii="Times New Roman" w:eastAsia="Times New Roman" w:hAnsi="Times New Roman" w:cs="Times New Roman"/>
          <w:sz w:val="24"/>
          <w:szCs w:val="24"/>
        </w:rPr>
        <w:t>The red line represents interpolation of the natural dose (D</w:t>
      </w:r>
      <w:r w:rsidR="006D29A6" w:rsidRPr="005F44EF">
        <w:rPr>
          <w:rFonts w:ascii="Times New Roman" w:eastAsia="Times New Roman" w:hAnsi="Times New Roman" w:cs="Times New Roman"/>
          <w:sz w:val="24"/>
          <w:szCs w:val="24"/>
          <w:vertAlign w:val="subscript"/>
        </w:rPr>
        <w:t>e</w:t>
      </w:r>
      <w:r w:rsidR="006D29A6" w:rsidRPr="005F44EF">
        <w:rPr>
          <w:rFonts w:ascii="Times New Roman" w:eastAsia="Times New Roman" w:hAnsi="Times New Roman" w:cs="Times New Roman"/>
          <w:sz w:val="24"/>
          <w:szCs w:val="24"/>
        </w:rPr>
        <w:t>)</w:t>
      </w:r>
      <w:r w:rsidR="006D29A6" w:rsidRPr="005F44EF">
        <w:rPr>
          <w:rFonts w:ascii="Times New Roman" w:eastAsia="Times New Roman" w:hAnsi="Times New Roman" w:cs="Times New Roman"/>
          <w:sz w:val="20"/>
          <w:szCs w:val="20"/>
        </w:rPr>
        <w:t xml:space="preserve">. </w:t>
      </w:r>
      <w:r w:rsidR="006D29A6" w:rsidRPr="005F44EF">
        <w:rPr>
          <w:rFonts w:ascii="Times New Roman" w:eastAsia="Times New Roman" w:hAnsi="Times New Roman" w:cs="Times New Roman"/>
          <w:sz w:val="24"/>
          <w:szCs w:val="24"/>
        </w:rPr>
        <w:t>Errors on the SAR growth curves are based on counting statistics</w:t>
      </w:r>
      <w:r w:rsidR="006D29A6" w:rsidRPr="005F44EF">
        <w:rPr>
          <w:rFonts w:ascii="Times New Roman" w:eastAsia="Times New Roman" w:hAnsi="Times New Roman" w:cs="Times New Roman"/>
          <w:color w:val="404040"/>
          <w:sz w:val="24"/>
          <w:szCs w:val="24"/>
        </w:rPr>
        <w:t>.</w:t>
      </w:r>
      <w:bookmarkStart w:id="35" w:name="_tyjcwt" w:colFirst="0" w:colLast="0"/>
      <w:bookmarkEnd w:id="35"/>
    </w:p>
    <w:bookmarkEnd w:id="34"/>
    <w:p w14:paraId="22487056" w14:textId="53440FC9" w:rsidR="00802679" w:rsidRPr="005F44EF" w:rsidRDefault="00802679" w:rsidP="00802679">
      <w:pPr>
        <w:spacing w:after="0" w:line="276" w:lineRule="auto"/>
        <w:jc w:val="center"/>
        <w:rPr>
          <w:rFonts w:ascii="Times New Roman" w:eastAsia="Times New Roman" w:hAnsi="Times New Roman" w:cs="Times New Roman"/>
          <w:sz w:val="24"/>
          <w:szCs w:val="24"/>
        </w:rPr>
        <w:sectPr w:rsidR="00802679" w:rsidRPr="005F44EF" w:rsidSect="00825344">
          <w:pgSz w:w="15840" w:h="12240" w:orient="landscape"/>
          <w:pgMar w:top="450" w:right="1417" w:bottom="1417" w:left="1134" w:header="720" w:footer="720" w:gutter="0"/>
          <w:lnNumType w:countBy="1" w:restart="continuous"/>
          <w:pgNumType w:start="1"/>
          <w:cols w:space="720"/>
          <w:docGrid w:linePitch="299"/>
        </w:sectPr>
      </w:pPr>
      <w:r>
        <w:rPr>
          <w:rFonts w:ascii="Times New Roman" w:eastAsia="Times New Roman" w:hAnsi="Times New Roman" w:cs="Times New Roman"/>
          <w:noProof/>
          <w:sz w:val="24"/>
          <w:szCs w:val="24"/>
          <w:lang w:val="en-AU" w:eastAsia="en-AU"/>
        </w:rPr>
        <w:drawing>
          <wp:inline distT="0" distB="0" distL="0" distR="0" wp14:anchorId="751E84A8" wp14:editId="21FDED83">
            <wp:extent cx="7454900" cy="4398105"/>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nyama Fig S8 v2(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494339" cy="4421373"/>
                    </a:xfrm>
                    <a:prstGeom prst="rect">
                      <a:avLst/>
                    </a:prstGeom>
                  </pic:spPr>
                </pic:pic>
              </a:graphicData>
            </a:graphic>
          </wp:inline>
        </w:drawing>
      </w:r>
    </w:p>
    <w:p w14:paraId="717EA78C" w14:textId="77777777" w:rsidR="00BB7AA9" w:rsidRPr="005F44EF" w:rsidRDefault="00B9564D" w:rsidP="008F1244">
      <w:pPr>
        <w:pStyle w:val="Heading2"/>
        <w:rPr>
          <w:rFonts w:cs="Times New Roman"/>
        </w:rPr>
      </w:pPr>
      <w:bookmarkStart w:id="36" w:name="_Toc178429928"/>
      <w:r w:rsidRPr="005F44EF">
        <w:rPr>
          <w:rFonts w:cs="Times New Roman"/>
        </w:rPr>
        <w:lastRenderedPageBreak/>
        <w:t>3.3 ESR analyses</w:t>
      </w:r>
      <w:bookmarkEnd w:id="36"/>
      <w:r w:rsidRPr="005F44EF">
        <w:rPr>
          <w:rFonts w:cs="Times New Roman"/>
        </w:rPr>
        <w:t xml:space="preserve"> </w:t>
      </w:r>
    </w:p>
    <w:p w14:paraId="22EE957E" w14:textId="77777777" w:rsidR="00BB7AA9" w:rsidRPr="005F44EF" w:rsidRDefault="00BB7AA9">
      <w:pPr>
        <w:spacing w:after="0" w:line="276" w:lineRule="auto"/>
        <w:jc w:val="both"/>
        <w:rPr>
          <w:rFonts w:ascii="Times New Roman" w:eastAsia="Times New Roman" w:hAnsi="Times New Roman" w:cs="Times New Roman"/>
          <w:b/>
          <w:i/>
          <w:sz w:val="24"/>
          <w:szCs w:val="24"/>
        </w:rPr>
      </w:pPr>
    </w:p>
    <w:p w14:paraId="35E9B833" w14:textId="677E8654" w:rsidR="00BB7AA9" w:rsidRPr="005F44EF" w:rsidRDefault="0053236B">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Among all the sediment samples prepared for OSL, </w:t>
      </w:r>
      <w:r w:rsidR="002717A3" w:rsidRPr="005F44EF">
        <w:rPr>
          <w:rFonts w:ascii="Times New Roman" w:eastAsia="Times New Roman" w:hAnsi="Times New Roman" w:cs="Times New Roman"/>
          <w:sz w:val="24"/>
          <w:szCs w:val="24"/>
        </w:rPr>
        <w:t>one</w:t>
      </w:r>
      <w:r w:rsidR="00B9564D" w:rsidRPr="005F44EF">
        <w:rPr>
          <w:rFonts w:ascii="Times New Roman" w:eastAsia="Times New Roman" w:hAnsi="Times New Roman" w:cs="Times New Roman"/>
          <w:sz w:val="24"/>
          <w:szCs w:val="24"/>
        </w:rPr>
        <w:t xml:space="preserve"> sediment from Unit C (ANY20-03</w:t>
      </w:r>
      <w:r w:rsidR="002717A3" w:rsidRPr="005F44EF">
        <w:rPr>
          <w:rFonts w:ascii="Times New Roman" w:eastAsia="Times New Roman" w:hAnsi="Times New Roman" w:cs="Times New Roman"/>
          <w:sz w:val="24"/>
          <w:szCs w:val="24"/>
        </w:rPr>
        <w:t xml:space="preserve">), </w:t>
      </w:r>
      <w:r w:rsidR="001068B9" w:rsidRPr="005F44EF">
        <w:rPr>
          <w:rFonts w:ascii="Times New Roman" w:eastAsia="Times New Roman" w:hAnsi="Times New Roman" w:cs="Times New Roman"/>
          <w:sz w:val="24"/>
          <w:szCs w:val="24"/>
        </w:rPr>
        <w:t>another</w:t>
      </w:r>
      <w:r w:rsidR="002717A3" w:rsidRPr="005F44EF">
        <w:rPr>
          <w:rFonts w:ascii="Times New Roman" w:eastAsia="Times New Roman" w:hAnsi="Times New Roman" w:cs="Times New Roman"/>
          <w:sz w:val="24"/>
          <w:szCs w:val="24"/>
        </w:rPr>
        <w:t xml:space="preserve"> from the </w:t>
      </w:r>
      <w:r w:rsidR="002717A3" w:rsidRPr="005F44EF">
        <w:rPr>
          <w:rFonts w:ascii="Times New Roman" w:eastAsia="Times New Roman" w:hAnsi="Times New Roman" w:cs="Times New Roman"/>
          <w:color w:val="000000"/>
          <w:sz w:val="24"/>
          <w:szCs w:val="24"/>
        </w:rPr>
        <w:t>Interface C/D (</w:t>
      </w:r>
      <w:r w:rsidR="00B9564D" w:rsidRPr="005F44EF">
        <w:rPr>
          <w:rFonts w:ascii="Times New Roman" w:eastAsia="Times New Roman" w:hAnsi="Times New Roman" w:cs="Times New Roman"/>
          <w:sz w:val="24"/>
          <w:szCs w:val="24"/>
        </w:rPr>
        <w:t>ANY20-04) and three from Unit</w:t>
      </w:r>
      <w:r w:rsidRPr="005F44EF">
        <w:rPr>
          <w:rFonts w:ascii="Times New Roman" w:eastAsia="Times New Roman" w:hAnsi="Times New Roman" w:cs="Times New Roman"/>
          <w:sz w:val="24"/>
          <w:szCs w:val="24"/>
        </w:rPr>
        <w:t>s</w:t>
      </w:r>
      <w:r w:rsidR="00B9564D" w:rsidRPr="005F44EF">
        <w:rPr>
          <w:rFonts w:ascii="Times New Roman" w:eastAsia="Times New Roman" w:hAnsi="Times New Roman" w:cs="Times New Roman"/>
          <w:sz w:val="24"/>
          <w:szCs w:val="24"/>
        </w:rPr>
        <w:t xml:space="preserve"> </w:t>
      </w:r>
      <w:r w:rsidR="002717A3" w:rsidRPr="005F44EF">
        <w:rPr>
          <w:rFonts w:ascii="Times New Roman" w:eastAsia="Times New Roman" w:hAnsi="Times New Roman" w:cs="Times New Roman"/>
          <w:sz w:val="24"/>
          <w:szCs w:val="24"/>
        </w:rPr>
        <w:t xml:space="preserve">D3 </w:t>
      </w:r>
      <w:r w:rsidR="00B9564D" w:rsidRPr="005F44EF">
        <w:rPr>
          <w:rFonts w:ascii="Times New Roman" w:eastAsia="Times New Roman" w:hAnsi="Times New Roman" w:cs="Times New Roman"/>
          <w:sz w:val="24"/>
          <w:szCs w:val="24"/>
        </w:rPr>
        <w:t xml:space="preserve">and Unit </w:t>
      </w:r>
      <w:r w:rsidR="002717A3" w:rsidRPr="005F44EF">
        <w:rPr>
          <w:rFonts w:ascii="Times New Roman" w:eastAsia="Times New Roman" w:hAnsi="Times New Roman" w:cs="Times New Roman"/>
          <w:sz w:val="24"/>
          <w:szCs w:val="24"/>
        </w:rPr>
        <w:t xml:space="preserve">D1 </w:t>
      </w:r>
      <w:r w:rsidR="00B9564D" w:rsidRPr="005F44EF">
        <w:rPr>
          <w:rFonts w:ascii="Times New Roman" w:eastAsia="Times New Roman" w:hAnsi="Times New Roman" w:cs="Times New Roman"/>
          <w:sz w:val="24"/>
          <w:szCs w:val="24"/>
        </w:rPr>
        <w:t xml:space="preserve">(ANY20-09, ANY20-08 and ANY20-05) </w:t>
      </w:r>
      <w:r w:rsidR="00206D9D" w:rsidRPr="005F44EF">
        <w:rPr>
          <w:rFonts w:ascii="Times New Roman" w:eastAsia="Times New Roman" w:hAnsi="Times New Roman" w:cs="Times New Roman"/>
          <w:sz w:val="24"/>
          <w:szCs w:val="24"/>
        </w:rPr>
        <w:t>delivered</w:t>
      </w:r>
      <w:r w:rsidR="00B9564D" w:rsidRPr="005F44EF">
        <w:rPr>
          <w:rFonts w:ascii="Times New Roman" w:eastAsia="Times New Roman" w:hAnsi="Times New Roman" w:cs="Times New Roman"/>
          <w:sz w:val="24"/>
          <w:szCs w:val="24"/>
        </w:rPr>
        <w:t xml:space="preserve"> sufficient quartz material </w:t>
      </w:r>
      <w:r w:rsidRPr="005F44EF">
        <w:rPr>
          <w:rFonts w:ascii="Times New Roman" w:eastAsia="Times New Roman" w:hAnsi="Times New Roman" w:cs="Times New Roman"/>
          <w:sz w:val="24"/>
          <w:szCs w:val="24"/>
        </w:rPr>
        <w:t>for</w:t>
      </w:r>
      <w:r w:rsidR="008F1244" w:rsidRPr="005F44EF">
        <w:rPr>
          <w:rFonts w:ascii="Times New Roman" w:eastAsia="Times New Roman" w:hAnsi="Times New Roman" w:cs="Times New Roman"/>
          <w:sz w:val="24"/>
          <w:szCs w:val="24"/>
        </w:rPr>
        <w:t xml:space="preserve"> </w:t>
      </w:r>
      <w:r w:rsidR="00B9564D" w:rsidRPr="005F44EF">
        <w:rPr>
          <w:rFonts w:ascii="Times New Roman" w:eastAsia="Times New Roman" w:hAnsi="Times New Roman" w:cs="Times New Roman"/>
          <w:sz w:val="24"/>
          <w:szCs w:val="24"/>
        </w:rPr>
        <w:t xml:space="preserve">ESR dating. ESR dose evaluation </w:t>
      </w:r>
      <w:r w:rsidRPr="005F44EF">
        <w:rPr>
          <w:rFonts w:ascii="Times New Roman" w:eastAsia="Times New Roman" w:hAnsi="Times New Roman" w:cs="Times New Roman"/>
          <w:sz w:val="24"/>
          <w:szCs w:val="24"/>
        </w:rPr>
        <w:t>following the Multiple Centre (MC) approach</w:t>
      </w:r>
      <w:r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uthor":[{"dropping-particle":"","family":"Toyoda","given":"Shin","non-dropping-particle":"","parse-names":false,"suffix":""},{"dropping-particle":"","family":"Voinchet","given":"Pierre","non-dropping-particle":"","parse-names":false,"suffix":""},{"dropping-particle":"","family":"Falgueres","given":"Christophe","non-dropping-particle":"","parse-names":false,"suffix":""},{"dropping-particle":"","family":"Dolo","given":"Jean-Michel","non-dropping-particle":"","parse-names":false,"suffix":""},{"dropping-particle":"","family":"Laurent","given":"Michel","non-dropping-particle":"","parse-names":false,"suffix":""}],"container-title":"Applied Radiation and Isotopes","id":"ITEM-1","issued":{"date-parts":[["2000"]]},"page":"1357-1362","title":"Bleaching of ESR signals by the sunlight : a laboratory experiment for establishing the ESR dating of sediments","type":"article-journal","volume":"52"},"uris":["http://www.mendeley.com/documents/?uuid=8829b472-8678-4452-9339-ee329a07123e"]}],"mendeley":{"formattedCitation":"&lt;sup&gt;84&lt;/sup&gt;","plainTextFormattedCitation":"84","previouslyFormattedCitation":"&lt;sup&gt;84&lt;/sup&gt;"},"properties":{"noteIndex":0},"schema":"https://github.com/citation-style-language/schema/raw/master/csl-citation.json"}</w:instrText>
      </w:r>
      <w:r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84</w:t>
      </w:r>
      <w:r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w:t>
      </w:r>
      <w:r w:rsidR="00B9564D" w:rsidRPr="005F44EF">
        <w:rPr>
          <w:rFonts w:ascii="Times New Roman" w:eastAsia="Times New Roman" w:hAnsi="Times New Roman" w:cs="Times New Roman"/>
          <w:sz w:val="24"/>
          <w:szCs w:val="24"/>
        </w:rPr>
        <w:t xml:space="preserve">was carried out at the </w:t>
      </w:r>
      <w:r w:rsidRPr="005F44EF">
        <w:rPr>
          <w:rFonts w:ascii="Times New Roman" w:eastAsia="Times New Roman" w:hAnsi="Times New Roman" w:cs="Times New Roman"/>
          <w:sz w:val="24"/>
          <w:szCs w:val="24"/>
        </w:rPr>
        <w:t>National Research Centre on Human Evolution (</w:t>
      </w:r>
      <w:r w:rsidR="00B9564D" w:rsidRPr="005F44EF">
        <w:rPr>
          <w:rFonts w:ascii="Times New Roman" w:eastAsia="Times New Roman" w:hAnsi="Times New Roman" w:cs="Times New Roman"/>
          <w:sz w:val="24"/>
          <w:szCs w:val="24"/>
        </w:rPr>
        <w:t>CENIEH</w:t>
      </w:r>
      <w:r w:rsidRPr="005F44EF">
        <w:rPr>
          <w:rFonts w:ascii="Times New Roman" w:eastAsia="Times New Roman" w:hAnsi="Times New Roman" w:cs="Times New Roman"/>
          <w:sz w:val="24"/>
          <w:szCs w:val="24"/>
        </w:rPr>
        <w:t xml:space="preserve">, </w:t>
      </w:r>
      <w:r w:rsidR="00B9564D" w:rsidRPr="005F44EF">
        <w:rPr>
          <w:rFonts w:ascii="Times New Roman" w:eastAsia="Times New Roman" w:hAnsi="Times New Roman" w:cs="Times New Roman"/>
          <w:sz w:val="24"/>
          <w:szCs w:val="24"/>
        </w:rPr>
        <w:t>Burgos, Spain)</w:t>
      </w:r>
      <w:r w:rsidR="00F24010">
        <w:rPr>
          <w:rFonts w:ascii="Times New Roman" w:eastAsia="Times New Roman" w:hAnsi="Times New Roman" w:cs="Times New Roman"/>
          <w:sz w:val="24"/>
          <w:szCs w:val="24"/>
        </w:rPr>
        <w:t xml:space="preserve"> </w:t>
      </w:r>
      <w:r w:rsidR="00B9564D" w:rsidRPr="005F44EF">
        <w:rPr>
          <w:rFonts w:ascii="Times New Roman" w:eastAsia="Times New Roman" w:hAnsi="Times New Roman" w:cs="Times New Roman"/>
          <w:sz w:val="24"/>
          <w:szCs w:val="24"/>
        </w:rPr>
        <w:t>using the standard Multiple Aliquot Additive Dose (MAAD) method. Each quartz sample was divided into 14 aliquots</w:t>
      </w:r>
      <w:r w:rsidR="00E13B37" w:rsidRPr="005F44EF">
        <w:rPr>
          <w:rFonts w:ascii="Times New Roman" w:eastAsia="Times New Roman" w:hAnsi="Times New Roman" w:cs="Times New Roman"/>
          <w:sz w:val="24"/>
          <w:szCs w:val="24"/>
        </w:rPr>
        <w:t xml:space="preserve"> </w:t>
      </w:r>
      <w:r w:rsidR="00B77A7E" w:rsidRPr="005F44EF">
        <w:rPr>
          <w:rFonts w:ascii="Times New Roman" w:eastAsia="Times New Roman" w:hAnsi="Times New Roman" w:cs="Times New Roman"/>
          <w:sz w:val="24"/>
          <w:szCs w:val="24"/>
        </w:rPr>
        <w:t>of approximatively ~70 to 200 mg (</w:t>
      </w:r>
      <w:r w:rsidR="00B77A7E" w:rsidRPr="005F44EF">
        <w:rPr>
          <w:rFonts w:ascii="Times New Roman" w:eastAsia="Times New Roman" w:hAnsi="Times New Roman" w:cs="Times New Roman"/>
          <w:b/>
          <w:sz w:val="24"/>
          <w:szCs w:val="24"/>
        </w:rPr>
        <w:t>Table S4</w:t>
      </w:r>
      <w:r w:rsidR="00B77A7E" w:rsidRPr="005F44EF">
        <w:rPr>
          <w:rFonts w:ascii="Times New Roman" w:eastAsia="Times New Roman" w:hAnsi="Times New Roman" w:cs="Times New Roman"/>
          <w:sz w:val="24"/>
          <w:szCs w:val="24"/>
        </w:rPr>
        <w:t xml:space="preserve">) </w:t>
      </w:r>
      <w:r w:rsidR="001068B9" w:rsidRPr="005F44EF">
        <w:rPr>
          <w:rFonts w:ascii="Times New Roman" w:eastAsia="Times New Roman" w:hAnsi="Times New Roman" w:cs="Times New Roman"/>
          <w:sz w:val="24"/>
          <w:szCs w:val="24"/>
        </w:rPr>
        <w:t>including</w:t>
      </w:r>
      <w:r w:rsidR="00B9564D" w:rsidRPr="005F44EF">
        <w:rPr>
          <w:rFonts w:ascii="Times New Roman" w:eastAsia="Times New Roman" w:hAnsi="Times New Roman" w:cs="Times New Roman"/>
          <w:sz w:val="24"/>
          <w:szCs w:val="24"/>
        </w:rPr>
        <w:t xml:space="preserve">: 1 natural (non-irradiated), 1 UV-bleached and 12 laboratory-irradiated aliquots. Gamma irradiation was carried out using a calibrated Gammacell-1000 </w:t>
      </w:r>
      <w:r w:rsidR="00B9564D" w:rsidRPr="005F44EF">
        <w:rPr>
          <w:rFonts w:ascii="Times New Roman" w:eastAsia="Times New Roman" w:hAnsi="Times New Roman" w:cs="Times New Roman"/>
          <w:sz w:val="24"/>
          <w:szCs w:val="24"/>
          <w:vertAlign w:val="superscript"/>
        </w:rPr>
        <w:t>137</w:t>
      </w:r>
      <w:r w:rsidR="00B9564D" w:rsidRPr="005F44EF">
        <w:rPr>
          <w:rFonts w:ascii="Times New Roman" w:eastAsia="Times New Roman" w:hAnsi="Times New Roman" w:cs="Times New Roman"/>
          <w:sz w:val="24"/>
          <w:szCs w:val="24"/>
        </w:rPr>
        <w:t>Cs gamma source (dose rate of about 6.4 Gy/min)</w:t>
      </w:r>
      <w:r w:rsidRPr="005F44EF">
        <w:rPr>
          <w:rFonts w:ascii="Times New Roman" w:eastAsia="Times New Roman" w:hAnsi="Times New Roman" w:cs="Times New Roman"/>
          <w:sz w:val="24"/>
          <w:szCs w:val="24"/>
        </w:rPr>
        <w:t xml:space="preserve"> and</w:t>
      </w:r>
      <w:r w:rsidR="00FA246F" w:rsidRPr="005F44EF">
        <w:rPr>
          <w:rFonts w:ascii="Times New Roman" w:eastAsia="Times New Roman" w:hAnsi="Times New Roman" w:cs="Times New Roman"/>
          <w:sz w:val="24"/>
          <w:szCs w:val="24"/>
        </w:rPr>
        <w:t xml:space="preserve"> the</w:t>
      </w:r>
      <w:r w:rsidRPr="005F44EF">
        <w:rPr>
          <w:rFonts w:ascii="Times New Roman" w:eastAsia="Times New Roman" w:hAnsi="Times New Roman" w:cs="Times New Roman"/>
          <w:sz w:val="24"/>
          <w:szCs w:val="24"/>
        </w:rPr>
        <w:t xml:space="preserve"> following doses were given</w:t>
      </w:r>
      <w:r w:rsidR="00B9564D" w:rsidRPr="005F44EF">
        <w:rPr>
          <w:rFonts w:ascii="Times New Roman" w:eastAsia="Times New Roman" w:hAnsi="Times New Roman" w:cs="Times New Roman"/>
          <w:sz w:val="24"/>
          <w:szCs w:val="24"/>
        </w:rPr>
        <w:t xml:space="preserve">: 47, 112, 205, 419, 698, 1023, 1675, 2791, 4652, 7443, 13955 and 23258 Gy. One aliquot of each sample was UV-bleached using a </w:t>
      </w:r>
      <w:r w:rsidR="00FA246F" w:rsidRPr="005F44EF">
        <w:rPr>
          <w:rFonts w:ascii="Times New Roman" w:eastAsia="Times New Roman" w:hAnsi="Times New Roman" w:cs="Times New Roman"/>
          <w:sz w:val="24"/>
          <w:szCs w:val="24"/>
        </w:rPr>
        <w:t xml:space="preserve">Dr </w:t>
      </w:r>
      <w:proofErr w:type="spellStart"/>
      <w:r w:rsidR="00FA246F" w:rsidRPr="005F44EF">
        <w:rPr>
          <w:rFonts w:ascii="Times New Roman" w:eastAsia="Times New Roman" w:hAnsi="Times New Roman" w:cs="Times New Roman"/>
          <w:sz w:val="24"/>
          <w:szCs w:val="24"/>
        </w:rPr>
        <w:t>Hönle</w:t>
      </w:r>
      <w:proofErr w:type="spellEnd"/>
      <w:r w:rsidR="00FA246F" w:rsidRPr="005F44EF">
        <w:rPr>
          <w:rFonts w:ascii="Times New Roman" w:eastAsia="Times New Roman" w:hAnsi="Times New Roman" w:cs="Times New Roman"/>
          <w:sz w:val="24"/>
          <w:szCs w:val="24"/>
        </w:rPr>
        <w:t xml:space="preserve"> </w:t>
      </w:r>
      <w:r w:rsidR="00B9564D" w:rsidRPr="005F44EF">
        <w:rPr>
          <w:rFonts w:ascii="Times New Roman" w:eastAsia="Times New Roman" w:hAnsi="Times New Roman" w:cs="Times New Roman"/>
          <w:sz w:val="24"/>
          <w:szCs w:val="24"/>
        </w:rPr>
        <w:t>SOL-2 solar simulator for about 1500h</w:t>
      </w:r>
      <w:r w:rsidR="00513546" w:rsidRPr="005F44EF">
        <w:rPr>
          <w:rFonts w:ascii="Times New Roman" w:eastAsia="Times New Roman" w:hAnsi="Times New Roman" w:cs="Times New Roman"/>
          <w:sz w:val="24"/>
          <w:szCs w:val="24"/>
        </w:rPr>
        <w:t xml:space="preserve"> to estimate the bleaching coefficient</w:t>
      </w:r>
      <w:r w:rsidR="00FA246F" w:rsidRPr="005F44EF">
        <w:rPr>
          <w:rFonts w:ascii="Times New Roman" w:eastAsia="Times New Roman" w:hAnsi="Times New Roman" w:cs="Times New Roman"/>
          <w:sz w:val="24"/>
          <w:szCs w:val="24"/>
        </w:rPr>
        <w:t xml:space="preserve">, </w:t>
      </w:r>
      <w:r w:rsidR="00513546" w:rsidRPr="005F44EF">
        <w:rPr>
          <w:rFonts w:ascii="Times New Roman" w:eastAsia="Times New Roman" w:hAnsi="Times New Roman" w:cs="Times New Roman"/>
          <w:sz w:val="24"/>
          <w:szCs w:val="24"/>
        </w:rPr>
        <w:t>which</w:t>
      </w:r>
      <w:r w:rsidR="00FA246F" w:rsidRPr="005F44EF">
        <w:rPr>
          <w:rFonts w:ascii="Times New Roman" w:eastAsia="Times New Roman" w:hAnsi="Times New Roman" w:cs="Times New Roman"/>
          <w:sz w:val="24"/>
          <w:szCs w:val="24"/>
        </w:rPr>
        <w:t xml:space="preserve"> </w:t>
      </w:r>
      <w:r w:rsidR="00513546" w:rsidRPr="005F44EF">
        <w:rPr>
          <w:rFonts w:ascii="Times New Roman" w:eastAsia="Times New Roman" w:hAnsi="Times New Roman" w:cs="Times New Roman"/>
          <w:sz w:val="24"/>
          <w:szCs w:val="24"/>
        </w:rPr>
        <w:t xml:space="preserve">corresponds to the relative difference </w:t>
      </w:r>
      <w:r w:rsidRPr="005F44EF">
        <w:rPr>
          <w:rFonts w:ascii="Times New Roman" w:eastAsia="Times New Roman" w:hAnsi="Times New Roman" w:cs="Times New Roman"/>
          <w:sz w:val="24"/>
          <w:szCs w:val="24"/>
        </w:rPr>
        <w:t xml:space="preserve">(in %) </w:t>
      </w:r>
      <w:r w:rsidR="00513546" w:rsidRPr="005F44EF">
        <w:rPr>
          <w:rFonts w:ascii="Times New Roman" w:eastAsia="Times New Roman" w:hAnsi="Times New Roman" w:cs="Times New Roman"/>
          <w:sz w:val="24"/>
          <w:szCs w:val="24"/>
        </w:rPr>
        <w:t>between the ESR intensity of the natural and bleached aliquots.</w:t>
      </w:r>
    </w:p>
    <w:p w14:paraId="624C438F" w14:textId="77777777" w:rsidR="00BB7AA9" w:rsidRPr="005F44EF" w:rsidRDefault="00BB7AA9">
      <w:pPr>
        <w:spacing w:after="0" w:line="276" w:lineRule="auto"/>
        <w:jc w:val="both"/>
        <w:rPr>
          <w:rFonts w:ascii="Times New Roman" w:eastAsia="Times New Roman" w:hAnsi="Times New Roman" w:cs="Times New Roman"/>
          <w:sz w:val="24"/>
          <w:szCs w:val="24"/>
        </w:rPr>
      </w:pPr>
    </w:p>
    <w:p w14:paraId="22C8A648" w14:textId="5D769895"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ESR measurements were performed at low temperature (~90 K) using an </w:t>
      </w:r>
      <w:proofErr w:type="spellStart"/>
      <w:r w:rsidRPr="005F44EF">
        <w:rPr>
          <w:rFonts w:ascii="Times New Roman" w:eastAsia="Times New Roman" w:hAnsi="Times New Roman" w:cs="Times New Roman"/>
          <w:sz w:val="24"/>
          <w:szCs w:val="24"/>
        </w:rPr>
        <w:t>EMXmicro</w:t>
      </w:r>
      <w:proofErr w:type="spellEnd"/>
      <w:r w:rsidRPr="005F44EF">
        <w:rPr>
          <w:rFonts w:ascii="Times New Roman" w:eastAsia="Times New Roman" w:hAnsi="Times New Roman" w:cs="Times New Roman"/>
          <w:sz w:val="24"/>
          <w:szCs w:val="24"/>
        </w:rPr>
        <w:t xml:space="preserve"> 6/1 Bruker X-band ESR spectrometer coupled to a standard rectangular ER 4104ST cavity and an ER4141VT Digital Temperature control system based on liquid nitrogen cooling. For constant experimental conditions, the temperature of the water circulating in the magnet is </w:t>
      </w:r>
      <w:r w:rsidR="00783DEA" w:rsidRPr="005F44EF">
        <w:rPr>
          <w:rFonts w:ascii="Times New Roman" w:eastAsia="Times New Roman" w:hAnsi="Times New Roman" w:cs="Times New Roman"/>
          <w:sz w:val="24"/>
          <w:szCs w:val="24"/>
        </w:rPr>
        <w:t>kept</w:t>
      </w:r>
      <w:r w:rsidRPr="005F44EF">
        <w:rPr>
          <w:rFonts w:ascii="Times New Roman" w:eastAsia="Times New Roman" w:hAnsi="Times New Roman" w:cs="Times New Roman"/>
          <w:sz w:val="24"/>
          <w:szCs w:val="24"/>
        </w:rPr>
        <w:t xml:space="preserve"> at 18 ºC by a water-cooled Thermo Scientific NESLAB </w:t>
      </w:r>
      <w:proofErr w:type="spellStart"/>
      <w:r w:rsidRPr="005F44EF">
        <w:rPr>
          <w:rFonts w:ascii="Times New Roman" w:eastAsia="Times New Roman" w:hAnsi="Times New Roman" w:cs="Times New Roman"/>
          <w:sz w:val="24"/>
          <w:szCs w:val="24"/>
        </w:rPr>
        <w:t>ThermoFlex</w:t>
      </w:r>
      <w:proofErr w:type="spellEnd"/>
      <w:r w:rsidRPr="005F44EF">
        <w:rPr>
          <w:rFonts w:ascii="Times New Roman" w:eastAsia="Times New Roman" w:hAnsi="Times New Roman" w:cs="Times New Roman"/>
          <w:sz w:val="24"/>
          <w:szCs w:val="24"/>
        </w:rPr>
        <w:t xml:space="preserve"> 3500 chiller </w:t>
      </w:r>
      <w:r w:rsidR="00495147" w:rsidRPr="005F44EF">
        <w:rPr>
          <w:rFonts w:ascii="Times New Roman" w:eastAsia="Times New Roman" w:hAnsi="Times New Roman" w:cs="Times New Roman"/>
          <w:sz w:val="24"/>
          <w:szCs w:val="24"/>
        </w:rPr>
        <w:t>while</w:t>
      </w:r>
      <w:r w:rsidRPr="005F44EF">
        <w:rPr>
          <w:rFonts w:ascii="Times New Roman" w:eastAsia="Times New Roman" w:hAnsi="Times New Roman" w:cs="Times New Roman"/>
          <w:sz w:val="24"/>
          <w:szCs w:val="24"/>
        </w:rPr>
        <w:t xml:space="preserve"> room temperature </w:t>
      </w:r>
      <w:r w:rsidR="00495147" w:rsidRPr="005F44EF">
        <w:rPr>
          <w:rFonts w:ascii="Times New Roman" w:eastAsia="Times New Roman" w:hAnsi="Times New Roman" w:cs="Times New Roman"/>
          <w:sz w:val="24"/>
          <w:szCs w:val="24"/>
        </w:rPr>
        <w:t xml:space="preserve">is set at </w:t>
      </w:r>
      <w:r w:rsidRPr="005F44EF">
        <w:rPr>
          <w:rFonts w:ascii="Times New Roman" w:eastAsia="Times New Roman" w:hAnsi="Times New Roman" w:cs="Times New Roman"/>
          <w:sz w:val="24"/>
          <w:szCs w:val="24"/>
        </w:rPr>
        <w:t>20 ºC by an air conditioning</w:t>
      </w:r>
      <w:r w:rsidR="00495147" w:rsidRPr="005F44EF">
        <w:rPr>
          <w:rFonts w:ascii="Times New Roman" w:eastAsia="Times New Roman" w:hAnsi="Times New Roman" w:cs="Times New Roman"/>
          <w:sz w:val="24"/>
          <w:szCs w:val="24"/>
        </w:rPr>
        <w:t xml:space="preserve"> unit</w:t>
      </w:r>
      <w:r w:rsidRPr="005F44EF">
        <w:rPr>
          <w:rFonts w:ascii="Times New Roman" w:eastAsia="Times New Roman" w:hAnsi="Times New Roman" w:cs="Times New Roman"/>
          <w:sz w:val="24"/>
          <w:szCs w:val="24"/>
        </w:rPr>
        <w:t>. Further details about the experimental setup and its performance may be found in</w:t>
      </w:r>
      <w:r w:rsidR="00897561"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{"citationItems":[{"id":"ITEM-1","itemData":{"author":[{"dropping-particle":"","family":"Duval","given":"M","non-dropping-particle":"","parse-names":false,"suffix":""}],"container-title":"Ancient TL","id":"ITEM-1","issue":"November","issued":{"date-parts":[["2012"]]},"page":"1-10","title":"Dose response curve of the ESR signal of Aluminum center in quartz grains extracted from sediment Dose response curve of the ESR signal of the Aluminum center in quartz grains extracted from sediment","type":"article-journal","volume":"2"},"uris":["http://www.mendeley.com/documents/?uuid=c690b0f1-9053-496a-8c54-c143c229eaa9"]},{"id":"ITEM-2","itemData":{"DOI":"10.2478/geochr-2020-0005","ISSN":"18971695","abstract":"In recent years, our investigation has been centred on improving the reliability and accuracy of the ESR method applied to quartz grains. As part of this ongoing investigation, we present an intra-laboratory study to evaluate the impact of different experimental setups on the ESR measurement precision and dose evaluation for ESR dating of optically bleached quartz grains. Repeated measurements of quartz samples have been performed at CENIEH, Spain, using two different Bruker spectrometers (EMXmicro and Elexsys E500) and resonators (standard rectangular ER4102ST and cylindrical Super High QE cavities). Their performance in terms of sensitivity, measurement repeatability and dose determination are presented in this study. This intra-laboratory work has allowed to evaluate the robustness of our protocol for ESR dating of quartz grains and to study the potential impact of different experimental setups on dose evaluation, which is essential for future standardization of the ESR dating method. Our results indicate that all the different experimental setups provide comparable precision of the ESR intensity measurements. Moreover, all the ESR dose estimates are within 1-sigma error, suggesting that it is possible to compare results obtained by different laboratories when similar analytical procedures are followed. Finally, the higher sensitivity achieved by the SHQE resonator appears to be of particular interest when dealing with samples showing low ESR signal intensities.","author":[{"dropping-particle":"","family":"Guilarte","given":"Verónica","non-dropping-particle":"","parse-names":false,"suffix":""},{"dropping-particle":"","family":"Duval","given":"Mathieu","non-dropping-particle":"","parse-names":false,"suffix":""}],"container-title":"Geochronometria","id":"ITEM-2","issued":{"date-parts":[["2020"]]},"page":"0-6","title":"ESR dating of optically bleached quartz grains: Assessing the impact of different experimental setups on dose evaluations","type":"article-journal","volume":"1695"},"uris":["http://www.mendeley.com/documents/?uuid=7aa4454d-42dd-4323-89d5-0b94d101dbca"]}],"mendeley":{"formattedCitation":"&lt;sup&gt;85,86&lt;/sup&gt;","plainTextFormattedCitation":"85,86","previouslyFormattedCitation":"&lt;sup&gt;85,86&lt;/sup&gt;"},"properties":{"noteIndex":0},"schema":"https://github.com/citation-style-language/schema/raw/master/csl-citation.json"}</w:instrText>
      </w:r>
      <w:r w:rsidR="00897561"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85,86</w:t>
      </w:r>
      <w:r w:rsidR="00897561" w:rsidRPr="005F44EF">
        <w:rPr>
          <w:rFonts w:ascii="Times New Roman" w:eastAsia="Times New Roman" w:hAnsi="Times New Roman" w:cs="Times New Roman"/>
          <w:sz w:val="24"/>
          <w:szCs w:val="24"/>
        </w:rPr>
        <w:fldChar w:fldCharType="end"/>
      </w:r>
      <w:hyperlink r:id="rId24"/>
      <w:r w:rsidRPr="005F44EF">
        <w:rPr>
          <w:rFonts w:ascii="Times New Roman" w:eastAsia="Times New Roman" w:hAnsi="Times New Roman" w:cs="Times New Roman"/>
          <w:sz w:val="24"/>
          <w:szCs w:val="24"/>
        </w:rPr>
        <w:t xml:space="preserve">. According to the </w:t>
      </w:r>
      <w:r w:rsidR="00206D9D" w:rsidRPr="005F44EF">
        <w:rPr>
          <w:rFonts w:ascii="Times New Roman" w:eastAsia="Times New Roman" w:hAnsi="Times New Roman" w:cs="Times New Roman"/>
          <w:sz w:val="24"/>
          <w:szCs w:val="24"/>
        </w:rPr>
        <w:t>MC</w:t>
      </w:r>
      <w:r w:rsidRPr="005F44EF">
        <w:rPr>
          <w:rFonts w:ascii="Times New Roman" w:eastAsia="Times New Roman" w:hAnsi="Times New Roman" w:cs="Times New Roman"/>
          <w:sz w:val="24"/>
          <w:szCs w:val="24"/>
        </w:rPr>
        <w:t xml:space="preserve"> method</w:t>
      </w:r>
      <w:r w:rsidR="00D84935"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uthor":[{"dropping-particle":"","family":"Toyoda","given":"Shin","non-dropping-particle":"","parse-names":false,"suffix":""},{"dropping-particle":"","family":"Falguères","given":"Christophe","non-dropping-particle":"","parse-names":false,"suffix":""}],"container-title":"Advances in ESR Applications","id":"ITEM-1","issued":{"date-parts":[["2003"]]},"page":"7-10","title":"The method to represent the ESR signal intensity of the aluminium hole center in quartz for the purpose of dating","type":"article-journal","volume":"20"},"uris":["http://www.mendeley.com/documents/?uuid=8af96af0-aeda-4c98-86de-19583c88433d"]}],"mendeley":{"formattedCitation":"&lt;sup&gt;87&lt;/sup&gt;","plainTextFormattedCitation":"87","previouslyFormattedCitation":"&lt;sup&gt;87&lt;/sup&gt;"},"properties":{"noteIndex":0},"schema":"https://github.com/citation-style-language/schema/raw/master/csl-citation.json"}</w:instrText>
      </w:r>
      <w:r w:rsidR="00D84935"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87</w:t>
      </w:r>
      <w:r w:rsidR="00D84935"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color w:val="000000"/>
          <w:sz w:val="24"/>
          <w:szCs w:val="24"/>
        </w:rPr>
        <w:t xml:space="preserve">, </w:t>
      </w:r>
      <w:r w:rsidR="00495147" w:rsidRPr="005F44EF">
        <w:rPr>
          <w:rFonts w:ascii="Times New Roman" w:eastAsia="Times New Roman" w:hAnsi="Times New Roman" w:cs="Times New Roman"/>
          <w:color w:val="000000"/>
          <w:sz w:val="24"/>
          <w:szCs w:val="24"/>
        </w:rPr>
        <w:t xml:space="preserve">the ESR dating signals associated with the </w:t>
      </w:r>
      <w:r w:rsidRPr="005F44EF">
        <w:rPr>
          <w:rFonts w:ascii="Times New Roman" w:eastAsia="Times New Roman" w:hAnsi="Times New Roman" w:cs="Times New Roman"/>
          <w:color w:val="000000"/>
          <w:sz w:val="24"/>
          <w:szCs w:val="24"/>
        </w:rPr>
        <w:t>Al and Ti centres</w:t>
      </w:r>
      <w:r w:rsidR="00495147" w:rsidRPr="005F44EF">
        <w:rPr>
          <w:rFonts w:ascii="Times New Roman" w:eastAsia="Times New Roman" w:hAnsi="Times New Roman" w:cs="Times New Roman"/>
          <w:color w:val="000000"/>
          <w:sz w:val="24"/>
          <w:szCs w:val="24"/>
        </w:rPr>
        <w:t xml:space="preserve"> were systematically measured</w:t>
      </w:r>
      <w:r w:rsidRPr="005F44EF">
        <w:rPr>
          <w:rFonts w:ascii="Times New Roman" w:eastAsia="Times New Roman" w:hAnsi="Times New Roman" w:cs="Times New Roman"/>
          <w:sz w:val="24"/>
          <w:szCs w:val="24"/>
        </w:rPr>
        <w:t xml:space="preserve">. A first pre-screening </w:t>
      </w:r>
      <w:r w:rsidR="00FA246F" w:rsidRPr="005F44EF">
        <w:rPr>
          <w:rFonts w:ascii="Times New Roman" w:eastAsia="Times New Roman" w:hAnsi="Times New Roman" w:cs="Times New Roman"/>
          <w:sz w:val="24"/>
          <w:szCs w:val="24"/>
        </w:rPr>
        <w:t>of</w:t>
      </w:r>
      <w:r w:rsidRPr="005F44EF">
        <w:rPr>
          <w:rFonts w:ascii="Times New Roman" w:eastAsia="Times New Roman" w:hAnsi="Times New Roman" w:cs="Times New Roman"/>
          <w:sz w:val="24"/>
          <w:szCs w:val="24"/>
        </w:rPr>
        <w:t xml:space="preserve"> the Bété I quartz samples showed a well-defined Al signal intensity (</w:t>
      </w:r>
      <w:r w:rsidRPr="005F44EF">
        <w:rPr>
          <w:rFonts w:ascii="Times New Roman" w:eastAsia="Times New Roman" w:hAnsi="Times New Roman" w:cs="Times New Roman"/>
          <w:b/>
          <w:sz w:val="24"/>
          <w:szCs w:val="24"/>
        </w:rPr>
        <w:t>Figure S</w:t>
      </w:r>
      <w:r w:rsidR="008F1244" w:rsidRPr="005F44EF">
        <w:rPr>
          <w:rFonts w:ascii="Times New Roman" w:eastAsia="Times New Roman" w:hAnsi="Times New Roman" w:cs="Times New Roman"/>
          <w:b/>
          <w:sz w:val="24"/>
          <w:szCs w:val="24"/>
        </w:rPr>
        <w:t>9</w:t>
      </w:r>
      <w:r w:rsidRPr="005F44EF">
        <w:rPr>
          <w:rFonts w:ascii="Times New Roman" w:eastAsia="Times New Roman" w:hAnsi="Times New Roman" w:cs="Times New Roman"/>
          <w:b/>
          <w:sz w:val="24"/>
          <w:szCs w:val="24"/>
        </w:rPr>
        <w:t>-A</w:t>
      </w:r>
      <w:r w:rsidRPr="005F44EF">
        <w:rPr>
          <w:rFonts w:ascii="Times New Roman" w:eastAsia="Times New Roman" w:hAnsi="Times New Roman" w:cs="Times New Roman"/>
          <w:sz w:val="24"/>
          <w:szCs w:val="24"/>
        </w:rPr>
        <w:t>) from the peak-to-peak amplitude measurements between the top of the first peak (g = 2.0185) and the bottom of the 16th peak (g = 1.9928)</w:t>
      </w:r>
      <w:r w:rsidR="00897561"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uthor":[{"dropping-particle":"","family":"Toyoda","given":"Shin","non-dropping-particle":"","parse-names":false,"suffix":""},{"dropping-particle":"","family":"Voinchet","given":"Pierre","non-dropping-particle":"","parse-names":false,"suffix":""},{"dropping-particle":"","family":"Falgueres","given":"Christophe","non-dropping-particle":"","parse-names":false,"suffix":""},{"dropping-particle":"","family":"Dolo","given":"Jean-Michel","non-dropping-particle":"","parse-names":false,"suffix":""},{"dropping-particle":"","family":"Laurent","given":"Michel","non-dropping-particle":"","parse-names":false,"suffix":""}],"container-title":"Applied Radiation and Isotopes","id":"ITEM-1","issued":{"date-parts":[["2000"]]},"page":"1357-1362","title":"Bleaching of ESR signals by the sunlight : a laboratory experiment for establishing the ESR dating of sediments","type":"article-journal","volume":"52"},"uris":["http://www.mendeley.com/documents/?uuid=8829b472-8678-4452-9339-ee329a07123e"]}],"mendeley":{"formattedCitation":"&lt;sup&gt;84&lt;/sup&gt;","plainTextFormattedCitation":"84","previouslyFormattedCitation":"&lt;sup&gt;84&lt;/sup&gt;"},"properties":{"noteIndex":0},"schema":"https://github.com/citation-style-language/schema/raw/master/csl-citation.json"}</w:instrText>
      </w:r>
      <w:r w:rsidR="00897561"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84</w:t>
      </w:r>
      <w:r w:rsidR="00897561" w:rsidRPr="005F44EF">
        <w:rPr>
          <w:rFonts w:ascii="Times New Roman" w:eastAsia="Times New Roman" w:hAnsi="Times New Roman" w:cs="Times New Roman"/>
          <w:sz w:val="24"/>
          <w:szCs w:val="24"/>
        </w:rPr>
        <w:fldChar w:fldCharType="end"/>
      </w:r>
      <w:r w:rsidR="00FA246F" w:rsidRPr="005F44EF">
        <w:rPr>
          <w:rFonts w:ascii="Times New Roman" w:eastAsia="Times New Roman" w:hAnsi="Times New Roman" w:cs="Times New Roman"/>
          <w:sz w:val="24"/>
          <w:szCs w:val="24"/>
        </w:rPr>
        <w:t xml:space="preserve"> and a relatively weak </w:t>
      </w:r>
      <w:r w:rsidR="00D251EA" w:rsidRPr="005F44EF">
        <w:rPr>
          <w:rFonts w:ascii="Times New Roman" w:eastAsia="Times New Roman" w:hAnsi="Times New Roman" w:cs="Times New Roman"/>
          <w:sz w:val="24"/>
          <w:szCs w:val="24"/>
        </w:rPr>
        <w:t>Ti signal</w:t>
      </w:r>
      <w:r w:rsidR="00FA246F" w:rsidRPr="005F44EF">
        <w:rPr>
          <w:rFonts w:ascii="Times New Roman" w:eastAsia="Times New Roman" w:hAnsi="Times New Roman" w:cs="Times New Roman"/>
          <w:sz w:val="24"/>
          <w:szCs w:val="24"/>
        </w:rPr>
        <w:t xml:space="preserve"> whose intensity </w:t>
      </w:r>
      <w:r w:rsidR="00473B19" w:rsidRPr="005F44EF">
        <w:rPr>
          <w:rFonts w:ascii="Times New Roman" w:eastAsia="Times New Roman" w:hAnsi="Times New Roman" w:cs="Times New Roman"/>
          <w:sz w:val="24"/>
          <w:szCs w:val="24"/>
        </w:rPr>
        <w:t>was hardly distinguishable from the background noise</w:t>
      </w:r>
      <w:r w:rsidR="00D251EA"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as already pointed out by other relevant studies</w:t>
      </w:r>
      <w:r w:rsidR="00897561"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{"citationItems":[{"id":"ITEM-1","itemData":{"DOI":"10.2478/geochr-2020-0005","ISSN":"18971695","abstract":"In recent years, our investigation has been centred on improving the reliability and accuracy of the ESR method applied to quartz grains. As part of this ongoing investigation, we present an intra-laboratory study to evaluate the impact of different experimental setups on the ESR measurement precision and dose evaluation for ESR dating of optically bleached quartz grains. Repeated measurements of quartz samples have been performed at CENIEH, Spain, using two different Bruker spectrometers (EMXmicro and Elexsys E500) and resonators (standard rectangular ER4102ST and cylindrical Super High QE cavities). Their performance in terms of sensitivity, measurement repeatability and dose determination are presented in this study. This intra-laboratory work has allowed to evaluate the robustness of our protocol for ESR dating of quartz grains and to study the potential impact of different experimental setups on dose evaluation, which is essential for future standardization of the ESR dating method. Our results indicate that all the different experimental setups provide comparable precision of the ESR intensity measurements. Moreover, all the ESR dose estimates are within 1-sigma error, suggesting that it is possible to compare results obtained by different laboratories when similar analytical procedures are followed. Finally, the higher sensitivity achieved by the SHQE resonator appears to be of particular interest when dealing with samples showing low ESR signal intensities.","author":[{"dropping-particle":"","family":"Guilarte","given":"Verónica","non-dropping-particle":"","parse-names":false,"suffix":""},{"dropping-particle":"","family":"Duval","given":"Mathieu","non-dropping-particle":"","parse-names":false,"suffix":""}],"container-title":"Geochronometria","id":"ITEM-1","issued":{"date-parts":[["2020"]]},"page":"0-6","title":"ESR dating of optically bleached quartz grains: Assessing the impact of different experimental setups on dose evaluations","type":"article-journal","volume":"1695"},"uris":["http://www.mendeley.com/documents/?uuid=7aa4454d-42dd-4323-89d5-0b94d101dbca"]},{"id":"ITEM-2","itemData":{"DOI":"10.1016/j.quageo.2022.101293","ISSN":"18711014","author":[{"dropping-particle":"","family":"Arous","given":"E.","non-dropping-particle":"Ben","parse-names":false,"suffix":""},{"dropping-particle":"","family":"Duval","given":"M.","non-dropping-particle":"","parse-names":false,"suffix":""},{"dropping-particle":"","family":"Bateman","given":"M.D.","non-dropping-particle":"","parse-names":false,"suffix":""}],"container-title":"Quaternary Geochronology","id":"ITEM-2","issued":{"date-parts":[["2022","4"]]},"page":"101293","title":"ESR dating of optically bleached quartz grains from Plio-Pleistocene to Holocene coastal dune deposits (Wilderness-Knysna area, South Africa): a comparison with luminescence","type":"article-journal"},"uris":["http://www.mendeley.com/documents/?uuid=6238101d-eed2-3279-be56-0e804259f50f"]}],"mendeley":{"formattedCitation":"&lt;sup&gt;86,88&lt;/sup&gt;","plainTextFormattedCitation":"86,88","previouslyFormattedCitation":"&lt;sup&gt;86,88&lt;/sup&gt;"},"properties":{"noteIndex":0},"schema":"https://github.com/citation-style-language/schema/raw/master/csl-citation.json"}</w:instrText>
      </w:r>
      <w:r w:rsidR="00897561"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86,88</w:t>
      </w:r>
      <w:r w:rsidR="00897561" w:rsidRPr="005F44EF">
        <w:rPr>
          <w:rFonts w:ascii="Times New Roman" w:eastAsia="Times New Roman" w:hAnsi="Times New Roman" w:cs="Times New Roman"/>
          <w:sz w:val="24"/>
          <w:szCs w:val="24"/>
        </w:rPr>
        <w:fldChar w:fldCharType="end"/>
      </w:r>
      <w:r w:rsidR="00473B19" w:rsidRPr="005F44EF">
        <w:rPr>
          <w:rFonts w:ascii="Times New Roman" w:eastAsia="Times New Roman" w:hAnsi="Times New Roman" w:cs="Times New Roman"/>
          <w:sz w:val="24"/>
          <w:szCs w:val="24"/>
        </w:rPr>
        <w:t>.</w:t>
      </w:r>
      <w:r w:rsidR="00F24010">
        <w:rPr>
          <w:rFonts w:ascii="Times New Roman" w:eastAsia="Times New Roman" w:hAnsi="Times New Roman" w:cs="Times New Roman"/>
          <w:sz w:val="24"/>
          <w:szCs w:val="24"/>
        </w:rPr>
        <w:t xml:space="preserve"> </w:t>
      </w:r>
      <w:r w:rsidR="00D251EA" w:rsidRPr="005F44EF">
        <w:rPr>
          <w:rFonts w:ascii="Times New Roman" w:eastAsia="Times New Roman" w:hAnsi="Times New Roman" w:cs="Times New Roman"/>
          <w:sz w:val="24"/>
          <w:szCs w:val="24"/>
        </w:rPr>
        <w:t xml:space="preserve">This is why, </w:t>
      </w:r>
      <w:r w:rsidR="00473B19" w:rsidRPr="005F44EF">
        <w:rPr>
          <w:rFonts w:ascii="Times New Roman" w:eastAsia="Times New Roman" w:hAnsi="Times New Roman" w:cs="Times New Roman"/>
          <w:sz w:val="24"/>
          <w:szCs w:val="24"/>
        </w:rPr>
        <w:t xml:space="preserve">Al and </w:t>
      </w:r>
      <w:r w:rsidRPr="005F44EF">
        <w:rPr>
          <w:rFonts w:ascii="Times New Roman" w:eastAsia="Times New Roman" w:hAnsi="Times New Roman" w:cs="Times New Roman"/>
          <w:sz w:val="24"/>
          <w:szCs w:val="24"/>
        </w:rPr>
        <w:t xml:space="preserve">Ti </w:t>
      </w:r>
      <w:r w:rsidR="00D251EA" w:rsidRPr="005F44EF">
        <w:rPr>
          <w:rFonts w:ascii="Times New Roman" w:eastAsia="Times New Roman" w:hAnsi="Times New Roman" w:cs="Times New Roman"/>
          <w:sz w:val="24"/>
          <w:szCs w:val="24"/>
        </w:rPr>
        <w:t>signal</w:t>
      </w:r>
      <w:r w:rsidR="00FA246F" w:rsidRPr="005F44EF">
        <w:rPr>
          <w:rFonts w:ascii="Times New Roman" w:eastAsia="Times New Roman" w:hAnsi="Times New Roman" w:cs="Times New Roman"/>
          <w:sz w:val="24"/>
          <w:szCs w:val="24"/>
        </w:rPr>
        <w:t>s</w:t>
      </w:r>
      <w:r w:rsidR="00D251EA" w:rsidRPr="005F44EF">
        <w:rPr>
          <w:rFonts w:ascii="Times New Roman" w:eastAsia="Times New Roman" w:hAnsi="Times New Roman" w:cs="Times New Roman"/>
          <w:sz w:val="24"/>
          <w:szCs w:val="24"/>
        </w:rPr>
        <w:t xml:space="preserve"> were </w:t>
      </w:r>
      <w:r w:rsidRPr="005F44EF">
        <w:rPr>
          <w:rFonts w:ascii="Times New Roman" w:eastAsia="Times New Roman" w:hAnsi="Times New Roman" w:cs="Times New Roman"/>
          <w:sz w:val="24"/>
          <w:szCs w:val="24"/>
        </w:rPr>
        <w:t xml:space="preserve">acquired separately </w:t>
      </w:r>
      <w:r w:rsidR="00D251EA" w:rsidRPr="005F44EF">
        <w:rPr>
          <w:rFonts w:ascii="Times New Roman" w:eastAsia="Times New Roman" w:hAnsi="Times New Roman" w:cs="Times New Roman"/>
          <w:sz w:val="24"/>
          <w:szCs w:val="24"/>
        </w:rPr>
        <w:t xml:space="preserve">and acquisition parameters were optimised </w:t>
      </w:r>
      <w:r w:rsidRPr="005F44EF">
        <w:rPr>
          <w:rFonts w:ascii="Times New Roman" w:eastAsia="Times New Roman" w:hAnsi="Times New Roman" w:cs="Times New Roman"/>
          <w:sz w:val="24"/>
          <w:szCs w:val="24"/>
        </w:rPr>
        <w:t>to increase the signal-to-noise (S/N) ratio for a better signal definition</w:t>
      </w:r>
      <w:r w:rsidR="00D251EA" w:rsidRPr="005F44EF">
        <w:rPr>
          <w:rFonts w:ascii="Times New Roman" w:eastAsia="Times New Roman" w:hAnsi="Times New Roman" w:cs="Times New Roman"/>
          <w:sz w:val="24"/>
          <w:szCs w:val="24"/>
        </w:rPr>
        <w:t xml:space="preserve">. In particular, </w:t>
      </w:r>
      <w:r w:rsidR="008A3CD1" w:rsidRPr="005F44EF">
        <w:rPr>
          <w:rFonts w:ascii="Times New Roman" w:eastAsia="Times New Roman" w:hAnsi="Times New Roman" w:cs="Times New Roman"/>
          <w:sz w:val="24"/>
          <w:szCs w:val="24"/>
        </w:rPr>
        <w:t>w</w:t>
      </w:r>
      <w:r w:rsidRPr="005F44EF">
        <w:rPr>
          <w:rFonts w:ascii="Times New Roman" w:eastAsia="Times New Roman" w:hAnsi="Times New Roman" w:cs="Times New Roman"/>
          <w:sz w:val="24"/>
          <w:szCs w:val="24"/>
        </w:rPr>
        <w:t>e set up a new acquisition mode called ‘Twin windows’</w:t>
      </w:r>
      <w:r w:rsidR="008A3CD1" w:rsidRPr="005F44EF">
        <w:rPr>
          <w:rFonts w:ascii="Times New Roman" w:eastAsia="Times New Roman" w:hAnsi="Times New Roman" w:cs="Times New Roman"/>
          <w:sz w:val="24"/>
          <w:szCs w:val="24"/>
        </w:rPr>
        <w:t xml:space="preserve">, which consists of working with two reduced acquisition windows on the targeted Ti-Li (window 2 ; </w:t>
      </w:r>
      <w:r w:rsidR="008A3CD1" w:rsidRPr="005F44EF">
        <w:rPr>
          <w:rFonts w:ascii="Times New Roman" w:eastAsia="Times New Roman" w:hAnsi="Times New Roman" w:cs="Times New Roman"/>
          <w:b/>
          <w:sz w:val="24"/>
          <w:szCs w:val="24"/>
        </w:rPr>
        <w:t>Figure S</w:t>
      </w:r>
      <w:r w:rsidR="008F1244" w:rsidRPr="005F44EF">
        <w:rPr>
          <w:rFonts w:ascii="Times New Roman" w:eastAsia="Times New Roman" w:hAnsi="Times New Roman" w:cs="Times New Roman"/>
          <w:b/>
          <w:sz w:val="24"/>
          <w:szCs w:val="24"/>
        </w:rPr>
        <w:t>9</w:t>
      </w:r>
      <w:r w:rsidR="008A3CD1" w:rsidRPr="005F44EF">
        <w:rPr>
          <w:rFonts w:ascii="Times New Roman" w:eastAsia="Times New Roman" w:hAnsi="Times New Roman" w:cs="Times New Roman"/>
          <w:b/>
          <w:sz w:val="24"/>
          <w:szCs w:val="24"/>
        </w:rPr>
        <w:t>-B</w:t>
      </w:r>
      <w:r w:rsidR="008A3CD1" w:rsidRPr="005F44EF">
        <w:rPr>
          <w:rFonts w:ascii="Times New Roman" w:eastAsia="Times New Roman" w:hAnsi="Times New Roman" w:cs="Times New Roman"/>
          <w:sz w:val="24"/>
          <w:szCs w:val="24"/>
        </w:rPr>
        <w:t>)</w:t>
      </w:r>
      <w:r w:rsidRPr="005F44EF">
        <w:rPr>
          <w:rFonts w:ascii="Times New Roman" w:eastAsia="Times New Roman" w:hAnsi="Times New Roman" w:cs="Times New Roman"/>
          <w:sz w:val="24"/>
          <w:szCs w:val="24"/>
        </w:rPr>
        <w:t xml:space="preserve"> Ti-H</w:t>
      </w:r>
      <w:r w:rsidR="008A3CD1" w:rsidRPr="005F44EF">
        <w:rPr>
          <w:rFonts w:ascii="Times New Roman" w:eastAsia="Times New Roman" w:hAnsi="Times New Roman" w:cs="Times New Roman"/>
          <w:sz w:val="24"/>
          <w:szCs w:val="24"/>
        </w:rPr>
        <w:t xml:space="preserve"> and</w:t>
      </w:r>
      <w:r w:rsidRPr="005F44EF">
        <w:rPr>
          <w:rFonts w:ascii="Times New Roman" w:eastAsia="Times New Roman" w:hAnsi="Times New Roman" w:cs="Times New Roman"/>
          <w:sz w:val="24"/>
          <w:szCs w:val="24"/>
        </w:rPr>
        <w:t xml:space="preserve"> Ti-</w:t>
      </w:r>
      <w:r w:rsidR="006752E6">
        <w:rPr>
          <w:rFonts w:ascii="Times New Roman" w:eastAsia="Times New Roman" w:hAnsi="Times New Roman" w:cs="Times New Roman"/>
          <w:sz w:val="24"/>
          <w:szCs w:val="24"/>
        </w:rPr>
        <w:t>mix</w:t>
      </w:r>
      <w:r w:rsidRPr="005F44EF">
        <w:rPr>
          <w:rFonts w:ascii="Times New Roman" w:eastAsia="Times New Roman" w:hAnsi="Times New Roman" w:cs="Times New Roman"/>
          <w:sz w:val="24"/>
          <w:szCs w:val="24"/>
        </w:rPr>
        <w:t xml:space="preserve"> </w:t>
      </w:r>
      <w:r w:rsidR="008A3CD1" w:rsidRPr="005F44EF">
        <w:rPr>
          <w:rFonts w:ascii="Times New Roman" w:eastAsia="Times New Roman" w:hAnsi="Times New Roman" w:cs="Times New Roman"/>
          <w:sz w:val="24"/>
          <w:szCs w:val="24"/>
        </w:rPr>
        <w:t xml:space="preserve">(window 1 centred an Options C and D </w:t>
      </w:r>
      <w:r w:rsidR="008A3CD1" w:rsidRPr="005F44EF">
        <w:rPr>
          <w:rFonts w:ascii="Times New Roman" w:eastAsia="Times New Roman" w:hAnsi="Times New Roman" w:cs="Times New Roman"/>
          <w:i/>
          <w:sz w:val="24"/>
          <w:szCs w:val="24"/>
        </w:rPr>
        <w:t>sensu</w:t>
      </w:r>
      <w:r w:rsidR="008A3CD1" w:rsidRPr="005F44EF">
        <w:rPr>
          <w:rFonts w:ascii="Times New Roman" w:eastAsia="Times New Roman" w:hAnsi="Times New Roman" w:cs="Times New Roman"/>
          <w:i/>
          <w:sz w:val="24"/>
          <w:szCs w:val="24"/>
        </w:rPr>
        <w:fldChar w:fldCharType="begin" w:fldLock="1"/>
      </w:r>
      <w:r w:rsidR="00614E13">
        <w:rPr>
          <w:rFonts w:ascii="Times New Roman" w:eastAsia="Times New Roman" w:hAnsi="Times New Roman" w:cs="Times New Roman"/>
          <w:i/>
          <w:sz w:val="24"/>
          <w:szCs w:val="24"/>
        </w:rPr>
        <w:instrText>ADDIN CSL_CITATION {"citationItems":[{"id":"ITEM-1","itemData":{"DOI":"10.1016/j.radmeas.2015.06.004","ISSN":"13504487","abstract":"In ESR dating of Early Pleistocene fossil tooth enamel samples, the fitting function used for the evaluation of the D&lt;inf&gt;E&lt;/inf&gt; value is undoubtedly among the major sources of uncertainty. Dose recovery tests performed on fossil tooth enamel showing D&lt;inf&gt;E&lt;/inf&gt; values &gt;1,000 Gy demonstrate: (i) that high precision ESR measurements (&lt;0.5%) and high D&lt;inf&gt;E&lt;/inf&gt; reproducibility (&lt;5%) may be achieved; (ii) the appropriateness of the Double Saturating Exponential (DSE) fitting function for ESR dose reconstruction. In contrast, the SSE function, which has been almost exclusively used so far, does simply not correctly describe the behavior of the radiation induced ESR signal of tooth enamel with the dose. Several fitting functions and data weighting options were tested and the combination of a DSE with data weighted by the inverse of the squared intensities is the procedure providing the most accurate D&lt;inf&gt;E&lt;/inf&gt; results. However, the SSE may nevertheless sometimes produce consistent results if D&lt;inf&gt;max&lt;/inf&gt; does not exceed 6</w:instrText>
      </w:r>
      <w:r w:rsidR="00614E13">
        <w:rPr>
          <w:rFonts w:ascii="Cambria Math" w:eastAsia="Times New Roman" w:hAnsi="Cambria Math" w:cs="Cambria Math"/>
          <w:i/>
          <w:sz w:val="24"/>
          <w:szCs w:val="24"/>
        </w:rPr>
        <w:instrText>∗</w:instrText>
      </w:r>
      <w:r w:rsidR="00614E13">
        <w:rPr>
          <w:rFonts w:ascii="Times New Roman" w:eastAsia="Times New Roman" w:hAnsi="Times New Roman" w:cs="Times New Roman"/>
          <w:i/>
          <w:sz w:val="24"/>
          <w:szCs w:val="24"/>
        </w:rPr>
        <w:instrText>D&lt;inf&gt;E&lt;/inf&gt;. Further work is required in that direction in order to determine more precisely in which conditions the SSE could be used as a fair approximation of the DSE function for these samples.","author":[{"dropping-particle":"","family":"Duval","given":"Mathieu","non-dropping-particle":"","parse-names":false,"suffix":""}],"container-title":"Radiation Measurements","id":"ITEM-1","issue":"November","issued":{"date-parts":[["2015"]]},"page":"24-32","title":"Evaluating the accuracy of ESR dose determination of pseudo-Early Pleistocene fossil tooth enamel samples using dose recovery tests","type":"article-journal","volume":"79"},"uris":["http://www.mendeley.com/documents/?uuid=71518ee5-f6ab-47b0-a69a-c5cdbc781b9c"]}],"mendeley":{"formattedCitation":"&lt;sup&gt;89&lt;/sup&gt;","plainTextFormattedCitation":"89","previouslyFormattedCitation":"&lt;sup&gt;89&lt;/sup&gt;"},"properties":{"noteIndex":0},"schema":"https://github.com/citation-style-language/schema/raw/master/csl-citation.json"}</w:instrText>
      </w:r>
      <w:r w:rsidR="008A3CD1" w:rsidRPr="005F44EF">
        <w:rPr>
          <w:rFonts w:ascii="Times New Roman" w:eastAsia="Times New Roman" w:hAnsi="Times New Roman" w:cs="Times New Roman"/>
          <w:i/>
          <w:sz w:val="24"/>
          <w:szCs w:val="24"/>
        </w:rPr>
        <w:fldChar w:fldCharType="separate"/>
      </w:r>
      <w:r w:rsidR="00C212A1" w:rsidRPr="00C212A1">
        <w:rPr>
          <w:rFonts w:ascii="Times New Roman" w:eastAsia="Times New Roman" w:hAnsi="Times New Roman" w:cs="Times New Roman"/>
          <w:noProof/>
          <w:sz w:val="24"/>
          <w:szCs w:val="24"/>
          <w:vertAlign w:val="superscript"/>
        </w:rPr>
        <w:t>89</w:t>
      </w:r>
      <w:r w:rsidR="008A3CD1" w:rsidRPr="005F44EF">
        <w:rPr>
          <w:rFonts w:ascii="Times New Roman" w:eastAsia="Times New Roman" w:hAnsi="Times New Roman" w:cs="Times New Roman"/>
          <w:i/>
          <w:sz w:val="24"/>
          <w:szCs w:val="24"/>
        </w:rPr>
        <w:fldChar w:fldCharType="end"/>
      </w:r>
      <w:r w:rsidR="008A3CD1" w:rsidRPr="005F44EF">
        <w:rPr>
          <w:rFonts w:ascii="Times New Roman" w:eastAsia="Times New Roman" w:hAnsi="Times New Roman" w:cs="Times New Roman"/>
          <w:sz w:val="24"/>
          <w:szCs w:val="24"/>
        </w:rPr>
        <w:t xml:space="preserve">; </w:t>
      </w:r>
      <w:r w:rsidR="008A3CD1" w:rsidRPr="005F44EF">
        <w:rPr>
          <w:rFonts w:ascii="Times New Roman" w:eastAsia="Times New Roman" w:hAnsi="Times New Roman" w:cs="Times New Roman"/>
          <w:b/>
          <w:sz w:val="24"/>
          <w:szCs w:val="24"/>
        </w:rPr>
        <w:t xml:space="preserve">Figure </w:t>
      </w:r>
      <w:r w:rsidR="008F1244" w:rsidRPr="005F44EF">
        <w:rPr>
          <w:rFonts w:ascii="Times New Roman" w:eastAsia="Times New Roman" w:hAnsi="Times New Roman" w:cs="Times New Roman"/>
          <w:b/>
          <w:sz w:val="24"/>
          <w:szCs w:val="24"/>
        </w:rPr>
        <w:t>S9</w:t>
      </w:r>
      <w:r w:rsidR="008A3CD1" w:rsidRPr="005F44EF">
        <w:rPr>
          <w:rFonts w:ascii="Times New Roman" w:eastAsia="Times New Roman" w:hAnsi="Times New Roman" w:cs="Times New Roman"/>
          <w:b/>
          <w:sz w:val="24"/>
          <w:szCs w:val="24"/>
        </w:rPr>
        <w:t>-B</w:t>
      </w:r>
      <w:r w:rsidR="008A3CD1" w:rsidRPr="005F44EF">
        <w:rPr>
          <w:rFonts w:ascii="Times New Roman" w:eastAsia="Times New Roman" w:hAnsi="Times New Roman" w:cs="Times New Roman"/>
          <w:sz w:val="24"/>
          <w:szCs w:val="24"/>
        </w:rPr>
        <w:t xml:space="preserve">), in order to minimise sweeping time and increase the number of scans. </w:t>
      </w:r>
      <w:r w:rsidR="00E13080" w:rsidRPr="005F44EF">
        <w:rPr>
          <w:rFonts w:ascii="Times New Roman" w:eastAsia="Times New Roman" w:hAnsi="Times New Roman" w:cs="Times New Roman"/>
          <w:sz w:val="24"/>
          <w:szCs w:val="24"/>
        </w:rPr>
        <w:t xml:space="preserve">Option C </w:t>
      </w:r>
      <w:r w:rsidR="00E13080">
        <w:rPr>
          <w:rFonts w:ascii="Times New Roman" w:eastAsia="Times New Roman" w:hAnsi="Times New Roman" w:cs="Times New Roman"/>
          <w:sz w:val="24"/>
          <w:szCs w:val="24"/>
        </w:rPr>
        <w:t xml:space="preserve">is </w:t>
      </w:r>
      <w:r w:rsidR="00E13080" w:rsidRPr="005F44EF">
        <w:rPr>
          <w:rFonts w:ascii="Times New Roman" w:eastAsia="Times New Roman" w:hAnsi="Times New Roman" w:cs="Times New Roman"/>
          <w:sz w:val="24"/>
          <w:szCs w:val="24"/>
        </w:rPr>
        <w:t>made of a single contribution from th</w:t>
      </w:r>
      <w:r w:rsidR="00E13080">
        <w:rPr>
          <w:rFonts w:ascii="Times New Roman" w:eastAsia="Times New Roman" w:hAnsi="Times New Roman" w:cs="Times New Roman"/>
          <w:sz w:val="24"/>
          <w:szCs w:val="24"/>
        </w:rPr>
        <w:t xml:space="preserve">e </w:t>
      </w:r>
      <w:r w:rsidR="00E13080" w:rsidRPr="005F44EF">
        <w:rPr>
          <w:rFonts w:ascii="Times New Roman" w:eastAsia="Times New Roman" w:hAnsi="Times New Roman" w:cs="Times New Roman"/>
          <w:sz w:val="24"/>
          <w:szCs w:val="24"/>
        </w:rPr>
        <w:t>Ti-H signal, while the Option D is made of a mixture of Ti-Li and Ti-H signals (</w:t>
      </w:r>
      <w:r w:rsidR="00E13080" w:rsidRPr="005F44EF">
        <w:rPr>
          <w:rFonts w:ascii="Times New Roman" w:eastAsia="Times New Roman" w:hAnsi="Times New Roman" w:cs="Times New Roman"/>
          <w:b/>
          <w:sz w:val="24"/>
          <w:szCs w:val="24"/>
        </w:rPr>
        <w:t>Figure S9-B</w:t>
      </w:r>
      <w:r w:rsidR="00E13080" w:rsidRPr="005F44EF">
        <w:rPr>
          <w:rFonts w:ascii="Times New Roman" w:eastAsia="Times New Roman" w:hAnsi="Times New Roman" w:cs="Times New Roman"/>
          <w:sz w:val="24"/>
          <w:szCs w:val="24"/>
        </w:rPr>
        <w:t>)</w:t>
      </w:r>
      <w:r w:rsidR="00E13080">
        <w:rPr>
          <w:rFonts w:ascii="Times New Roman" w:eastAsia="Times New Roman" w:hAnsi="Times New Roman" w:cs="Times New Roman"/>
          <w:sz w:val="24"/>
          <w:szCs w:val="24"/>
        </w:rPr>
        <w:t>. The latter will therefore be referred as Ti-mix throughout the manuscript.</w:t>
      </w:r>
    </w:p>
    <w:p w14:paraId="069FF020" w14:textId="77777777" w:rsidR="00BB7AA9" w:rsidRPr="005F44EF" w:rsidRDefault="00BB7AA9">
      <w:pPr>
        <w:spacing w:after="0" w:line="276" w:lineRule="auto"/>
        <w:jc w:val="both"/>
        <w:rPr>
          <w:rFonts w:ascii="Times New Roman" w:eastAsia="Times New Roman" w:hAnsi="Times New Roman" w:cs="Times New Roman"/>
          <w:sz w:val="24"/>
          <w:szCs w:val="24"/>
        </w:rPr>
      </w:pPr>
    </w:p>
    <w:p w14:paraId="3A7F6122" w14:textId="20E2A995" w:rsidR="002B2F2A" w:rsidRPr="005F44EF" w:rsidRDefault="00B9564D" w:rsidP="002B2F2A">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For Al centre, ESR acquisition parameters were the following: 1 scan, 5 </w:t>
      </w:r>
      <w:proofErr w:type="spellStart"/>
      <w:r w:rsidRPr="005F44EF">
        <w:rPr>
          <w:rFonts w:ascii="Times New Roman" w:eastAsia="Times New Roman" w:hAnsi="Times New Roman" w:cs="Times New Roman"/>
          <w:sz w:val="24"/>
          <w:szCs w:val="24"/>
        </w:rPr>
        <w:t>mW</w:t>
      </w:r>
      <w:proofErr w:type="spellEnd"/>
      <w:r w:rsidRPr="005F44EF">
        <w:rPr>
          <w:rFonts w:ascii="Times New Roman" w:eastAsia="Times New Roman" w:hAnsi="Times New Roman" w:cs="Times New Roman"/>
          <w:sz w:val="24"/>
          <w:szCs w:val="24"/>
        </w:rPr>
        <w:t xml:space="preserve"> microwave power, 1024 points resolution, 100 kHz modulation frequency, 0.1 </w:t>
      </w:r>
      <w:proofErr w:type="spellStart"/>
      <w:r w:rsidRPr="005F44EF">
        <w:rPr>
          <w:rFonts w:ascii="Times New Roman" w:eastAsia="Times New Roman" w:hAnsi="Times New Roman" w:cs="Times New Roman"/>
          <w:sz w:val="24"/>
          <w:szCs w:val="24"/>
        </w:rPr>
        <w:t>mT</w:t>
      </w:r>
      <w:proofErr w:type="spellEnd"/>
      <w:r w:rsidRPr="005F44EF">
        <w:rPr>
          <w:rFonts w:ascii="Times New Roman" w:eastAsia="Times New Roman" w:hAnsi="Times New Roman" w:cs="Times New Roman"/>
          <w:sz w:val="24"/>
          <w:szCs w:val="24"/>
        </w:rPr>
        <w:t xml:space="preserve"> modulation amplitude, 40 </w:t>
      </w:r>
      <w:proofErr w:type="spellStart"/>
      <w:r w:rsidRPr="005F44EF">
        <w:rPr>
          <w:rFonts w:ascii="Times New Roman" w:eastAsia="Times New Roman" w:hAnsi="Times New Roman" w:cs="Times New Roman"/>
          <w:sz w:val="24"/>
          <w:szCs w:val="24"/>
        </w:rPr>
        <w:t>ms</w:t>
      </w:r>
      <w:proofErr w:type="spellEnd"/>
      <w:r w:rsidRPr="005F44EF">
        <w:rPr>
          <w:rFonts w:ascii="Times New Roman" w:eastAsia="Times New Roman" w:hAnsi="Times New Roman" w:cs="Times New Roman"/>
          <w:sz w:val="24"/>
          <w:szCs w:val="24"/>
        </w:rPr>
        <w:t xml:space="preserve"> conversion time, 10 </w:t>
      </w:r>
      <w:proofErr w:type="spellStart"/>
      <w:r w:rsidRPr="005F44EF">
        <w:rPr>
          <w:rFonts w:ascii="Times New Roman" w:eastAsia="Times New Roman" w:hAnsi="Times New Roman" w:cs="Times New Roman"/>
          <w:sz w:val="24"/>
          <w:szCs w:val="24"/>
        </w:rPr>
        <w:t>ms</w:t>
      </w:r>
      <w:proofErr w:type="spellEnd"/>
      <w:r w:rsidRPr="005F44EF">
        <w:rPr>
          <w:rFonts w:ascii="Times New Roman" w:eastAsia="Times New Roman" w:hAnsi="Times New Roman" w:cs="Times New Roman"/>
          <w:sz w:val="24"/>
          <w:szCs w:val="24"/>
        </w:rPr>
        <w:t xml:space="preserve"> time constant, and 40 s sweep time. Ti centres were measured as follows: 6 to 60 scans depending on the aliquot</w:t>
      </w:r>
      <w:r w:rsidR="008D523D">
        <w:rPr>
          <w:rFonts w:ascii="Times New Roman" w:eastAsia="Times New Roman" w:hAnsi="Times New Roman" w:cs="Times New Roman"/>
          <w:sz w:val="24"/>
          <w:szCs w:val="24"/>
        </w:rPr>
        <w:t>,</w:t>
      </w:r>
      <w:r w:rsidRPr="005F44EF">
        <w:rPr>
          <w:rFonts w:ascii="Times New Roman" w:eastAsia="Times New Roman" w:hAnsi="Times New Roman" w:cs="Times New Roman"/>
          <w:sz w:val="24"/>
          <w:szCs w:val="24"/>
        </w:rPr>
        <w:t xml:space="preserve">5 </w:t>
      </w:r>
      <w:proofErr w:type="spellStart"/>
      <w:r w:rsidRPr="005F44EF">
        <w:rPr>
          <w:rFonts w:ascii="Times New Roman" w:eastAsia="Times New Roman" w:hAnsi="Times New Roman" w:cs="Times New Roman"/>
          <w:sz w:val="24"/>
          <w:szCs w:val="24"/>
        </w:rPr>
        <w:t>mW</w:t>
      </w:r>
      <w:proofErr w:type="spellEnd"/>
      <w:r w:rsidRPr="005F44EF">
        <w:rPr>
          <w:rFonts w:ascii="Times New Roman" w:eastAsia="Times New Roman" w:hAnsi="Times New Roman" w:cs="Times New Roman"/>
          <w:sz w:val="24"/>
          <w:szCs w:val="24"/>
        </w:rPr>
        <w:t xml:space="preserve"> microwave power, 200 points resolution, 100 kHz </w:t>
      </w:r>
      <w:r w:rsidRPr="005F44EF">
        <w:rPr>
          <w:rFonts w:ascii="Times New Roman" w:eastAsia="Times New Roman" w:hAnsi="Times New Roman" w:cs="Times New Roman"/>
          <w:sz w:val="24"/>
          <w:szCs w:val="24"/>
        </w:rPr>
        <w:lastRenderedPageBreak/>
        <w:t xml:space="preserve">modulation frequency, 0.1 </w:t>
      </w:r>
      <w:proofErr w:type="spellStart"/>
      <w:r w:rsidRPr="005F44EF">
        <w:rPr>
          <w:rFonts w:ascii="Times New Roman" w:eastAsia="Times New Roman" w:hAnsi="Times New Roman" w:cs="Times New Roman"/>
          <w:sz w:val="24"/>
          <w:szCs w:val="24"/>
        </w:rPr>
        <w:t>mT</w:t>
      </w:r>
      <w:proofErr w:type="spellEnd"/>
      <w:r w:rsidRPr="005F44EF">
        <w:rPr>
          <w:rFonts w:ascii="Times New Roman" w:eastAsia="Times New Roman" w:hAnsi="Times New Roman" w:cs="Times New Roman"/>
          <w:sz w:val="24"/>
          <w:szCs w:val="24"/>
        </w:rPr>
        <w:t xml:space="preserve"> modulation amplitude, 60 </w:t>
      </w:r>
      <w:proofErr w:type="spellStart"/>
      <w:r w:rsidRPr="005F44EF">
        <w:rPr>
          <w:rFonts w:ascii="Times New Roman" w:eastAsia="Times New Roman" w:hAnsi="Times New Roman" w:cs="Times New Roman"/>
          <w:sz w:val="24"/>
          <w:szCs w:val="24"/>
        </w:rPr>
        <w:t>ms</w:t>
      </w:r>
      <w:proofErr w:type="spellEnd"/>
      <w:r w:rsidRPr="005F44EF">
        <w:rPr>
          <w:rFonts w:ascii="Times New Roman" w:eastAsia="Times New Roman" w:hAnsi="Times New Roman" w:cs="Times New Roman"/>
          <w:sz w:val="24"/>
          <w:szCs w:val="24"/>
        </w:rPr>
        <w:t xml:space="preserve"> conversion time, 10 </w:t>
      </w:r>
      <w:proofErr w:type="spellStart"/>
      <w:r w:rsidRPr="005F44EF">
        <w:rPr>
          <w:rFonts w:ascii="Times New Roman" w:eastAsia="Times New Roman" w:hAnsi="Times New Roman" w:cs="Times New Roman"/>
          <w:sz w:val="24"/>
          <w:szCs w:val="24"/>
        </w:rPr>
        <w:t>ms</w:t>
      </w:r>
      <w:proofErr w:type="spellEnd"/>
      <w:r w:rsidRPr="005F44EF">
        <w:rPr>
          <w:rFonts w:ascii="Times New Roman" w:eastAsia="Times New Roman" w:hAnsi="Times New Roman" w:cs="Times New Roman"/>
          <w:sz w:val="24"/>
          <w:szCs w:val="24"/>
        </w:rPr>
        <w:t xml:space="preserve"> time constant, and 12 s sweep time. The intensity of the Ti centres was measured following Duval and Guilarte</w:t>
      </w:r>
      <w:r w:rsidR="00647202" w:rsidRPr="005F44EF">
        <w:rPr>
          <w:rFonts w:ascii="Times New Roman" w:eastAsia="Times New Roman" w:hAnsi="Times New Roman" w:cs="Times New Roman"/>
          <w:i/>
          <w:sz w:val="24"/>
          <w:szCs w:val="24"/>
        </w:rPr>
        <w:fldChar w:fldCharType="begin" w:fldLock="1"/>
      </w:r>
      <w:r w:rsidR="00614E13">
        <w:rPr>
          <w:rFonts w:ascii="Times New Roman" w:eastAsia="Times New Roman" w:hAnsi="Times New Roman" w:cs="Times New Roman"/>
          <w:i/>
          <w:sz w:val="24"/>
          <w:szCs w:val="24"/>
        </w:rPr>
        <w:instrText>ADDIN CSL_CITATION {"citationItems":[{"id":"ITEM-1","itemData":{"DOI":"10.1016/j.radmeas.2015.06.004","ISSN":"13504487","abstract":"In ESR dating of Early Pleistocene fossil tooth enamel samples, the fitting function used for the evaluation of the D&lt;inf&gt;E&lt;/inf&gt; value is undoubtedly among the major sources of uncertainty. Dose recovery tests performed on fossil tooth enamel showing D&lt;inf&gt;E&lt;/inf&gt; values &gt;1,000 Gy demonstrate: (i) that high precision ESR measurements (&lt;0.5%) and high D&lt;inf&gt;E&lt;/inf&gt; reproducibility (&lt;5%) may be achieved; (ii) the appropriateness of the Double Saturating Exponential (DSE) fitting function for ESR dose reconstruction. In contrast, the SSE function, which has been almost exclusively used so far, does simply not correctly describe the behavior of the radiation induced ESR signal of tooth enamel with the dose. Several fitting functions and data weighting options were tested and the combination of a DSE with data weighted by the inverse of the squared intensities is the procedure providing the most accurate D&lt;inf&gt;E&lt;/inf&gt; results. However, the SSE may nevertheless sometimes produce consistent results if D&lt;inf&gt;max&lt;/inf&gt; does not exceed 6</w:instrText>
      </w:r>
      <w:r w:rsidR="00614E13">
        <w:rPr>
          <w:rFonts w:ascii="Cambria Math" w:eastAsia="Times New Roman" w:hAnsi="Cambria Math" w:cs="Cambria Math"/>
          <w:i/>
          <w:sz w:val="24"/>
          <w:szCs w:val="24"/>
        </w:rPr>
        <w:instrText>∗</w:instrText>
      </w:r>
      <w:r w:rsidR="00614E13">
        <w:rPr>
          <w:rFonts w:ascii="Times New Roman" w:eastAsia="Times New Roman" w:hAnsi="Times New Roman" w:cs="Times New Roman"/>
          <w:i/>
          <w:sz w:val="24"/>
          <w:szCs w:val="24"/>
        </w:rPr>
        <w:instrText>D&lt;inf&gt;E&lt;/inf&gt;. Further work is required in that direction in order to determine more precisely in which conditions the SSE could be used as a fair approximation of the DSE function for these samples.","author":[{"dropping-particle":"","family":"Duval","given":"Mathieu","non-dropping-particle":"","parse-names":false,"suffix":""}],"container-title":"Radiation Measurements","id":"ITEM-1","issue":"November","issued":{"date-parts":[["2015"]]},"page":"24-32","title":"Evaluating the accuracy of ESR dose determination of pseudo-Early Pleistocene fossil tooth enamel samples using dose recovery tests","type":"article-journal","volume":"79"},"uris":["http://www.mendeley.com/documents/?uuid=71518ee5-f6ab-47b0-a69a-c5cdbc781b9c"]}],"mendeley":{"formattedCitation":"&lt;sup&gt;89&lt;/sup&gt;","plainTextFormattedCitation":"89","previouslyFormattedCitation":"&lt;sup&gt;89&lt;/sup&gt;"},"properties":{"noteIndex":0},"schema":"https://github.com/citation-style-language/schema/raw/master/csl-citation.json"}</w:instrText>
      </w:r>
      <w:r w:rsidR="00647202" w:rsidRPr="005F44EF">
        <w:rPr>
          <w:rFonts w:ascii="Times New Roman" w:eastAsia="Times New Roman" w:hAnsi="Times New Roman" w:cs="Times New Roman"/>
          <w:i/>
          <w:sz w:val="24"/>
          <w:szCs w:val="24"/>
        </w:rPr>
        <w:fldChar w:fldCharType="separate"/>
      </w:r>
      <w:r w:rsidR="00C212A1" w:rsidRPr="00C212A1">
        <w:rPr>
          <w:rFonts w:ascii="Times New Roman" w:eastAsia="Times New Roman" w:hAnsi="Times New Roman" w:cs="Times New Roman"/>
          <w:noProof/>
          <w:sz w:val="24"/>
          <w:szCs w:val="24"/>
          <w:vertAlign w:val="superscript"/>
        </w:rPr>
        <w:t>89</w:t>
      </w:r>
      <w:r w:rsidR="00647202" w:rsidRPr="005F44EF">
        <w:rPr>
          <w:rFonts w:ascii="Times New Roman" w:eastAsia="Times New Roman" w:hAnsi="Times New Roman" w:cs="Times New Roman"/>
          <w:i/>
          <w:sz w:val="24"/>
          <w:szCs w:val="24"/>
        </w:rPr>
        <w:fldChar w:fldCharType="end"/>
      </w:r>
      <w:r w:rsidRPr="005F44EF">
        <w:rPr>
          <w:rFonts w:ascii="Times New Roman" w:eastAsia="Times New Roman" w:hAnsi="Times New Roman" w:cs="Times New Roman"/>
          <w:sz w:val="24"/>
          <w:szCs w:val="24"/>
        </w:rPr>
        <w:t xml:space="preserve">: </w:t>
      </w:r>
    </w:p>
    <w:p w14:paraId="40CBB88B" w14:textId="2586F4D6" w:rsidR="00BB7AA9" w:rsidRPr="005F44EF" w:rsidRDefault="00BB7AA9">
      <w:pPr>
        <w:spacing w:after="0" w:line="276" w:lineRule="auto"/>
        <w:jc w:val="both"/>
        <w:rPr>
          <w:rFonts w:ascii="Times New Roman" w:eastAsia="Times New Roman" w:hAnsi="Times New Roman" w:cs="Times New Roman"/>
          <w:sz w:val="24"/>
          <w:szCs w:val="24"/>
        </w:rPr>
      </w:pPr>
    </w:p>
    <w:p w14:paraId="03155884" w14:textId="5FFBBBC6"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Each aliquot was measured 3 times after ~120° rotation in the cavity to consider the angular dependence of the signal due </w:t>
      </w:r>
      <w:r w:rsidR="00E03909" w:rsidRPr="005F44EF">
        <w:rPr>
          <w:rFonts w:ascii="Times New Roman" w:eastAsia="Times New Roman" w:hAnsi="Times New Roman" w:cs="Times New Roman"/>
          <w:sz w:val="24"/>
          <w:szCs w:val="24"/>
        </w:rPr>
        <w:t>to evaluate variability of the ESR intensities and D</w:t>
      </w:r>
      <w:r w:rsidR="00E03909" w:rsidRPr="005F44EF">
        <w:rPr>
          <w:rFonts w:ascii="Times New Roman" w:eastAsia="Times New Roman" w:hAnsi="Times New Roman" w:cs="Times New Roman"/>
          <w:sz w:val="24"/>
          <w:szCs w:val="24"/>
          <w:vertAlign w:val="subscript"/>
        </w:rPr>
        <w:t>e</w:t>
      </w:r>
      <w:r w:rsidR="00E03909" w:rsidRPr="005F44EF">
        <w:rPr>
          <w:rFonts w:ascii="Times New Roman" w:eastAsia="Times New Roman" w:hAnsi="Times New Roman" w:cs="Times New Roman"/>
          <w:sz w:val="24"/>
          <w:szCs w:val="24"/>
        </w:rPr>
        <w:t xml:space="preserve"> values. </w:t>
      </w:r>
      <w:r w:rsidRPr="005F44EF">
        <w:rPr>
          <w:rFonts w:ascii="Times New Roman" w:eastAsia="Times New Roman" w:hAnsi="Times New Roman" w:cs="Times New Roman"/>
          <w:sz w:val="24"/>
          <w:szCs w:val="24"/>
        </w:rPr>
        <w:t>All ESR intensities were corrected by their corresponding receiver gain value, temperature factor</w:t>
      </w:r>
      <w:r w:rsidR="00647202"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{"citationItems":[{"id":"ITEM-1","itemData":{"author":[{"dropping-particle":"","family":"Duval","given":"M","non-dropping-particle":"","parse-names":false,"suffix":""},{"dropping-particle":"","family":"Guilarte Moreno","given":"Verónica","non-dropping-particle":"","parse-names":false,"suffix":""}],"container-title":"Ancient TL","id":"ITEM-1","issue":"2","issued":{"date-parts":[["2012"]]},"page":"11-16","title":"Assessing the influence of the cavity temperature on the ESR signal of the Aluminum center in quartz grains extracted from sediment","type":"article-journal","volume":"30"},"uris":["http://www.mendeley.com/documents/?uuid=da5dc20a-5c5a-4e0e-966c-6f794cb8cbf0"]}],"mendeley":{"formattedCitation":"&lt;sup&gt;90&lt;/sup&gt;","plainTextFormattedCitation":"90","previouslyFormattedCitation":"&lt;sup&gt;90&lt;/sup&gt;"},"properties":{"noteIndex":0},"schema":"https://github.com/citation-style-language/schema/raw/master/csl-citation.json"}</w:instrText>
      </w:r>
      <w:r w:rsidR="00647202"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90</w:t>
      </w:r>
      <w:r w:rsidR="00647202"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number of scans and aliquot mass. The noise </w:t>
      </w:r>
      <w:r w:rsidR="00473B19" w:rsidRPr="005F44EF">
        <w:rPr>
          <w:rFonts w:ascii="Times New Roman" w:eastAsia="Times New Roman" w:hAnsi="Times New Roman" w:cs="Times New Roman"/>
          <w:sz w:val="24"/>
          <w:szCs w:val="24"/>
        </w:rPr>
        <w:t>was</w:t>
      </w:r>
      <w:r w:rsidRPr="005F44EF">
        <w:rPr>
          <w:rFonts w:ascii="Times New Roman" w:eastAsia="Times New Roman" w:hAnsi="Times New Roman" w:cs="Times New Roman"/>
          <w:sz w:val="24"/>
          <w:szCs w:val="24"/>
        </w:rPr>
        <w:t xml:space="preserve"> extracted and subtracted to the Ti ESR intensities following</w:t>
      </w:r>
      <w:r w:rsidR="00647202"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10.1016/j.quageo.2022.101293","ISSN":"18711014","author":[{"dropping-particle":"","family":"Arous","given":"E.","non-dropping-particle":"Ben","parse-names":false,"suffix":""},{"dropping-particle":"","family":"Duval","given":"M.","non-dropping-particle":"","parse-names":false,"suffix":""},{"dropping-particle":"","family":"Bateman","given":"M.D.","non-dropping-particle":"","parse-names":false,"suffix":""}],"container-title":"Quaternary Geochronology","id":"ITEM-1","issued":{"date-parts":[["2022","4"]]},"page":"101293","title":"ESR dating of optically bleached quartz grains from Plio-Pleistocene to Holocene coastal dune deposits (Wilderness-Knysna area, South Africa): a comparison with luminescence","type":"article-journal"},"uris":["http://www.mendeley.com/documents/?uuid=6238101d-eed2-3279-be56-0e804259f50f"]}],"mendeley":{"formattedCitation":"&lt;sup&gt;88&lt;/sup&gt;","plainTextFormattedCitation":"88","previouslyFormattedCitation":"&lt;sup&gt;88&lt;/sup&gt;"},"properties":{"noteIndex":0},"schema":"https://github.com/citation-style-language/schema/raw/master/csl-citation.json"}</w:instrText>
      </w:r>
      <w:r w:rsidR="00647202"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88</w:t>
      </w:r>
      <w:r w:rsidR="00647202"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w:t>
      </w:r>
      <w:r w:rsidR="00F96D24" w:rsidRPr="005F44EF">
        <w:rPr>
          <w:rFonts w:ascii="Times New Roman" w:eastAsia="Times New Roman" w:hAnsi="Times New Roman" w:cs="Times New Roman"/>
          <w:sz w:val="24"/>
          <w:szCs w:val="24"/>
        </w:rPr>
        <w:t xml:space="preserve">The mean ESR intensities </w:t>
      </w:r>
      <w:r w:rsidR="00473B19" w:rsidRPr="005F44EF">
        <w:rPr>
          <w:rFonts w:ascii="Times New Roman" w:eastAsia="Times New Roman" w:hAnsi="Times New Roman" w:cs="Times New Roman"/>
          <w:sz w:val="24"/>
          <w:szCs w:val="24"/>
        </w:rPr>
        <w:t xml:space="preserve">derived from the repeated </w:t>
      </w:r>
      <w:r w:rsidR="00F96D24" w:rsidRPr="005F44EF">
        <w:rPr>
          <w:rFonts w:ascii="Times New Roman" w:eastAsia="Times New Roman" w:hAnsi="Times New Roman" w:cs="Times New Roman"/>
          <w:sz w:val="24"/>
          <w:szCs w:val="24"/>
        </w:rPr>
        <w:t>measure</w:t>
      </w:r>
      <w:r w:rsidR="00473B19" w:rsidRPr="005F44EF">
        <w:rPr>
          <w:rFonts w:ascii="Times New Roman" w:eastAsia="Times New Roman" w:hAnsi="Times New Roman" w:cs="Times New Roman"/>
          <w:sz w:val="24"/>
          <w:szCs w:val="24"/>
        </w:rPr>
        <w:t xml:space="preserve">ments </w:t>
      </w:r>
      <w:r w:rsidR="00F96D24" w:rsidRPr="005F44EF">
        <w:rPr>
          <w:rFonts w:ascii="Times New Roman" w:eastAsia="Times New Roman" w:hAnsi="Times New Roman" w:cs="Times New Roman"/>
          <w:sz w:val="24"/>
          <w:szCs w:val="24"/>
        </w:rPr>
        <w:t>were used for the final D</w:t>
      </w:r>
      <w:r w:rsidR="00F96D24" w:rsidRPr="005F44EF">
        <w:rPr>
          <w:rFonts w:ascii="Times New Roman" w:eastAsia="Times New Roman" w:hAnsi="Times New Roman" w:cs="Times New Roman"/>
          <w:sz w:val="24"/>
          <w:szCs w:val="24"/>
          <w:vertAlign w:val="subscript"/>
        </w:rPr>
        <w:t>e</w:t>
      </w:r>
      <w:r w:rsidR="00F96D24" w:rsidRPr="005F44EF">
        <w:rPr>
          <w:rFonts w:ascii="Times New Roman" w:eastAsia="Times New Roman" w:hAnsi="Times New Roman" w:cs="Times New Roman"/>
          <w:sz w:val="24"/>
          <w:szCs w:val="24"/>
        </w:rPr>
        <w:t xml:space="preserve"> determination.</w:t>
      </w:r>
    </w:p>
    <w:p w14:paraId="64F170A8" w14:textId="77777777" w:rsidR="00BB7AA9" w:rsidRPr="005F44EF" w:rsidRDefault="00BB7AA9">
      <w:pPr>
        <w:spacing w:after="0" w:line="276" w:lineRule="auto"/>
        <w:jc w:val="both"/>
        <w:rPr>
          <w:rFonts w:ascii="Times New Roman" w:eastAsia="Times New Roman" w:hAnsi="Times New Roman" w:cs="Times New Roman"/>
          <w:sz w:val="24"/>
          <w:szCs w:val="24"/>
        </w:rPr>
      </w:pPr>
    </w:p>
    <w:p w14:paraId="1D7BB96C" w14:textId="133FD62D" w:rsidR="00BB7AA9" w:rsidRPr="005F44EF" w:rsidRDefault="00B9564D">
      <w:pPr>
        <w:spacing w:after="0" w:line="276" w:lineRule="auto"/>
        <w:jc w:val="both"/>
        <w:rPr>
          <w:rFonts w:ascii="Times New Roman" w:eastAsia="Times New Roman" w:hAnsi="Times New Roman" w:cs="Times New Roman"/>
          <w:sz w:val="24"/>
          <w:szCs w:val="24"/>
        </w:rPr>
        <w:sectPr w:rsidR="00BB7AA9" w:rsidRPr="005F44EF">
          <w:pgSz w:w="12240" w:h="15840"/>
          <w:pgMar w:top="1417" w:right="1417" w:bottom="1134" w:left="1417" w:header="720" w:footer="720" w:gutter="0"/>
          <w:lnNumType w:countBy="1" w:restart="continuous"/>
          <w:pgNumType w:start="1"/>
          <w:cols w:space="720"/>
        </w:sectPr>
      </w:pPr>
      <w:r w:rsidRPr="005F44EF">
        <w:rPr>
          <w:rFonts w:ascii="Times New Roman" w:eastAsia="Times New Roman" w:hAnsi="Times New Roman" w:cs="Times New Roman"/>
          <w:sz w:val="24"/>
          <w:szCs w:val="24"/>
        </w:rPr>
        <w:t xml:space="preserve">Dose response curves (DRCs) for each signal were obtained from the mean ESR intensity values and associated 1 standard deviation derived from the repeated measurements. The experimental points were fitted using the </w:t>
      </w:r>
      <w:proofErr w:type="spellStart"/>
      <w:r w:rsidRPr="005F44EF">
        <w:rPr>
          <w:rFonts w:ascii="Times New Roman" w:eastAsia="Times New Roman" w:hAnsi="Times New Roman" w:cs="Times New Roman"/>
          <w:sz w:val="24"/>
          <w:szCs w:val="24"/>
        </w:rPr>
        <w:t>Microcal</w:t>
      </w:r>
      <w:proofErr w:type="spellEnd"/>
      <w:r w:rsidRPr="005F44EF">
        <w:rPr>
          <w:rFonts w:ascii="Times New Roman" w:eastAsia="Times New Roman" w:hAnsi="Times New Roman" w:cs="Times New Roman"/>
          <w:sz w:val="24"/>
          <w:szCs w:val="24"/>
        </w:rPr>
        <w:t xml:space="preserve"> </w:t>
      </w:r>
      <w:proofErr w:type="spellStart"/>
      <w:r w:rsidRPr="005F44EF">
        <w:rPr>
          <w:rFonts w:ascii="Times New Roman" w:eastAsia="Times New Roman" w:hAnsi="Times New Roman" w:cs="Times New Roman"/>
          <w:sz w:val="24"/>
          <w:szCs w:val="24"/>
        </w:rPr>
        <w:t>OriginPro</w:t>
      </w:r>
      <w:proofErr w:type="spellEnd"/>
      <w:r w:rsidRPr="005F44EF">
        <w:rPr>
          <w:rFonts w:ascii="Times New Roman" w:eastAsia="Times New Roman" w:hAnsi="Times New Roman" w:cs="Times New Roman"/>
          <w:sz w:val="24"/>
          <w:szCs w:val="24"/>
        </w:rPr>
        <w:t xml:space="preserve"> (OriginLab Corporation, Northampton, USA) using a Levenberg Marquardt algorithm by chi-square minimization. Several fitting functions were tested for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determination. For the Al centre, the exponential + linear (EXP+LIN) function </w:t>
      </w:r>
      <w:r w:rsidR="00E03909" w:rsidRPr="005F44EF">
        <w:rPr>
          <w:rFonts w:ascii="Times New Roman" w:eastAsia="Times New Roman" w:hAnsi="Times New Roman" w:cs="Times New Roman"/>
          <w:sz w:val="24"/>
          <w:szCs w:val="24"/>
        </w:rPr>
        <w:t>was</w:t>
      </w:r>
      <w:r w:rsidRPr="005F44EF">
        <w:rPr>
          <w:rFonts w:ascii="Times New Roman" w:eastAsia="Times New Roman" w:hAnsi="Times New Roman" w:cs="Times New Roman"/>
          <w:sz w:val="24"/>
          <w:szCs w:val="24"/>
        </w:rPr>
        <w:t xml:space="preserve"> used</w:t>
      </w:r>
      <w:hyperlink r:id="rId25">
        <w:r w:rsidRPr="005F44EF">
          <w:rPr>
            <w:rFonts w:ascii="Times New Roman" w:eastAsia="Times New Roman" w:hAnsi="Times New Roman" w:cs="Times New Roman"/>
            <w:sz w:val="24"/>
            <w:szCs w:val="24"/>
            <w:vertAlign w:val="superscript"/>
          </w:rPr>
          <w:t>65,66</w:t>
        </w:r>
      </w:hyperlink>
      <w:r w:rsidRPr="005F44EF">
        <w:rPr>
          <w:rFonts w:ascii="Times New Roman" w:eastAsia="Times New Roman" w:hAnsi="Times New Roman" w:cs="Times New Roman"/>
          <w:sz w:val="24"/>
          <w:szCs w:val="24"/>
        </w:rPr>
        <w:t xml:space="preserve"> with data weighted by 1/I² (I= ESR intensities). For the Ti centres, Ti-2 functio</w:t>
      </w:r>
      <w:r w:rsidR="00647202" w:rsidRPr="005F44EF">
        <w:rPr>
          <w:rFonts w:ascii="Times New Roman" w:eastAsia="Times New Roman" w:hAnsi="Times New Roman" w:cs="Times New Roman"/>
          <w:sz w:val="24"/>
          <w:szCs w:val="24"/>
        </w:rPr>
        <w:t>n</w:t>
      </w:r>
      <w:r w:rsidR="0074735A"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{"citationItems":[{"id":"ITEM-1","itemData":{"DOI":"10.1016/J.RADMEAS.2007.03.003","ISSN":"1350-4487","abstract":"The dose response of the Ge- and Ti-centres in quartz is studied over a large dose range. After an initial signal increase in the low dose range, both defects show a pronounced decrease in signal intensities for high doses. The model by Euler and Kahan [1987. Radiation effects and anelastic loss in germanium-doped quartz. Phys. Rev. B 35 (9), 4351-4359], in which the signal drop is explained by an enhanced trapping of holes at the electron trapping site, is critically discussed. A generalization of the model is then developed, following similar considerations by Lawless et al. [2005. A model for non-monotonic dose dependence of thermoluminescence (TL). J. Phys. Condens. Matter 17, 737-753], who explained a signal drop in TL by an enhanced recombination rate with electrons at the recombination centre. Finally, an alternative model for the signal decay is given, based on the competition between single and double electron capture at the electron trapping site. From the critical discussion of the different models it is concluded that the double electron capture mechanism is the most probable effect for the dose response. © 2007 Elsevier Ltd. All rights reserved.","author":[{"dropping-particle":"","family":"Woda","given":"C.","non-dropping-particle":"","parse-names":false,"suffix":""},{"dropping-particle":"","family":"Wagner","given":"G. A.","non-dropping-particle":"","parse-names":false,"suffix":""}],"container-title":"Radiation Measurements","id":"ITEM-1","issue":"9","issued":{"date-parts":[["2007","10","1"]]},"page":"1441-1452","publisher":"Pergamon","title":"Non-monotonic dose dependence of the Ge- and Ti-centres in quartz","type":"article-journal","volume":"42"},"uris":["http://www.mendeley.com/documents/?uuid=68fec39b-661e-3faf-9c69-ed3972abe045"]},{"id":"ITEM-2","itemData":{"author":[{"dropping-particle":"","family":"Yokoyama","given":"Y.","non-dropping-particle":"","parse-names":false,"suffix":""},{"dropping-particle":"","family":"Falguères","given":"C.","non-dropping-particle":"","parse-names":false,"suffix":""},{"dropping-particle":"","family":"Quaegebeur","given":"J.P.","non-dropping-particle":"","parse-names":false,"suffix":""}],"container-title":"Nuclear Tracks","id":"ITEM-2","issue":"4-6","issued":{"date-parts":[["1985"]]},"page":"921–928","title":"ESR dating of quartz from Quaternary sediments : first attempts","type":"article-journal","volume":"10"},"uris":["http://www.mendeley.com/documents/?uuid=0eb64678-387e-477b-b500-842d32fd956c"]}],"mendeley":{"formattedCitation":"&lt;sup&gt;91,92&lt;/sup&gt;","plainTextFormattedCitation":"91,92","previouslyFormattedCitation":"&lt;sup&gt;91,92&lt;/sup&gt;"},"properties":{"noteIndex":0},"schema":"https://github.com/citation-style-language/schema/raw/master/csl-citation.json"}</w:instrText>
      </w:r>
      <w:r w:rsidR="0074735A"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91,92</w:t>
      </w:r>
      <w:r w:rsidR="0074735A" w:rsidRPr="005F44EF">
        <w:rPr>
          <w:rFonts w:ascii="Times New Roman" w:eastAsia="Times New Roman" w:hAnsi="Times New Roman" w:cs="Times New Roman"/>
          <w:sz w:val="24"/>
          <w:szCs w:val="24"/>
        </w:rPr>
        <w:fldChar w:fldCharType="end"/>
      </w:r>
      <w:r w:rsidR="0074735A"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with data weighting by 1/s²</w:t>
      </w:r>
      <w:r w:rsidR="009475CD">
        <w:rPr>
          <w:rFonts w:ascii="Times New Roman" w:eastAsia="Times New Roman" w:hAnsi="Times New Roman" w:cs="Times New Roman"/>
          <w:sz w:val="24"/>
          <w:szCs w:val="24"/>
        </w:rPr>
        <w:t xml:space="preserve"> </w:t>
      </w:r>
      <w:r w:rsidR="002B2F2A">
        <w:rPr>
          <w:rFonts w:ascii="Times New Roman" w:eastAsia="Times New Roman" w:hAnsi="Times New Roman" w:cs="Times New Roman"/>
          <w:sz w:val="24"/>
          <w:szCs w:val="24"/>
        </w:rPr>
        <w:t xml:space="preserve">(s = experimental error) </w:t>
      </w:r>
      <w:r w:rsidRPr="005F44EF">
        <w:rPr>
          <w:rFonts w:ascii="Times New Roman" w:eastAsia="Times New Roman" w:hAnsi="Times New Roman" w:cs="Times New Roman"/>
          <w:sz w:val="24"/>
          <w:szCs w:val="24"/>
        </w:rPr>
        <w:t>was used, and results were compared to those derived from the single saturating exponential (SSE) function</w:t>
      </w:r>
      <w:r w:rsidR="00647202"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uthor":[{"dropping-particle":"","family":"Yokoyama","given":"Y.","non-dropping-particle":"","parse-names":false,"suffix":""},{"dropping-particle":"","family":"Falguères","given":"C.","non-dropping-particle":"","parse-names":false,"suffix":""},{"dropping-particle":"","family":"Quaegebeur","given":"J.P.","non-dropping-particle":"","parse-names":false,"suffix":""}],"container-title":"Nuclear Tracks","id":"ITEM-1","issue":"4-6","issued":{"date-parts":[["1985"]]},"page":"921–928","title":"ESR dating of quartz from Quaternary sediments : first attempts","type":"article-journal","volume":"10"},"uris":["http://www.mendeley.com/documents/?uuid=0eb64678-387e-477b-b500-842d32fd956c"]}],"mendeley":{"formattedCitation":"&lt;sup&gt;92&lt;/sup&gt;","plainTextFormattedCitation":"92","previouslyFormattedCitation":"&lt;sup&gt;92&lt;/sup&gt;"},"properties":{"noteIndex":0},"schema":"https://github.com/citation-style-language/schema/raw/master/csl-citation.json"}</w:instrText>
      </w:r>
      <w:r w:rsidR="00647202"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92</w:t>
      </w:r>
      <w:r w:rsidR="00647202"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w:t>
      </w:r>
      <w:r w:rsidR="00E03909" w:rsidRPr="005F44EF">
        <w:rPr>
          <w:rFonts w:ascii="Times New Roman" w:eastAsia="Times New Roman" w:hAnsi="Times New Roman" w:cs="Times New Roman"/>
          <w:sz w:val="24"/>
          <w:szCs w:val="24"/>
        </w:rPr>
        <w:t xml:space="preserve">(with data </w:t>
      </w:r>
      <w:r w:rsidRPr="005F44EF">
        <w:rPr>
          <w:rFonts w:ascii="Times New Roman" w:eastAsia="Times New Roman" w:hAnsi="Times New Roman" w:cs="Times New Roman"/>
          <w:sz w:val="24"/>
          <w:szCs w:val="24"/>
        </w:rPr>
        <w:t xml:space="preserve">weighting </w:t>
      </w:r>
      <w:r w:rsidR="00E03909" w:rsidRPr="005F44EF">
        <w:rPr>
          <w:rFonts w:ascii="Times New Roman" w:eastAsia="Times New Roman" w:hAnsi="Times New Roman" w:cs="Times New Roman"/>
          <w:sz w:val="24"/>
          <w:szCs w:val="24"/>
        </w:rPr>
        <w:t xml:space="preserve">by </w:t>
      </w:r>
      <w:r w:rsidRPr="005F44EF">
        <w:rPr>
          <w:rFonts w:ascii="Times New Roman" w:eastAsia="Times New Roman" w:hAnsi="Times New Roman" w:cs="Times New Roman"/>
          <w:sz w:val="24"/>
          <w:szCs w:val="24"/>
        </w:rPr>
        <w:t>1/I</w:t>
      </w:r>
      <w:r w:rsidRPr="005F44EF">
        <w:rPr>
          <w:rFonts w:ascii="Times New Roman" w:eastAsia="Times New Roman" w:hAnsi="Times New Roman" w:cs="Times New Roman"/>
          <w:sz w:val="24"/>
          <w:szCs w:val="24"/>
          <w:vertAlign w:val="superscript"/>
        </w:rPr>
        <w:t>2</w:t>
      </w:r>
      <w:r w:rsidR="00E03909" w:rsidRPr="005F44EF">
        <w:rPr>
          <w:rFonts w:ascii="Times New Roman" w:eastAsia="Times New Roman" w:hAnsi="Times New Roman" w:cs="Times New Roman"/>
          <w:sz w:val="24"/>
          <w:szCs w:val="24"/>
        </w:rPr>
        <w:t>)</w:t>
      </w:r>
      <w:r w:rsidRPr="005F44EF">
        <w:rPr>
          <w:rFonts w:ascii="Times New Roman" w:eastAsia="Times New Roman" w:hAnsi="Times New Roman" w:cs="Times New Roman"/>
          <w:sz w:val="24"/>
          <w:szCs w:val="24"/>
        </w:rPr>
        <w:t>. The final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w:t>
      </w:r>
      <w:r w:rsidR="00E03909" w:rsidRPr="005F44EF">
        <w:rPr>
          <w:rFonts w:ascii="Times New Roman" w:eastAsia="Times New Roman" w:hAnsi="Times New Roman" w:cs="Times New Roman"/>
          <w:sz w:val="24"/>
          <w:szCs w:val="24"/>
        </w:rPr>
        <w:t xml:space="preserve">errors include the uncertainty on the fitting and on the </w:t>
      </w:r>
      <w:r w:rsidRPr="005F44EF">
        <w:rPr>
          <w:rFonts w:ascii="Times New Roman" w:eastAsia="Times New Roman" w:hAnsi="Times New Roman" w:cs="Times New Roman"/>
          <w:sz w:val="24"/>
          <w:szCs w:val="24"/>
        </w:rPr>
        <w:t xml:space="preserve">dose rate calibration </w:t>
      </w:r>
      <w:r w:rsidR="00E03909" w:rsidRPr="005F44EF">
        <w:rPr>
          <w:rFonts w:ascii="Times New Roman" w:eastAsia="Times New Roman" w:hAnsi="Times New Roman" w:cs="Times New Roman"/>
          <w:sz w:val="24"/>
          <w:szCs w:val="24"/>
        </w:rPr>
        <w:t>(</w:t>
      </w:r>
      <w:r w:rsidRPr="005F44EF">
        <w:rPr>
          <w:rFonts w:ascii="Times New Roman" w:eastAsia="Times New Roman" w:hAnsi="Times New Roman" w:cs="Times New Roman"/>
          <w:sz w:val="24"/>
          <w:szCs w:val="24"/>
        </w:rPr>
        <w:t>2.3%</w:t>
      </w:r>
      <w:r w:rsidR="00E03909" w:rsidRPr="005F44EF">
        <w:rPr>
          <w:rFonts w:ascii="Times New Roman" w:eastAsia="Times New Roman" w:hAnsi="Times New Roman" w:cs="Times New Roman"/>
          <w:sz w:val="24"/>
          <w:szCs w:val="24"/>
        </w:rPr>
        <w:t>, 1σ)</w:t>
      </w:r>
      <w:r w:rsidRPr="005F44EF">
        <w:rPr>
          <w:rFonts w:ascii="Times New Roman" w:eastAsia="Times New Roman" w:hAnsi="Times New Roman" w:cs="Times New Roman"/>
          <w:sz w:val="24"/>
          <w:szCs w:val="24"/>
        </w:rPr>
        <w:t xml:space="preserve"> </w:t>
      </w:r>
    </w:p>
    <w:p w14:paraId="2E852D4A" w14:textId="4C30FC8C" w:rsidR="00BB7AA9" w:rsidRPr="005F44EF" w:rsidRDefault="00B9564D">
      <w:pPr>
        <w:tabs>
          <w:tab w:val="left" w:pos="2780"/>
        </w:tabs>
        <w:spacing w:after="0" w:line="276" w:lineRule="auto"/>
        <w:jc w:val="both"/>
        <w:rPr>
          <w:rFonts w:ascii="Times New Roman" w:eastAsia="Times New Roman" w:hAnsi="Times New Roman" w:cs="Times New Roman"/>
          <w:sz w:val="24"/>
          <w:szCs w:val="24"/>
        </w:rPr>
      </w:pPr>
      <w:bookmarkStart w:id="37" w:name="_Hlk170654346"/>
      <w:r w:rsidRPr="005F44EF">
        <w:rPr>
          <w:rFonts w:ascii="Times New Roman" w:eastAsia="Times New Roman" w:hAnsi="Times New Roman" w:cs="Times New Roman"/>
          <w:b/>
          <w:sz w:val="24"/>
          <w:szCs w:val="24"/>
        </w:rPr>
        <w:lastRenderedPageBreak/>
        <w:t xml:space="preserve">Figure </w:t>
      </w:r>
      <w:r w:rsidR="008A78A0" w:rsidRPr="005F44EF">
        <w:rPr>
          <w:rFonts w:ascii="Times New Roman" w:eastAsia="Times New Roman" w:hAnsi="Times New Roman" w:cs="Times New Roman"/>
          <w:b/>
          <w:sz w:val="24"/>
          <w:szCs w:val="24"/>
        </w:rPr>
        <w:t>S</w:t>
      </w:r>
      <w:r w:rsidR="00EA0F52" w:rsidRPr="005F44EF">
        <w:rPr>
          <w:rFonts w:ascii="Times New Roman" w:eastAsia="Times New Roman" w:hAnsi="Times New Roman" w:cs="Times New Roman"/>
          <w:b/>
          <w:sz w:val="24"/>
          <w:szCs w:val="24"/>
        </w:rPr>
        <w:t>9</w:t>
      </w:r>
      <w:r w:rsidRPr="005F44EF">
        <w:rPr>
          <w:rFonts w:ascii="Times New Roman" w:eastAsia="Times New Roman" w:hAnsi="Times New Roman" w:cs="Times New Roman"/>
          <w:b/>
          <w:sz w:val="24"/>
          <w:szCs w:val="24"/>
        </w:rPr>
        <w:t xml:space="preserve">: </w:t>
      </w:r>
      <w:r w:rsidR="00E03909" w:rsidRPr="005F44EF">
        <w:rPr>
          <w:rFonts w:ascii="Times New Roman" w:eastAsia="Times New Roman" w:hAnsi="Times New Roman" w:cs="Times New Roman"/>
          <w:sz w:val="24"/>
          <w:szCs w:val="24"/>
        </w:rPr>
        <w:t xml:space="preserve">examples of ESR </w:t>
      </w:r>
      <w:r w:rsidR="00473B19" w:rsidRPr="005F44EF">
        <w:rPr>
          <w:rFonts w:ascii="Times New Roman" w:eastAsia="Times New Roman" w:hAnsi="Times New Roman" w:cs="Times New Roman"/>
          <w:sz w:val="24"/>
          <w:szCs w:val="24"/>
        </w:rPr>
        <w:t>signals</w:t>
      </w:r>
      <w:r w:rsidR="00E03909" w:rsidRPr="005F44EF">
        <w:rPr>
          <w:rFonts w:ascii="Times New Roman" w:eastAsia="Times New Roman" w:hAnsi="Times New Roman" w:cs="Times New Roman"/>
          <w:sz w:val="24"/>
          <w:szCs w:val="24"/>
        </w:rPr>
        <w:t xml:space="preserve"> obtained for samples ANY20-09 from single spectrum (A) and Twin windows (B) acquisition procedures. </w:t>
      </w:r>
      <w:bookmarkEnd w:id="37"/>
      <w:r w:rsidR="00E03909" w:rsidRPr="005F44EF">
        <w:rPr>
          <w:rFonts w:ascii="Times New Roman" w:eastAsia="Times New Roman" w:hAnsi="Times New Roman" w:cs="Times New Roman"/>
          <w:sz w:val="24"/>
          <w:szCs w:val="24"/>
        </w:rPr>
        <w:t>Window 1 is focused on Ti-H and Ti-</w:t>
      </w:r>
      <w:r w:rsidR="006752E6">
        <w:rPr>
          <w:rFonts w:ascii="Times New Roman" w:eastAsia="Times New Roman" w:hAnsi="Times New Roman" w:cs="Times New Roman"/>
          <w:sz w:val="24"/>
          <w:szCs w:val="24"/>
        </w:rPr>
        <w:t>mix</w:t>
      </w:r>
      <w:r w:rsidR="00E03909" w:rsidRPr="005F44EF">
        <w:rPr>
          <w:rFonts w:ascii="Times New Roman" w:eastAsia="Times New Roman" w:hAnsi="Times New Roman" w:cs="Times New Roman"/>
          <w:sz w:val="24"/>
          <w:szCs w:val="24"/>
        </w:rPr>
        <w:t xml:space="preserve"> signals (Options C and D), while Window 2 is centred on Ti-Li signal (Option E).</w:t>
      </w:r>
      <w:r w:rsidRPr="005F44EF">
        <w:rPr>
          <w:rFonts w:ascii="Times New Roman" w:eastAsia="Times New Roman" w:hAnsi="Times New Roman" w:cs="Times New Roman"/>
          <w:sz w:val="24"/>
          <w:szCs w:val="24"/>
        </w:rPr>
        <w:tab/>
      </w:r>
      <w:r w:rsidRPr="005F44EF">
        <w:rPr>
          <w:rFonts w:ascii="Times New Roman" w:eastAsia="Times New Roman" w:hAnsi="Times New Roman" w:cs="Times New Roman"/>
          <w:noProof/>
          <w:sz w:val="24"/>
          <w:szCs w:val="24"/>
          <w:lang w:val="en-AU" w:eastAsia="en-AU"/>
        </w:rPr>
        <w:drawing>
          <wp:inline distT="0" distB="0" distL="0" distR="0" wp14:anchorId="02ECF62A" wp14:editId="2B16BA83">
            <wp:extent cx="8427308" cy="4139237"/>
            <wp:effectExtent l="0" t="0" r="0" b="0"/>
            <wp:docPr id="1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 cstate="print">
                      <a:extLst>
                        <a:ext uri="{28A0092B-C50C-407E-A947-70E740481C1C}">
                          <a14:useLocalDpi xmlns:a14="http://schemas.microsoft.com/office/drawing/2010/main" val="0"/>
                        </a:ext>
                      </a:extLst>
                    </a:blip>
                    <a:stretch>
                      <a:fillRect/>
                    </a:stretch>
                  </pic:blipFill>
                  <pic:spPr>
                    <a:xfrm>
                      <a:off x="0" y="0"/>
                      <a:ext cx="8427308" cy="4139237"/>
                    </a:xfrm>
                    <a:prstGeom prst="rect">
                      <a:avLst/>
                    </a:prstGeom>
                    <a:ln/>
                  </pic:spPr>
                </pic:pic>
              </a:graphicData>
            </a:graphic>
          </wp:inline>
        </w:drawing>
      </w:r>
    </w:p>
    <w:p w14:paraId="46274D8B" w14:textId="77777777" w:rsidR="00BB7AA9" w:rsidRPr="005F44EF" w:rsidRDefault="00BB7AA9">
      <w:pPr>
        <w:pBdr>
          <w:top w:val="nil"/>
          <w:left w:val="nil"/>
          <w:bottom w:val="nil"/>
          <w:right w:val="nil"/>
          <w:between w:val="nil"/>
        </w:pBdr>
        <w:spacing w:after="200" w:line="276" w:lineRule="auto"/>
        <w:jc w:val="both"/>
        <w:rPr>
          <w:rFonts w:ascii="Times New Roman" w:eastAsia="Times New Roman" w:hAnsi="Times New Roman" w:cs="Times New Roman"/>
          <w:color w:val="404040"/>
          <w:sz w:val="24"/>
          <w:szCs w:val="24"/>
        </w:rPr>
        <w:sectPr w:rsidR="00BB7AA9" w:rsidRPr="005F44EF">
          <w:pgSz w:w="15840" w:h="12240" w:orient="landscape"/>
          <w:pgMar w:top="1417" w:right="1417" w:bottom="1417" w:left="1134" w:header="720" w:footer="720" w:gutter="0"/>
          <w:lnNumType w:countBy="1" w:restart="continuous"/>
          <w:cols w:space="720"/>
        </w:sectPr>
      </w:pPr>
      <w:bookmarkStart w:id="38" w:name="_1t3h5sf" w:colFirst="0" w:colLast="0"/>
      <w:bookmarkEnd w:id="38"/>
    </w:p>
    <w:p w14:paraId="6CD6A948" w14:textId="77777777" w:rsidR="00BB7AA9" w:rsidRPr="005F44EF" w:rsidRDefault="00B9564D" w:rsidP="008F1244">
      <w:pPr>
        <w:pStyle w:val="Heading2"/>
        <w:rPr>
          <w:rFonts w:cs="Times New Roman"/>
        </w:rPr>
      </w:pPr>
      <w:bookmarkStart w:id="39" w:name="_Toc178429929"/>
      <w:r w:rsidRPr="005F44EF">
        <w:rPr>
          <w:rFonts w:cs="Times New Roman"/>
        </w:rPr>
        <w:lastRenderedPageBreak/>
        <w:t>3.4 Dose rate evaluation</w:t>
      </w:r>
      <w:bookmarkEnd w:id="39"/>
    </w:p>
    <w:p w14:paraId="02291C8E" w14:textId="77777777" w:rsidR="00BB7AA9" w:rsidRPr="005F44EF" w:rsidRDefault="00BB7AA9">
      <w:pPr>
        <w:spacing w:after="0" w:line="276" w:lineRule="auto"/>
        <w:jc w:val="both"/>
        <w:rPr>
          <w:rFonts w:ascii="Times New Roman" w:eastAsia="Times New Roman" w:hAnsi="Times New Roman" w:cs="Times New Roman"/>
          <w:b/>
          <w:i/>
          <w:sz w:val="24"/>
          <w:szCs w:val="24"/>
        </w:rPr>
      </w:pPr>
    </w:p>
    <w:p w14:paraId="08A89190" w14:textId="78004393" w:rsidR="002C732D" w:rsidRPr="005F44EF" w:rsidRDefault="00B9564D">
      <w:pPr>
        <w:spacing w:after="0" w:line="276" w:lineRule="auto"/>
        <w:jc w:val="both"/>
        <w:rPr>
          <w:rFonts w:ascii="Times New Roman" w:eastAsia="Times New Roman" w:hAnsi="Times New Roman" w:cs="Times New Roman"/>
          <w:sz w:val="24"/>
          <w:szCs w:val="24"/>
        </w:rPr>
      </w:pPr>
      <w:bookmarkStart w:id="40" w:name="_4d34og8" w:colFirst="0" w:colLast="0"/>
      <w:bookmarkEnd w:id="40"/>
      <w:r w:rsidRPr="005F44EF">
        <w:rPr>
          <w:rFonts w:ascii="Times New Roman" w:eastAsia="Times New Roman" w:hAnsi="Times New Roman" w:cs="Times New Roman"/>
          <w:sz w:val="24"/>
          <w:szCs w:val="24"/>
        </w:rPr>
        <w:t>For ESR and OSL dating analyses, the total dose rate was derived from laboratory measurements. For each dated sample, ~3-5g of dry milled sediment were analysed in the SGS laboratories Ontario Canada by inductively coupled plasma mass spectrometry (ICP) to quantify the concentration of potassium (K), thorium (Th), uranium (U) and Rubidium (</w:t>
      </w:r>
      <w:proofErr w:type="spellStart"/>
      <w:r w:rsidRPr="005F44EF">
        <w:rPr>
          <w:rFonts w:ascii="Times New Roman" w:eastAsia="Times New Roman" w:hAnsi="Times New Roman" w:cs="Times New Roman"/>
          <w:sz w:val="24"/>
          <w:szCs w:val="24"/>
        </w:rPr>
        <w:t>Rb</w:t>
      </w:r>
      <w:proofErr w:type="spellEnd"/>
      <w:r w:rsidRPr="005F44EF">
        <w:rPr>
          <w:rFonts w:ascii="Times New Roman" w:eastAsia="Times New Roman" w:hAnsi="Times New Roman" w:cs="Times New Roman"/>
          <w:sz w:val="24"/>
          <w:szCs w:val="24"/>
        </w:rPr>
        <w:t xml:space="preserve">). </w:t>
      </w:r>
      <w:r w:rsidR="00E03909" w:rsidRPr="005F44EF">
        <w:rPr>
          <w:rFonts w:ascii="Times New Roman" w:eastAsia="Times New Roman" w:hAnsi="Times New Roman" w:cs="Times New Roman"/>
          <w:sz w:val="24"/>
          <w:szCs w:val="24"/>
        </w:rPr>
        <w:t xml:space="preserve">These </w:t>
      </w:r>
      <w:r w:rsidRPr="005F44EF">
        <w:rPr>
          <w:rFonts w:ascii="Times New Roman" w:eastAsia="Times New Roman" w:hAnsi="Times New Roman" w:cs="Times New Roman"/>
          <w:sz w:val="24"/>
          <w:szCs w:val="24"/>
        </w:rPr>
        <w:t xml:space="preserve">values were used to </w:t>
      </w:r>
      <w:r w:rsidR="009D76FF" w:rsidRPr="005F44EF">
        <w:rPr>
          <w:rFonts w:ascii="Times New Roman" w:eastAsia="Times New Roman" w:hAnsi="Times New Roman" w:cs="Times New Roman"/>
          <w:sz w:val="24"/>
          <w:szCs w:val="24"/>
        </w:rPr>
        <w:t xml:space="preserve">calculate the </w:t>
      </w:r>
      <w:r w:rsidRPr="005F44EF">
        <w:rPr>
          <w:rFonts w:ascii="Times New Roman" w:eastAsia="Times New Roman" w:hAnsi="Times New Roman" w:cs="Times New Roman"/>
          <w:sz w:val="24"/>
          <w:szCs w:val="24"/>
        </w:rPr>
        <w:t>external α</w:t>
      </w:r>
      <w:r w:rsidR="00963DB6"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 xml:space="preserve">β </w:t>
      </w:r>
      <w:r w:rsidR="00963DB6" w:rsidRPr="005F44EF">
        <w:rPr>
          <w:rFonts w:ascii="Times New Roman" w:eastAsia="Times New Roman" w:hAnsi="Times New Roman" w:cs="Times New Roman"/>
          <w:sz w:val="24"/>
          <w:szCs w:val="24"/>
        </w:rPr>
        <w:t xml:space="preserve">and γ </w:t>
      </w:r>
      <w:r w:rsidRPr="005F44EF">
        <w:rPr>
          <w:rFonts w:ascii="Times New Roman" w:eastAsia="Times New Roman" w:hAnsi="Times New Roman" w:cs="Times New Roman"/>
          <w:sz w:val="24"/>
          <w:szCs w:val="24"/>
        </w:rPr>
        <w:t>dose rate components using conversion factors from</w:t>
      </w:r>
      <w:r w:rsidR="00E21E58">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uthor":[{"dropping-particle":"","family":"Guérin","given":"G","non-dropping-particle":"","parse-names":false,"suffix":""},{"dropping-particle":"","family":"Mercier","given":"Norbert","non-dropping-particle":"","parse-names":false,"suffix":""},{"dropping-particle":"","family":"Adamiec","given":"Grzegorz","non-dropping-particle":"","parse-names":false,"suffix":""}],"container-title":"Ancient TL","id":"ITEM-1","issue":"1","issued":{"date-parts":[["2011"]]},"page":"5-8","title":"Dose-rate conversion factor: update","type":"article-journal","volume":"29"},"uris":["http://www.mendeley.com/documents/?uuid=1c493466-bad1-42d8-87e6-2365a90bac6c"]}],"mendeley":{"formattedCitation":"&lt;sup&gt;93&lt;/sup&gt;","plainTextFormattedCitation":"93","previouslyFormattedCitation":"&lt;sup&gt;93&lt;/sup&gt;"},"properties":{"noteIndex":0},"schema":"https://github.com/citation-style-language/schema/raw/master/csl-citation.json"}</w:instrText>
      </w:r>
      <w:r w:rsidR="00E21E58">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93</w:t>
      </w:r>
      <w:r w:rsidR="00E21E58">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In addition, ~30 g of this same raw sediment, previously dried and powdered, were analysed by High Resolution Gamma Spectrometry (HRGS) using a </w:t>
      </w:r>
      <w:proofErr w:type="spellStart"/>
      <w:r w:rsidRPr="005F44EF">
        <w:rPr>
          <w:rFonts w:ascii="Times New Roman" w:eastAsia="Times New Roman" w:hAnsi="Times New Roman" w:cs="Times New Roman"/>
          <w:sz w:val="24"/>
          <w:szCs w:val="24"/>
        </w:rPr>
        <w:t>HpGe</w:t>
      </w:r>
      <w:proofErr w:type="spellEnd"/>
      <w:r w:rsidRPr="005F44EF">
        <w:rPr>
          <w:rFonts w:ascii="Times New Roman" w:eastAsia="Times New Roman" w:hAnsi="Times New Roman" w:cs="Times New Roman"/>
          <w:sz w:val="24"/>
          <w:szCs w:val="24"/>
        </w:rPr>
        <w:t xml:space="preserve"> detector in Archéosciences (Bordeaux</w:t>
      </w:r>
      <w:r w:rsidR="00E03909" w:rsidRPr="005F44EF">
        <w:rPr>
          <w:rFonts w:ascii="Times New Roman" w:eastAsia="Times New Roman" w:hAnsi="Times New Roman" w:cs="Times New Roman"/>
          <w:sz w:val="24"/>
          <w:szCs w:val="24"/>
        </w:rPr>
        <w:t>, France</w:t>
      </w:r>
      <w:r w:rsidRPr="005F44EF">
        <w:rPr>
          <w:rFonts w:ascii="Times New Roman" w:eastAsia="Times New Roman" w:hAnsi="Times New Roman" w:cs="Times New Roman"/>
          <w:sz w:val="24"/>
          <w:szCs w:val="24"/>
        </w:rPr>
        <w:t xml:space="preserve">) in order to identify possible disequilibrium in the </w:t>
      </w:r>
      <w:r w:rsidRPr="005F44EF">
        <w:rPr>
          <w:rFonts w:ascii="Times New Roman" w:eastAsia="Times New Roman" w:hAnsi="Times New Roman" w:cs="Times New Roman"/>
          <w:sz w:val="24"/>
          <w:szCs w:val="24"/>
          <w:vertAlign w:val="superscript"/>
        </w:rPr>
        <w:t>238</w:t>
      </w:r>
      <w:r w:rsidR="00206D9D" w:rsidRPr="005F44EF">
        <w:rPr>
          <w:rFonts w:ascii="Times New Roman" w:eastAsia="Times New Roman" w:hAnsi="Times New Roman" w:cs="Times New Roman"/>
          <w:sz w:val="24"/>
          <w:szCs w:val="24"/>
        </w:rPr>
        <w:t>U</w:t>
      </w:r>
      <w:r w:rsidRPr="005F44EF">
        <w:rPr>
          <w:rFonts w:ascii="Times New Roman" w:eastAsia="Times New Roman" w:hAnsi="Times New Roman" w:cs="Times New Roman"/>
          <w:sz w:val="24"/>
          <w:szCs w:val="24"/>
          <w:vertAlign w:val="superscript"/>
        </w:rPr>
        <w:t xml:space="preserve"> </w:t>
      </w:r>
      <w:r w:rsidRPr="005F44EF">
        <w:rPr>
          <w:rFonts w:ascii="Times New Roman" w:eastAsia="Times New Roman" w:hAnsi="Times New Roman" w:cs="Times New Roman"/>
          <w:sz w:val="24"/>
          <w:szCs w:val="24"/>
        </w:rPr>
        <w:t xml:space="preserve">decay chain. </w:t>
      </w:r>
      <w:r w:rsidR="003C1739">
        <w:rPr>
          <w:rFonts w:ascii="Times New Roman" w:eastAsia="Times New Roman" w:hAnsi="Times New Roman" w:cs="Times New Roman"/>
          <w:sz w:val="24"/>
          <w:szCs w:val="24"/>
        </w:rPr>
        <w:t>Dose rate values were calculated for a grain size fraction of 180-212 µm (nominal sieve opening sizes) and an assumed thickness removed by HF etching of 10±5 µm</w:t>
      </w:r>
      <w:r w:rsidR="00443B16">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 xml:space="preserve">ADDIN CSL_CITATION {"citationItems":[{"id":"ITEM-1","itemData":{"abstract":"A series of hydrofluoric (HF) acid etching ex-periments were performed on several 50 to 300 µm (nominal sieve opening) quartz and feldspar samples, and average etching thick-nesses were subsequently determined from weight loss estimates, following the approach of Bell &amp; Zimmerman (1978). Our results are con-sistent with previous studies and confirm that both HF experimental conditions (etching time, HF concentration, agitation) and the nature/o-rigin of the minerals have a significant effect on etching rate and magnitude. For the sam-ples considered in this study, the outer 10 µm of quartz (i.e., the usual etching target in most ESR and luminescence dating studies) was re-moved with 40% HF after 40 min of etch-ing, in fair agreement with previous studies. Similar etching results were achieved in just over 20 min when the quartz samples were con-stantly agitated during 40% HF treatment. For K-feldspars, 10% HF etching for between 10 and 40 min was required to remove the same thickness, although some variability in etching efficiency was evident between different sam-ples and experimental conditions. For a given experimental setup, the overall vari-ability in etching thickness among quartz sam-ples was found to be of at least 20% after 40– 60 min with 40% HF, and can be as high as </w:instrText>
      </w:r>
      <w:r w:rsidR="00614E13">
        <w:rPr>
          <w:rFonts w:ascii="Cambria Math" w:eastAsia="Times New Roman" w:hAnsi="Cambria Math" w:cs="Cambria Math"/>
          <w:sz w:val="24"/>
          <w:szCs w:val="24"/>
        </w:rPr>
        <w:instrText>∼</w:instrText>
      </w:r>
      <w:r w:rsidR="00614E13">
        <w:rPr>
          <w:rFonts w:ascii="Times New Roman" w:eastAsia="Times New Roman" w:hAnsi="Times New Roman" w:cs="Times New Roman"/>
          <w:sz w:val="24"/>
          <w:szCs w:val="24"/>
        </w:rPr>
        <w:instrText>35%. A set of 14 K-feldspars from a single site revealed an inherent variability of 14% in etch-ing thickness. As a first order approximation, these data may provide useful insights into the expected variability among samples of different origin and from a given area, respectively. How-ever, we recommend that each laboratory eval-uates etching thickness losses for their specific HF experimental setup. Additionally, our re-sults show that the 10 µm etching usually con-sidered in ESR and luminescence dating studies may reduce the alpha contribution of the total dose rate to &lt;5%. Although relatively small, this contribution is nevertheless non-negligible. Based on these results, it may be worth con-sidering an additional alpha dose rate term as part of the ESR and luminescence age calcula-tion when etching depths are &lt; 15 µm.","author":[{"dropping-particle":"","family":"Duval","given":"M","non-dropping-particle":"","parse-names":false,"suffix":""},{"dropping-particle":"","family":"Guilarte","given":"V","non-dropping-particle":"","parse-names":false,"suffix":""},{"dropping-particle":"","family":"Campaña","given":"I","non-dropping-particle":"","parse-names":false,"suffix":""},{"dropping-particle":"","family":"Arnold","given":"L J","non-dropping-particle":"","parse-names":false,"suffix":""},{"dropping-particle":"","family":"Miguens","given":"L","non-dropping-particle":"","parse-names":false,"suffix":""},{"dropping-particle":"","family":"Iglesias","given":"J","non-dropping-particle":"","parse-names":false,"suffix":""},{"dropping-particle":"","family":"González-Sierra","given":"S","non-dropping-particle":"","parse-names":false,"suffix":""}],"container-title":"Ancient TL","id":"ITEM-1","issue":"1","issued":{"date-parts":[["2018"]]},"title":"Quantifying hydrofluoric acid etching of quartz and feldspar coarse grains based on weight loss estimates: implication for ESR and luminescence dating studies","type":"article-journal","volume":"36"},"uris":["http://www.mendeley.com/documents/?uuid=a3104e45-312b-36c3-b430-f52b7a9d478e"]}],"mendeley":{"formattedCitation":"&lt;sup&gt;94&lt;/sup&gt;","plainTextFormattedCitation":"94","previouslyFormattedCitation":"&lt;sup&gt;94&lt;/sup&gt;"},"properties":{"noteIndex":0},"schema":"https://github.com/citation-style-language/schema/raw/master/csl-citation.json"}</w:instrText>
      </w:r>
      <w:r w:rsidR="00443B16">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94</w:t>
      </w:r>
      <w:r w:rsidR="00443B16">
        <w:rPr>
          <w:rFonts w:ascii="Times New Roman" w:eastAsia="Times New Roman" w:hAnsi="Times New Roman" w:cs="Times New Roman"/>
          <w:sz w:val="24"/>
          <w:szCs w:val="24"/>
        </w:rPr>
        <w:fldChar w:fldCharType="end"/>
      </w:r>
      <w:r w:rsidR="003C1739">
        <w:rPr>
          <w:rFonts w:ascii="Times New Roman" w:eastAsia="Times New Roman" w:hAnsi="Times New Roman" w:cs="Times New Roman"/>
          <w:sz w:val="24"/>
          <w:szCs w:val="24"/>
        </w:rPr>
        <w:t>. Values were corrected with beta and alpha attenuation values for spherical grains</w:t>
      </w:r>
      <w:r w:rsidR="003C1739">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{"citationItems":[{"id":"ITEM-1","itemData":{"DOI":"10.1016/S1350-4487(03)00011-8","ISBN":"1350-4487","ISSN":"13504487","abstract":"The classic paper of Mejdahl (1979) on beta doses to quartz grains has been a standard reference for many years. In this paper we present an update of the data for beta doses to spherical quartz grains from internal and external natural sources, using dose point kernels based on modern spectra and Monte Carlo calculations. The differences from the Mejdahl results are not large, reflecting the modest adjustments in nuclear data and in the physics of electron-photon cascades in recent decades. It is recommended that, for a grain of original diameter 100 ??m which has had a 9 ??m layer etched away, the typical attenuation factor should be approximately 0.92 rather than the traditional 0.90. In addition, theory and data for the effects of etching on the average beta dose are presented, and we outline procedures for the estimation of beta doses for any situation that can be modelled using a series of concentric uniform shells. ?? 2003 Elsevier Science Ltd. All rights reserved.","author":[{"dropping-particle":"","family":"Brennan","given":"B. J.","non-dropping-particle":"","parse-names":false,"suffix":""}],"container-title":"Radiation Measurements","id":"ITEM-1","issue":"4-5","issued":{"date-parts":[["2003"]]},"page":"299-303","title":"Beta doses to spherical grains","type":"article-journal","volume":"37"},"uris":["http://www.mendeley.com/documents/?uuid=782c0189-6895-41cf-9d7f-c699a3652c49"]},{"id":"ITEM-2","itemData":{"DOI":"10.1016/1359-0189(91)90119-3","ISSN":"1359-0189","abstract":"For both TL and ESR dating, it is now well established that the signal induced by alpha particles is not proportional to the energy deposited in a sample, but rather is approximately proportional to the total track length deposited. We present here the expected attenuation of the signal to a spherical grain due to alpha sources both external and internal to the grain. The effect of etching grains is also considered. For an unetched grain, the absorbed track dose due to a single alpha particle energy can be expressed in simple analytical form. These results update and extend the data presented in Bell [Ancient TL12, 4–8 (1980)], which considered deposited energy rather than deposited track length. Because the density of deposition of alpha particle energy increases towards the end of the track, attenuation effects for a given size grain are greater than those presented by Bell.","author":[{"dropping-particle":"","family":"Brennan","given":"B.J.","non-dropping-particle":"","parse-names":false,"suffix":""},{"dropping-particle":"","family":"Lyons","given":"R.G.","non-dropping-particle":"","parse-names":false,"suffix":""},{"dropping-particle":"","family":"Phillips","given":"S.W.","non-dropping-particle":"","parse-names":false,"suffix":""}],"container-title":"International Journal of Radiation Applications and Instrumentation. Part D. Nuclear Tracks and Radiation Measurements","id":"ITEM-2","issue":"1-2","issued":{"date-parts":[["1991","1","1"]]},"page":"249-253","publisher":"Pergamon","title":"Attenuation of alpha particle track dose for spherical grains","type":"article-journal","volume":"18"},"uris":["http://www.mendeley.com/documents/?uuid=f7dcf650-f3c2-35b8-8720-50fa28cdc827"]}],"mendeley":{"formattedCitation":"&lt;sup&gt;95,96&lt;/sup&gt;","plainTextFormattedCitation":"95,96","previouslyFormattedCitation":"&lt;sup&gt;95,96&lt;/sup&gt;"},"properties":{"noteIndex":0},"schema":"https://github.com/citation-style-language/schema/raw/master/csl-citation.json"}</w:instrText>
      </w:r>
      <w:r w:rsidR="003C1739">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95,96</w:t>
      </w:r>
      <w:r w:rsidR="003C1739">
        <w:rPr>
          <w:rFonts w:ascii="Times New Roman" w:eastAsia="Times New Roman" w:hAnsi="Times New Roman" w:cs="Times New Roman"/>
          <w:sz w:val="24"/>
          <w:szCs w:val="24"/>
        </w:rPr>
        <w:fldChar w:fldCharType="end"/>
      </w:r>
      <w:r w:rsidR="003C1739">
        <w:rPr>
          <w:rFonts w:ascii="Times New Roman" w:eastAsia="Times New Roman" w:hAnsi="Times New Roman" w:cs="Times New Roman"/>
          <w:sz w:val="24"/>
          <w:szCs w:val="24"/>
        </w:rPr>
        <w:t>. An internal dose rate of 30 ± 10 μGy/a was considered, as commonly used in OSL and ESR dating application studies</w:t>
      </w:r>
      <w:r w:rsidR="003C1739">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 xml:space="preserve">ADDIN CSL_CITATION {"citationItems":[{"id":"ITEM-1","itemData":{"DOI":"10.1016/J.QUAGEO.2024.101519","ISBN":"[]","ISSN":"[1871-1014]","abstract":"We present the results of the first dating study of site P13 at Pirro Nord, Italy, which documents some of the earliest evidence for hominin presence in western Europe. Our multi-technique dating approach is based on a combination of palaeomagnetism, electron spin resonance (ESR), thermally-transferred optically stimulated luminescence (TT-OSL) and combined U-series/ESR applied to both fossil material and host sediment. It provides ages ranging from 627 ± 59 to 1006 ± 126 ka and clustering around 0.8 Ma. One additional fossil tooth collected from the nearby P10 site also returns an age within this range. Ordinarily, this outcome would naturally lend itself to the straightforward conclusion that Pirro Nord has a late Early Pleistocene age of </w:instrText>
      </w:r>
      <w:r w:rsidR="00614E13">
        <w:rPr>
          <w:rFonts w:ascii="Cambria Math" w:eastAsia="Times New Roman" w:hAnsi="Cambria Math" w:cs="Cambria Math"/>
          <w:sz w:val="24"/>
          <w:szCs w:val="24"/>
        </w:rPr>
        <w:instrText>∼</w:instrText>
      </w:r>
      <w:r w:rsidR="00614E13">
        <w:rPr>
          <w:rFonts w:ascii="Times New Roman" w:eastAsia="Times New Roman" w:hAnsi="Times New Roman" w:cs="Times New Roman"/>
          <w:sz w:val="24"/>
          <w:szCs w:val="24"/>
        </w:rPr>
        <w:instrText xml:space="preserve">0.8 Ma. However, this interpretation is complicated by the fact that these numerical dating results are in contradiction with the biochronological evidence, which suggests a much older age on the order of 1.3–1.7 Ma. Consequently, we explore the various potential sources of bias that could have influenced the numerical dating methods and the biochronological inferences. In particular, the critical evaluation of the palaeomagnetic data available for various sites belonging to the younger Colle Curti Faunal Unit (FU) indicates that there is non-negligible age uncertainty on the allegedly minimum age of </w:instrText>
      </w:r>
      <w:r w:rsidR="00614E13">
        <w:rPr>
          <w:rFonts w:ascii="Cambria Math" w:eastAsia="Times New Roman" w:hAnsi="Cambria Math" w:cs="Cambria Math"/>
          <w:sz w:val="24"/>
          <w:szCs w:val="24"/>
        </w:rPr>
        <w:instrText>∼</w:instrText>
      </w:r>
      <w:r w:rsidR="00614E13">
        <w:rPr>
          <w:rFonts w:ascii="Times New Roman" w:eastAsia="Times New Roman" w:hAnsi="Times New Roman" w:cs="Times New Roman"/>
          <w:sz w:val="24"/>
          <w:szCs w:val="24"/>
        </w:rPr>
        <w:instrText>1.1 Ma traditionally assigned to the Pirro FU. Moreover, while the combined U-series/ESR dataset could accommodate an older age for the fossil remains if uranium uptake in the dental tissues occurred relatively rapidly before the closure of the system (CSUS model), the ages obtained from the two semi-independent quartz dating methods (ESR and TT-OSL) both appear to indicate that the sediment was last exposed to sunlight about 0.8 Ma. This disparity opens up the possibility that the sediment and fossil assemblage may not be coeval. In other words, it is possible that the fossil remains may have been reworked into younger deposits that entered the karst about 0.8 Ma. Though feasible from a karst sedimentary dynamics perspective, this hypothesis is not consistent with previous taphonomic studies that indicate an absence of evidence for fossil reworking after entering the karst. At the very least, our dating results indicate that site formation processes at Pirro Nord site P13 are more complex than previously considered.","author":[{"dropping-particle":"","family":"Duval","given":"M.","non-dropping-particle":"","parse-names":false,"suffix":""},{"dropping-particle":"","family":"Arnold","given":"L.J.","non-dropping-particle":"","parse-names":false,"suffix":""},{"dropping-particle":"","family":"Bahain","given":"J.-J.","non-dropping-particle":"","parse-names":false,"suffix":""},{"dropping-particle":"","family":"Parés","given":"J.M.","non-dropping-particle":"","parse-names":false,"suffix":""},{"dropping-particle":"","family":"Demuro","given":"M.","non-dropping-particle":"","parse-names":false,"suffix":""},{"dropping-particle":"","family":"Falguères","given":"C.","non-dropping-particle":"","parse-names":false,"suffix":""},{"dropping-particle":"","family":"Shao","given":"Q.","non-dropping-particle":"","parse-names":false,"suffix":""},{"dropping-particle":"","family":"Voinchet","given":"P.","non-dropping-particle":"","parse-names":false,"suffix":""},{"dropping-particle":"","family":"Arnaud","given":"J.","non-dropping-particle":"","parse-names":false,"suffix":""},{"dropping-particle":"","family":"Berto","given":"C.","non-dropping-particle":"","parse-names":false,"suffix":""},{"dropping-particle":"","family":"Berruti","given":"G.L.F.","non-dropping-particle":"","parse-names":false,"suffix":""},{"dropping-particle":"","family":"Daffara","given":"S.","non-dropping-particle":"","parse-names":false,"suffix":""},{"dropping-particle":"","family":"Sala","given":"B.","non-dropping-particle":"","parse-names":false,"suffix":""},{"dropping-particle":"","family":"Arzarello","given":"M.","non-dropping-particle":"","parse-names":false,"suffix":""},{"dropping-particle":"","family":"Duval","given":"M.","non-dropping-particle":"","parse-names":false,"suffix":""},{"dropping-particle":"","family":"Arnold","given":"L.J.","non-dropping-particle":"","parse-names":false,"suffix":""},{"dropping-particle":"","family":"Bahain","given":"J.-J.","non-dropping-particle":"","parse-names":false,"suffix":""},{"dropping-particle":"","family":"Parés","given":"J.M.","non-dropping-particle":"","parse-names":false,"suffix":""},{"dropping-particle":"","family":"Demuro","given":"M.","non-dropping-particle":"","parse-names":false,"suffix":""},{"dropping-particle":"","family":"Falguères","given":"C.","non-dropping-particle":"","parse-names":false,"suffix":""},{"dropping-particle":"","family":"Shao","given":"Q.","non-dropping-particle":"","parse-names":false,"suffix":""},{"dropping-particle":"","family":"Voinchet","given":"P.","non-dropping-particle":"","parse-names":false,"suffix":""},{"dropping-particle":"","family":"Arnaud","given":"J.","non-dropping-particle":"","parse-names":false,"suffix":""},{"dropping-particle":"","family":"Berto","given":"C.","non-dropping-particle":"","parse-names":false,"suffix":""},{"dropping-particle":"","family":"Berruti","given":"G.L.F.","non-dropping-particle":"","parse-names":false,"suffix":""},{"dropping-particle":"","family":"Daffara","given":"S.","non-dropping-particle":"","parse-names":false,"suffix":""},{"dropping-particle":"","family":"Sala","given":"B.","non-dropping-particle":"","parse-names":false,"suffix":""},{"dropping-particle":"","family":"Arzarello","given":"M.","non-dropping-particle":"","parse-names":false,"suffix":""}],"container-title":"Quaternary Geochronology","id":"ITEM-1","issued":{"date-parts":[["2024","6","1"]]},"publisher":"Elsevier B.V.","title":"Re-examining the earliest evidence of human presence in western Europe: New dating results from Pirro Nord (Italy)","type":"article-journal","volume":"82"},"uris":["http://www.mendeley.com/documents/?uuid=7f2fa5f8-0308-3ee1-9589-64794f5bbedd"]}],"mendeley":{"formattedCitation":"&lt;sup&gt;97&lt;/sup&gt;","plainTextFormattedCitation":"97","previouslyFormattedCitation":"&lt;sup&gt;97&lt;/sup&gt;"},"properties":{"noteIndex":0},"schema":"https://github.com/citation-style-language/schema/raw/master/csl-citation.json"}</w:instrText>
      </w:r>
      <w:r w:rsidR="003C1739">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97</w:t>
      </w:r>
      <w:r w:rsidR="003C1739">
        <w:rPr>
          <w:rFonts w:ascii="Times New Roman" w:eastAsia="Times New Roman" w:hAnsi="Times New Roman" w:cs="Times New Roman"/>
          <w:sz w:val="24"/>
          <w:szCs w:val="24"/>
        </w:rPr>
        <w:fldChar w:fldCharType="end"/>
      </w:r>
      <w:r w:rsidR="003C1739">
        <w:rPr>
          <w:rFonts w:ascii="Times New Roman" w:eastAsia="Times New Roman" w:hAnsi="Times New Roman" w:cs="Times New Roman"/>
          <w:sz w:val="24"/>
          <w:szCs w:val="24"/>
        </w:rPr>
        <w:t xml:space="preserve">. An </w:t>
      </w:r>
      <w:r w:rsidR="003C1739" w:rsidRPr="005F44EF">
        <w:rPr>
          <w:rFonts w:ascii="Times New Roman" w:eastAsia="Times New Roman" w:hAnsi="Times New Roman" w:cs="Times New Roman"/>
          <w:sz w:val="24"/>
          <w:szCs w:val="24"/>
        </w:rPr>
        <w:t>alpha efficiency of 0.07 ± 0.01</w:t>
      </w:r>
      <w:r w:rsidR="003C1739"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{"citationItems":[{"id":"ITEM-1","itemData":{"DOI":"10.1038/s41598-019-54688-9","ISBN":"4159801954688","ISSN":"20452322","PMID":"31874956","abstract":"We present the first experimental evaluation of the alpha efficiency value for electron spin resonance (ESR) dating of coarse quartz grains, which is used for the evaluation of the internal and external alpha dose rate components. Based on our results, we recommend the use of an a-value of 0.07 ± 0.01 (1σ) for both the Al and Ti centres. Although we acknowledge that quartz ESR alpha efficiency may be sample dependent, and could also be impacted by other sources of uncertainty, this potential variability is presently impossible to evaluate given the absence of other experimental a-values available in the ESR dating literature. Measured radioactivity of quartz grains from the Moulouya catchment (NE Morocco) provides an internal dose rate in the range of 50–70 µGy/a when using an a-value of 0.07. The use of this empirically derived a-value for the evaluation of the internal and external alpha dose rate has a limited overall impact on the final ESR age results: they change by &lt;2% and &lt;3%, respectively, in comparison with those obtained with an assumed a-value. However, the large variability observed among the broader sample dataset for quartz internal radioactivity and hydrofluoric acid (HF) etching rates underscores the potential importance of undertaking experimental evaluations of alpha dose rate parameters for each dated sample.","author":[{"dropping-particle":"","family":"Bartz","given":"M.","non-dropping-particle":"","parse-names":false,"suffix":""},{"dropping-particle":"","family":"Arnold","given":"Lee J.","non-dropping-particle":"","parse-names":false,"suffix":""},{"dropping-particle":"","family":"Spooner","given":"Nigel A.","non-dropping-particle":"","parse-names":false,"suffix":""},{"dropping-particle":"","family":"Demuro","given":"Martina","non-dropping-particle":"","parse-names":false,"suffix":""},{"dropping-particle":"","family":"Campaña","given":"Isidoro","non-dropping-particle":"","parse-names":false,"suffix":""},{"dropping-particle":"","family":"Rixhon","given":"Gilles","non-dropping-particle":"","parse-names":false,"suffix":""},{"dropping-particle":"","family":"Brückner","given":"Helmut","non-dropping-particle":"","parse-names":false,"suffix":""},{"dropping-particle":"","family":"Duval","given":"Mathieu","non-dropping-particle":"","parse-names":false,"suffix":""}],"container-title":"Scientific Reports","id":"ITEM-1","issue":"1","issued":{"date-parts":[["2019"]]},"title":"First experimental evaluation of the alpha efficiency in coarse-grained quartz for ESR dating purposes: implications for dose rate evaluation","type":"article-journal","volume":"9"},"uris":["http://www.mendeley.com/documents/?uuid=7cf65434-d57b-44d8-905d-988251bba641"]}],"mendeley":{"formattedCitation":"&lt;sup&gt;98&lt;/sup&gt;","plainTextFormattedCitation":"98","previouslyFormattedCitation":"&lt;sup&gt;98&lt;/sup&gt;"},"properties":{"noteIndex":0},"schema":"https://github.com/citation-style-language/schema/raw/master/csl-citation.json"}</w:instrText>
      </w:r>
      <w:r w:rsidR="003C1739"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98</w:t>
      </w:r>
      <w:r w:rsidR="003C1739" w:rsidRPr="005F44EF">
        <w:rPr>
          <w:rFonts w:ascii="Times New Roman" w:eastAsia="Times New Roman" w:hAnsi="Times New Roman" w:cs="Times New Roman"/>
          <w:sz w:val="24"/>
          <w:szCs w:val="24"/>
        </w:rPr>
        <w:fldChar w:fldCharType="end"/>
      </w:r>
      <w:r w:rsidR="003C1739" w:rsidRPr="005F44EF">
        <w:rPr>
          <w:rFonts w:ascii="Times New Roman" w:eastAsia="Times New Roman" w:hAnsi="Times New Roman" w:cs="Times New Roman"/>
          <w:sz w:val="24"/>
          <w:szCs w:val="24"/>
        </w:rPr>
        <w:t xml:space="preserve"> </w:t>
      </w:r>
      <w:r w:rsidR="003C1739">
        <w:rPr>
          <w:rFonts w:ascii="Times New Roman" w:eastAsia="Times New Roman" w:hAnsi="Times New Roman" w:cs="Times New Roman"/>
          <w:sz w:val="24"/>
          <w:szCs w:val="24"/>
        </w:rPr>
        <w:t xml:space="preserve">was used. </w:t>
      </w:r>
      <w:r w:rsidRPr="005F44EF">
        <w:rPr>
          <w:rFonts w:ascii="Times New Roman" w:eastAsia="Times New Roman" w:hAnsi="Times New Roman" w:cs="Times New Roman"/>
          <w:sz w:val="24"/>
          <w:szCs w:val="24"/>
        </w:rPr>
        <w:t xml:space="preserve">For a matter of consistency between the ESR and luminescence dating procedures, the same </w:t>
      </w:r>
      <w:r w:rsidR="00206D9D" w:rsidRPr="005F44EF">
        <w:rPr>
          <w:rFonts w:ascii="Times New Roman" w:eastAsia="Times New Roman" w:hAnsi="Times New Roman" w:cs="Times New Roman"/>
          <w:sz w:val="24"/>
          <w:szCs w:val="24"/>
        </w:rPr>
        <w:t xml:space="preserve">long-term water content </w:t>
      </w:r>
      <w:r w:rsidR="00E03909" w:rsidRPr="005F44EF">
        <w:rPr>
          <w:rFonts w:ascii="Times New Roman" w:eastAsia="Times New Roman" w:hAnsi="Times New Roman" w:cs="Times New Roman"/>
          <w:sz w:val="24"/>
          <w:szCs w:val="24"/>
        </w:rPr>
        <w:t xml:space="preserve">and depth </w:t>
      </w:r>
      <w:r w:rsidR="00206D9D" w:rsidRPr="005F44EF">
        <w:rPr>
          <w:rFonts w:ascii="Times New Roman" w:eastAsia="Times New Roman" w:hAnsi="Times New Roman" w:cs="Times New Roman"/>
          <w:sz w:val="24"/>
          <w:szCs w:val="24"/>
        </w:rPr>
        <w:t>value</w:t>
      </w:r>
      <w:r w:rsidR="00E03909" w:rsidRPr="005F44EF">
        <w:rPr>
          <w:rFonts w:ascii="Times New Roman" w:eastAsia="Times New Roman" w:hAnsi="Times New Roman" w:cs="Times New Roman"/>
          <w:sz w:val="24"/>
          <w:szCs w:val="24"/>
        </w:rPr>
        <w:t xml:space="preserve">s </w:t>
      </w:r>
      <w:r w:rsidR="00473B19" w:rsidRPr="005F44EF">
        <w:rPr>
          <w:rFonts w:ascii="Times New Roman" w:eastAsia="Times New Roman" w:hAnsi="Times New Roman" w:cs="Times New Roman"/>
          <w:sz w:val="24"/>
          <w:szCs w:val="24"/>
        </w:rPr>
        <w:t xml:space="preserve">were </w:t>
      </w:r>
      <w:r w:rsidR="00206D9D" w:rsidRPr="005F44EF">
        <w:rPr>
          <w:rFonts w:ascii="Times New Roman" w:eastAsia="Times New Roman" w:hAnsi="Times New Roman" w:cs="Times New Roman"/>
          <w:sz w:val="24"/>
          <w:szCs w:val="24"/>
        </w:rPr>
        <w:t>employed</w:t>
      </w:r>
      <w:r w:rsidRPr="005F44EF">
        <w:rPr>
          <w:rFonts w:ascii="Times New Roman" w:eastAsia="Times New Roman" w:hAnsi="Times New Roman" w:cs="Times New Roman"/>
          <w:sz w:val="24"/>
          <w:szCs w:val="24"/>
        </w:rPr>
        <w:t xml:space="preserve"> for each </w:t>
      </w:r>
      <w:r w:rsidR="00E03909" w:rsidRPr="005F44EF">
        <w:rPr>
          <w:rFonts w:ascii="Times New Roman" w:eastAsia="Times New Roman" w:hAnsi="Times New Roman" w:cs="Times New Roman"/>
          <w:sz w:val="24"/>
          <w:szCs w:val="24"/>
        </w:rPr>
        <w:t xml:space="preserve">shared </w:t>
      </w:r>
      <w:r w:rsidRPr="005F44EF">
        <w:rPr>
          <w:rFonts w:ascii="Times New Roman" w:eastAsia="Times New Roman" w:hAnsi="Times New Roman" w:cs="Times New Roman"/>
          <w:sz w:val="24"/>
          <w:szCs w:val="24"/>
        </w:rPr>
        <w:t>sample</w:t>
      </w:r>
      <w:r w:rsidR="003E17F1" w:rsidRPr="005F44EF">
        <w:rPr>
          <w:rFonts w:ascii="Times New Roman" w:eastAsia="Times New Roman" w:hAnsi="Times New Roman" w:cs="Times New Roman"/>
          <w:sz w:val="24"/>
          <w:szCs w:val="24"/>
        </w:rPr>
        <w:t>. For both</w:t>
      </w:r>
      <w:r w:rsidR="00E03909" w:rsidRPr="005F44EF">
        <w:rPr>
          <w:rFonts w:ascii="Times New Roman" w:eastAsia="Times New Roman" w:hAnsi="Times New Roman" w:cs="Times New Roman"/>
          <w:sz w:val="24"/>
          <w:szCs w:val="24"/>
        </w:rPr>
        <w:t xml:space="preserve"> metho</w:t>
      </w:r>
      <w:r w:rsidR="00473B19" w:rsidRPr="005F44EF">
        <w:rPr>
          <w:rFonts w:ascii="Times New Roman" w:eastAsia="Times New Roman" w:hAnsi="Times New Roman" w:cs="Times New Roman"/>
          <w:sz w:val="24"/>
          <w:szCs w:val="24"/>
        </w:rPr>
        <w:t>d</w:t>
      </w:r>
      <w:r w:rsidR="00E03909" w:rsidRPr="005F44EF">
        <w:rPr>
          <w:rFonts w:ascii="Times New Roman" w:eastAsia="Times New Roman" w:hAnsi="Times New Roman" w:cs="Times New Roman"/>
          <w:sz w:val="24"/>
          <w:szCs w:val="24"/>
        </w:rPr>
        <w:t xml:space="preserve">s, </w:t>
      </w:r>
      <w:r w:rsidRPr="005F44EF">
        <w:rPr>
          <w:rFonts w:ascii="Times New Roman" w:eastAsia="Times New Roman" w:hAnsi="Times New Roman" w:cs="Times New Roman"/>
          <w:sz w:val="24"/>
          <w:szCs w:val="24"/>
        </w:rPr>
        <w:t>ages</w:t>
      </w:r>
      <w:r w:rsidR="00E03909" w:rsidRPr="005F44EF">
        <w:rPr>
          <w:rFonts w:ascii="Times New Roman" w:eastAsia="Times New Roman" w:hAnsi="Times New Roman" w:cs="Times New Roman"/>
          <w:sz w:val="24"/>
          <w:szCs w:val="24"/>
        </w:rPr>
        <w:t xml:space="preserve"> and 1σ errors</w:t>
      </w:r>
      <w:r w:rsidRPr="005F44EF">
        <w:rPr>
          <w:rFonts w:ascii="Times New Roman" w:eastAsia="Times New Roman" w:hAnsi="Times New Roman" w:cs="Times New Roman"/>
          <w:sz w:val="24"/>
          <w:szCs w:val="24"/>
        </w:rPr>
        <w:t xml:space="preserve"> were calculated using DRAC</w:t>
      </w:r>
      <w:r w:rsidR="00647202"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{"citationItems":[{"id":"ITEM-1","itemData":{"DOI":"10.1016/j.quageo.2015.03.012","ISBN":"1871-1014","ISSN":"18711014","abstract":"Accurate calculation of the environmental radiation dose rate (D˙) is an essential part of trapped charge dating methods, such as luminescence and electron spin resonance dating. Although the calculation of D˙ is not mathematically complex, the incorporation of multiple variables and the propagation of uncertainties can be challenging. The Dose Rate and Age Calculator (DRAC) is an open access, web-based program which enables rapid D˙ calculation for trapped charge dating applications. Users can select from recently published attenuation and conversion factors to make mathematically robust, reproducible D˙ calculations. Comparison of DRAC calculated D˙ values against the published D˙ determinations of 422 samples from 32 studies results in a reproducibility ratio of 1.01±0.05. It is anticipated that DRAC will facilitate easier inter-laboratory comparisons and will provide greater transparency for D˙ calculations. DRAC will be updated to reflect the latest advances in D˙ calculation and is freely accessible at www.aber.ac.uk/alrl/drac. The code for DRAC is available from github at https://github.com/DRAC-calculator/DRAC-calculator.","author":[{"dropping-particle":"","family":"Durcan","given":"Julie A.","non-dropping-particle":"","parse-names":false,"suffix":""},{"dropping-particle":"","family":"King","given":"Georgina E.","non-dropping-particle":"","parse-names":false,"suffix":""},{"dropping-particle":"","family":"Duller","given":"Geoffrey A.T.","non-dropping-particle":"","parse-names":false,"suffix":""}],"container-title":"Quaternary Geochronology","id":"ITEM-1","issued":{"date-parts":[["2015"]]},"page":"54-61","publisher":"Elsevier B.V","title":"DRAC: Dose Rate and Age Calculator for trapped charge dating","type":"article-journal","volume":"28"},"uris":["http://www.mendeley.com/documents/?uuid=bd5a9bef-0228-4e81-a7cf-478fb4c42215"]}],"mendeley":{"formattedCitation":"&lt;sup&gt;99&lt;/sup&gt;","plainTextFormattedCitation":"99","previouslyFormattedCitation":"&lt;sup&gt;99&lt;/sup&gt;"},"properties":{"noteIndex":0},"schema":"https://github.com/citation-style-language/schema/raw/master/csl-citation.json"}</w:instrText>
      </w:r>
      <w:r w:rsidR="00647202"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99</w:t>
      </w:r>
      <w:r w:rsidR="00647202"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color w:val="000000"/>
          <w:sz w:val="24"/>
          <w:szCs w:val="24"/>
        </w:rPr>
        <w:t xml:space="preserve"> (version 1.2) and the e</w:t>
      </w:r>
      <w:r w:rsidRPr="005F44EF">
        <w:rPr>
          <w:rFonts w:ascii="Times New Roman" w:eastAsia="Times New Roman" w:hAnsi="Times New Roman" w:cs="Times New Roman"/>
          <w:sz w:val="24"/>
          <w:szCs w:val="24"/>
        </w:rPr>
        <w:t>rrors are 1σ</w:t>
      </w:r>
      <w:r w:rsidR="00E03909" w:rsidRPr="005F44EF">
        <w:rPr>
          <w:rFonts w:ascii="Times New Roman" w:eastAsia="Times New Roman" w:hAnsi="Times New Roman" w:cs="Times New Roman"/>
          <w:sz w:val="24"/>
          <w:szCs w:val="24"/>
        </w:rPr>
        <w:t xml:space="preserve">, with </w:t>
      </w:r>
      <w:r w:rsidRPr="005F44EF">
        <w:rPr>
          <w:rFonts w:ascii="Times New Roman" w:eastAsia="Times New Roman" w:hAnsi="Times New Roman" w:cs="Times New Roman"/>
          <w:sz w:val="24"/>
          <w:szCs w:val="24"/>
        </w:rPr>
        <w:t xml:space="preserve">cosmic dose rates </w:t>
      </w:r>
      <w:r w:rsidR="00E03909" w:rsidRPr="005F44EF">
        <w:rPr>
          <w:rFonts w:ascii="Times New Roman" w:eastAsia="Times New Roman" w:hAnsi="Times New Roman" w:cs="Times New Roman"/>
          <w:sz w:val="24"/>
          <w:szCs w:val="24"/>
        </w:rPr>
        <w:t>derived from</w:t>
      </w:r>
      <w:r w:rsidR="00736F96">
        <w:rPr>
          <w:rFonts w:ascii="Times New Roman" w:eastAsia="Times New Roman" w:hAnsi="Times New Roman" w:cs="Times New Roman"/>
          <w:sz w:val="24"/>
          <w:szCs w:val="24"/>
          <w:vertAlign w:val="superscript"/>
        </w:rPr>
        <w:fldChar w:fldCharType="begin" w:fldLock="1"/>
      </w:r>
      <w:r w:rsidR="00614E13">
        <w:rPr>
          <w:rFonts w:ascii="Times New Roman" w:eastAsia="Times New Roman" w:hAnsi="Times New Roman" w:cs="Times New Roman"/>
          <w:sz w:val="24"/>
          <w:szCs w:val="24"/>
          <w:vertAlign w:val="superscript"/>
        </w:rPr>
        <w:instrText>ADDIN CSL_CITATION {"citationItems":[{"id":"ITEM-1","itemData":{"DOI":"10.1016/1359-0189(88)90069-6","ISSN":"1359-0189","abstract":"The cosmic ray dose as a function of depth has been measured to a depth of 450 g cm-2 in limestone and an expression is given that extends this to any depth of likely interest. The use of CaSO4:Dy in copper capsules as a quartz-equivalent dosimeter and the application of an NaI(TI) scintillometer for very low level in situ dosimetry are discussed.","author":[{"dropping-particle":"","family":"Prescott","given":"J.R.","non-dropping-particle":"","parse-names":false,"suffix":""},{"dropping-particle":"","family":"Hutton","given":"J.T.","non-dropping-particle":"","parse-names":false,"suffix":""}],"container-title":"International Journal of Radiation Applications and Instrumentation. Part D. Nuclear Tracks and Radiation Measurements","id":"ITEM-1","issue":"1-2","issued":{"date-parts":[["1988","1","1"]]},"page":"223-227","publisher":"Pergamon","title":"Cosmic ray and gamma ray dosimetry for TL and ESR","type":"article-journal","volume":"14"},"uris":["http://www.mendeley.com/documents/?uuid=29113fb3-5a05-3cd8-ab9f-db5343f881eb"]}],"mendeley":{"formattedCitation":"&lt;sup&gt;100&lt;/sup&gt;","plainTextFormattedCitation":"100","previouslyFormattedCitation":"&lt;sup&gt;100&lt;/sup&gt;"},"properties":{"noteIndex":0},"schema":"https://github.com/citation-style-language/schema/raw/master/csl-citation.json"}</w:instrText>
      </w:r>
      <w:r w:rsidR="00736F96">
        <w:rPr>
          <w:rFonts w:ascii="Times New Roman" w:eastAsia="Times New Roman" w:hAnsi="Times New Roman" w:cs="Times New Roman"/>
          <w:sz w:val="24"/>
          <w:szCs w:val="24"/>
          <w:vertAlign w:val="superscript"/>
        </w:rPr>
        <w:fldChar w:fldCharType="separate"/>
      </w:r>
      <w:r w:rsidR="00C212A1" w:rsidRPr="00C212A1">
        <w:rPr>
          <w:rFonts w:ascii="Times New Roman" w:eastAsia="Times New Roman" w:hAnsi="Times New Roman" w:cs="Times New Roman"/>
          <w:noProof/>
          <w:sz w:val="24"/>
          <w:szCs w:val="24"/>
          <w:vertAlign w:val="superscript"/>
        </w:rPr>
        <w:t>100</w:t>
      </w:r>
      <w:r w:rsidR="00736F96">
        <w:rPr>
          <w:rFonts w:ascii="Times New Roman" w:eastAsia="Times New Roman" w:hAnsi="Times New Roman" w:cs="Times New Roman"/>
          <w:sz w:val="24"/>
          <w:szCs w:val="24"/>
          <w:vertAlign w:val="superscript"/>
        </w:rPr>
        <w:fldChar w:fldCharType="end"/>
      </w:r>
      <w:r w:rsidR="00E03909" w:rsidRPr="005F44EF">
        <w:rPr>
          <w:rFonts w:ascii="Times New Roman" w:eastAsia="Times New Roman" w:hAnsi="Times New Roman" w:cs="Times New Roman"/>
          <w:sz w:val="24"/>
          <w:szCs w:val="24"/>
        </w:rPr>
        <w:t xml:space="preserve"> and including </w:t>
      </w:r>
      <w:r w:rsidRPr="005F44EF">
        <w:rPr>
          <w:rFonts w:ascii="Times New Roman" w:eastAsia="Times New Roman" w:hAnsi="Times New Roman" w:cs="Times New Roman"/>
          <w:sz w:val="24"/>
          <w:szCs w:val="24"/>
        </w:rPr>
        <w:t>depth, altitude, and latitude corrections</w:t>
      </w:r>
      <w:r w:rsidR="00647202"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{"citationItems":[{"id":"ITEM-1","itemData":{"DOI":"10.1016/1350-4487(94)90086-8","ISSN":"1350-4487","abstract":"In previous work, we have discussed the way in which the contribution of cosmic rays to the dose rates for TL/ESR dating depends on altitude, latitude and depth below ground level. The present paper extends the discussion to greater depths. Long-term changes in the geomagnetic field and the galactic cosmic ray intensity could affect the dose rate. The effects are shown to be small over the past 500 ka in most circumstances.","author":[{"dropping-particle":"","family":"Prescott","given":"J.R.","non-dropping-particle":"","parse-names":false,"suffix":""},{"dropping-particle":"","family":"Hutton","given":"J.T.","non-dropping-particle":"","parse-names":false,"suffix":""}],"container-title":"Radiation Measurements","id":"ITEM-1","issue":"2-3","issued":{"date-parts":[["1994","4","1"]]},"page":"497-500","publisher":"Pergamon","title":"Cosmic ray contributions to dose rates for luminescence and ESR dating: Large depths and long-term time variations","type":"article-journal","volume":"23"},"uris":["http://www.mendeley.com/documents/?uuid=e0a25fc3-92e7-3755-9c20-411fe3c40c00"]}],"mendeley":{"formattedCitation":"&lt;sup&gt;101&lt;/sup&gt;","plainTextFormattedCitation":"101","previouslyFormattedCitation":"&lt;sup&gt;101&lt;/sup&gt;"},"properties":{"noteIndex":0},"schema":"https://github.com/citation-style-language/schema/raw/master/csl-citation.json"}</w:instrText>
      </w:r>
      <w:r w:rsidR="00647202"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101</w:t>
      </w:r>
      <w:r w:rsidR="00647202"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w:t>
      </w:r>
    </w:p>
    <w:p w14:paraId="3B10A8E6" w14:textId="77777777" w:rsidR="00AB47F3" w:rsidRPr="005F44EF" w:rsidRDefault="00AB47F3">
      <w:pPr>
        <w:spacing w:after="0" w:line="276" w:lineRule="auto"/>
        <w:jc w:val="both"/>
        <w:rPr>
          <w:rFonts w:ascii="Times New Roman" w:eastAsia="Times New Roman" w:hAnsi="Times New Roman" w:cs="Times New Roman"/>
          <w:sz w:val="24"/>
          <w:szCs w:val="24"/>
        </w:rPr>
      </w:pPr>
    </w:p>
    <w:p w14:paraId="6838B654" w14:textId="56D513CE" w:rsidR="00FD5C63" w:rsidRPr="005F44EF" w:rsidRDefault="00FD5C63" w:rsidP="00A11994">
      <w:pPr>
        <w:spacing w:after="0" w:line="276" w:lineRule="auto"/>
        <w:jc w:val="both"/>
        <w:rPr>
          <w:rFonts w:ascii="Times New Roman" w:eastAsia="Times New Roman" w:hAnsi="Times New Roman" w:cs="Times New Roman"/>
          <w:sz w:val="24"/>
          <w:szCs w:val="24"/>
        </w:rPr>
      </w:pPr>
      <w:bookmarkStart w:id="41" w:name="_Hlk171424602"/>
      <w:r w:rsidRPr="005F44EF">
        <w:rPr>
          <w:rFonts w:ascii="Times New Roman" w:eastAsia="Times New Roman" w:hAnsi="Times New Roman" w:cs="Times New Roman"/>
          <w:sz w:val="24"/>
          <w:szCs w:val="24"/>
        </w:rPr>
        <w:t xml:space="preserve">Measured water contents of the sediment range from 3.2 to 12.5 % </w:t>
      </w:r>
      <w:r w:rsidR="00473B19" w:rsidRPr="005F44EF">
        <w:rPr>
          <w:rFonts w:ascii="Times New Roman" w:eastAsia="Times New Roman" w:hAnsi="Times New Roman" w:cs="Times New Roman"/>
          <w:sz w:val="24"/>
          <w:szCs w:val="24"/>
        </w:rPr>
        <w:t xml:space="preserve">(% dry weight </w:t>
      </w:r>
      <w:r w:rsidRPr="005F44EF">
        <w:rPr>
          <w:rFonts w:ascii="Times New Roman" w:eastAsia="Times New Roman" w:hAnsi="Times New Roman" w:cs="Times New Roman"/>
          <w:b/>
          <w:sz w:val="24"/>
          <w:szCs w:val="24"/>
        </w:rPr>
        <w:t>Table S</w:t>
      </w:r>
      <w:r w:rsidR="008A78A0" w:rsidRPr="005F44EF">
        <w:rPr>
          <w:rFonts w:ascii="Times New Roman" w:eastAsia="Times New Roman" w:hAnsi="Times New Roman" w:cs="Times New Roman"/>
          <w:b/>
          <w:sz w:val="24"/>
          <w:szCs w:val="24"/>
        </w:rPr>
        <w:t>3</w:t>
      </w:r>
      <w:r w:rsidRPr="005F44EF">
        <w:rPr>
          <w:rFonts w:ascii="Times New Roman" w:eastAsia="Times New Roman" w:hAnsi="Times New Roman" w:cs="Times New Roman"/>
          <w:sz w:val="24"/>
          <w:szCs w:val="24"/>
        </w:rPr>
        <w:t xml:space="preserve">). These </w:t>
      </w:r>
      <w:r w:rsidR="00831C3D" w:rsidRPr="005F44EF">
        <w:rPr>
          <w:rFonts w:ascii="Times New Roman" w:eastAsia="Times New Roman" w:hAnsi="Times New Roman" w:cs="Times New Roman"/>
          <w:sz w:val="24"/>
          <w:szCs w:val="24"/>
        </w:rPr>
        <w:t>are likely</w:t>
      </w:r>
      <w:r w:rsidRPr="005F44EF">
        <w:rPr>
          <w:rFonts w:ascii="Times New Roman" w:eastAsia="Times New Roman" w:hAnsi="Times New Roman" w:cs="Times New Roman"/>
          <w:sz w:val="24"/>
          <w:szCs w:val="24"/>
        </w:rPr>
        <w:t xml:space="preserve"> underestimate </w:t>
      </w:r>
      <w:r w:rsidR="00831C3D" w:rsidRPr="005F44EF">
        <w:rPr>
          <w:rFonts w:ascii="Times New Roman" w:eastAsia="Times New Roman" w:hAnsi="Times New Roman" w:cs="Times New Roman"/>
          <w:sz w:val="24"/>
          <w:szCs w:val="24"/>
        </w:rPr>
        <w:t xml:space="preserve">of </w:t>
      </w:r>
      <w:r w:rsidRPr="005F44EF">
        <w:rPr>
          <w:rFonts w:ascii="Times New Roman" w:eastAsia="Times New Roman" w:hAnsi="Times New Roman" w:cs="Times New Roman"/>
          <w:sz w:val="24"/>
          <w:szCs w:val="24"/>
        </w:rPr>
        <w:t>the long-term</w:t>
      </w:r>
      <w:r w:rsidR="00831C3D"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water content</w:t>
      </w:r>
      <w:r w:rsidR="00831C3D" w:rsidRPr="005F44EF">
        <w:rPr>
          <w:rFonts w:ascii="Times New Roman" w:eastAsia="Times New Roman" w:hAnsi="Times New Roman" w:cs="Times New Roman"/>
          <w:sz w:val="24"/>
          <w:szCs w:val="24"/>
        </w:rPr>
        <w:t xml:space="preserve"> since burial</w:t>
      </w:r>
      <w:r w:rsidR="00B33676" w:rsidRPr="005F44EF">
        <w:rPr>
          <w:rFonts w:ascii="Times New Roman" w:eastAsia="Times New Roman" w:hAnsi="Times New Roman" w:cs="Times New Roman"/>
          <w:sz w:val="24"/>
          <w:szCs w:val="24"/>
        </w:rPr>
        <w:t>.</w:t>
      </w:r>
      <w:r w:rsidRPr="005F44EF">
        <w:rPr>
          <w:rFonts w:ascii="Times New Roman" w:eastAsia="Times New Roman" w:hAnsi="Times New Roman" w:cs="Times New Roman"/>
          <w:sz w:val="24"/>
          <w:szCs w:val="24"/>
        </w:rPr>
        <w:t xml:space="preserve"> </w:t>
      </w:r>
      <w:r w:rsidR="00B33676" w:rsidRPr="005F44EF">
        <w:rPr>
          <w:rFonts w:ascii="Times New Roman" w:eastAsia="Times New Roman" w:hAnsi="Times New Roman" w:cs="Times New Roman"/>
          <w:sz w:val="24"/>
          <w:szCs w:val="24"/>
        </w:rPr>
        <w:t>The sediment has most likely dried up over the last decades due to the original archaeological excavation carried out about 30 years ago, as well as the fact that our sampling occurred during the dry season. Our</w:t>
      </w:r>
      <w:r w:rsidRPr="005F44EF">
        <w:rPr>
          <w:rFonts w:ascii="Times New Roman" w:eastAsia="Times New Roman" w:hAnsi="Times New Roman" w:cs="Times New Roman"/>
          <w:sz w:val="24"/>
          <w:szCs w:val="24"/>
        </w:rPr>
        <w:t xml:space="preserve"> palaeoecological data show</w:t>
      </w:r>
      <w:r w:rsidR="00B33676" w:rsidRPr="005F44EF">
        <w:rPr>
          <w:rFonts w:ascii="Times New Roman" w:eastAsia="Times New Roman" w:hAnsi="Times New Roman" w:cs="Times New Roman"/>
          <w:sz w:val="24"/>
          <w:szCs w:val="24"/>
        </w:rPr>
        <w:t>s</w:t>
      </w:r>
      <w:r w:rsidRPr="005F44EF">
        <w:rPr>
          <w:rFonts w:ascii="Times New Roman" w:eastAsia="Times New Roman" w:hAnsi="Times New Roman" w:cs="Times New Roman"/>
          <w:sz w:val="24"/>
          <w:szCs w:val="24"/>
        </w:rPr>
        <w:t xml:space="preserve"> </w:t>
      </w:r>
      <w:r w:rsidR="00AB47F3" w:rsidRPr="005F44EF">
        <w:rPr>
          <w:rFonts w:ascii="Times New Roman" w:eastAsia="Times New Roman" w:hAnsi="Times New Roman" w:cs="Times New Roman"/>
          <w:sz w:val="24"/>
          <w:szCs w:val="24"/>
        </w:rPr>
        <w:t>the</w:t>
      </w:r>
      <w:r w:rsidRPr="005F44EF">
        <w:rPr>
          <w:rFonts w:ascii="Times New Roman" w:eastAsia="Times New Roman" w:hAnsi="Times New Roman" w:cs="Times New Roman"/>
          <w:sz w:val="24"/>
          <w:szCs w:val="24"/>
        </w:rPr>
        <w:t xml:space="preserve"> area </w:t>
      </w:r>
      <w:r w:rsidR="00AB47F3" w:rsidRPr="005F44EF">
        <w:rPr>
          <w:rFonts w:ascii="Times New Roman" w:eastAsia="Times New Roman" w:hAnsi="Times New Roman" w:cs="Times New Roman"/>
          <w:sz w:val="24"/>
          <w:szCs w:val="24"/>
        </w:rPr>
        <w:t xml:space="preserve">was </w:t>
      </w:r>
      <w:r w:rsidRPr="005F44EF">
        <w:rPr>
          <w:rFonts w:ascii="Times New Roman" w:eastAsia="Times New Roman" w:hAnsi="Times New Roman" w:cs="Times New Roman"/>
          <w:sz w:val="24"/>
          <w:szCs w:val="24"/>
        </w:rPr>
        <w:t xml:space="preserve">continuously humid over </w:t>
      </w:r>
      <w:r w:rsidR="00B33676" w:rsidRPr="005F44EF">
        <w:rPr>
          <w:rFonts w:ascii="Times New Roman" w:eastAsia="Times New Roman" w:hAnsi="Times New Roman" w:cs="Times New Roman"/>
          <w:sz w:val="24"/>
          <w:szCs w:val="24"/>
        </w:rPr>
        <w:t xml:space="preserve">the Late </w:t>
      </w:r>
      <w:r w:rsidRPr="005F44EF">
        <w:rPr>
          <w:rFonts w:ascii="Times New Roman" w:eastAsia="Times New Roman" w:hAnsi="Times New Roman" w:cs="Times New Roman"/>
          <w:sz w:val="24"/>
          <w:szCs w:val="24"/>
        </w:rPr>
        <w:t>Pleistocene</w:t>
      </w:r>
      <w:r w:rsidR="00B33676" w:rsidRPr="005F44EF">
        <w:rPr>
          <w:rFonts w:ascii="Times New Roman" w:eastAsia="Times New Roman" w:hAnsi="Times New Roman" w:cs="Times New Roman"/>
          <w:sz w:val="24"/>
          <w:szCs w:val="24"/>
        </w:rPr>
        <w:t xml:space="preserve"> </w:t>
      </w:r>
      <w:r w:rsidR="00831C3D" w:rsidRPr="005F44EF">
        <w:rPr>
          <w:rFonts w:ascii="Times New Roman" w:eastAsia="Times New Roman" w:hAnsi="Times New Roman" w:cs="Times New Roman"/>
          <w:sz w:val="24"/>
          <w:szCs w:val="24"/>
        </w:rPr>
        <w:t>w</w:t>
      </w:r>
      <w:r w:rsidR="00B33676" w:rsidRPr="005F44EF">
        <w:rPr>
          <w:rFonts w:ascii="Times New Roman" w:eastAsia="Times New Roman" w:hAnsi="Times New Roman" w:cs="Times New Roman"/>
          <w:sz w:val="24"/>
          <w:szCs w:val="24"/>
        </w:rPr>
        <w:t>ith radiocarbon dating of the lowest terrace in the adjacent stream indicat</w:t>
      </w:r>
      <w:r w:rsidR="00831C3D" w:rsidRPr="005F44EF">
        <w:rPr>
          <w:rFonts w:ascii="Times New Roman" w:eastAsia="Times New Roman" w:hAnsi="Times New Roman" w:cs="Times New Roman"/>
          <w:sz w:val="24"/>
          <w:szCs w:val="24"/>
        </w:rPr>
        <w:t>ing</w:t>
      </w:r>
      <w:r w:rsidR="00B33676" w:rsidRPr="005F44EF">
        <w:rPr>
          <w:rFonts w:ascii="Times New Roman" w:eastAsia="Times New Roman" w:hAnsi="Times New Roman" w:cs="Times New Roman"/>
          <w:sz w:val="24"/>
          <w:szCs w:val="24"/>
        </w:rPr>
        <w:t xml:space="preserve"> landscape incision (leading to site drying) at the Pleistocene-Holocene transition</w:t>
      </w:r>
      <w:r w:rsidR="00831C3D" w:rsidRPr="005F44EF">
        <w:rPr>
          <w:rFonts w:ascii="Times New Roman" w:eastAsia="Times New Roman" w:hAnsi="Times New Roman" w:cs="Times New Roman"/>
          <w:sz w:val="24"/>
          <w:szCs w:val="24"/>
        </w:rPr>
        <w:t xml:space="preserve">. As a result, </w:t>
      </w:r>
      <w:r w:rsidR="00B33676" w:rsidRPr="005F44EF">
        <w:rPr>
          <w:rFonts w:ascii="Times New Roman" w:eastAsia="Times New Roman" w:hAnsi="Times New Roman" w:cs="Times New Roman"/>
          <w:sz w:val="24"/>
          <w:szCs w:val="24"/>
        </w:rPr>
        <w:t xml:space="preserve">Holocene moisture contents could be expected to be lower than Pleistocene ones in which sediment show repeated flooding and alluvium deposition. </w:t>
      </w:r>
      <w:r w:rsidR="00897F95" w:rsidRPr="005F44EF">
        <w:rPr>
          <w:rFonts w:ascii="Times New Roman" w:eastAsia="Times New Roman" w:hAnsi="Times New Roman" w:cs="Times New Roman"/>
          <w:sz w:val="24"/>
          <w:szCs w:val="24"/>
        </w:rPr>
        <w:t>C</w:t>
      </w:r>
      <w:r w:rsidRPr="005F44EF">
        <w:rPr>
          <w:rFonts w:ascii="Times New Roman" w:eastAsia="Times New Roman" w:hAnsi="Times New Roman" w:cs="Times New Roman"/>
          <w:sz w:val="24"/>
          <w:szCs w:val="24"/>
        </w:rPr>
        <w:t xml:space="preserve">onsequently, </w:t>
      </w:r>
      <w:r w:rsidR="00831C3D" w:rsidRPr="005F44EF">
        <w:rPr>
          <w:rFonts w:ascii="Times New Roman" w:eastAsia="Times New Roman" w:hAnsi="Times New Roman" w:cs="Times New Roman"/>
          <w:sz w:val="24"/>
          <w:szCs w:val="24"/>
        </w:rPr>
        <w:t xml:space="preserve">rather than rely on modern-day moisture values </w:t>
      </w:r>
      <w:r w:rsidRPr="005F44EF">
        <w:rPr>
          <w:rFonts w:ascii="Times New Roman" w:eastAsia="Times New Roman" w:hAnsi="Times New Roman" w:cs="Times New Roman"/>
          <w:sz w:val="24"/>
          <w:szCs w:val="24"/>
        </w:rPr>
        <w:t xml:space="preserve">we instead assumed </w:t>
      </w:r>
      <w:r w:rsidR="00831C3D" w:rsidRPr="005F44EF">
        <w:rPr>
          <w:rFonts w:ascii="Times New Roman" w:eastAsia="Times New Roman" w:hAnsi="Times New Roman" w:cs="Times New Roman"/>
          <w:sz w:val="24"/>
          <w:szCs w:val="24"/>
        </w:rPr>
        <w:t xml:space="preserve">for the Holocene </w:t>
      </w:r>
      <w:r w:rsidRPr="005F44EF">
        <w:rPr>
          <w:rFonts w:ascii="Times New Roman" w:eastAsia="Times New Roman" w:hAnsi="Times New Roman" w:cs="Times New Roman"/>
          <w:sz w:val="24"/>
          <w:szCs w:val="24"/>
        </w:rPr>
        <w:t xml:space="preserve">after the </w:t>
      </w:r>
      <w:r w:rsidR="00247283" w:rsidRPr="005F44EF">
        <w:rPr>
          <w:rFonts w:ascii="Times New Roman" w:eastAsia="Times New Roman" w:hAnsi="Times New Roman" w:cs="Times New Roman"/>
          <w:sz w:val="24"/>
          <w:szCs w:val="24"/>
        </w:rPr>
        <w:t>establishment</w:t>
      </w:r>
      <w:r w:rsidRPr="005F44EF">
        <w:rPr>
          <w:rFonts w:ascii="Times New Roman" w:eastAsia="Times New Roman" w:hAnsi="Times New Roman" w:cs="Times New Roman"/>
          <w:sz w:val="24"/>
          <w:szCs w:val="24"/>
        </w:rPr>
        <w:t xml:space="preserve"> of the current stream system in the catchment moisture contents of 8% for uppermost Unit C </w:t>
      </w:r>
      <w:r w:rsidR="00831C3D" w:rsidRPr="005F44EF">
        <w:rPr>
          <w:rFonts w:ascii="Times New Roman" w:eastAsia="Times New Roman" w:hAnsi="Times New Roman" w:cs="Times New Roman"/>
          <w:sz w:val="24"/>
          <w:szCs w:val="24"/>
        </w:rPr>
        <w:t xml:space="preserve">(based on the average unit value doubled to account for drying) </w:t>
      </w:r>
      <w:r w:rsidRPr="005F44EF">
        <w:rPr>
          <w:rFonts w:ascii="Times New Roman" w:eastAsia="Times New Roman" w:hAnsi="Times New Roman" w:cs="Times New Roman"/>
          <w:sz w:val="24"/>
          <w:szCs w:val="24"/>
        </w:rPr>
        <w:t>and 12-13% for Unit D</w:t>
      </w:r>
      <w:r w:rsidR="00831C3D" w:rsidRPr="005F44EF">
        <w:rPr>
          <w:rFonts w:ascii="Times New Roman" w:eastAsia="Times New Roman" w:hAnsi="Times New Roman" w:cs="Times New Roman"/>
          <w:sz w:val="24"/>
          <w:szCs w:val="24"/>
        </w:rPr>
        <w:t xml:space="preserve"> (based on the highest value measured rounded up)</w:t>
      </w:r>
      <w:r w:rsidRPr="005F44EF">
        <w:rPr>
          <w:rFonts w:ascii="Times New Roman" w:eastAsia="Times New Roman" w:hAnsi="Times New Roman" w:cs="Times New Roman"/>
          <w:sz w:val="24"/>
          <w:szCs w:val="24"/>
        </w:rPr>
        <w:t>.</w:t>
      </w:r>
      <w:r w:rsidR="00F24010">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For earlier period</w:t>
      </w:r>
      <w:r w:rsidR="00831C3D" w:rsidRPr="005F44EF">
        <w:rPr>
          <w:rFonts w:ascii="Times New Roman" w:eastAsia="Times New Roman" w:hAnsi="Times New Roman" w:cs="Times New Roman"/>
          <w:sz w:val="24"/>
          <w:szCs w:val="24"/>
        </w:rPr>
        <w:t>s</w:t>
      </w:r>
      <w:r w:rsidRPr="005F44EF">
        <w:rPr>
          <w:rFonts w:ascii="Times New Roman" w:eastAsia="Times New Roman" w:hAnsi="Times New Roman" w:cs="Times New Roman"/>
          <w:sz w:val="24"/>
          <w:szCs w:val="24"/>
        </w:rPr>
        <w:t xml:space="preserve"> between initial burial and </w:t>
      </w:r>
      <w:r w:rsidR="00831C3D" w:rsidRPr="005F44EF">
        <w:rPr>
          <w:rFonts w:ascii="Times New Roman" w:eastAsia="Times New Roman" w:hAnsi="Times New Roman" w:cs="Times New Roman"/>
          <w:sz w:val="24"/>
          <w:szCs w:val="24"/>
        </w:rPr>
        <w:t>the Holocene</w:t>
      </w:r>
      <w:r w:rsidRPr="005F44EF">
        <w:rPr>
          <w:rFonts w:ascii="Times New Roman" w:eastAsia="Times New Roman" w:hAnsi="Times New Roman" w:cs="Times New Roman"/>
          <w:sz w:val="24"/>
          <w:szCs w:val="24"/>
        </w:rPr>
        <w:t>, a higher moisture value of 20% was assumed based on the available geological evidence suggesting that frequent</w:t>
      </w:r>
      <w:r w:rsidR="008C5BE9" w:rsidRPr="005F44EF">
        <w:rPr>
          <w:rFonts w:ascii="Times New Roman" w:eastAsia="Times New Roman" w:hAnsi="Times New Roman" w:cs="Times New Roman"/>
          <w:sz w:val="24"/>
          <w:szCs w:val="24"/>
        </w:rPr>
        <w:t xml:space="preserve"> occurrence of</w:t>
      </w:r>
      <w:r w:rsidRPr="005F44EF">
        <w:rPr>
          <w:rFonts w:ascii="Times New Roman" w:eastAsia="Times New Roman" w:hAnsi="Times New Roman" w:cs="Times New Roman"/>
          <w:sz w:val="24"/>
          <w:szCs w:val="24"/>
        </w:rPr>
        <w:t xml:space="preserve"> flooding events.</w:t>
      </w:r>
      <w:r w:rsidR="00247283" w:rsidRPr="005F44EF">
        <w:rPr>
          <w:rFonts w:ascii="Times New Roman" w:eastAsia="Times New Roman" w:hAnsi="Times New Roman" w:cs="Times New Roman"/>
          <w:sz w:val="24"/>
          <w:szCs w:val="24"/>
        </w:rPr>
        <w:t xml:space="preserve"> This value of 20 % is also </w:t>
      </w:r>
      <w:r w:rsidR="00326094" w:rsidRPr="005F44EF">
        <w:rPr>
          <w:rFonts w:ascii="Times New Roman" w:eastAsia="Times New Roman" w:hAnsi="Times New Roman" w:cs="Times New Roman"/>
          <w:sz w:val="24"/>
          <w:szCs w:val="24"/>
        </w:rPr>
        <w:t xml:space="preserve">based on </w:t>
      </w:r>
      <w:r w:rsidR="00247283" w:rsidRPr="005F44EF">
        <w:rPr>
          <w:rFonts w:ascii="Times New Roman" w:eastAsia="Times New Roman" w:hAnsi="Times New Roman" w:cs="Times New Roman"/>
          <w:sz w:val="24"/>
          <w:szCs w:val="24"/>
        </w:rPr>
        <w:t xml:space="preserve">WC (dry weight %) </w:t>
      </w:r>
      <w:r w:rsidR="00326094" w:rsidRPr="005F44EF">
        <w:rPr>
          <w:rFonts w:ascii="Times New Roman" w:eastAsia="Times New Roman" w:hAnsi="Times New Roman" w:cs="Times New Roman"/>
          <w:sz w:val="24"/>
          <w:szCs w:val="24"/>
        </w:rPr>
        <w:t>measured</w:t>
      </w:r>
      <w:r w:rsidR="00247283" w:rsidRPr="005F44EF">
        <w:rPr>
          <w:rFonts w:ascii="Times New Roman" w:eastAsia="Times New Roman" w:hAnsi="Times New Roman" w:cs="Times New Roman"/>
          <w:sz w:val="24"/>
          <w:szCs w:val="24"/>
        </w:rPr>
        <w:t xml:space="preserve"> from sediments of the Unit</w:t>
      </w:r>
      <w:r w:rsidR="00326094" w:rsidRPr="005F44EF">
        <w:rPr>
          <w:rFonts w:ascii="Times New Roman" w:eastAsia="Times New Roman" w:hAnsi="Times New Roman" w:cs="Times New Roman"/>
          <w:sz w:val="24"/>
          <w:szCs w:val="24"/>
        </w:rPr>
        <w:t xml:space="preserve">s C and D </w:t>
      </w:r>
      <w:r w:rsidR="00247283" w:rsidRPr="005F44EF">
        <w:rPr>
          <w:rFonts w:ascii="Times New Roman" w:eastAsia="Times New Roman" w:hAnsi="Times New Roman" w:cs="Times New Roman"/>
          <w:sz w:val="24"/>
          <w:szCs w:val="24"/>
        </w:rPr>
        <w:t xml:space="preserve">sampled by EBA in November 2021 during the rainy season. </w:t>
      </w:r>
      <w:r w:rsidR="00831C3D" w:rsidRPr="005F44EF">
        <w:rPr>
          <w:rFonts w:ascii="Times New Roman" w:eastAsia="Times New Roman" w:hAnsi="Times New Roman" w:cs="Times New Roman"/>
          <w:sz w:val="24"/>
          <w:szCs w:val="24"/>
        </w:rPr>
        <w:t>For each sample initial ages based on modern-day moistures were used to estimate the duration of burial time at the low</w:t>
      </w:r>
      <w:r w:rsidR="00AB47F3" w:rsidRPr="005F44EF">
        <w:rPr>
          <w:rFonts w:ascii="Times New Roman" w:eastAsia="Times New Roman" w:hAnsi="Times New Roman" w:cs="Times New Roman"/>
          <w:sz w:val="24"/>
          <w:szCs w:val="24"/>
        </w:rPr>
        <w:t>er</w:t>
      </w:r>
      <w:r w:rsidR="00831C3D" w:rsidRPr="005F44EF">
        <w:rPr>
          <w:rFonts w:ascii="Times New Roman" w:eastAsia="Times New Roman" w:hAnsi="Times New Roman" w:cs="Times New Roman"/>
          <w:sz w:val="24"/>
          <w:szCs w:val="24"/>
        </w:rPr>
        <w:t xml:space="preserve"> Holocene and the higher Pleistocene moisture contents.</w:t>
      </w:r>
      <w:r w:rsidR="00A11994" w:rsidRPr="005F44EF">
        <w:rPr>
          <w:rFonts w:ascii="Times New Roman" w:eastAsia="Times New Roman" w:hAnsi="Times New Roman" w:cs="Times New Roman"/>
          <w:sz w:val="24"/>
          <w:szCs w:val="24"/>
        </w:rPr>
        <w:t xml:space="preserve"> </w:t>
      </w:r>
      <w:bookmarkStart w:id="42" w:name="_Hlk181866496"/>
      <w:r w:rsidR="00E41089" w:rsidRPr="005F44EF">
        <w:rPr>
          <w:rFonts w:ascii="Times New Roman" w:eastAsia="Times New Roman" w:hAnsi="Times New Roman" w:cs="Times New Roman"/>
          <w:sz w:val="24"/>
          <w:szCs w:val="24"/>
        </w:rPr>
        <w:t>These durations were used to w</w:t>
      </w:r>
      <w:r w:rsidRPr="005F44EF">
        <w:rPr>
          <w:rFonts w:ascii="Times New Roman" w:eastAsia="Times New Roman" w:hAnsi="Times New Roman" w:cs="Times New Roman"/>
          <w:sz w:val="24"/>
          <w:szCs w:val="24"/>
        </w:rPr>
        <w:t xml:space="preserve">eight </w:t>
      </w:r>
      <w:r w:rsidR="00E41089" w:rsidRPr="005F44EF">
        <w:rPr>
          <w:rFonts w:ascii="Times New Roman" w:eastAsia="Times New Roman" w:hAnsi="Times New Roman" w:cs="Times New Roman"/>
          <w:sz w:val="24"/>
          <w:szCs w:val="24"/>
        </w:rPr>
        <w:t xml:space="preserve">a </w:t>
      </w:r>
      <w:r w:rsidR="00D33135">
        <w:rPr>
          <w:rFonts w:ascii="Times New Roman" w:eastAsia="Times New Roman" w:hAnsi="Times New Roman" w:cs="Times New Roman"/>
          <w:sz w:val="24"/>
          <w:szCs w:val="24"/>
        </w:rPr>
        <w:t xml:space="preserve">mean to derive the </w:t>
      </w:r>
      <w:r w:rsidRPr="005F44EF">
        <w:rPr>
          <w:rFonts w:ascii="Times New Roman" w:eastAsia="Times New Roman" w:hAnsi="Times New Roman" w:cs="Times New Roman"/>
          <w:sz w:val="24"/>
          <w:szCs w:val="24"/>
        </w:rPr>
        <w:t xml:space="preserve">long-term </w:t>
      </w:r>
      <w:r w:rsidR="00D33135">
        <w:rPr>
          <w:rFonts w:ascii="Times New Roman" w:eastAsia="Times New Roman" w:hAnsi="Times New Roman" w:cs="Times New Roman"/>
          <w:sz w:val="24"/>
          <w:szCs w:val="24"/>
        </w:rPr>
        <w:t xml:space="preserve">average </w:t>
      </w:r>
      <w:r w:rsidRPr="005F44EF">
        <w:rPr>
          <w:rFonts w:ascii="Times New Roman" w:eastAsia="Times New Roman" w:hAnsi="Times New Roman" w:cs="Times New Roman"/>
          <w:sz w:val="24"/>
          <w:szCs w:val="24"/>
        </w:rPr>
        <w:t>water contents</w:t>
      </w:r>
      <w:r w:rsidR="00E41089" w:rsidRPr="005F44EF">
        <w:rPr>
          <w:rFonts w:ascii="Times New Roman" w:eastAsia="Times New Roman" w:hAnsi="Times New Roman" w:cs="Times New Roman"/>
          <w:sz w:val="24"/>
          <w:szCs w:val="24"/>
        </w:rPr>
        <w:t xml:space="preserve"> for each sample</w:t>
      </w:r>
      <w:r w:rsidR="00D33135">
        <w:rPr>
          <w:rFonts w:ascii="Times New Roman" w:eastAsia="Times New Roman" w:hAnsi="Times New Roman" w:cs="Times New Roman"/>
          <w:sz w:val="24"/>
          <w:szCs w:val="24"/>
        </w:rPr>
        <w:t>.</w:t>
      </w:r>
      <w:r w:rsidR="00930DC8">
        <w:rPr>
          <w:rFonts w:ascii="Times New Roman" w:eastAsia="Times New Roman" w:hAnsi="Times New Roman" w:cs="Times New Roman"/>
          <w:sz w:val="24"/>
          <w:szCs w:val="24"/>
        </w:rPr>
        <w:t xml:space="preserve"> </w:t>
      </w:r>
      <w:r w:rsidR="00D33135">
        <w:rPr>
          <w:rFonts w:ascii="Times New Roman" w:eastAsia="Times New Roman" w:hAnsi="Times New Roman" w:cs="Times New Roman"/>
          <w:sz w:val="24"/>
          <w:szCs w:val="24"/>
        </w:rPr>
        <w:t xml:space="preserve">Given the likelihood of moisture fluctuations and acknowledging the uncertainties on the chronology, a conservatively </w:t>
      </w:r>
      <w:r w:rsidR="00D33135">
        <w:rPr>
          <w:rFonts w:ascii="Times New Roman" w:eastAsia="Times New Roman" w:hAnsi="Times New Roman" w:cs="Times New Roman"/>
          <w:sz w:val="24"/>
          <w:szCs w:val="24"/>
        </w:rPr>
        <w:lastRenderedPageBreak/>
        <w:t>large ab</w:t>
      </w:r>
      <w:r w:rsidRPr="005F44EF">
        <w:rPr>
          <w:rFonts w:ascii="Times New Roman" w:eastAsia="Times New Roman" w:hAnsi="Times New Roman" w:cs="Times New Roman"/>
          <w:sz w:val="24"/>
          <w:szCs w:val="24"/>
        </w:rPr>
        <w:t>solute uncertainty of ± 5%</w:t>
      </w:r>
      <w:r w:rsidR="00E41089" w:rsidRPr="005F44EF">
        <w:rPr>
          <w:rFonts w:ascii="Times New Roman" w:eastAsia="Times New Roman" w:hAnsi="Times New Roman" w:cs="Times New Roman"/>
          <w:sz w:val="24"/>
          <w:szCs w:val="24"/>
        </w:rPr>
        <w:t xml:space="preserve"> </w:t>
      </w:r>
      <w:r w:rsidR="00D33135">
        <w:rPr>
          <w:rFonts w:ascii="Times New Roman" w:eastAsia="Times New Roman" w:hAnsi="Times New Roman" w:cs="Times New Roman"/>
          <w:sz w:val="24"/>
          <w:szCs w:val="24"/>
        </w:rPr>
        <w:t xml:space="preserve">was estimated and applied to all the calculated long-term average moisture contents. </w:t>
      </w:r>
      <w:r w:rsidR="00E41089" w:rsidRPr="005F44EF">
        <w:rPr>
          <w:rFonts w:ascii="Times New Roman" w:eastAsia="Times New Roman" w:hAnsi="Times New Roman" w:cs="Times New Roman"/>
          <w:sz w:val="24"/>
          <w:szCs w:val="24"/>
        </w:rPr>
        <w:t>(</w:t>
      </w:r>
      <w:r w:rsidR="00E41089" w:rsidRPr="005F44EF">
        <w:rPr>
          <w:rFonts w:ascii="Times New Roman" w:eastAsia="Times New Roman" w:hAnsi="Times New Roman" w:cs="Times New Roman"/>
          <w:b/>
          <w:sz w:val="24"/>
          <w:szCs w:val="24"/>
        </w:rPr>
        <w:t>Table S3</w:t>
      </w:r>
      <w:r w:rsidR="00E41089" w:rsidRPr="005F44EF">
        <w:rPr>
          <w:rFonts w:ascii="Times New Roman" w:eastAsia="Times New Roman" w:hAnsi="Times New Roman" w:cs="Times New Roman"/>
          <w:sz w:val="24"/>
          <w:szCs w:val="24"/>
        </w:rPr>
        <w:t>)</w:t>
      </w:r>
      <w:r w:rsidRPr="005F44EF">
        <w:rPr>
          <w:rFonts w:ascii="Times New Roman" w:eastAsia="Times New Roman" w:hAnsi="Times New Roman" w:cs="Times New Roman"/>
          <w:sz w:val="24"/>
          <w:szCs w:val="24"/>
        </w:rPr>
        <w:t xml:space="preserve">. </w:t>
      </w:r>
    </w:p>
    <w:bookmarkEnd w:id="41"/>
    <w:bookmarkEnd w:id="42"/>
    <w:p w14:paraId="684E6926" w14:textId="77777777" w:rsidR="002C732D" w:rsidRPr="005F44EF" w:rsidRDefault="002C732D" w:rsidP="00A11994">
      <w:pPr>
        <w:spacing w:after="0" w:line="276" w:lineRule="auto"/>
        <w:jc w:val="both"/>
        <w:rPr>
          <w:rFonts w:ascii="Times New Roman" w:eastAsia="Times New Roman" w:hAnsi="Times New Roman" w:cs="Times New Roman"/>
          <w:sz w:val="24"/>
          <w:szCs w:val="24"/>
        </w:rPr>
      </w:pPr>
    </w:p>
    <w:p w14:paraId="2C35F7A6" w14:textId="6CDD99AA" w:rsidR="002C732D" w:rsidRPr="00930DC8" w:rsidRDefault="002C732D" w:rsidP="002C732D">
      <w:pPr>
        <w:spacing w:after="200" w:line="276" w:lineRule="auto"/>
        <w:jc w:val="both"/>
        <w:rPr>
          <w:rFonts w:ascii="Times New Roman" w:eastAsia="Times New Roman" w:hAnsi="Times New Roman" w:cs="Times New Roman"/>
          <w:sz w:val="24"/>
          <w:szCs w:val="24"/>
        </w:rPr>
      </w:pPr>
      <w:bookmarkStart w:id="43" w:name="_Hlk170654373"/>
      <w:r w:rsidRPr="00930DC8">
        <w:rPr>
          <w:rFonts w:ascii="Times New Roman" w:eastAsia="Times New Roman" w:hAnsi="Times New Roman" w:cs="Times New Roman"/>
          <w:b/>
          <w:sz w:val="24"/>
          <w:szCs w:val="24"/>
        </w:rPr>
        <w:t>Table S</w:t>
      </w:r>
      <w:r w:rsidR="008A78A0" w:rsidRPr="00930DC8">
        <w:rPr>
          <w:rFonts w:ascii="Times New Roman" w:eastAsia="Times New Roman" w:hAnsi="Times New Roman" w:cs="Times New Roman"/>
          <w:b/>
          <w:sz w:val="24"/>
          <w:szCs w:val="24"/>
        </w:rPr>
        <w:t>3</w:t>
      </w:r>
      <w:r w:rsidRPr="00930DC8">
        <w:rPr>
          <w:rFonts w:ascii="Times New Roman" w:eastAsia="Times New Roman" w:hAnsi="Times New Roman" w:cs="Times New Roman"/>
          <w:b/>
          <w:sz w:val="24"/>
          <w:szCs w:val="24"/>
        </w:rPr>
        <w:t>: Moisture data used in the calculation of the average long-term water contents for the dose-rates for both ESR and OSL ages.</w:t>
      </w:r>
      <w:r w:rsidR="00930DC8" w:rsidRPr="00930DC8">
        <w:rPr>
          <w:rFonts w:ascii="Times New Roman" w:eastAsia="Times New Roman" w:hAnsi="Times New Roman" w:cs="Times New Roman"/>
          <w:b/>
          <w:sz w:val="24"/>
          <w:szCs w:val="24"/>
        </w:rPr>
        <w:t xml:space="preserve"> </w:t>
      </w:r>
      <w:bookmarkStart w:id="44" w:name="_Hlk181952050"/>
      <w:r w:rsidR="00930DC8" w:rsidRPr="00930DC8">
        <w:rPr>
          <w:rFonts w:ascii="Times New Roman" w:eastAsia="Times New Roman" w:hAnsi="Times New Roman" w:cs="Times New Roman"/>
          <w:b/>
          <w:sz w:val="24"/>
          <w:szCs w:val="24"/>
        </w:rPr>
        <w:t xml:space="preserve">The </w:t>
      </w:r>
      <w:r w:rsidR="00A933FC">
        <w:rPr>
          <w:rFonts w:ascii="Times New Roman" w:eastAsia="Times New Roman" w:hAnsi="Times New Roman" w:cs="Times New Roman"/>
          <w:b/>
          <w:sz w:val="24"/>
          <w:szCs w:val="24"/>
        </w:rPr>
        <w:t>t</w:t>
      </w:r>
      <w:r w:rsidR="00930DC8" w:rsidRPr="00930DC8">
        <w:rPr>
          <w:rFonts w:ascii="Times New Roman" w:eastAsia="Times New Roman" w:hAnsi="Times New Roman" w:cs="Times New Roman"/>
          <w:b/>
          <w:sz w:val="24"/>
          <w:szCs w:val="24"/>
        </w:rPr>
        <w:t xml:space="preserve">ime-averaged moisture content (%) is the weighted arithmetic mean calculated between the assumed moisture post 10000 years (%) and the assumed moisture </w:t>
      </w:r>
      <w:proofErr w:type="gramStart"/>
      <w:r w:rsidR="00930DC8" w:rsidRPr="00930DC8">
        <w:rPr>
          <w:rFonts w:ascii="Times New Roman" w:eastAsia="Times New Roman" w:hAnsi="Times New Roman" w:cs="Times New Roman"/>
          <w:b/>
          <w:sz w:val="24"/>
          <w:szCs w:val="24"/>
        </w:rPr>
        <w:t>pre 10,000</w:t>
      </w:r>
      <w:proofErr w:type="gramEnd"/>
      <w:r w:rsidR="00930DC8" w:rsidRPr="00930DC8">
        <w:rPr>
          <w:rFonts w:ascii="Times New Roman" w:eastAsia="Times New Roman" w:hAnsi="Times New Roman" w:cs="Times New Roman"/>
          <w:b/>
          <w:sz w:val="24"/>
          <w:szCs w:val="24"/>
        </w:rPr>
        <w:t xml:space="preserve"> years.</w:t>
      </w:r>
    </w:p>
    <w:tbl>
      <w:tblPr>
        <w:tblStyle w:val="a0"/>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1134"/>
        <w:gridCol w:w="993"/>
        <w:gridCol w:w="1134"/>
        <w:gridCol w:w="1701"/>
        <w:gridCol w:w="1701"/>
        <w:gridCol w:w="1701"/>
      </w:tblGrid>
      <w:tr w:rsidR="00AB47F3" w:rsidRPr="005F44EF" w14:paraId="61F67968" w14:textId="77777777" w:rsidTr="00B34067">
        <w:trPr>
          <w:trHeight w:val="348"/>
          <w:jc w:val="center"/>
        </w:trPr>
        <w:tc>
          <w:tcPr>
            <w:tcW w:w="1134" w:type="dxa"/>
            <w:tcBorders>
              <w:top w:val="single" w:sz="4" w:space="0" w:color="auto"/>
              <w:left w:val="nil"/>
              <w:bottom w:val="single" w:sz="4" w:space="0" w:color="auto"/>
              <w:right w:val="nil"/>
            </w:tcBorders>
            <w:shd w:val="clear" w:color="auto" w:fill="D9D9D9" w:themeFill="background1" w:themeFillShade="D9"/>
            <w:vAlign w:val="center"/>
          </w:tcPr>
          <w:p w14:paraId="2D6A6E40" w14:textId="7B6E721B" w:rsidR="002C732D" w:rsidRPr="00EB2B4D" w:rsidRDefault="00CD55A4" w:rsidP="00BE42E9">
            <w:pPr>
              <w:spacing w:after="0" w:line="240" w:lineRule="auto"/>
              <w:jc w:val="center"/>
              <w:rPr>
                <w:rFonts w:ascii="Times New Roman" w:eastAsia="Times New Roman" w:hAnsi="Times New Roman" w:cs="Times New Roman"/>
                <w:b/>
                <w:color w:val="000000"/>
                <w:sz w:val="18"/>
                <w:szCs w:val="18"/>
              </w:rPr>
            </w:pPr>
            <w:bookmarkStart w:id="45" w:name="_Hlk181951282"/>
            <w:bookmarkStart w:id="46" w:name="_Hlk171616735"/>
            <w:bookmarkEnd w:id="43"/>
            <w:bookmarkEnd w:id="44"/>
            <w:r w:rsidRPr="00EB2B4D">
              <w:rPr>
                <w:rFonts w:ascii="Times New Roman" w:eastAsia="Times New Roman" w:hAnsi="Times New Roman" w:cs="Times New Roman"/>
                <w:b/>
                <w:color w:val="000000"/>
                <w:sz w:val="18"/>
                <w:szCs w:val="18"/>
              </w:rPr>
              <w:t>ID field</w:t>
            </w:r>
          </w:p>
        </w:tc>
        <w:tc>
          <w:tcPr>
            <w:tcW w:w="1134" w:type="dxa"/>
            <w:tcBorders>
              <w:top w:val="single" w:sz="4" w:space="0" w:color="auto"/>
              <w:left w:val="nil"/>
              <w:bottom w:val="single" w:sz="4" w:space="0" w:color="auto"/>
              <w:right w:val="nil"/>
            </w:tcBorders>
            <w:shd w:val="clear" w:color="auto" w:fill="D9D9D9" w:themeFill="background1" w:themeFillShade="D9"/>
            <w:vAlign w:val="center"/>
          </w:tcPr>
          <w:p w14:paraId="67146A02" w14:textId="266E1812" w:rsidR="002C732D" w:rsidRPr="00EB2B4D" w:rsidRDefault="002C732D" w:rsidP="00BE42E9">
            <w:pPr>
              <w:spacing w:after="0" w:line="240" w:lineRule="auto"/>
              <w:jc w:val="center"/>
              <w:rPr>
                <w:rFonts w:ascii="Times New Roman" w:eastAsia="Times New Roman" w:hAnsi="Times New Roman" w:cs="Times New Roman"/>
                <w:b/>
                <w:color w:val="000000"/>
                <w:sz w:val="18"/>
                <w:szCs w:val="18"/>
              </w:rPr>
            </w:pPr>
            <w:r w:rsidRPr="00EB2B4D">
              <w:rPr>
                <w:rFonts w:ascii="Times New Roman" w:eastAsia="Times New Roman" w:hAnsi="Times New Roman" w:cs="Times New Roman"/>
                <w:b/>
                <w:color w:val="000000"/>
                <w:sz w:val="18"/>
                <w:szCs w:val="18"/>
              </w:rPr>
              <w:t>OSL lab</w:t>
            </w:r>
            <w:r w:rsidR="00AB47F3" w:rsidRPr="00EB2B4D">
              <w:rPr>
                <w:rFonts w:ascii="Times New Roman" w:eastAsia="Times New Roman" w:hAnsi="Times New Roman" w:cs="Times New Roman"/>
                <w:b/>
                <w:color w:val="000000"/>
                <w:sz w:val="18"/>
                <w:szCs w:val="18"/>
              </w:rPr>
              <w:t xml:space="preserve"> </w:t>
            </w:r>
            <w:r w:rsidRPr="00EB2B4D">
              <w:rPr>
                <w:rFonts w:ascii="Times New Roman" w:eastAsia="Times New Roman" w:hAnsi="Times New Roman" w:cs="Times New Roman"/>
                <w:b/>
                <w:color w:val="000000"/>
                <w:sz w:val="18"/>
                <w:szCs w:val="18"/>
              </w:rPr>
              <w:t>code</w:t>
            </w:r>
          </w:p>
        </w:tc>
        <w:tc>
          <w:tcPr>
            <w:tcW w:w="993" w:type="dxa"/>
            <w:tcBorders>
              <w:top w:val="single" w:sz="4" w:space="0" w:color="auto"/>
              <w:left w:val="nil"/>
              <w:bottom w:val="single" w:sz="4" w:space="0" w:color="auto"/>
              <w:right w:val="nil"/>
            </w:tcBorders>
            <w:shd w:val="clear" w:color="auto" w:fill="D9D9D9" w:themeFill="background1" w:themeFillShade="D9"/>
            <w:vAlign w:val="center"/>
          </w:tcPr>
          <w:p w14:paraId="1533C9FD" w14:textId="77777777" w:rsidR="002C732D" w:rsidRPr="00EB2B4D" w:rsidRDefault="002C732D" w:rsidP="00BE42E9">
            <w:pPr>
              <w:spacing w:after="0" w:line="240" w:lineRule="auto"/>
              <w:jc w:val="center"/>
              <w:rPr>
                <w:rFonts w:ascii="Times New Roman" w:eastAsia="Times New Roman" w:hAnsi="Times New Roman" w:cs="Times New Roman"/>
                <w:b/>
                <w:color w:val="000000"/>
                <w:sz w:val="18"/>
                <w:szCs w:val="18"/>
              </w:rPr>
            </w:pPr>
            <w:r w:rsidRPr="00EB2B4D">
              <w:rPr>
                <w:rFonts w:ascii="Times New Roman" w:eastAsia="Times New Roman" w:hAnsi="Times New Roman" w:cs="Times New Roman"/>
                <w:b/>
                <w:color w:val="000000"/>
                <w:sz w:val="18"/>
                <w:szCs w:val="18"/>
              </w:rPr>
              <w:t>Depth (m)/</w:t>
            </w:r>
            <w:r w:rsidRPr="00EB2B4D">
              <w:rPr>
                <w:rFonts w:ascii="Times New Roman" w:eastAsia="Times New Roman" w:hAnsi="Times New Roman" w:cs="Times New Roman"/>
                <w:b/>
                <w:bCs/>
                <w:color w:val="000000"/>
                <w:sz w:val="18"/>
                <w:szCs w:val="18"/>
              </w:rPr>
              <w:t>Unit</w:t>
            </w:r>
          </w:p>
        </w:tc>
        <w:tc>
          <w:tcPr>
            <w:tcW w:w="1134" w:type="dxa"/>
            <w:tcBorders>
              <w:top w:val="single" w:sz="4" w:space="0" w:color="auto"/>
              <w:left w:val="nil"/>
              <w:bottom w:val="single" w:sz="4" w:space="0" w:color="auto"/>
              <w:right w:val="nil"/>
            </w:tcBorders>
            <w:shd w:val="clear" w:color="auto" w:fill="D9D9D9" w:themeFill="background1" w:themeFillShade="D9"/>
            <w:vAlign w:val="center"/>
          </w:tcPr>
          <w:p w14:paraId="4C890C6D" w14:textId="77777777" w:rsidR="00AB47F3" w:rsidRPr="00EB2B4D" w:rsidRDefault="002C732D" w:rsidP="00BE42E9">
            <w:pPr>
              <w:spacing w:after="0" w:line="240" w:lineRule="auto"/>
              <w:jc w:val="center"/>
              <w:rPr>
                <w:rFonts w:ascii="Times New Roman" w:eastAsia="Times New Roman" w:hAnsi="Times New Roman" w:cs="Times New Roman"/>
                <w:b/>
                <w:color w:val="000000"/>
                <w:sz w:val="18"/>
                <w:szCs w:val="18"/>
              </w:rPr>
            </w:pPr>
            <w:r w:rsidRPr="00EB2B4D">
              <w:rPr>
                <w:rFonts w:ascii="Times New Roman" w:eastAsia="Times New Roman" w:hAnsi="Times New Roman" w:cs="Times New Roman"/>
                <w:b/>
                <w:color w:val="000000"/>
                <w:sz w:val="18"/>
                <w:szCs w:val="18"/>
              </w:rPr>
              <w:t xml:space="preserve">Measured moisture </w:t>
            </w:r>
          </w:p>
          <w:p w14:paraId="7ED89AAA" w14:textId="0AA3E4B1" w:rsidR="002C732D" w:rsidRPr="00EB2B4D" w:rsidRDefault="002C732D" w:rsidP="00BE42E9">
            <w:pPr>
              <w:spacing w:after="0" w:line="240" w:lineRule="auto"/>
              <w:jc w:val="center"/>
              <w:rPr>
                <w:rFonts w:ascii="Times New Roman" w:eastAsia="Times New Roman" w:hAnsi="Times New Roman" w:cs="Times New Roman"/>
                <w:b/>
                <w:color w:val="000000"/>
                <w:sz w:val="18"/>
                <w:szCs w:val="18"/>
              </w:rPr>
            </w:pPr>
            <w:r w:rsidRPr="00EB2B4D">
              <w:rPr>
                <w:rFonts w:ascii="Times New Roman" w:eastAsia="Times New Roman" w:hAnsi="Times New Roman" w:cs="Times New Roman"/>
                <w:b/>
                <w:bCs/>
                <w:color w:val="000000"/>
                <w:sz w:val="18"/>
                <w:szCs w:val="18"/>
              </w:rPr>
              <w:t>(%</w:t>
            </w:r>
            <w:r w:rsidR="008C5BE9" w:rsidRPr="00EB2B4D">
              <w:rPr>
                <w:rFonts w:ascii="Times New Roman" w:eastAsia="Times New Roman" w:hAnsi="Times New Roman" w:cs="Times New Roman"/>
                <w:b/>
                <w:bCs/>
                <w:color w:val="000000"/>
                <w:sz w:val="18"/>
                <w:szCs w:val="18"/>
              </w:rPr>
              <w:t xml:space="preserve"> dry weight</w:t>
            </w:r>
            <w:r w:rsidRPr="00EB2B4D">
              <w:rPr>
                <w:rFonts w:ascii="Times New Roman" w:eastAsia="Times New Roman" w:hAnsi="Times New Roman" w:cs="Times New Roman"/>
                <w:b/>
                <w:bCs/>
                <w:color w:val="000000"/>
                <w:sz w:val="18"/>
                <w:szCs w:val="18"/>
              </w:rPr>
              <w:t>)</w:t>
            </w:r>
          </w:p>
        </w:tc>
        <w:tc>
          <w:tcPr>
            <w:tcW w:w="1701" w:type="dxa"/>
            <w:tcBorders>
              <w:top w:val="single" w:sz="4" w:space="0" w:color="auto"/>
              <w:left w:val="nil"/>
              <w:bottom w:val="single" w:sz="4" w:space="0" w:color="auto"/>
              <w:right w:val="nil"/>
            </w:tcBorders>
            <w:shd w:val="clear" w:color="auto" w:fill="D9D9D9" w:themeFill="background1" w:themeFillShade="D9"/>
            <w:vAlign w:val="center"/>
          </w:tcPr>
          <w:p w14:paraId="56B26EF5" w14:textId="689E3371" w:rsidR="002C732D" w:rsidRPr="00EB2B4D" w:rsidRDefault="002C732D" w:rsidP="00BE42E9">
            <w:pPr>
              <w:spacing w:after="0" w:line="240" w:lineRule="auto"/>
              <w:jc w:val="center"/>
              <w:rPr>
                <w:rFonts w:ascii="Times New Roman" w:eastAsia="Times New Roman" w:hAnsi="Times New Roman" w:cs="Times New Roman"/>
                <w:b/>
                <w:color w:val="000000"/>
                <w:sz w:val="18"/>
                <w:szCs w:val="18"/>
              </w:rPr>
            </w:pPr>
            <w:r w:rsidRPr="00EB2B4D">
              <w:rPr>
                <w:rFonts w:ascii="Times New Roman" w:eastAsia="Times New Roman" w:hAnsi="Times New Roman" w:cs="Times New Roman"/>
                <w:b/>
                <w:color w:val="000000"/>
                <w:sz w:val="18"/>
                <w:szCs w:val="18"/>
              </w:rPr>
              <w:t xml:space="preserve">Assumed moisture </w:t>
            </w:r>
            <w:r w:rsidR="00AB47F3" w:rsidRPr="00EB2B4D">
              <w:rPr>
                <w:rFonts w:ascii="Times New Roman" w:eastAsia="Times New Roman" w:hAnsi="Times New Roman" w:cs="Times New Roman"/>
                <w:b/>
                <w:color w:val="000000"/>
                <w:sz w:val="18"/>
                <w:szCs w:val="18"/>
              </w:rPr>
              <w:t>post</w:t>
            </w:r>
            <w:r w:rsidRPr="00EB2B4D">
              <w:rPr>
                <w:rFonts w:ascii="Times New Roman" w:eastAsia="Times New Roman" w:hAnsi="Times New Roman" w:cs="Times New Roman"/>
                <w:b/>
                <w:color w:val="000000"/>
                <w:sz w:val="18"/>
                <w:szCs w:val="18"/>
              </w:rPr>
              <w:t xml:space="preserve"> 10000 years </w:t>
            </w:r>
            <w:r w:rsidRPr="00EB2B4D">
              <w:rPr>
                <w:rFonts w:ascii="Times New Roman" w:eastAsia="Times New Roman" w:hAnsi="Times New Roman" w:cs="Times New Roman"/>
                <w:b/>
                <w:bCs/>
                <w:color w:val="000000"/>
                <w:sz w:val="18"/>
                <w:szCs w:val="18"/>
              </w:rPr>
              <w:t>(%)</w:t>
            </w:r>
          </w:p>
        </w:tc>
        <w:tc>
          <w:tcPr>
            <w:tcW w:w="1701" w:type="dxa"/>
            <w:tcBorders>
              <w:top w:val="single" w:sz="4" w:space="0" w:color="auto"/>
              <w:left w:val="nil"/>
              <w:bottom w:val="single" w:sz="4" w:space="0" w:color="auto"/>
              <w:right w:val="nil"/>
            </w:tcBorders>
            <w:shd w:val="clear" w:color="auto" w:fill="D9D9D9" w:themeFill="background1" w:themeFillShade="D9"/>
          </w:tcPr>
          <w:p w14:paraId="165788F2" w14:textId="77777777" w:rsidR="002C732D" w:rsidRPr="00EB2B4D" w:rsidRDefault="002C732D" w:rsidP="00BE42E9">
            <w:pPr>
              <w:spacing w:after="0" w:line="240" w:lineRule="auto"/>
              <w:jc w:val="center"/>
              <w:rPr>
                <w:rFonts w:ascii="Times New Roman" w:eastAsia="Times New Roman" w:hAnsi="Times New Roman" w:cs="Times New Roman"/>
                <w:b/>
                <w:color w:val="000000"/>
                <w:sz w:val="18"/>
                <w:szCs w:val="18"/>
              </w:rPr>
            </w:pPr>
            <w:r w:rsidRPr="00EB2B4D">
              <w:rPr>
                <w:rFonts w:ascii="Times New Roman" w:eastAsia="Times New Roman" w:hAnsi="Times New Roman" w:cs="Times New Roman"/>
                <w:b/>
                <w:color w:val="000000"/>
                <w:sz w:val="18"/>
                <w:szCs w:val="18"/>
              </w:rPr>
              <w:t xml:space="preserve">Assumed moisture </w:t>
            </w:r>
            <w:proofErr w:type="gramStart"/>
            <w:r w:rsidRPr="00EB2B4D">
              <w:rPr>
                <w:rFonts w:ascii="Times New Roman" w:eastAsia="Times New Roman" w:hAnsi="Times New Roman" w:cs="Times New Roman"/>
                <w:b/>
                <w:color w:val="000000"/>
                <w:sz w:val="18"/>
                <w:szCs w:val="18"/>
              </w:rPr>
              <w:t>pre 10,000</w:t>
            </w:r>
            <w:proofErr w:type="gramEnd"/>
            <w:r w:rsidRPr="00EB2B4D">
              <w:rPr>
                <w:rFonts w:ascii="Times New Roman" w:eastAsia="Times New Roman" w:hAnsi="Times New Roman" w:cs="Times New Roman"/>
                <w:b/>
                <w:color w:val="000000"/>
                <w:sz w:val="18"/>
                <w:szCs w:val="18"/>
              </w:rPr>
              <w:t xml:space="preserve"> years </w:t>
            </w:r>
            <w:r w:rsidRPr="00EB2B4D">
              <w:rPr>
                <w:rFonts w:ascii="Times New Roman" w:eastAsia="Times New Roman" w:hAnsi="Times New Roman" w:cs="Times New Roman"/>
                <w:b/>
                <w:bCs/>
                <w:color w:val="000000"/>
                <w:sz w:val="18"/>
                <w:szCs w:val="18"/>
              </w:rPr>
              <w:t>(%)</w:t>
            </w:r>
          </w:p>
        </w:tc>
        <w:tc>
          <w:tcPr>
            <w:tcW w:w="1701" w:type="dxa"/>
            <w:tcBorders>
              <w:top w:val="single" w:sz="4" w:space="0" w:color="auto"/>
              <w:left w:val="nil"/>
              <w:bottom w:val="single" w:sz="4" w:space="0" w:color="auto"/>
              <w:right w:val="nil"/>
            </w:tcBorders>
            <w:shd w:val="clear" w:color="auto" w:fill="D9D9D9" w:themeFill="background1" w:themeFillShade="D9"/>
          </w:tcPr>
          <w:p w14:paraId="372D5A85" w14:textId="77777777" w:rsidR="002C732D" w:rsidRPr="00EB2B4D" w:rsidRDefault="002C732D" w:rsidP="00BE42E9">
            <w:pPr>
              <w:spacing w:after="0" w:line="240" w:lineRule="auto"/>
              <w:jc w:val="center"/>
              <w:rPr>
                <w:rFonts w:ascii="Times New Roman" w:eastAsia="Times New Roman" w:hAnsi="Times New Roman" w:cs="Times New Roman"/>
                <w:b/>
                <w:color w:val="000000"/>
                <w:sz w:val="18"/>
                <w:szCs w:val="18"/>
              </w:rPr>
            </w:pPr>
            <w:bookmarkStart w:id="47" w:name="_Hlk181951162"/>
            <w:r w:rsidRPr="00EB2B4D">
              <w:rPr>
                <w:rFonts w:ascii="Times New Roman" w:eastAsia="Times New Roman" w:hAnsi="Times New Roman" w:cs="Times New Roman"/>
                <w:b/>
                <w:color w:val="000000"/>
                <w:sz w:val="18"/>
                <w:szCs w:val="18"/>
              </w:rPr>
              <w:t>Time-averaged moisture content (%)</w:t>
            </w:r>
            <w:bookmarkEnd w:id="47"/>
          </w:p>
        </w:tc>
      </w:tr>
      <w:bookmarkEnd w:id="45"/>
      <w:tr w:rsidR="00AB47F3" w:rsidRPr="005F44EF" w14:paraId="5D693D79" w14:textId="77777777" w:rsidTr="00AB47F3">
        <w:trPr>
          <w:trHeight w:val="348"/>
          <w:jc w:val="center"/>
        </w:trPr>
        <w:tc>
          <w:tcPr>
            <w:tcW w:w="1134" w:type="dxa"/>
            <w:tcBorders>
              <w:top w:val="single" w:sz="4" w:space="0" w:color="auto"/>
              <w:left w:val="nil"/>
              <w:bottom w:val="nil"/>
              <w:right w:val="nil"/>
            </w:tcBorders>
            <w:shd w:val="clear" w:color="auto" w:fill="auto"/>
            <w:vAlign w:val="center"/>
          </w:tcPr>
          <w:p w14:paraId="479C637F"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ANY20-02</w:t>
            </w:r>
          </w:p>
        </w:tc>
        <w:tc>
          <w:tcPr>
            <w:tcW w:w="1134" w:type="dxa"/>
            <w:tcBorders>
              <w:top w:val="single" w:sz="4" w:space="0" w:color="auto"/>
              <w:left w:val="nil"/>
              <w:bottom w:val="nil"/>
              <w:right w:val="nil"/>
            </w:tcBorders>
            <w:shd w:val="clear" w:color="auto" w:fill="auto"/>
            <w:vAlign w:val="center"/>
          </w:tcPr>
          <w:p w14:paraId="55A1DB5F"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Shfd20130</w:t>
            </w:r>
          </w:p>
        </w:tc>
        <w:tc>
          <w:tcPr>
            <w:tcW w:w="993" w:type="dxa"/>
            <w:tcBorders>
              <w:top w:val="single" w:sz="4" w:space="0" w:color="auto"/>
              <w:left w:val="nil"/>
              <w:bottom w:val="nil"/>
              <w:right w:val="nil"/>
            </w:tcBorders>
            <w:vAlign w:val="center"/>
          </w:tcPr>
          <w:p w14:paraId="3D69BC5B"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0.85/C</w:t>
            </w:r>
          </w:p>
        </w:tc>
        <w:tc>
          <w:tcPr>
            <w:tcW w:w="1134" w:type="dxa"/>
            <w:tcBorders>
              <w:top w:val="single" w:sz="4" w:space="0" w:color="auto"/>
              <w:left w:val="nil"/>
              <w:bottom w:val="nil"/>
              <w:right w:val="nil"/>
            </w:tcBorders>
            <w:shd w:val="clear" w:color="auto" w:fill="auto"/>
            <w:vAlign w:val="center"/>
          </w:tcPr>
          <w:p w14:paraId="1C6BB7AB"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3.2</w:t>
            </w:r>
          </w:p>
        </w:tc>
        <w:tc>
          <w:tcPr>
            <w:tcW w:w="1701" w:type="dxa"/>
            <w:tcBorders>
              <w:top w:val="single" w:sz="4" w:space="0" w:color="auto"/>
              <w:left w:val="nil"/>
              <w:bottom w:val="nil"/>
              <w:right w:val="nil"/>
            </w:tcBorders>
            <w:shd w:val="clear" w:color="auto" w:fill="auto"/>
            <w:vAlign w:val="center"/>
          </w:tcPr>
          <w:p w14:paraId="6B71CEF8"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8</w:t>
            </w:r>
          </w:p>
        </w:tc>
        <w:tc>
          <w:tcPr>
            <w:tcW w:w="1701" w:type="dxa"/>
            <w:tcBorders>
              <w:top w:val="single" w:sz="4" w:space="0" w:color="auto"/>
              <w:left w:val="nil"/>
              <w:bottom w:val="nil"/>
              <w:right w:val="nil"/>
            </w:tcBorders>
            <w:vAlign w:val="center"/>
          </w:tcPr>
          <w:p w14:paraId="081DF49C" w14:textId="72B55BD6"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20</w:t>
            </w:r>
          </w:p>
        </w:tc>
        <w:tc>
          <w:tcPr>
            <w:tcW w:w="1701" w:type="dxa"/>
            <w:tcBorders>
              <w:top w:val="single" w:sz="4" w:space="0" w:color="auto"/>
              <w:left w:val="nil"/>
              <w:bottom w:val="nil"/>
              <w:right w:val="nil"/>
            </w:tcBorders>
            <w:vAlign w:val="center"/>
          </w:tcPr>
          <w:p w14:paraId="003DC989" w14:textId="6F254F81" w:rsidR="00317275" w:rsidRPr="005F44EF" w:rsidRDefault="00491219"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hAnsi="Times New Roman" w:cs="Times New Roman"/>
                <w:color w:val="000000"/>
                <w:sz w:val="18"/>
                <w:szCs w:val="18"/>
              </w:rPr>
              <w:t>11</w:t>
            </w:r>
          </w:p>
        </w:tc>
      </w:tr>
      <w:tr w:rsidR="00AB47F3" w:rsidRPr="005F44EF" w14:paraId="3C7B3B2F" w14:textId="77777777" w:rsidTr="00AB47F3">
        <w:trPr>
          <w:trHeight w:val="348"/>
          <w:jc w:val="center"/>
        </w:trPr>
        <w:tc>
          <w:tcPr>
            <w:tcW w:w="1134" w:type="dxa"/>
            <w:tcBorders>
              <w:top w:val="nil"/>
              <w:left w:val="nil"/>
              <w:bottom w:val="nil"/>
              <w:right w:val="nil"/>
            </w:tcBorders>
            <w:shd w:val="clear" w:color="auto" w:fill="auto"/>
            <w:vAlign w:val="center"/>
          </w:tcPr>
          <w:p w14:paraId="29682759"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ANY20-03</w:t>
            </w:r>
          </w:p>
        </w:tc>
        <w:tc>
          <w:tcPr>
            <w:tcW w:w="1134" w:type="dxa"/>
            <w:tcBorders>
              <w:top w:val="nil"/>
              <w:left w:val="nil"/>
              <w:bottom w:val="nil"/>
              <w:right w:val="nil"/>
            </w:tcBorders>
            <w:shd w:val="clear" w:color="auto" w:fill="auto"/>
            <w:vAlign w:val="center"/>
          </w:tcPr>
          <w:p w14:paraId="1BBA41C6"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Shfd20131</w:t>
            </w:r>
          </w:p>
        </w:tc>
        <w:tc>
          <w:tcPr>
            <w:tcW w:w="993" w:type="dxa"/>
            <w:tcBorders>
              <w:top w:val="nil"/>
              <w:left w:val="nil"/>
              <w:bottom w:val="nil"/>
              <w:right w:val="nil"/>
            </w:tcBorders>
            <w:vAlign w:val="center"/>
          </w:tcPr>
          <w:p w14:paraId="537A047F"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1.15/C</w:t>
            </w:r>
          </w:p>
        </w:tc>
        <w:tc>
          <w:tcPr>
            <w:tcW w:w="1134" w:type="dxa"/>
            <w:tcBorders>
              <w:top w:val="nil"/>
              <w:left w:val="nil"/>
              <w:bottom w:val="nil"/>
              <w:right w:val="nil"/>
            </w:tcBorders>
            <w:shd w:val="clear" w:color="auto" w:fill="auto"/>
            <w:vAlign w:val="center"/>
          </w:tcPr>
          <w:p w14:paraId="0B0B657D"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4.6</w:t>
            </w:r>
          </w:p>
        </w:tc>
        <w:tc>
          <w:tcPr>
            <w:tcW w:w="1701" w:type="dxa"/>
            <w:tcBorders>
              <w:top w:val="nil"/>
              <w:left w:val="nil"/>
              <w:bottom w:val="nil"/>
              <w:right w:val="nil"/>
            </w:tcBorders>
            <w:shd w:val="clear" w:color="auto" w:fill="auto"/>
            <w:vAlign w:val="center"/>
          </w:tcPr>
          <w:p w14:paraId="4F412EB9"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8</w:t>
            </w:r>
          </w:p>
        </w:tc>
        <w:tc>
          <w:tcPr>
            <w:tcW w:w="1701" w:type="dxa"/>
            <w:tcBorders>
              <w:top w:val="nil"/>
              <w:left w:val="nil"/>
              <w:bottom w:val="nil"/>
              <w:right w:val="nil"/>
            </w:tcBorders>
            <w:vAlign w:val="center"/>
          </w:tcPr>
          <w:p w14:paraId="12AA3F89"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20</w:t>
            </w:r>
          </w:p>
        </w:tc>
        <w:tc>
          <w:tcPr>
            <w:tcW w:w="1701" w:type="dxa"/>
            <w:tcBorders>
              <w:top w:val="nil"/>
              <w:left w:val="nil"/>
              <w:bottom w:val="nil"/>
              <w:right w:val="nil"/>
            </w:tcBorders>
            <w:vAlign w:val="center"/>
          </w:tcPr>
          <w:p w14:paraId="28541375" w14:textId="28F7D535"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hAnsi="Times New Roman" w:cs="Times New Roman"/>
                <w:color w:val="000000"/>
                <w:sz w:val="18"/>
                <w:szCs w:val="18"/>
              </w:rPr>
              <w:t>15</w:t>
            </w:r>
          </w:p>
        </w:tc>
      </w:tr>
      <w:tr w:rsidR="00AB47F3" w:rsidRPr="005F44EF" w14:paraId="2F111D63" w14:textId="77777777" w:rsidTr="00AB47F3">
        <w:trPr>
          <w:trHeight w:val="348"/>
          <w:jc w:val="center"/>
        </w:trPr>
        <w:tc>
          <w:tcPr>
            <w:tcW w:w="1134" w:type="dxa"/>
            <w:tcBorders>
              <w:top w:val="nil"/>
              <w:left w:val="nil"/>
              <w:bottom w:val="nil"/>
              <w:right w:val="nil"/>
            </w:tcBorders>
            <w:shd w:val="clear" w:color="auto" w:fill="auto"/>
            <w:vAlign w:val="center"/>
          </w:tcPr>
          <w:p w14:paraId="5E9A3F15"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ANY20-04</w:t>
            </w:r>
          </w:p>
        </w:tc>
        <w:tc>
          <w:tcPr>
            <w:tcW w:w="1134" w:type="dxa"/>
            <w:tcBorders>
              <w:top w:val="nil"/>
              <w:left w:val="nil"/>
              <w:bottom w:val="nil"/>
              <w:right w:val="nil"/>
            </w:tcBorders>
            <w:shd w:val="clear" w:color="auto" w:fill="auto"/>
            <w:vAlign w:val="center"/>
          </w:tcPr>
          <w:p w14:paraId="5E72EDA1"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Shfd20132</w:t>
            </w:r>
          </w:p>
        </w:tc>
        <w:tc>
          <w:tcPr>
            <w:tcW w:w="993" w:type="dxa"/>
            <w:tcBorders>
              <w:top w:val="nil"/>
              <w:left w:val="nil"/>
              <w:bottom w:val="nil"/>
              <w:right w:val="nil"/>
            </w:tcBorders>
            <w:vAlign w:val="center"/>
          </w:tcPr>
          <w:p w14:paraId="7A1333FE"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0.90/C-D</w:t>
            </w:r>
          </w:p>
        </w:tc>
        <w:tc>
          <w:tcPr>
            <w:tcW w:w="1134" w:type="dxa"/>
            <w:tcBorders>
              <w:top w:val="nil"/>
              <w:left w:val="nil"/>
              <w:bottom w:val="nil"/>
              <w:right w:val="nil"/>
            </w:tcBorders>
            <w:shd w:val="clear" w:color="auto" w:fill="auto"/>
            <w:vAlign w:val="center"/>
          </w:tcPr>
          <w:p w14:paraId="4DBE96CD"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10.3</w:t>
            </w:r>
          </w:p>
        </w:tc>
        <w:tc>
          <w:tcPr>
            <w:tcW w:w="1701" w:type="dxa"/>
            <w:tcBorders>
              <w:top w:val="nil"/>
              <w:left w:val="nil"/>
              <w:bottom w:val="nil"/>
              <w:right w:val="nil"/>
            </w:tcBorders>
            <w:shd w:val="clear" w:color="auto" w:fill="auto"/>
            <w:vAlign w:val="center"/>
          </w:tcPr>
          <w:p w14:paraId="23AC164F"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12</w:t>
            </w:r>
          </w:p>
        </w:tc>
        <w:tc>
          <w:tcPr>
            <w:tcW w:w="1701" w:type="dxa"/>
            <w:tcBorders>
              <w:top w:val="nil"/>
              <w:left w:val="nil"/>
              <w:bottom w:val="nil"/>
              <w:right w:val="nil"/>
            </w:tcBorders>
            <w:vAlign w:val="center"/>
          </w:tcPr>
          <w:p w14:paraId="1BE09464"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20</w:t>
            </w:r>
          </w:p>
        </w:tc>
        <w:tc>
          <w:tcPr>
            <w:tcW w:w="1701" w:type="dxa"/>
            <w:tcBorders>
              <w:top w:val="nil"/>
              <w:left w:val="nil"/>
              <w:bottom w:val="nil"/>
              <w:right w:val="nil"/>
            </w:tcBorders>
            <w:vAlign w:val="center"/>
          </w:tcPr>
          <w:p w14:paraId="11A982F1" w14:textId="12728A9B"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hAnsi="Times New Roman" w:cs="Times New Roman"/>
                <w:color w:val="000000"/>
                <w:sz w:val="18"/>
                <w:szCs w:val="18"/>
              </w:rPr>
              <w:t>18</w:t>
            </w:r>
          </w:p>
        </w:tc>
      </w:tr>
      <w:tr w:rsidR="00AB47F3" w:rsidRPr="005F44EF" w14:paraId="6867884B" w14:textId="77777777" w:rsidTr="00AB47F3">
        <w:trPr>
          <w:trHeight w:val="348"/>
          <w:jc w:val="center"/>
        </w:trPr>
        <w:tc>
          <w:tcPr>
            <w:tcW w:w="1134" w:type="dxa"/>
            <w:tcBorders>
              <w:top w:val="nil"/>
              <w:left w:val="nil"/>
              <w:bottom w:val="nil"/>
              <w:right w:val="nil"/>
            </w:tcBorders>
            <w:shd w:val="clear" w:color="auto" w:fill="auto"/>
            <w:vAlign w:val="center"/>
          </w:tcPr>
          <w:p w14:paraId="3EA11D88"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ANY20-05</w:t>
            </w:r>
          </w:p>
        </w:tc>
        <w:tc>
          <w:tcPr>
            <w:tcW w:w="1134" w:type="dxa"/>
            <w:tcBorders>
              <w:top w:val="nil"/>
              <w:left w:val="nil"/>
              <w:bottom w:val="nil"/>
              <w:right w:val="nil"/>
            </w:tcBorders>
            <w:shd w:val="clear" w:color="auto" w:fill="auto"/>
            <w:vAlign w:val="center"/>
          </w:tcPr>
          <w:p w14:paraId="45F6B795"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Shfd20133</w:t>
            </w:r>
          </w:p>
        </w:tc>
        <w:tc>
          <w:tcPr>
            <w:tcW w:w="993" w:type="dxa"/>
            <w:tcBorders>
              <w:top w:val="nil"/>
              <w:left w:val="nil"/>
              <w:bottom w:val="nil"/>
              <w:right w:val="nil"/>
            </w:tcBorders>
            <w:vAlign w:val="center"/>
          </w:tcPr>
          <w:p w14:paraId="24EDAC6B"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1.24/D</w:t>
            </w:r>
          </w:p>
        </w:tc>
        <w:tc>
          <w:tcPr>
            <w:tcW w:w="1134" w:type="dxa"/>
            <w:tcBorders>
              <w:top w:val="nil"/>
              <w:left w:val="nil"/>
              <w:bottom w:val="nil"/>
              <w:right w:val="nil"/>
            </w:tcBorders>
            <w:shd w:val="clear" w:color="auto" w:fill="auto"/>
            <w:vAlign w:val="center"/>
          </w:tcPr>
          <w:p w14:paraId="4CFC3DD1"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11.8</w:t>
            </w:r>
          </w:p>
        </w:tc>
        <w:tc>
          <w:tcPr>
            <w:tcW w:w="1701" w:type="dxa"/>
            <w:tcBorders>
              <w:top w:val="nil"/>
              <w:left w:val="nil"/>
              <w:bottom w:val="nil"/>
              <w:right w:val="nil"/>
            </w:tcBorders>
            <w:shd w:val="clear" w:color="auto" w:fill="auto"/>
            <w:vAlign w:val="center"/>
          </w:tcPr>
          <w:p w14:paraId="03DC5691"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12</w:t>
            </w:r>
          </w:p>
        </w:tc>
        <w:tc>
          <w:tcPr>
            <w:tcW w:w="1701" w:type="dxa"/>
            <w:tcBorders>
              <w:top w:val="nil"/>
              <w:left w:val="nil"/>
              <w:bottom w:val="nil"/>
              <w:right w:val="nil"/>
            </w:tcBorders>
            <w:vAlign w:val="center"/>
          </w:tcPr>
          <w:p w14:paraId="36F1B1C6"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20</w:t>
            </w:r>
          </w:p>
        </w:tc>
        <w:tc>
          <w:tcPr>
            <w:tcW w:w="1701" w:type="dxa"/>
            <w:tcBorders>
              <w:top w:val="nil"/>
              <w:left w:val="nil"/>
              <w:bottom w:val="nil"/>
              <w:right w:val="nil"/>
            </w:tcBorders>
            <w:vAlign w:val="center"/>
          </w:tcPr>
          <w:p w14:paraId="713DBC23" w14:textId="4E981F4B"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hAnsi="Times New Roman" w:cs="Times New Roman"/>
                <w:color w:val="000000"/>
                <w:sz w:val="18"/>
                <w:szCs w:val="18"/>
              </w:rPr>
              <w:t>18</w:t>
            </w:r>
          </w:p>
        </w:tc>
      </w:tr>
      <w:tr w:rsidR="00AB47F3" w:rsidRPr="005F44EF" w14:paraId="4EA5692F" w14:textId="77777777" w:rsidTr="00AB47F3">
        <w:trPr>
          <w:trHeight w:val="348"/>
          <w:jc w:val="center"/>
        </w:trPr>
        <w:tc>
          <w:tcPr>
            <w:tcW w:w="1134" w:type="dxa"/>
            <w:tcBorders>
              <w:top w:val="nil"/>
              <w:left w:val="nil"/>
              <w:bottom w:val="nil"/>
              <w:right w:val="nil"/>
            </w:tcBorders>
            <w:shd w:val="clear" w:color="auto" w:fill="auto"/>
            <w:vAlign w:val="center"/>
          </w:tcPr>
          <w:p w14:paraId="66E48F91"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ANY20-06</w:t>
            </w:r>
          </w:p>
        </w:tc>
        <w:tc>
          <w:tcPr>
            <w:tcW w:w="1134" w:type="dxa"/>
            <w:tcBorders>
              <w:top w:val="nil"/>
              <w:left w:val="nil"/>
              <w:bottom w:val="nil"/>
              <w:right w:val="nil"/>
            </w:tcBorders>
            <w:shd w:val="clear" w:color="auto" w:fill="auto"/>
            <w:vAlign w:val="center"/>
          </w:tcPr>
          <w:p w14:paraId="6964A436"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Shfd20134</w:t>
            </w:r>
          </w:p>
        </w:tc>
        <w:tc>
          <w:tcPr>
            <w:tcW w:w="993" w:type="dxa"/>
            <w:tcBorders>
              <w:top w:val="nil"/>
              <w:left w:val="nil"/>
              <w:bottom w:val="nil"/>
              <w:right w:val="nil"/>
            </w:tcBorders>
            <w:vAlign w:val="center"/>
          </w:tcPr>
          <w:p w14:paraId="54FC9318"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1.90/D</w:t>
            </w:r>
          </w:p>
        </w:tc>
        <w:tc>
          <w:tcPr>
            <w:tcW w:w="1134" w:type="dxa"/>
            <w:tcBorders>
              <w:top w:val="nil"/>
              <w:left w:val="nil"/>
              <w:bottom w:val="nil"/>
              <w:right w:val="nil"/>
            </w:tcBorders>
            <w:shd w:val="clear" w:color="auto" w:fill="auto"/>
            <w:vAlign w:val="center"/>
          </w:tcPr>
          <w:p w14:paraId="78A3D3A3"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6.9</w:t>
            </w:r>
          </w:p>
        </w:tc>
        <w:tc>
          <w:tcPr>
            <w:tcW w:w="1701" w:type="dxa"/>
            <w:tcBorders>
              <w:top w:val="nil"/>
              <w:left w:val="nil"/>
              <w:bottom w:val="nil"/>
              <w:right w:val="nil"/>
            </w:tcBorders>
            <w:shd w:val="clear" w:color="auto" w:fill="auto"/>
            <w:vAlign w:val="center"/>
          </w:tcPr>
          <w:p w14:paraId="3FFAFED7"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13</w:t>
            </w:r>
          </w:p>
        </w:tc>
        <w:tc>
          <w:tcPr>
            <w:tcW w:w="1701" w:type="dxa"/>
            <w:tcBorders>
              <w:top w:val="nil"/>
              <w:left w:val="nil"/>
              <w:bottom w:val="nil"/>
              <w:right w:val="nil"/>
            </w:tcBorders>
            <w:vAlign w:val="center"/>
          </w:tcPr>
          <w:p w14:paraId="1B0F43DE"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20</w:t>
            </w:r>
          </w:p>
        </w:tc>
        <w:tc>
          <w:tcPr>
            <w:tcW w:w="1701" w:type="dxa"/>
            <w:tcBorders>
              <w:top w:val="nil"/>
              <w:left w:val="nil"/>
              <w:bottom w:val="nil"/>
              <w:right w:val="nil"/>
            </w:tcBorders>
            <w:vAlign w:val="center"/>
          </w:tcPr>
          <w:p w14:paraId="33AB533F" w14:textId="2D7C396C"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hAnsi="Times New Roman" w:cs="Times New Roman"/>
                <w:color w:val="000000"/>
                <w:sz w:val="18"/>
                <w:szCs w:val="18"/>
              </w:rPr>
              <w:t>19</w:t>
            </w:r>
          </w:p>
        </w:tc>
      </w:tr>
      <w:tr w:rsidR="00AB47F3" w:rsidRPr="005F44EF" w14:paraId="325AC552" w14:textId="77777777" w:rsidTr="00AB47F3">
        <w:trPr>
          <w:trHeight w:val="348"/>
          <w:jc w:val="center"/>
        </w:trPr>
        <w:tc>
          <w:tcPr>
            <w:tcW w:w="1134" w:type="dxa"/>
            <w:tcBorders>
              <w:top w:val="nil"/>
              <w:left w:val="nil"/>
              <w:bottom w:val="nil"/>
              <w:right w:val="nil"/>
            </w:tcBorders>
            <w:shd w:val="clear" w:color="auto" w:fill="auto"/>
            <w:vAlign w:val="center"/>
          </w:tcPr>
          <w:p w14:paraId="3AC10CFC"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ANY20-07</w:t>
            </w:r>
          </w:p>
        </w:tc>
        <w:tc>
          <w:tcPr>
            <w:tcW w:w="1134" w:type="dxa"/>
            <w:tcBorders>
              <w:top w:val="nil"/>
              <w:left w:val="nil"/>
              <w:bottom w:val="nil"/>
              <w:right w:val="nil"/>
            </w:tcBorders>
            <w:shd w:val="clear" w:color="auto" w:fill="auto"/>
            <w:vAlign w:val="center"/>
          </w:tcPr>
          <w:p w14:paraId="1B1C0261"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Shfd20135</w:t>
            </w:r>
          </w:p>
        </w:tc>
        <w:tc>
          <w:tcPr>
            <w:tcW w:w="993" w:type="dxa"/>
            <w:tcBorders>
              <w:top w:val="nil"/>
              <w:left w:val="nil"/>
              <w:bottom w:val="nil"/>
              <w:right w:val="nil"/>
            </w:tcBorders>
            <w:vAlign w:val="center"/>
          </w:tcPr>
          <w:p w14:paraId="1C940D1F"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2.60/D</w:t>
            </w:r>
          </w:p>
        </w:tc>
        <w:tc>
          <w:tcPr>
            <w:tcW w:w="1134" w:type="dxa"/>
            <w:tcBorders>
              <w:top w:val="nil"/>
              <w:left w:val="nil"/>
              <w:bottom w:val="nil"/>
              <w:right w:val="nil"/>
            </w:tcBorders>
            <w:shd w:val="clear" w:color="auto" w:fill="auto"/>
            <w:vAlign w:val="center"/>
          </w:tcPr>
          <w:p w14:paraId="76C8157B"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5.4</w:t>
            </w:r>
          </w:p>
        </w:tc>
        <w:tc>
          <w:tcPr>
            <w:tcW w:w="1701" w:type="dxa"/>
            <w:tcBorders>
              <w:top w:val="nil"/>
              <w:left w:val="nil"/>
              <w:bottom w:val="nil"/>
              <w:right w:val="nil"/>
            </w:tcBorders>
            <w:shd w:val="clear" w:color="auto" w:fill="auto"/>
            <w:vAlign w:val="center"/>
          </w:tcPr>
          <w:p w14:paraId="74ED0ADD"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13</w:t>
            </w:r>
          </w:p>
        </w:tc>
        <w:tc>
          <w:tcPr>
            <w:tcW w:w="1701" w:type="dxa"/>
            <w:tcBorders>
              <w:top w:val="nil"/>
              <w:left w:val="nil"/>
              <w:bottom w:val="nil"/>
              <w:right w:val="nil"/>
            </w:tcBorders>
            <w:vAlign w:val="center"/>
          </w:tcPr>
          <w:p w14:paraId="44C6B1CD"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20</w:t>
            </w:r>
          </w:p>
        </w:tc>
        <w:tc>
          <w:tcPr>
            <w:tcW w:w="1701" w:type="dxa"/>
            <w:tcBorders>
              <w:top w:val="nil"/>
              <w:left w:val="nil"/>
              <w:bottom w:val="nil"/>
              <w:right w:val="nil"/>
            </w:tcBorders>
            <w:vAlign w:val="center"/>
          </w:tcPr>
          <w:p w14:paraId="159FE682" w14:textId="34C110E8"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hAnsi="Times New Roman" w:cs="Times New Roman"/>
                <w:color w:val="000000"/>
                <w:sz w:val="18"/>
                <w:szCs w:val="18"/>
              </w:rPr>
              <w:t>19</w:t>
            </w:r>
          </w:p>
        </w:tc>
      </w:tr>
      <w:tr w:rsidR="00AB47F3" w:rsidRPr="005F44EF" w14:paraId="00A28C62" w14:textId="77777777" w:rsidTr="00AB47F3">
        <w:trPr>
          <w:trHeight w:val="348"/>
          <w:jc w:val="center"/>
        </w:trPr>
        <w:tc>
          <w:tcPr>
            <w:tcW w:w="1134" w:type="dxa"/>
            <w:tcBorders>
              <w:top w:val="nil"/>
              <w:left w:val="nil"/>
              <w:bottom w:val="nil"/>
              <w:right w:val="nil"/>
            </w:tcBorders>
            <w:shd w:val="clear" w:color="auto" w:fill="auto"/>
            <w:vAlign w:val="center"/>
          </w:tcPr>
          <w:p w14:paraId="5F50A830"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ANY20-08</w:t>
            </w:r>
          </w:p>
        </w:tc>
        <w:tc>
          <w:tcPr>
            <w:tcW w:w="1134" w:type="dxa"/>
            <w:tcBorders>
              <w:top w:val="nil"/>
              <w:left w:val="nil"/>
              <w:bottom w:val="nil"/>
              <w:right w:val="nil"/>
            </w:tcBorders>
            <w:shd w:val="clear" w:color="auto" w:fill="auto"/>
            <w:vAlign w:val="center"/>
          </w:tcPr>
          <w:p w14:paraId="34512BA1"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Shfd20136</w:t>
            </w:r>
          </w:p>
        </w:tc>
        <w:tc>
          <w:tcPr>
            <w:tcW w:w="993" w:type="dxa"/>
            <w:tcBorders>
              <w:top w:val="nil"/>
              <w:left w:val="nil"/>
              <w:bottom w:val="nil"/>
              <w:right w:val="nil"/>
            </w:tcBorders>
            <w:vAlign w:val="center"/>
          </w:tcPr>
          <w:p w14:paraId="29039270"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3.60/D</w:t>
            </w:r>
          </w:p>
        </w:tc>
        <w:tc>
          <w:tcPr>
            <w:tcW w:w="1134" w:type="dxa"/>
            <w:tcBorders>
              <w:top w:val="nil"/>
              <w:left w:val="nil"/>
              <w:bottom w:val="nil"/>
              <w:right w:val="nil"/>
            </w:tcBorders>
            <w:shd w:val="clear" w:color="auto" w:fill="auto"/>
            <w:vAlign w:val="center"/>
          </w:tcPr>
          <w:p w14:paraId="09158917"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12.5</w:t>
            </w:r>
          </w:p>
        </w:tc>
        <w:tc>
          <w:tcPr>
            <w:tcW w:w="1701" w:type="dxa"/>
            <w:tcBorders>
              <w:top w:val="nil"/>
              <w:left w:val="nil"/>
              <w:bottom w:val="nil"/>
              <w:right w:val="nil"/>
            </w:tcBorders>
            <w:shd w:val="clear" w:color="auto" w:fill="auto"/>
            <w:vAlign w:val="center"/>
          </w:tcPr>
          <w:p w14:paraId="1A38E5E3"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13</w:t>
            </w:r>
          </w:p>
        </w:tc>
        <w:tc>
          <w:tcPr>
            <w:tcW w:w="1701" w:type="dxa"/>
            <w:tcBorders>
              <w:top w:val="nil"/>
              <w:left w:val="nil"/>
              <w:bottom w:val="nil"/>
              <w:right w:val="nil"/>
            </w:tcBorders>
            <w:vAlign w:val="center"/>
          </w:tcPr>
          <w:p w14:paraId="13D80797"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20</w:t>
            </w:r>
          </w:p>
        </w:tc>
        <w:tc>
          <w:tcPr>
            <w:tcW w:w="1701" w:type="dxa"/>
            <w:tcBorders>
              <w:top w:val="nil"/>
              <w:left w:val="nil"/>
              <w:bottom w:val="nil"/>
              <w:right w:val="nil"/>
            </w:tcBorders>
            <w:vAlign w:val="center"/>
          </w:tcPr>
          <w:p w14:paraId="61A7E254" w14:textId="7051774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hAnsi="Times New Roman" w:cs="Times New Roman"/>
                <w:color w:val="000000"/>
                <w:sz w:val="18"/>
                <w:szCs w:val="18"/>
              </w:rPr>
              <w:t>19</w:t>
            </w:r>
          </w:p>
        </w:tc>
      </w:tr>
      <w:tr w:rsidR="00AB47F3" w:rsidRPr="005F44EF" w14:paraId="40E1335C" w14:textId="77777777" w:rsidTr="00AB47F3">
        <w:trPr>
          <w:trHeight w:val="348"/>
          <w:jc w:val="center"/>
        </w:trPr>
        <w:tc>
          <w:tcPr>
            <w:tcW w:w="1134" w:type="dxa"/>
            <w:tcBorders>
              <w:top w:val="nil"/>
              <w:left w:val="nil"/>
              <w:bottom w:val="nil"/>
              <w:right w:val="nil"/>
            </w:tcBorders>
            <w:shd w:val="clear" w:color="auto" w:fill="auto"/>
            <w:vAlign w:val="center"/>
          </w:tcPr>
          <w:p w14:paraId="76F0333C"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ANY20-09</w:t>
            </w:r>
          </w:p>
        </w:tc>
        <w:tc>
          <w:tcPr>
            <w:tcW w:w="1134" w:type="dxa"/>
            <w:tcBorders>
              <w:top w:val="nil"/>
              <w:left w:val="nil"/>
              <w:bottom w:val="nil"/>
              <w:right w:val="nil"/>
            </w:tcBorders>
            <w:shd w:val="clear" w:color="auto" w:fill="auto"/>
            <w:vAlign w:val="center"/>
          </w:tcPr>
          <w:p w14:paraId="77EA885E"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Shfd20137</w:t>
            </w:r>
          </w:p>
        </w:tc>
        <w:tc>
          <w:tcPr>
            <w:tcW w:w="993" w:type="dxa"/>
            <w:tcBorders>
              <w:top w:val="nil"/>
              <w:left w:val="nil"/>
              <w:bottom w:val="nil"/>
              <w:right w:val="nil"/>
            </w:tcBorders>
            <w:vAlign w:val="center"/>
          </w:tcPr>
          <w:p w14:paraId="7B7E8863"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4.60/D</w:t>
            </w:r>
          </w:p>
        </w:tc>
        <w:tc>
          <w:tcPr>
            <w:tcW w:w="1134" w:type="dxa"/>
            <w:tcBorders>
              <w:top w:val="nil"/>
              <w:left w:val="nil"/>
              <w:bottom w:val="nil"/>
              <w:right w:val="nil"/>
            </w:tcBorders>
            <w:shd w:val="clear" w:color="auto" w:fill="auto"/>
            <w:vAlign w:val="center"/>
          </w:tcPr>
          <w:p w14:paraId="4043431D"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12.3</w:t>
            </w:r>
          </w:p>
        </w:tc>
        <w:tc>
          <w:tcPr>
            <w:tcW w:w="1701" w:type="dxa"/>
            <w:tcBorders>
              <w:top w:val="nil"/>
              <w:left w:val="nil"/>
              <w:bottom w:val="nil"/>
              <w:right w:val="nil"/>
            </w:tcBorders>
            <w:shd w:val="clear" w:color="auto" w:fill="auto"/>
            <w:vAlign w:val="center"/>
          </w:tcPr>
          <w:p w14:paraId="6F7280D4"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13</w:t>
            </w:r>
          </w:p>
        </w:tc>
        <w:tc>
          <w:tcPr>
            <w:tcW w:w="1701" w:type="dxa"/>
            <w:tcBorders>
              <w:top w:val="nil"/>
              <w:left w:val="nil"/>
              <w:bottom w:val="nil"/>
              <w:right w:val="nil"/>
            </w:tcBorders>
            <w:vAlign w:val="center"/>
          </w:tcPr>
          <w:p w14:paraId="16C5484B" w14:textId="77777777"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20</w:t>
            </w:r>
          </w:p>
        </w:tc>
        <w:tc>
          <w:tcPr>
            <w:tcW w:w="1701" w:type="dxa"/>
            <w:tcBorders>
              <w:top w:val="nil"/>
              <w:left w:val="nil"/>
              <w:bottom w:val="nil"/>
              <w:right w:val="nil"/>
            </w:tcBorders>
            <w:vAlign w:val="center"/>
          </w:tcPr>
          <w:p w14:paraId="297321B7" w14:textId="106B49CE" w:rsidR="00317275" w:rsidRPr="005F44EF" w:rsidRDefault="00317275"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hAnsi="Times New Roman" w:cs="Times New Roman"/>
                <w:color w:val="000000"/>
                <w:sz w:val="18"/>
                <w:szCs w:val="18"/>
              </w:rPr>
              <w:t>19</w:t>
            </w:r>
          </w:p>
        </w:tc>
      </w:tr>
      <w:bookmarkEnd w:id="46"/>
    </w:tbl>
    <w:p w14:paraId="1A7C2E03" w14:textId="77777777" w:rsidR="002C732D" w:rsidRPr="005F44EF" w:rsidRDefault="002C732D" w:rsidP="002C732D">
      <w:pPr>
        <w:spacing w:after="0" w:line="276" w:lineRule="auto"/>
        <w:jc w:val="both"/>
        <w:rPr>
          <w:rFonts w:ascii="Times New Roman" w:eastAsia="Times New Roman" w:hAnsi="Times New Roman" w:cs="Times New Roman"/>
          <w:sz w:val="24"/>
          <w:szCs w:val="24"/>
        </w:rPr>
      </w:pPr>
    </w:p>
    <w:p w14:paraId="2AFC7C95" w14:textId="4DCF5707" w:rsidR="00BB7AA9" w:rsidRPr="005F44EF" w:rsidRDefault="00B00D87" w:rsidP="0074452A">
      <w:pPr>
        <w:pStyle w:val="Heading2"/>
        <w:rPr>
          <w:rFonts w:cs="Times New Roman"/>
          <w:color w:val="000000"/>
        </w:rPr>
      </w:pPr>
      <w:bookmarkStart w:id="48" w:name="_Toc178429930"/>
      <w:r w:rsidRPr="005F44EF">
        <w:rPr>
          <w:rFonts w:cs="Times New Roman"/>
          <w:color w:val="000000"/>
        </w:rPr>
        <w:t xml:space="preserve">3.5. </w:t>
      </w:r>
      <w:r w:rsidR="00B9564D" w:rsidRPr="005F44EF">
        <w:rPr>
          <w:rFonts w:cs="Times New Roman"/>
          <w:color w:val="000000"/>
        </w:rPr>
        <w:t>Extended discussion of the chronological results</w:t>
      </w:r>
      <w:bookmarkEnd w:id="48"/>
      <w:r w:rsidR="00B9564D" w:rsidRPr="005F44EF">
        <w:rPr>
          <w:rFonts w:cs="Times New Roman"/>
          <w:color w:val="000000"/>
        </w:rPr>
        <w:t xml:space="preserve"> </w:t>
      </w:r>
    </w:p>
    <w:p w14:paraId="33442B6F" w14:textId="77777777" w:rsidR="00BB7AA9" w:rsidRPr="005F44EF" w:rsidRDefault="00BB7AA9">
      <w:pPr>
        <w:spacing w:after="0" w:line="276" w:lineRule="auto"/>
        <w:jc w:val="both"/>
        <w:rPr>
          <w:rFonts w:ascii="Times New Roman" w:eastAsia="Times New Roman" w:hAnsi="Times New Roman" w:cs="Times New Roman"/>
          <w:b/>
          <w:sz w:val="24"/>
          <w:szCs w:val="24"/>
        </w:rPr>
      </w:pPr>
    </w:p>
    <w:p w14:paraId="594309DB" w14:textId="55783D1A"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3.5.1 Al ESR </w:t>
      </w:r>
      <w:r w:rsidR="00206D9D" w:rsidRPr="005F44EF">
        <w:rPr>
          <w:rFonts w:ascii="Times New Roman" w:eastAsia="Times New Roman" w:hAnsi="Times New Roman" w:cs="Times New Roman"/>
          <w:sz w:val="24"/>
          <w:szCs w:val="24"/>
        </w:rPr>
        <w:t>D</w:t>
      </w:r>
      <w:r w:rsidR="00206D9D" w:rsidRPr="005F44EF">
        <w:rPr>
          <w:rFonts w:ascii="Times New Roman" w:eastAsia="Times New Roman" w:hAnsi="Times New Roman" w:cs="Times New Roman"/>
          <w:sz w:val="24"/>
          <w:szCs w:val="24"/>
          <w:vertAlign w:val="subscript"/>
        </w:rPr>
        <w:t>e</w:t>
      </w:r>
      <w:r w:rsidR="00206D9D"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evaluation</w:t>
      </w:r>
    </w:p>
    <w:p w14:paraId="7BDDE9CD" w14:textId="7C5BB476" w:rsidR="00BB7AA9" w:rsidRPr="005F44EF" w:rsidRDefault="00B9564D">
      <w:pPr>
        <w:spacing w:before="240"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The bleaching coefficient values vary from 24.3 % to 34.8%, indicating similar bleaching residuals for the samples (</w:t>
      </w:r>
      <w:r w:rsidRPr="005F44EF">
        <w:rPr>
          <w:rFonts w:ascii="Times New Roman" w:eastAsia="Times New Roman" w:hAnsi="Times New Roman" w:cs="Times New Roman"/>
          <w:b/>
          <w:sz w:val="24"/>
          <w:szCs w:val="24"/>
        </w:rPr>
        <w:t xml:space="preserve">Table </w:t>
      </w:r>
      <w:r w:rsidR="008A78A0" w:rsidRPr="005F44EF">
        <w:rPr>
          <w:rFonts w:ascii="Times New Roman" w:eastAsia="Times New Roman" w:hAnsi="Times New Roman" w:cs="Times New Roman"/>
          <w:b/>
          <w:sz w:val="24"/>
          <w:szCs w:val="24"/>
        </w:rPr>
        <w:t>S4</w:t>
      </w:r>
      <w:r w:rsidRPr="005F44EF">
        <w:rPr>
          <w:rFonts w:ascii="Times New Roman" w:eastAsia="Times New Roman" w:hAnsi="Times New Roman" w:cs="Times New Roman"/>
          <w:sz w:val="24"/>
          <w:szCs w:val="24"/>
        </w:rPr>
        <w:t xml:space="preserve">). The ESR data collected </w:t>
      </w:r>
      <w:r w:rsidR="00D85234" w:rsidRPr="005F44EF">
        <w:rPr>
          <w:rFonts w:ascii="Times New Roman" w:eastAsia="Times New Roman" w:hAnsi="Times New Roman" w:cs="Times New Roman"/>
          <w:sz w:val="24"/>
          <w:szCs w:val="24"/>
        </w:rPr>
        <w:t xml:space="preserve">for the Al signal overall </w:t>
      </w:r>
      <w:r w:rsidRPr="005F44EF">
        <w:rPr>
          <w:rFonts w:ascii="Times New Roman" w:eastAsia="Times New Roman" w:hAnsi="Times New Roman" w:cs="Times New Roman"/>
          <w:sz w:val="24"/>
          <w:szCs w:val="24"/>
        </w:rPr>
        <w:t xml:space="preserve">show </w:t>
      </w:r>
      <w:r w:rsidR="00D85234" w:rsidRPr="005F44EF">
        <w:rPr>
          <w:rFonts w:ascii="Times New Roman" w:eastAsia="Times New Roman" w:hAnsi="Times New Roman" w:cs="Times New Roman"/>
          <w:sz w:val="24"/>
          <w:szCs w:val="24"/>
        </w:rPr>
        <w:t xml:space="preserve">a </w:t>
      </w:r>
      <w:r w:rsidRPr="005F44EF">
        <w:rPr>
          <w:rFonts w:ascii="Times New Roman" w:eastAsia="Times New Roman" w:hAnsi="Times New Roman" w:cs="Times New Roman"/>
          <w:sz w:val="24"/>
          <w:szCs w:val="24"/>
        </w:rPr>
        <w:t>measurement repeatability</w:t>
      </w:r>
      <w:r w:rsidR="00D85234" w:rsidRPr="005F44EF">
        <w:rPr>
          <w:rFonts w:ascii="Times New Roman" w:eastAsia="Times New Roman" w:hAnsi="Times New Roman" w:cs="Times New Roman"/>
          <w:sz w:val="24"/>
          <w:szCs w:val="24"/>
        </w:rPr>
        <w:t xml:space="preserve"> within the usual standards</w:t>
      </w:r>
      <w:r w:rsidR="00B42236"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{"citationItems":[{"id":"ITEM-1","itemData":{"DOI":"10.1016/j.radphyschem.2023.111313","ISSN":"18790895","abstract":"The true random uncertainty associated with ESR measurements of quartz grains at cryogenic temperature is currently unknown, as well as its impact on resulting equivalent dose (DE) estimates for ESR dating purpose. We provide here the results from the first quantitative evaluation study based on experimental data. Repeated single aliquot and multiple aliquot measurements of 100–200 μm quartz grains show that the random uncertainty (1σ) on the measurement of an individual aliquot usually lies in the range of 1–2%, 2–3 and 3–6% for the Al, Ti and Ti–H signals, respectively. These values are strongly sample and laboratory dependent, as they directly correlate with the signal-to-noise ratio associated with each signal, and may also be influenced by the stability of the experimental setup. The resulting variability of the DE values obtained from the multiple aliquot additive dose method over repeated measurements is estimated to 9%, 11% and 24% (1σ) on average for the Al, Ti and Ti–H signals, respectively. In the light of this outcome, the reliability of a dose estimate derived from one single measurement may be reasonably questioned, and we strongly advocate for the necessity to systematically carry out repeated measurements of a given quartz sample, a procedure that is far from being systematic within the community. Finally, our reproducibility experiments suggest that the experimental setup, measurement temperature or operator do not induce a significant bias in the dose evaluation, provided that repeated measurement are carried out. Our small-scale interlaboratory comparison shows consistent DE results for the Al and Ti signals, giving us some general confidence for the comparison of the dating results obtained by independent laboratories. We nevertheless acknowledge that a larger intercomparison study should be performed within the ESR dating community in order to confirm these initial results.","author":[{"dropping-particle":"","family":"Duval","given":"M.","non-dropping-particle":"","parse-names":false,"suffix":""},{"dropping-particle":"","family":"Guilarte","given":"V.","non-dropping-particle":"","parse-names":false,"suffix":""},{"dropping-particle":"","family":"Bartz","given":"M.","non-dropping-particle":"","parse-names":false,"suffix":""},{"dropping-particle":"","family":"Alonso Escarza","given":"M. J.","non-dropping-particle":"","parse-names":false,"suffix":""},{"dropping-particle":"","family":"Arous","given":"E.","non-dropping-particle":"Ben","parse-names":false,"suffix":""},{"dropping-particle":"","family":"Val","given":"M.","non-dropping-particle":"del","parse-names":false,"suffix":""},{"dropping-particle":"","family":"García Rodríguez","given":"C.","non-dropping-particle":"","parse-names":false,"suffix":""}],"container-title":"Radiation Physics and Chemistry","id":"ITEM-1","issue":"August","issued":{"date-parts":[["2024"]]},"publisher":"Elsevier Ltd","title":"ESR dating of optically-bleached quartz grains: Evaluating measurement repeatability and reproducibility","type":"article-journal","volume":"215"},"uris":["http://www.mendeley.com/documents/?uuid=3541a16a-718d-463f-bc08-9ff5db71146c"]}],"mendeley":{"formattedCitation":"&lt;sup&gt;102&lt;/sup&gt;","plainTextFormattedCitation":"102","previouslyFormattedCitation":"&lt;sup&gt;102&lt;/sup&gt;"},"properties":{"noteIndex":0},"schema":"https://github.com/citation-style-language/schema/raw/master/csl-citation.json"}</w:instrText>
      </w:r>
      <w:r w:rsidR="00B42236"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102</w:t>
      </w:r>
      <w:r w:rsidR="00B42236" w:rsidRPr="005F44EF">
        <w:rPr>
          <w:rFonts w:ascii="Times New Roman" w:eastAsia="Times New Roman" w:hAnsi="Times New Roman" w:cs="Times New Roman"/>
          <w:sz w:val="24"/>
          <w:szCs w:val="24"/>
        </w:rPr>
        <w:fldChar w:fldCharType="end"/>
      </w:r>
      <w:r w:rsidR="0030746B" w:rsidRPr="005F44EF">
        <w:rPr>
          <w:rFonts w:ascii="Times New Roman" w:eastAsia="Times New Roman" w:hAnsi="Times New Roman" w:cs="Times New Roman"/>
          <w:sz w:val="24"/>
          <w:szCs w:val="24"/>
        </w:rPr>
        <w:t>, with a v</w:t>
      </w:r>
      <w:r w:rsidRPr="005F44EF">
        <w:rPr>
          <w:rFonts w:ascii="Times New Roman" w:eastAsia="Times New Roman" w:hAnsi="Times New Roman" w:cs="Times New Roman"/>
          <w:sz w:val="24"/>
          <w:szCs w:val="24"/>
        </w:rPr>
        <w:t xml:space="preserve">ariability of the ESR intensities </w:t>
      </w:r>
      <w:r w:rsidR="0030746B" w:rsidRPr="005F44EF">
        <w:rPr>
          <w:rFonts w:ascii="Times New Roman" w:eastAsia="Times New Roman" w:hAnsi="Times New Roman" w:cs="Times New Roman"/>
          <w:sz w:val="24"/>
          <w:szCs w:val="24"/>
        </w:rPr>
        <w:t xml:space="preserve">of &lt; </w:t>
      </w:r>
      <w:r w:rsidRPr="005F44EF">
        <w:rPr>
          <w:rFonts w:ascii="Times New Roman" w:eastAsia="Times New Roman" w:hAnsi="Times New Roman" w:cs="Times New Roman"/>
          <w:sz w:val="24"/>
          <w:szCs w:val="24"/>
        </w:rPr>
        <w:t>2.5%</w:t>
      </w:r>
      <w:r w:rsidR="0030746B" w:rsidRPr="005F44EF">
        <w:rPr>
          <w:rFonts w:ascii="Times New Roman" w:eastAsia="Times New Roman" w:hAnsi="Times New Roman" w:cs="Times New Roman"/>
          <w:sz w:val="24"/>
          <w:szCs w:val="24"/>
        </w:rPr>
        <w:t xml:space="preserve">, including a </w:t>
      </w:r>
      <w:r w:rsidRPr="005F44EF">
        <w:rPr>
          <w:rFonts w:ascii="Times New Roman" w:eastAsia="Times New Roman" w:hAnsi="Times New Roman" w:cs="Times New Roman"/>
          <w:sz w:val="24"/>
          <w:szCs w:val="24"/>
        </w:rPr>
        <w:t>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w:t>
      </w:r>
      <w:r w:rsidR="0030746B" w:rsidRPr="005F44EF">
        <w:rPr>
          <w:rFonts w:ascii="Times New Roman" w:eastAsia="Times New Roman" w:hAnsi="Times New Roman" w:cs="Times New Roman"/>
          <w:sz w:val="24"/>
          <w:szCs w:val="24"/>
        </w:rPr>
        <w:t xml:space="preserve">scatter </w:t>
      </w:r>
      <w:r w:rsidRPr="005F44EF">
        <w:rPr>
          <w:rFonts w:ascii="Times New Roman" w:eastAsia="Times New Roman" w:hAnsi="Times New Roman" w:cs="Times New Roman"/>
          <w:sz w:val="24"/>
          <w:szCs w:val="24"/>
        </w:rPr>
        <w:t xml:space="preserve">less than </w:t>
      </w:r>
      <w:r w:rsidR="0030746B" w:rsidRPr="005F44EF">
        <w:rPr>
          <w:rFonts w:ascii="Times New Roman" w:eastAsia="Times New Roman" w:hAnsi="Times New Roman" w:cs="Times New Roman"/>
          <w:sz w:val="24"/>
          <w:szCs w:val="24"/>
        </w:rPr>
        <w:t>15</w:t>
      </w:r>
      <w:r w:rsidRPr="005F44EF">
        <w:rPr>
          <w:rFonts w:ascii="Times New Roman" w:eastAsia="Times New Roman" w:hAnsi="Times New Roman" w:cs="Times New Roman"/>
          <w:sz w:val="24"/>
          <w:szCs w:val="24"/>
        </w:rPr>
        <w:t xml:space="preserve">% </w:t>
      </w:r>
      <w:r w:rsidR="0030746B" w:rsidRPr="005F44EF">
        <w:rPr>
          <w:rFonts w:ascii="Times New Roman" w:eastAsia="Times New Roman" w:hAnsi="Times New Roman" w:cs="Times New Roman"/>
          <w:sz w:val="24"/>
          <w:szCs w:val="24"/>
        </w:rPr>
        <w:t xml:space="preserve">(&lt;10 % for </w:t>
      </w:r>
      <w:r w:rsidRPr="005F44EF">
        <w:rPr>
          <w:rFonts w:ascii="Times New Roman" w:eastAsia="Times New Roman" w:hAnsi="Times New Roman" w:cs="Times New Roman"/>
          <w:sz w:val="24"/>
          <w:szCs w:val="24"/>
        </w:rPr>
        <w:t>ANY2</w:t>
      </w:r>
      <w:r w:rsidR="00CB5B13" w:rsidRPr="005F44EF">
        <w:rPr>
          <w:rFonts w:ascii="Times New Roman" w:eastAsia="Times New Roman" w:hAnsi="Times New Roman" w:cs="Times New Roman"/>
          <w:sz w:val="24"/>
          <w:szCs w:val="24"/>
        </w:rPr>
        <w:t>0</w:t>
      </w:r>
      <w:r w:rsidRPr="005F44EF">
        <w:rPr>
          <w:rFonts w:ascii="Times New Roman" w:eastAsia="Times New Roman" w:hAnsi="Times New Roman" w:cs="Times New Roman"/>
          <w:sz w:val="24"/>
          <w:szCs w:val="24"/>
        </w:rPr>
        <w:t>-08 and ANY2</w:t>
      </w:r>
      <w:r w:rsidR="00CB5B13" w:rsidRPr="005F44EF">
        <w:rPr>
          <w:rFonts w:ascii="Times New Roman" w:eastAsia="Times New Roman" w:hAnsi="Times New Roman" w:cs="Times New Roman"/>
          <w:sz w:val="24"/>
          <w:szCs w:val="24"/>
        </w:rPr>
        <w:t>0</w:t>
      </w:r>
      <w:r w:rsidRPr="005F44EF">
        <w:rPr>
          <w:rFonts w:ascii="Times New Roman" w:eastAsia="Times New Roman" w:hAnsi="Times New Roman" w:cs="Times New Roman"/>
          <w:sz w:val="24"/>
          <w:szCs w:val="24"/>
        </w:rPr>
        <w:t>-09</w:t>
      </w:r>
      <w:r w:rsidR="0030746B" w:rsidRPr="005F44EF">
        <w:rPr>
          <w:rFonts w:ascii="Times New Roman" w:eastAsia="Times New Roman" w:hAnsi="Times New Roman" w:cs="Times New Roman"/>
          <w:sz w:val="24"/>
          <w:szCs w:val="24"/>
        </w:rPr>
        <w:t>, &gt;10%</w:t>
      </w:r>
      <w:r w:rsidRPr="005F44EF">
        <w:rPr>
          <w:rFonts w:ascii="Times New Roman" w:eastAsia="Times New Roman" w:hAnsi="Times New Roman" w:cs="Times New Roman"/>
          <w:sz w:val="24"/>
          <w:szCs w:val="24"/>
        </w:rPr>
        <w:t xml:space="preserve"> </w:t>
      </w:r>
      <w:r w:rsidR="0030746B" w:rsidRPr="005F44EF">
        <w:rPr>
          <w:rFonts w:ascii="Times New Roman" w:eastAsia="Times New Roman" w:hAnsi="Times New Roman" w:cs="Times New Roman"/>
          <w:sz w:val="24"/>
          <w:szCs w:val="24"/>
        </w:rPr>
        <w:t xml:space="preserve">for </w:t>
      </w:r>
      <w:r w:rsidRPr="005F44EF">
        <w:rPr>
          <w:rFonts w:ascii="Times New Roman" w:eastAsia="Times New Roman" w:hAnsi="Times New Roman" w:cs="Times New Roman"/>
          <w:sz w:val="24"/>
          <w:szCs w:val="24"/>
        </w:rPr>
        <w:t>ANY2</w:t>
      </w:r>
      <w:r w:rsidR="00CB5B13" w:rsidRPr="005F44EF">
        <w:rPr>
          <w:rFonts w:ascii="Times New Roman" w:eastAsia="Times New Roman" w:hAnsi="Times New Roman" w:cs="Times New Roman"/>
          <w:sz w:val="24"/>
          <w:szCs w:val="24"/>
        </w:rPr>
        <w:t>0</w:t>
      </w:r>
      <w:r w:rsidRPr="005F44EF">
        <w:rPr>
          <w:rFonts w:ascii="Times New Roman" w:eastAsia="Times New Roman" w:hAnsi="Times New Roman" w:cs="Times New Roman"/>
          <w:sz w:val="24"/>
          <w:szCs w:val="24"/>
        </w:rPr>
        <w:t>-04 and ANY2</w:t>
      </w:r>
      <w:r w:rsidR="00CB5B13" w:rsidRPr="005F44EF">
        <w:rPr>
          <w:rFonts w:ascii="Times New Roman" w:eastAsia="Times New Roman" w:hAnsi="Times New Roman" w:cs="Times New Roman"/>
          <w:sz w:val="24"/>
          <w:szCs w:val="24"/>
        </w:rPr>
        <w:t>0</w:t>
      </w:r>
      <w:r w:rsidRPr="005F44EF">
        <w:rPr>
          <w:rFonts w:ascii="Times New Roman" w:eastAsia="Times New Roman" w:hAnsi="Times New Roman" w:cs="Times New Roman"/>
          <w:sz w:val="24"/>
          <w:szCs w:val="24"/>
        </w:rPr>
        <w:t>-05</w:t>
      </w:r>
      <w:r w:rsidR="0030746B" w:rsidRPr="005F44EF">
        <w:rPr>
          <w:rFonts w:ascii="Times New Roman" w:eastAsia="Times New Roman" w:hAnsi="Times New Roman" w:cs="Times New Roman"/>
          <w:sz w:val="24"/>
          <w:szCs w:val="24"/>
        </w:rPr>
        <w:t>)</w:t>
      </w:r>
      <w:r w:rsidRPr="005F44EF">
        <w:rPr>
          <w:rFonts w:ascii="Times New Roman" w:eastAsia="Times New Roman" w:hAnsi="Times New Roman" w:cs="Times New Roman"/>
          <w:sz w:val="24"/>
          <w:szCs w:val="24"/>
        </w:rPr>
        <w:t xml:space="preserve">. </w:t>
      </w:r>
      <w:r w:rsidR="00963DB6" w:rsidRPr="005F44EF">
        <w:rPr>
          <w:rFonts w:ascii="Times New Roman" w:eastAsia="Times New Roman" w:hAnsi="Times New Roman" w:cs="Times New Roman"/>
          <w:sz w:val="24"/>
          <w:szCs w:val="24"/>
        </w:rPr>
        <w:t xml:space="preserve">EXP+LIN function </w:t>
      </w:r>
      <w:r w:rsidRPr="005F44EF">
        <w:rPr>
          <w:rFonts w:ascii="Times New Roman" w:eastAsia="Times New Roman" w:hAnsi="Times New Roman" w:cs="Times New Roman"/>
          <w:sz w:val="24"/>
          <w:szCs w:val="24"/>
        </w:rPr>
        <w:t>fit</w:t>
      </w:r>
      <w:r w:rsidR="0030746B" w:rsidRPr="005F44EF">
        <w:rPr>
          <w:rFonts w:ascii="Times New Roman" w:eastAsia="Times New Roman" w:hAnsi="Times New Roman" w:cs="Times New Roman"/>
          <w:sz w:val="24"/>
          <w:szCs w:val="24"/>
        </w:rPr>
        <w:t xml:space="preserve">ting results show regular (r² &gt; 0.94) to high (r² &gt; 0.99) </w:t>
      </w:r>
      <w:r w:rsidRPr="005F44EF">
        <w:rPr>
          <w:rFonts w:ascii="Times New Roman" w:eastAsia="Times New Roman" w:hAnsi="Times New Roman" w:cs="Times New Roman"/>
          <w:sz w:val="24"/>
          <w:szCs w:val="24"/>
        </w:rPr>
        <w:t xml:space="preserve">goodness-of-fit </w:t>
      </w:r>
      <w:r w:rsidR="0030746B" w:rsidRPr="005F44EF">
        <w:rPr>
          <w:rFonts w:ascii="Times New Roman" w:eastAsia="Times New Roman" w:hAnsi="Times New Roman" w:cs="Times New Roman"/>
          <w:sz w:val="24"/>
          <w:szCs w:val="24"/>
        </w:rPr>
        <w:t>depending on the sample considered.</w:t>
      </w:r>
      <w:r w:rsidRPr="005F44EF">
        <w:rPr>
          <w:rFonts w:ascii="Times New Roman" w:eastAsia="Times New Roman" w:hAnsi="Times New Roman" w:cs="Times New Roman"/>
          <w:sz w:val="24"/>
          <w:szCs w:val="24"/>
        </w:rPr>
        <w:t xml:space="preserve"> </w:t>
      </w:r>
    </w:p>
    <w:p w14:paraId="3315E17C" w14:textId="7B56224B" w:rsidR="00372DE5" w:rsidRPr="005F44EF" w:rsidRDefault="00372DE5">
      <w:pPr>
        <w:spacing w:before="240" w:after="0" w:line="276" w:lineRule="auto"/>
        <w:jc w:val="both"/>
        <w:rPr>
          <w:rFonts w:ascii="Times New Roman" w:eastAsia="Times New Roman" w:hAnsi="Times New Roman" w:cs="Times New Roman"/>
          <w:sz w:val="24"/>
          <w:szCs w:val="24"/>
        </w:rPr>
      </w:pPr>
    </w:p>
    <w:p w14:paraId="326E9F64" w14:textId="323A1F2C" w:rsidR="00BE42E9" w:rsidRPr="005F44EF" w:rsidRDefault="00BE42E9">
      <w:pPr>
        <w:spacing w:before="240" w:after="0" w:line="276" w:lineRule="auto"/>
        <w:jc w:val="both"/>
        <w:rPr>
          <w:rFonts w:ascii="Times New Roman" w:eastAsia="Times New Roman" w:hAnsi="Times New Roman" w:cs="Times New Roman"/>
          <w:sz w:val="24"/>
          <w:szCs w:val="24"/>
        </w:rPr>
      </w:pPr>
    </w:p>
    <w:p w14:paraId="7ACAA995" w14:textId="4DF4514C" w:rsidR="00BE42E9" w:rsidRPr="005F44EF" w:rsidRDefault="00BE42E9">
      <w:pPr>
        <w:spacing w:before="240" w:after="0" w:line="276" w:lineRule="auto"/>
        <w:jc w:val="both"/>
        <w:rPr>
          <w:rFonts w:ascii="Times New Roman" w:eastAsia="Times New Roman" w:hAnsi="Times New Roman" w:cs="Times New Roman"/>
          <w:sz w:val="24"/>
          <w:szCs w:val="24"/>
        </w:rPr>
      </w:pPr>
    </w:p>
    <w:p w14:paraId="30DFA02F" w14:textId="22D19B4B" w:rsidR="00BE42E9" w:rsidRPr="005F44EF" w:rsidRDefault="00BE42E9">
      <w:pPr>
        <w:spacing w:before="240" w:after="0" w:line="276" w:lineRule="auto"/>
        <w:jc w:val="both"/>
        <w:rPr>
          <w:rFonts w:ascii="Times New Roman" w:eastAsia="Times New Roman" w:hAnsi="Times New Roman" w:cs="Times New Roman"/>
          <w:sz w:val="24"/>
          <w:szCs w:val="24"/>
        </w:rPr>
      </w:pPr>
    </w:p>
    <w:p w14:paraId="5E3F62F0" w14:textId="7EF8FD2D" w:rsidR="00BE42E9" w:rsidRPr="005F44EF" w:rsidRDefault="00BE42E9">
      <w:pPr>
        <w:spacing w:before="240" w:after="0" w:line="276" w:lineRule="auto"/>
        <w:jc w:val="both"/>
        <w:rPr>
          <w:rFonts w:ascii="Times New Roman" w:eastAsia="Times New Roman" w:hAnsi="Times New Roman" w:cs="Times New Roman"/>
          <w:sz w:val="24"/>
          <w:szCs w:val="24"/>
        </w:rPr>
      </w:pPr>
    </w:p>
    <w:p w14:paraId="75240C25" w14:textId="3C2E73C2" w:rsidR="00BB7AA9" w:rsidRPr="005F44EF" w:rsidRDefault="00B9564D">
      <w:pPr>
        <w:pBdr>
          <w:top w:val="nil"/>
          <w:left w:val="nil"/>
          <w:bottom w:val="nil"/>
          <w:right w:val="nil"/>
          <w:between w:val="nil"/>
        </w:pBdr>
        <w:spacing w:after="0" w:line="276" w:lineRule="auto"/>
        <w:jc w:val="both"/>
        <w:rPr>
          <w:rFonts w:ascii="Times New Roman" w:eastAsia="Times New Roman" w:hAnsi="Times New Roman" w:cs="Times New Roman"/>
          <w:i/>
          <w:sz w:val="24"/>
          <w:szCs w:val="24"/>
        </w:rPr>
      </w:pPr>
      <w:bookmarkStart w:id="49" w:name="_2s8eyo1" w:colFirst="0" w:colLast="0"/>
      <w:bookmarkStart w:id="50" w:name="_Hlk170654437"/>
      <w:bookmarkEnd w:id="49"/>
      <w:r w:rsidRPr="005F44EF">
        <w:rPr>
          <w:rFonts w:ascii="Times New Roman" w:eastAsia="Times New Roman" w:hAnsi="Times New Roman" w:cs="Times New Roman"/>
          <w:b/>
          <w:sz w:val="24"/>
          <w:szCs w:val="24"/>
        </w:rPr>
        <w:lastRenderedPageBreak/>
        <w:t xml:space="preserve">Table </w:t>
      </w:r>
      <w:r w:rsidR="008A78A0" w:rsidRPr="005F44EF">
        <w:rPr>
          <w:rFonts w:ascii="Times New Roman" w:eastAsia="Times New Roman" w:hAnsi="Times New Roman" w:cs="Times New Roman"/>
          <w:b/>
          <w:sz w:val="24"/>
          <w:szCs w:val="24"/>
        </w:rPr>
        <w:t>S4</w:t>
      </w:r>
      <w:r w:rsidRPr="005F44EF">
        <w:rPr>
          <w:rFonts w:ascii="Times New Roman" w:eastAsia="Times New Roman" w:hAnsi="Times New Roman" w:cs="Times New Roman"/>
          <w:b/>
          <w:sz w:val="24"/>
          <w:szCs w:val="24"/>
        </w:rPr>
        <w:t xml:space="preserve">: </w:t>
      </w:r>
      <w:r w:rsidRPr="005F44EF">
        <w:rPr>
          <w:rFonts w:ascii="Times New Roman" w:eastAsia="Times New Roman" w:hAnsi="Times New Roman" w:cs="Times New Roman"/>
          <w:sz w:val="24"/>
          <w:szCs w:val="24"/>
        </w:rPr>
        <w:t>ESR data derived from the measurement of the Al centre. D</w:t>
      </w:r>
      <w:r w:rsidRPr="005F44EF">
        <w:rPr>
          <w:rFonts w:ascii="Times New Roman" w:eastAsia="Times New Roman" w:hAnsi="Times New Roman" w:cs="Times New Roman"/>
          <w:sz w:val="24"/>
          <w:szCs w:val="24"/>
          <w:vertAlign w:val="subscript"/>
        </w:rPr>
        <w:t>e</w:t>
      </w:r>
      <w:r w:rsidR="00F24010">
        <w:rPr>
          <w:rFonts w:ascii="Times New Roman" w:eastAsia="Times New Roman" w:hAnsi="Times New Roman" w:cs="Times New Roman"/>
          <w:sz w:val="24"/>
          <w:szCs w:val="24"/>
          <w:vertAlign w:val="subscript"/>
        </w:rPr>
        <w:t xml:space="preserve"> </w:t>
      </w:r>
      <w:r w:rsidRPr="005F44EF">
        <w:rPr>
          <w:rFonts w:ascii="Times New Roman" w:eastAsia="Times New Roman" w:hAnsi="Times New Roman" w:cs="Times New Roman"/>
          <w:sz w:val="24"/>
          <w:szCs w:val="24"/>
        </w:rPr>
        <w:t>are presented at 1-sigma.</w:t>
      </w:r>
      <w:bookmarkEnd w:id="50"/>
      <w:r w:rsidR="00F24010">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 xml:space="preserve">The ESR intensities repeatability </w:t>
      </w:r>
      <w:r w:rsidR="003C1739">
        <w:rPr>
          <w:rFonts w:ascii="Times New Roman" w:eastAsia="Times New Roman" w:hAnsi="Times New Roman" w:cs="Times New Roman"/>
          <w:sz w:val="24"/>
          <w:szCs w:val="24"/>
        </w:rPr>
        <w:t>is expressed as</w:t>
      </w:r>
      <w:r w:rsidRPr="005F44EF">
        <w:rPr>
          <w:rFonts w:ascii="Times New Roman" w:eastAsia="Times New Roman" w:hAnsi="Times New Roman" w:cs="Times New Roman"/>
          <w:sz w:val="24"/>
          <w:szCs w:val="24"/>
        </w:rPr>
        <w:t xml:space="preserve"> the relative standard deviation </w:t>
      </w:r>
      <w:r w:rsidR="003C1739">
        <w:rPr>
          <w:rFonts w:ascii="Times New Roman" w:eastAsia="Times New Roman" w:hAnsi="Times New Roman" w:cs="Times New Roman"/>
          <w:sz w:val="24"/>
          <w:szCs w:val="24"/>
        </w:rPr>
        <w:t xml:space="preserve">(coefficient of variation) </w:t>
      </w:r>
      <w:r w:rsidRPr="005F44EF">
        <w:rPr>
          <w:rFonts w:ascii="Times New Roman" w:eastAsia="Times New Roman" w:hAnsi="Times New Roman" w:cs="Times New Roman"/>
          <w:sz w:val="24"/>
          <w:szCs w:val="24"/>
        </w:rPr>
        <w:t>of the average ESR intensities obtained from each set of ESR measurement. The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repeatability is evaluated via the variability of the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values obtained after each set of measurement</w:t>
      </w:r>
      <w:r w:rsidR="003C1739">
        <w:rPr>
          <w:rFonts w:ascii="Times New Roman" w:eastAsia="Times New Roman" w:hAnsi="Times New Roman" w:cs="Times New Roman"/>
          <w:sz w:val="24"/>
          <w:szCs w:val="24"/>
        </w:rPr>
        <w:t>, calculated</w:t>
      </w:r>
      <w:r w:rsidR="003C1739" w:rsidRPr="005F44EF">
        <w:rPr>
          <w:rFonts w:ascii="Times New Roman" w:eastAsia="Times New Roman" w:hAnsi="Times New Roman" w:cs="Times New Roman"/>
          <w:sz w:val="24"/>
          <w:szCs w:val="24"/>
        </w:rPr>
        <w:t xml:space="preserve"> as the relative standard deviation </w:t>
      </w:r>
      <w:r w:rsidR="003C1739">
        <w:rPr>
          <w:rFonts w:ascii="Times New Roman" w:eastAsia="Times New Roman" w:hAnsi="Times New Roman" w:cs="Times New Roman"/>
          <w:sz w:val="24"/>
          <w:szCs w:val="24"/>
        </w:rPr>
        <w:t>(coefficient of variation) from the mean value</w:t>
      </w:r>
      <w:r w:rsidRPr="005F44EF">
        <w:rPr>
          <w:rFonts w:ascii="Times New Roman" w:eastAsia="Times New Roman" w:hAnsi="Times New Roman" w:cs="Times New Roman"/>
          <w:sz w:val="24"/>
          <w:szCs w:val="24"/>
        </w:rPr>
        <w:t>.</w:t>
      </w:r>
      <w:r w:rsidRPr="005F44EF">
        <w:rPr>
          <w:rFonts w:ascii="Times New Roman" w:eastAsia="Times New Roman" w:hAnsi="Times New Roman" w:cs="Times New Roman"/>
          <w:b/>
          <w:sz w:val="24"/>
          <w:szCs w:val="24"/>
        </w:rPr>
        <w:t xml:space="preserve"> </w:t>
      </w:r>
      <w:r w:rsidR="002717A3" w:rsidRPr="005F44EF">
        <w:rPr>
          <w:rFonts w:ascii="Times New Roman" w:eastAsia="Times New Roman" w:hAnsi="Times New Roman" w:cs="Times New Roman"/>
          <w:sz w:val="24"/>
          <w:szCs w:val="24"/>
        </w:rPr>
        <w:t xml:space="preserve">Bl. </w:t>
      </w:r>
      <w:proofErr w:type="spellStart"/>
      <w:r w:rsidR="002717A3" w:rsidRPr="005F44EF">
        <w:rPr>
          <w:rFonts w:ascii="Times New Roman" w:eastAsia="Times New Roman" w:hAnsi="Times New Roman" w:cs="Times New Roman"/>
          <w:sz w:val="24"/>
          <w:szCs w:val="24"/>
        </w:rPr>
        <w:t>Coeff</w:t>
      </w:r>
      <w:proofErr w:type="spellEnd"/>
      <w:r w:rsidR="002717A3" w:rsidRPr="005F44EF">
        <w:rPr>
          <w:rFonts w:ascii="Times New Roman" w:eastAsia="Times New Roman" w:hAnsi="Times New Roman" w:cs="Times New Roman"/>
          <w:sz w:val="24"/>
          <w:szCs w:val="24"/>
        </w:rPr>
        <w:t xml:space="preserve"> (%) is the bleaching coefficient</w:t>
      </w:r>
      <w:r w:rsidR="002B2F2A">
        <w:rPr>
          <w:rFonts w:ascii="Times New Roman" w:eastAsia="Times New Roman" w:hAnsi="Times New Roman" w:cs="Times New Roman"/>
          <w:sz w:val="24"/>
          <w:szCs w:val="24"/>
        </w:rPr>
        <w:t xml:space="preserve">, </w:t>
      </w:r>
      <w:r w:rsidR="002717A3" w:rsidRPr="005F44EF">
        <w:rPr>
          <w:rFonts w:ascii="Times New Roman" w:eastAsia="Times New Roman" w:hAnsi="Times New Roman" w:cs="Times New Roman"/>
          <w:sz w:val="24"/>
          <w:szCs w:val="24"/>
        </w:rPr>
        <w:t xml:space="preserve">which corresponds to the relative difference (in %) between the ESR intensity of the natural and bleached aliquots. </w:t>
      </w:r>
    </w:p>
    <w:tbl>
      <w:tblPr>
        <w:tblStyle w:val="a1"/>
        <w:tblpPr w:leftFromText="180" w:rightFromText="180" w:vertAnchor="text" w:tblpXSpec="center" w:tblpY="119"/>
        <w:tblW w:w="9420" w:type="dxa"/>
        <w:tblLayout w:type="fixed"/>
        <w:tblLook w:val="0400" w:firstRow="0" w:lastRow="0" w:firstColumn="0" w:lastColumn="0" w:noHBand="0" w:noVBand="1"/>
      </w:tblPr>
      <w:tblGrid>
        <w:gridCol w:w="920"/>
        <w:gridCol w:w="250"/>
        <w:gridCol w:w="702"/>
        <w:gridCol w:w="198"/>
        <w:gridCol w:w="972"/>
        <w:gridCol w:w="108"/>
        <w:gridCol w:w="1062"/>
        <w:gridCol w:w="1368"/>
        <w:gridCol w:w="1260"/>
        <w:gridCol w:w="630"/>
        <w:gridCol w:w="768"/>
        <w:gridCol w:w="222"/>
        <w:gridCol w:w="700"/>
        <w:gridCol w:w="250"/>
        <w:gridCol w:w="10"/>
      </w:tblGrid>
      <w:tr w:rsidR="002942B7" w:rsidRPr="005F44EF" w14:paraId="423663F6" w14:textId="77777777" w:rsidTr="00894540">
        <w:trPr>
          <w:trHeight w:val="506"/>
        </w:trPr>
        <w:tc>
          <w:tcPr>
            <w:tcW w:w="9420" w:type="dxa"/>
            <w:gridSpan w:val="15"/>
            <w:tcBorders>
              <w:top w:val="single" w:sz="4" w:space="0" w:color="auto"/>
              <w:left w:val="nil"/>
              <w:bottom w:val="single" w:sz="4" w:space="0" w:color="auto"/>
            </w:tcBorders>
            <w:shd w:val="clear" w:color="auto" w:fill="D9D9D9" w:themeFill="background1" w:themeFillShade="D9"/>
            <w:vAlign w:val="center"/>
          </w:tcPr>
          <w:p w14:paraId="015F5B18" w14:textId="6684D58F" w:rsidR="002942B7" w:rsidRPr="005F44EF" w:rsidRDefault="002942B7" w:rsidP="00BE42E9">
            <w:pPr>
              <w:spacing w:after="0" w:line="240" w:lineRule="auto"/>
              <w:jc w:val="center"/>
              <w:rPr>
                <w:rFonts w:ascii="Times New Roman" w:eastAsia="Times New Roman" w:hAnsi="Times New Roman" w:cs="Times New Roman"/>
                <w:b/>
                <w:color w:val="000000"/>
                <w:sz w:val="18"/>
                <w:szCs w:val="18"/>
              </w:rPr>
            </w:pPr>
            <w:r w:rsidRPr="005F44EF">
              <w:rPr>
                <w:rFonts w:ascii="Times New Roman" w:hAnsi="Times New Roman" w:cs="Times New Roman"/>
                <w:b/>
                <w:color w:val="000000"/>
                <w:sz w:val="18"/>
                <w:szCs w:val="18"/>
                <w:lang w:val="fr-FR"/>
              </w:rPr>
              <w:t>Al centre</w:t>
            </w:r>
          </w:p>
        </w:tc>
      </w:tr>
      <w:tr w:rsidR="00894540" w:rsidRPr="005F44EF" w14:paraId="4B54DF8F" w14:textId="77777777" w:rsidTr="00B77A7E">
        <w:trPr>
          <w:gridAfter w:val="1"/>
          <w:wAfter w:w="10" w:type="dxa"/>
          <w:trHeight w:val="506"/>
        </w:trPr>
        <w:tc>
          <w:tcPr>
            <w:tcW w:w="920" w:type="dxa"/>
            <w:tcBorders>
              <w:top w:val="single" w:sz="4" w:space="0" w:color="auto"/>
              <w:left w:val="nil"/>
              <w:bottom w:val="single" w:sz="4" w:space="0" w:color="auto"/>
              <w:right w:val="nil"/>
            </w:tcBorders>
            <w:shd w:val="clear" w:color="auto" w:fill="D9D9D9" w:themeFill="background1" w:themeFillShade="D9"/>
            <w:vAlign w:val="center"/>
          </w:tcPr>
          <w:p w14:paraId="01DFFEF6" w14:textId="77777777" w:rsidR="0074452A" w:rsidRPr="005F44EF" w:rsidRDefault="0074452A" w:rsidP="00BE42E9">
            <w:pPr>
              <w:spacing w:after="0" w:line="240"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 xml:space="preserve">Sample </w:t>
            </w:r>
            <w:r w:rsidRPr="005F44EF">
              <w:rPr>
                <w:rFonts w:ascii="Times New Roman" w:eastAsia="Times New Roman" w:hAnsi="Times New Roman" w:cs="Times New Roman"/>
                <w:b/>
                <w:sz w:val="18"/>
                <w:szCs w:val="18"/>
              </w:rPr>
              <w:t>ID</w:t>
            </w:r>
          </w:p>
        </w:tc>
        <w:tc>
          <w:tcPr>
            <w:tcW w:w="952" w:type="dxa"/>
            <w:gridSpan w:val="2"/>
            <w:tcBorders>
              <w:top w:val="single" w:sz="4" w:space="0" w:color="auto"/>
              <w:left w:val="nil"/>
              <w:bottom w:val="single" w:sz="4" w:space="0" w:color="auto"/>
              <w:right w:val="nil"/>
            </w:tcBorders>
            <w:shd w:val="clear" w:color="auto" w:fill="D9D9D9" w:themeFill="background1" w:themeFillShade="D9"/>
            <w:vAlign w:val="center"/>
          </w:tcPr>
          <w:p w14:paraId="79233287" w14:textId="17A8DE3E" w:rsidR="0074452A" w:rsidRPr="005F44EF" w:rsidRDefault="0074452A" w:rsidP="00BE42E9">
            <w:pPr>
              <w:autoSpaceDE w:val="0"/>
              <w:autoSpaceDN w:val="0"/>
              <w:adjustRightInd w:val="0"/>
              <w:spacing w:after="0" w:line="240" w:lineRule="auto"/>
              <w:jc w:val="center"/>
              <w:rPr>
                <w:rFonts w:ascii="Times New Roman" w:eastAsia="Times New Roman" w:hAnsi="Times New Roman" w:cs="Times New Roman"/>
                <w:b/>
                <w:color w:val="000000"/>
                <w:sz w:val="18"/>
                <w:szCs w:val="18"/>
                <w:lang w:val="en-US"/>
              </w:rPr>
            </w:pPr>
            <w:proofErr w:type="spellStart"/>
            <w:r w:rsidRPr="005F44EF">
              <w:rPr>
                <w:rFonts w:ascii="Times New Roman" w:hAnsi="Times New Roman" w:cs="Times New Roman"/>
                <w:b/>
                <w:color w:val="000000"/>
                <w:sz w:val="18"/>
                <w:szCs w:val="18"/>
                <w:lang w:val="fr-FR"/>
              </w:rPr>
              <w:t>Measurement</w:t>
            </w:r>
            <w:proofErr w:type="spellEnd"/>
            <w:r w:rsidRPr="005F44EF">
              <w:rPr>
                <w:rFonts w:ascii="Times New Roman" w:hAnsi="Times New Roman" w:cs="Times New Roman"/>
                <w:b/>
                <w:color w:val="000000"/>
                <w:sz w:val="18"/>
                <w:szCs w:val="18"/>
                <w:lang w:val="fr-FR"/>
              </w:rPr>
              <w:t xml:space="preserve"> </w:t>
            </w:r>
            <w:proofErr w:type="spellStart"/>
            <w:r w:rsidRPr="005F44EF">
              <w:rPr>
                <w:rFonts w:ascii="Times New Roman" w:hAnsi="Times New Roman" w:cs="Times New Roman"/>
                <w:b/>
                <w:color w:val="000000"/>
                <w:sz w:val="18"/>
                <w:szCs w:val="18"/>
                <w:lang w:val="fr-FR"/>
              </w:rPr>
              <w:t>method</w:t>
            </w:r>
            <w:proofErr w:type="spellEnd"/>
          </w:p>
        </w:tc>
        <w:tc>
          <w:tcPr>
            <w:tcW w:w="1170" w:type="dxa"/>
            <w:gridSpan w:val="2"/>
            <w:tcBorders>
              <w:top w:val="single" w:sz="4" w:space="0" w:color="auto"/>
              <w:left w:val="nil"/>
              <w:bottom w:val="single" w:sz="4" w:space="0" w:color="auto"/>
              <w:right w:val="nil"/>
            </w:tcBorders>
            <w:shd w:val="clear" w:color="auto" w:fill="D9D9D9" w:themeFill="background1" w:themeFillShade="D9"/>
            <w:vAlign w:val="center"/>
          </w:tcPr>
          <w:p w14:paraId="031ED297" w14:textId="1EE5092D" w:rsidR="0074452A" w:rsidRPr="005F44EF" w:rsidRDefault="0074452A" w:rsidP="00BE42E9">
            <w:pPr>
              <w:spacing w:after="0" w:line="240" w:lineRule="auto"/>
              <w:jc w:val="center"/>
              <w:rPr>
                <w:rFonts w:ascii="Times New Roman" w:hAnsi="Times New Roman" w:cs="Times New Roman"/>
                <w:b/>
                <w:color w:val="000000"/>
                <w:sz w:val="18"/>
                <w:szCs w:val="18"/>
                <w:lang w:val="en-US"/>
              </w:rPr>
            </w:pPr>
            <w:r w:rsidRPr="005F44EF">
              <w:rPr>
                <w:rFonts w:ascii="Times New Roman" w:hAnsi="Times New Roman" w:cs="Times New Roman"/>
                <w:b/>
                <w:color w:val="000000"/>
                <w:sz w:val="18"/>
                <w:szCs w:val="18"/>
                <w:lang w:val="en-US"/>
              </w:rPr>
              <w:t xml:space="preserve">Mean aliquot weight ± 1 </w:t>
            </w:r>
            <w:proofErr w:type="spellStart"/>
            <w:r w:rsidRPr="005F44EF">
              <w:rPr>
                <w:rFonts w:ascii="Times New Roman" w:hAnsi="Times New Roman" w:cs="Times New Roman"/>
                <w:b/>
                <w:color w:val="000000"/>
                <w:sz w:val="18"/>
                <w:szCs w:val="18"/>
                <w:lang w:val="en-US"/>
              </w:rPr>
              <w:t>s.d.</w:t>
            </w:r>
            <w:proofErr w:type="spellEnd"/>
            <w:r w:rsidRPr="005F44EF">
              <w:rPr>
                <w:rFonts w:ascii="Times New Roman" w:hAnsi="Times New Roman" w:cs="Times New Roman"/>
                <w:b/>
                <w:color w:val="000000"/>
                <w:sz w:val="18"/>
                <w:szCs w:val="18"/>
                <w:lang w:val="en-US"/>
              </w:rPr>
              <w:t xml:space="preserve"> (mg)</w:t>
            </w:r>
          </w:p>
        </w:tc>
        <w:tc>
          <w:tcPr>
            <w:tcW w:w="1170" w:type="dxa"/>
            <w:gridSpan w:val="2"/>
            <w:tcBorders>
              <w:top w:val="single" w:sz="4" w:space="0" w:color="auto"/>
              <w:left w:val="nil"/>
              <w:bottom w:val="single" w:sz="4" w:space="0" w:color="auto"/>
              <w:right w:val="nil"/>
            </w:tcBorders>
            <w:shd w:val="clear" w:color="auto" w:fill="D9D9D9" w:themeFill="background1" w:themeFillShade="D9"/>
            <w:vAlign w:val="center"/>
          </w:tcPr>
          <w:p w14:paraId="0944CC82" w14:textId="75BEAC7E" w:rsidR="0074452A" w:rsidRPr="005F44EF" w:rsidRDefault="0074452A" w:rsidP="00BE42E9">
            <w:pPr>
              <w:spacing w:after="0" w:line="240"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Number of measurements</w:t>
            </w:r>
          </w:p>
        </w:tc>
        <w:tc>
          <w:tcPr>
            <w:tcW w:w="1368" w:type="dxa"/>
            <w:tcBorders>
              <w:top w:val="single" w:sz="4" w:space="0" w:color="auto"/>
              <w:left w:val="nil"/>
              <w:bottom w:val="single" w:sz="4" w:space="0" w:color="auto"/>
              <w:right w:val="nil"/>
            </w:tcBorders>
            <w:shd w:val="clear" w:color="auto" w:fill="D9D9D9" w:themeFill="background1" w:themeFillShade="D9"/>
            <w:vAlign w:val="center"/>
          </w:tcPr>
          <w:p w14:paraId="2F663FFE" w14:textId="6D294AA9" w:rsidR="0074452A" w:rsidRPr="005F44EF" w:rsidRDefault="0074452A" w:rsidP="00BE42E9">
            <w:pPr>
              <w:spacing w:after="0" w:line="240"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Repeatability mean ESR intensities (%)</w:t>
            </w:r>
          </w:p>
        </w:tc>
        <w:tc>
          <w:tcPr>
            <w:tcW w:w="1260" w:type="dxa"/>
            <w:tcBorders>
              <w:top w:val="single" w:sz="4" w:space="0" w:color="auto"/>
              <w:left w:val="nil"/>
              <w:bottom w:val="single" w:sz="4" w:space="0" w:color="auto"/>
              <w:right w:val="nil"/>
            </w:tcBorders>
            <w:shd w:val="clear" w:color="auto" w:fill="D9D9D9" w:themeFill="background1" w:themeFillShade="D9"/>
            <w:vAlign w:val="center"/>
          </w:tcPr>
          <w:p w14:paraId="00B1B68E" w14:textId="090DBE46" w:rsidR="0074452A" w:rsidRPr="005F44EF" w:rsidRDefault="0074452A" w:rsidP="00BE42E9">
            <w:pPr>
              <w:spacing w:after="0" w:line="240"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D</w:t>
            </w:r>
            <w:r w:rsidRPr="005F44EF">
              <w:rPr>
                <w:rFonts w:ascii="Times New Roman" w:eastAsia="Times New Roman" w:hAnsi="Times New Roman" w:cs="Times New Roman"/>
                <w:b/>
                <w:color w:val="000000"/>
                <w:sz w:val="18"/>
                <w:szCs w:val="18"/>
                <w:vertAlign w:val="subscript"/>
              </w:rPr>
              <w:t>e</w:t>
            </w:r>
            <w:r w:rsidRPr="005F44EF">
              <w:rPr>
                <w:rFonts w:ascii="Times New Roman" w:eastAsia="Times New Roman" w:hAnsi="Times New Roman" w:cs="Times New Roman"/>
                <w:b/>
                <w:color w:val="000000"/>
                <w:sz w:val="18"/>
                <w:szCs w:val="18"/>
              </w:rPr>
              <w:t xml:space="preserve"> repeatability (%)</w:t>
            </w:r>
          </w:p>
        </w:tc>
        <w:tc>
          <w:tcPr>
            <w:tcW w:w="630" w:type="dxa"/>
            <w:tcBorders>
              <w:top w:val="single" w:sz="4" w:space="0" w:color="auto"/>
              <w:left w:val="nil"/>
              <w:bottom w:val="single" w:sz="4" w:space="0" w:color="auto"/>
              <w:right w:val="nil"/>
            </w:tcBorders>
            <w:shd w:val="clear" w:color="auto" w:fill="D9D9D9" w:themeFill="background1" w:themeFillShade="D9"/>
            <w:vAlign w:val="center"/>
          </w:tcPr>
          <w:p w14:paraId="3CB50E29" w14:textId="77777777" w:rsidR="0074452A" w:rsidRPr="005F44EF" w:rsidRDefault="0074452A" w:rsidP="00BE42E9">
            <w:pPr>
              <w:spacing w:after="0" w:line="240"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Bl. Coef. (%)</w:t>
            </w:r>
          </w:p>
        </w:tc>
        <w:tc>
          <w:tcPr>
            <w:tcW w:w="1940" w:type="dxa"/>
            <w:gridSpan w:val="4"/>
            <w:tcBorders>
              <w:top w:val="single" w:sz="4" w:space="0" w:color="auto"/>
              <w:left w:val="nil"/>
              <w:bottom w:val="single" w:sz="4" w:space="0" w:color="auto"/>
            </w:tcBorders>
            <w:shd w:val="clear" w:color="auto" w:fill="D9D9D9" w:themeFill="background1" w:themeFillShade="D9"/>
            <w:vAlign w:val="center"/>
          </w:tcPr>
          <w:p w14:paraId="629AAE5B" w14:textId="77777777" w:rsidR="00B77A7E" w:rsidRPr="005F44EF" w:rsidRDefault="0074452A" w:rsidP="00BE42E9">
            <w:pPr>
              <w:spacing w:after="0" w:line="240"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 xml:space="preserve">EXP+LIN function </w:t>
            </w:r>
          </w:p>
          <w:p w14:paraId="08ED0F4E" w14:textId="6C9671DA" w:rsidR="0074452A" w:rsidRPr="005F44EF" w:rsidRDefault="0074452A" w:rsidP="00BE42E9">
            <w:pPr>
              <w:spacing w:after="0" w:line="240"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(W-1/I</w:t>
            </w:r>
            <w:r w:rsidRPr="005F44EF">
              <w:rPr>
                <w:rFonts w:ascii="Times New Roman" w:eastAsia="Times New Roman" w:hAnsi="Times New Roman" w:cs="Times New Roman"/>
                <w:b/>
                <w:color w:val="000000"/>
                <w:sz w:val="18"/>
                <w:szCs w:val="18"/>
                <w:vertAlign w:val="superscript"/>
              </w:rPr>
              <w:t>2</w:t>
            </w:r>
            <w:r w:rsidRPr="005F44EF">
              <w:rPr>
                <w:rFonts w:ascii="Times New Roman" w:eastAsia="Times New Roman" w:hAnsi="Times New Roman" w:cs="Times New Roman"/>
                <w:b/>
                <w:color w:val="000000"/>
                <w:sz w:val="18"/>
                <w:szCs w:val="18"/>
              </w:rPr>
              <w:t>)</w:t>
            </w:r>
          </w:p>
          <w:p w14:paraId="0970E6DA" w14:textId="09EA8182" w:rsidR="0074452A" w:rsidRPr="005F44EF" w:rsidRDefault="0074452A" w:rsidP="00BE42E9">
            <w:pPr>
              <w:spacing w:after="0" w:line="240"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D</w:t>
            </w:r>
            <w:r w:rsidRPr="005F44EF">
              <w:rPr>
                <w:rFonts w:ascii="Times New Roman" w:eastAsia="Times New Roman" w:hAnsi="Times New Roman" w:cs="Times New Roman"/>
                <w:b/>
                <w:color w:val="000000"/>
                <w:sz w:val="18"/>
                <w:szCs w:val="18"/>
                <w:vertAlign w:val="subscript"/>
              </w:rPr>
              <w:t>max</w:t>
            </w:r>
            <w:r w:rsidRPr="005F44EF">
              <w:rPr>
                <w:rFonts w:ascii="Times New Roman" w:eastAsia="Times New Roman" w:hAnsi="Times New Roman" w:cs="Times New Roman"/>
                <w:b/>
                <w:color w:val="000000"/>
                <w:sz w:val="18"/>
                <w:szCs w:val="18"/>
              </w:rPr>
              <w:t>=23 kGy</w:t>
            </w:r>
          </w:p>
        </w:tc>
      </w:tr>
      <w:tr w:rsidR="0074452A" w:rsidRPr="005F44EF" w14:paraId="583F3D76" w14:textId="77777777" w:rsidTr="00B77A7E">
        <w:trPr>
          <w:gridAfter w:val="1"/>
          <w:wAfter w:w="10" w:type="dxa"/>
          <w:trHeight w:val="194"/>
        </w:trPr>
        <w:tc>
          <w:tcPr>
            <w:tcW w:w="1170" w:type="dxa"/>
            <w:gridSpan w:val="2"/>
            <w:tcBorders>
              <w:top w:val="single" w:sz="4" w:space="0" w:color="auto"/>
              <w:left w:val="nil"/>
              <w:bottom w:val="nil"/>
              <w:right w:val="nil"/>
            </w:tcBorders>
            <w:shd w:val="clear" w:color="auto" w:fill="auto"/>
            <w:vAlign w:val="center"/>
          </w:tcPr>
          <w:p w14:paraId="12114ACB" w14:textId="77777777" w:rsidR="0074452A" w:rsidRPr="005F44EF" w:rsidRDefault="0074452A" w:rsidP="00BE42E9">
            <w:pPr>
              <w:spacing w:after="0" w:line="240" w:lineRule="auto"/>
              <w:jc w:val="center"/>
              <w:rPr>
                <w:rFonts w:ascii="Times New Roman" w:eastAsia="Times New Roman" w:hAnsi="Times New Roman" w:cs="Times New Roman"/>
                <w:color w:val="000000"/>
                <w:sz w:val="18"/>
                <w:szCs w:val="18"/>
              </w:rPr>
            </w:pPr>
          </w:p>
        </w:tc>
        <w:tc>
          <w:tcPr>
            <w:tcW w:w="702" w:type="dxa"/>
            <w:tcBorders>
              <w:top w:val="single" w:sz="4" w:space="0" w:color="auto"/>
              <w:left w:val="nil"/>
              <w:bottom w:val="nil"/>
              <w:right w:val="nil"/>
            </w:tcBorders>
            <w:vAlign w:val="center"/>
          </w:tcPr>
          <w:p w14:paraId="4AB93C2B" w14:textId="77777777" w:rsidR="0074452A" w:rsidRPr="005F44EF" w:rsidRDefault="0074452A" w:rsidP="00BE42E9">
            <w:pPr>
              <w:spacing w:after="0" w:line="240" w:lineRule="auto"/>
              <w:jc w:val="center"/>
              <w:rPr>
                <w:rFonts w:ascii="Times New Roman" w:eastAsia="Times New Roman" w:hAnsi="Times New Roman" w:cs="Times New Roman"/>
                <w:sz w:val="18"/>
                <w:szCs w:val="18"/>
              </w:rPr>
            </w:pPr>
          </w:p>
        </w:tc>
        <w:tc>
          <w:tcPr>
            <w:tcW w:w="1170" w:type="dxa"/>
            <w:gridSpan w:val="2"/>
            <w:tcBorders>
              <w:top w:val="single" w:sz="4" w:space="0" w:color="auto"/>
              <w:left w:val="nil"/>
              <w:bottom w:val="nil"/>
              <w:right w:val="nil"/>
            </w:tcBorders>
            <w:vAlign w:val="center"/>
          </w:tcPr>
          <w:p w14:paraId="1662030A" w14:textId="77777777" w:rsidR="0074452A" w:rsidRPr="005F44EF" w:rsidRDefault="0074452A" w:rsidP="00BE42E9">
            <w:pPr>
              <w:spacing w:after="0" w:line="240" w:lineRule="auto"/>
              <w:jc w:val="center"/>
              <w:rPr>
                <w:rFonts w:ascii="Times New Roman" w:eastAsia="Times New Roman" w:hAnsi="Times New Roman" w:cs="Times New Roman"/>
                <w:sz w:val="18"/>
                <w:szCs w:val="18"/>
              </w:rPr>
            </w:pPr>
          </w:p>
        </w:tc>
        <w:tc>
          <w:tcPr>
            <w:tcW w:w="1170" w:type="dxa"/>
            <w:gridSpan w:val="2"/>
            <w:tcBorders>
              <w:top w:val="single" w:sz="4" w:space="0" w:color="auto"/>
              <w:left w:val="nil"/>
              <w:bottom w:val="nil"/>
              <w:right w:val="nil"/>
            </w:tcBorders>
            <w:shd w:val="clear" w:color="auto" w:fill="auto"/>
            <w:vAlign w:val="center"/>
          </w:tcPr>
          <w:p w14:paraId="3C6EF90E" w14:textId="1ADE644C" w:rsidR="0074452A" w:rsidRPr="005F44EF" w:rsidRDefault="0074452A" w:rsidP="00BE42E9">
            <w:pPr>
              <w:spacing w:after="0" w:line="240" w:lineRule="auto"/>
              <w:jc w:val="center"/>
              <w:rPr>
                <w:rFonts w:ascii="Times New Roman" w:eastAsia="Times New Roman" w:hAnsi="Times New Roman" w:cs="Times New Roman"/>
                <w:sz w:val="18"/>
                <w:szCs w:val="18"/>
              </w:rPr>
            </w:pPr>
          </w:p>
        </w:tc>
        <w:tc>
          <w:tcPr>
            <w:tcW w:w="1368" w:type="dxa"/>
            <w:tcBorders>
              <w:top w:val="single" w:sz="4" w:space="0" w:color="auto"/>
              <w:left w:val="nil"/>
              <w:bottom w:val="nil"/>
              <w:right w:val="nil"/>
            </w:tcBorders>
            <w:shd w:val="clear" w:color="auto" w:fill="auto"/>
            <w:vAlign w:val="center"/>
          </w:tcPr>
          <w:p w14:paraId="0855677B" w14:textId="77777777" w:rsidR="0074452A" w:rsidRPr="005F44EF" w:rsidRDefault="0074452A" w:rsidP="00BE42E9">
            <w:pPr>
              <w:spacing w:after="0" w:line="240" w:lineRule="auto"/>
              <w:jc w:val="center"/>
              <w:rPr>
                <w:rFonts w:ascii="Times New Roman" w:eastAsia="Times New Roman" w:hAnsi="Times New Roman" w:cs="Times New Roman"/>
                <w:sz w:val="18"/>
                <w:szCs w:val="18"/>
              </w:rPr>
            </w:pPr>
          </w:p>
        </w:tc>
        <w:tc>
          <w:tcPr>
            <w:tcW w:w="1260" w:type="dxa"/>
            <w:tcBorders>
              <w:top w:val="single" w:sz="4" w:space="0" w:color="auto"/>
              <w:left w:val="nil"/>
              <w:bottom w:val="nil"/>
              <w:right w:val="nil"/>
            </w:tcBorders>
            <w:shd w:val="clear" w:color="auto" w:fill="auto"/>
            <w:vAlign w:val="center"/>
          </w:tcPr>
          <w:p w14:paraId="4F6F818B" w14:textId="77777777" w:rsidR="0074452A" w:rsidRPr="005F44EF" w:rsidRDefault="0074452A" w:rsidP="00BE42E9">
            <w:pPr>
              <w:spacing w:after="0" w:line="240" w:lineRule="auto"/>
              <w:jc w:val="center"/>
              <w:rPr>
                <w:rFonts w:ascii="Times New Roman" w:eastAsia="Times New Roman" w:hAnsi="Times New Roman" w:cs="Times New Roman"/>
                <w:sz w:val="18"/>
                <w:szCs w:val="18"/>
              </w:rPr>
            </w:pPr>
          </w:p>
        </w:tc>
        <w:tc>
          <w:tcPr>
            <w:tcW w:w="630" w:type="dxa"/>
            <w:tcBorders>
              <w:top w:val="single" w:sz="4" w:space="0" w:color="auto"/>
              <w:left w:val="nil"/>
              <w:bottom w:val="nil"/>
              <w:right w:val="nil"/>
            </w:tcBorders>
            <w:shd w:val="clear" w:color="auto" w:fill="auto"/>
            <w:vAlign w:val="center"/>
          </w:tcPr>
          <w:p w14:paraId="03C9A39E" w14:textId="77777777" w:rsidR="0074452A" w:rsidRPr="005F44EF" w:rsidRDefault="0074452A" w:rsidP="00BE42E9">
            <w:pPr>
              <w:spacing w:after="0" w:line="240" w:lineRule="auto"/>
              <w:jc w:val="center"/>
              <w:rPr>
                <w:rFonts w:ascii="Times New Roman" w:eastAsia="Times New Roman" w:hAnsi="Times New Roman" w:cs="Times New Roman"/>
                <w:sz w:val="18"/>
                <w:szCs w:val="18"/>
              </w:rPr>
            </w:pPr>
          </w:p>
        </w:tc>
        <w:tc>
          <w:tcPr>
            <w:tcW w:w="768" w:type="dxa"/>
            <w:tcBorders>
              <w:top w:val="single" w:sz="4" w:space="0" w:color="auto"/>
              <w:left w:val="nil"/>
              <w:bottom w:val="nil"/>
              <w:right w:val="nil"/>
            </w:tcBorders>
            <w:shd w:val="clear" w:color="auto" w:fill="auto"/>
            <w:vAlign w:val="center"/>
          </w:tcPr>
          <w:p w14:paraId="69968A03" w14:textId="77777777" w:rsidR="0074452A" w:rsidRPr="005F44EF" w:rsidRDefault="0074452A"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D</w:t>
            </w:r>
            <w:r w:rsidRPr="005F44EF">
              <w:rPr>
                <w:rFonts w:ascii="Times New Roman" w:eastAsia="Times New Roman" w:hAnsi="Times New Roman" w:cs="Times New Roman"/>
                <w:color w:val="000000"/>
                <w:sz w:val="18"/>
                <w:szCs w:val="18"/>
                <w:vertAlign w:val="subscript"/>
              </w:rPr>
              <w:t>e</w:t>
            </w:r>
          </w:p>
        </w:tc>
        <w:tc>
          <w:tcPr>
            <w:tcW w:w="922" w:type="dxa"/>
            <w:gridSpan w:val="2"/>
            <w:tcBorders>
              <w:top w:val="single" w:sz="4" w:space="0" w:color="auto"/>
              <w:left w:val="nil"/>
              <w:bottom w:val="nil"/>
              <w:right w:val="nil"/>
            </w:tcBorders>
            <w:shd w:val="clear" w:color="auto" w:fill="auto"/>
            <w:vAlign w:val="center"/>
          </w:tcPr>
          <w:p w14:paraId="4F3975F9" w14:textId="77777777" w:rsidR="0074452A" w:rsidRPr="005F44EF" w:rsidRDefault="0074452A"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Adj. r²</w:t>
            </w:r>
          </w:p>
        </w:tc>
        <w:tc>
          <w:tcPr>
            <w:tcW w:w="250" w:type="dxa"/>
            <w:tcBorders>
              <w:top w:val="single" w:sz="4" w:space="0" w:color="auto"/>
              <w:left w:val="nil"/>
              <w:bottom w:val="nil"/>
              <w:right w:val="nil"/>
            </w:tcBorders>
            <w:vAlign w:val="center"/>
          </w:tcPr>
          <w:p w14:paraId="6A6FA5F9" w14:textId="77777777" w:rsidR="0074452A" w:rsidRPr="005F44EF" w:rsidRDefault="0074452A" w:rsidP="00BE42E9">
            <w:pPr>
              <w:spacing w:after="0" w:line="240" w:lineRule="auto"/>
              <w:jc w:val="center"/>
              <w:rPr>
                <w:rFonts w:ascii="Times New Roman" w:eastAsia="Times New Roman" w:hAnsi="Times New Roman" w:cs="Times New Roman"/>
                <w:color w:val="000000"/>
                <w:sz w:val="18"/>
                <w:szCs w:val="18"/>
              </w:rPr>
            </w:pPr>
          </w:p>
        </w:tc>
      </w:tr>
      <w:tr w:rsidR="00894540" w:rsidRPr="005F44EF" w14:paraId="2DEC0193" w14:textId="77777777" w:rsidTr="00B77A7E">
        <w:trPr>
          <w:gridAfter w:val="1"/>
          <w:wAfter w:w="10" w:type="dxa"/>
          <w:trHeight w:val="194"/>
        </w:trPr>
        <w:tc>
          <w:tcPr>
            <w:tcW w:w="1170" w:type="dxa"/>
            <w:gridSpan w:val="2"/>
            <w:tcBorders>
              <w:top w:val="nil"/>
              <w:left w:val="nil"/>
              <w:bottom w:val="nil"/>
              <w:right w:val="nil"/>
            </w:tcBorders>
            <w:shd w:val="clear" w:color="auto" w:fill="auto"/>
            <w:vAlign w:val="center"/>
          </w:tcPr>
          <w:p w14:paraId="0D25C950" w14:textId="749C926F"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ANY20-03</w:t>
            </w:r>
          </w:p>
        </w:tc>
        <w:tc>
          <w:tcPr>
            <w:tcW w:w="900" w:type="dxa"/>
            <w:gridSpan w:val="2"/>
            <w:tcBorders>
              <w:top w:val="nil"/>
              <w:left w:val="nil"/>
              <w:bottom w:val="nil"/>
              <w:right w:val="nil"/>
            </w:tcBorders>
            <w:vAlign w:val="center"/>
          </w:tcPr>
          <w:p w14:paraId="007D2A58" w14:textId="73E1AA89"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Single spectrum</w:t>
            </w:r>
          </w:p>
        </w:tc>
        <w:tc>
          <w:tcPr>
            <w:tcW w:w="1080" w:type="dxa"/>
            <w:gridSpan w:val="2"/>
            <w:tcBorders>
              <w:top w:val="nil"/>
              <w:left w:val="nil"/>
              <w:bottom w:val="nil"/>
              <w:right w:val="nil"/>
            </w:tcBorders>
            <w:vAlign w:val="center"/>
          </w:tcPr>
          <w:p w14:paraId="3A861CD9" w14:textId="739C0305"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100.4±0.04</w:t>
            </w:r>
          </w:p>
        </w:tc>
        <w:tc>
          <w:tcPr>
            <w:tcW w:w="1062" w:type="dxa"/>
            <w:tcBorders>
              <w:top w:val="nil"/>
              <w:left w:val="nil"/>
              <w:bottom w:val="nil"/>
              <w:right w:val="nil"/>
            </w:tcBorders>
            <w:shd w:val="clear" w:color="auto" w:fill="auto"/>
            <w:vAlign w:val="center"/>
          </w:tcPr>
          <w:p w14:paraId="7DA8B5AF" w14:textId="6C663EC3"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4</w:t>
            </w:r>
          </w:p>
        </w:tc>
        <w:tc>
          <w:tcPr>
            <w:tcW w:w="1368" w:type="dxa"/>
            <w:tcBorders>
              <w:top w:val="nil"/>
              <w:left w:val="nil"/>
              <w:bottom w:val="nil"/>
              <w:right w:val="nil"/>
            </w:tcBorders>
            <w:shd w:val="clear" w:color="auto" w:fill="auto"/>
            <w:vAlign w:val="center"/>
          </w:tcPr>
          <w:p w14:paraId="4C4F008C" w14:textId="474C7D4E"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1.71</w:t>
            </w:r>
          </w:p>
        </w:tc>
        <w:tc>
          <w:tcPr>
            <w:tcW w:w="1260" w:type="dxa"/>
            <w:tcBorders>
              <w:top w:val="nil"/>
              <w:left w:val="nil"/>
              <w:bottom w:val="nil"/>
              <w:right w:val="nil"/>
            </w:tcBorders>
            <w:shd w:val="clear" w:color="auto" w:fill="auto"/>
            <w:vAlign w:val="center"/>
          </w:tcPr>
          <w:p w14:paraId="0DD4CC03" w14:textId="132621E6"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8.3</w:t>
            </w:r>
          </w:p>
        </w:tc>
        <w:tc>
          <w:tcPr>
            <w:tcW w:w="630" w:type="dxa"/>
            <w:tcBorders>
              <w:top w:val="nil"/>
              <w:left w:val="nil"/>
              <w:bottom w:val="nil"/>
              <w:right w:val="nil"/>
            </w:tcBorders>
            <w:shd w:val="clear" w:color="auto" w:fill="auto"/>
            <w:vAlign w:val="center"/>
          </w:tcPr>
          <w:p w14:paraId="37A337B4" w14:textId="77777777"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24.3</w:t>
            </w:r>
          </w:p>
        </w:tc>
        <w:tc>
          <w:tcPr>
            <w:tcW w:w="990" w:type="dxa"/>
            <w:gridSpan w:val="2"/>
            <w:tcBorders>
              <w:top w:val="nil"/>
              <w:left w:val="nil"/>
              <w:bottom w:val="nil"/>
              <w:right w:val="nil"/>
            </w:tcBorders>
            <w:shd w:val="clear" w:color="auto" w:fill="auto"/>
            <w:vAlign w:val="center"/>
          </w:tcPr>
          <w:p w14:paraId="0B9CB91A" w14:textId="6304314A"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685±180</w:t>
            </w:r>
          </w:p>
        </w:tc>
        <w:tc>
          <w:tcPr>
            <w:tcW w:w="700" w:type="dxa"/>
            <w:tcBorders>
              <w:top w:val="nil"/>
              <w:left w:val="nil"/>
              <w:bottom w:val="nil"/>
              <w:right w:val="nil"/>
            </w:tcBorders>
            <w:shd w:val="clear" w:color="auto" w:fill="auto"/>
            <w:vAlign w:val="center"/>
          </w:tcPr>
          <w:p w14:paraId="1675E394" w14:textId="77777777"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0.967</w:t>
            </w:r>
          </w:p>
        </w:tc>
        <w:tc>
          <w:tcPr>
            <w:tcW w:w="250" w:type="dxa"/>
            <w:tcBorders>
              <w:top w:val="nil"/>
              <w:left w:val="nil"/>
              <w:bottom w:val="nil"/>
              <w:right w:val="nil"/>
            </w:tcBorders>
            <w:vAlign w:val="center"/>
          </w:tcPr>
          <w:p w14:paraId="43A86308" w14:textId="77777777"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p>
        </w:tc>
      </w:tr>
      <w:tr w:rsidR="00894540" w:rsidRPr="005F44EF" w14:paraId="2C246727" w14:textId="77777777" w:rsidTr="00B77A7E">
        <w:trPr>
          <w:gridAfter w:val="1"/>
          <w:wAfter w:w="10" w:type="dxa"/>
          <w:trHeight w:val="194"/>
        </w:trPr>
        <w:tc>
          <w:tcPr>
            <w:tcW w:w="1170" w:type="dxa"/>
            <w:gridSpan w:val="2"/>
            <w:tcBorders>
              <w:top w:val="nil"/>
              <w:left w:val="nil"/>
              <w:bottom w:val="nil"/>
              <w:right w:val="nil"/>
            </w:tcBorders>
            <w:shd w:val="clear" w:color="auto" w:fill="auto"/>
            <w:vAlign w:val="center"/>
          </w:tcPr>
          <w:p w14:paraId="52052BCF" w14:textId="6CE388A8"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ANY20-04</w:t>
            </w:r>
          </w:p>
        </w:tc>
        <w:tc>
          <w:tcPr>
            <w:tcW w:w="900" w:type="dxa"/>
            <w:gridSpan w:val="2"/>
            <w:tcBorders>
              <w:top w:val="nil"/>
              <w:left w:val="nil"/>
              <w:bottom w:val="nil"/>
              <w:right w:val="nil"/>
            </w:tcBorders>
            <w:vAlign w:val="center"/>
          </w:tcPr>
          <w:p w14:paraId="69C78BDF" w14:textId="6EF80CB3"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Single spectrum</w:t>
            </w:r>
          </w:p>
        </w:tc>
        <w:tc>
          <w:tcPr>
            <w:tcW w:w="1080" w:type="dxa"/>
            <w:gridSpan w:val="2"/>
            <w:tcBorders>
              <w:top w:val="nil"/>
              <w:left w:val="nil"/>
              <w:bottom w:val="nil"/>
              <w:right w:val="nil"/>
            </w:tcBorders>
            <w:vAlign w:val="center"/>
          </w:tcPr>
          <w:p w14:paraId="102EDE6D" w14:textId="153E48EB"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70.3±0.4</w:t>
            </w:r>
          </w:p>
        </w:tc>
        <w:tc>
          <w:tcPr>
            <w:tcW w:w="1062" w:type="dxa"/>
            <w:tcBorders>
              <w:top w:val="nil"/>
              <w:left w:val="nil"/>
              <w:bottom w:val="nil"/>
              <w:right w:val="nil"/>
            </w:tcBorders>
            <w:shd w:val="clear" w:color="auto" w:fill="auto"/>
            <w:vAlign w:val="center"/>
          </w:tcPr>
          <w:p w14:paraId="2B6E8203" w14:textId="7A9F5040"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4</w:t>
            </w:r>
          </w:p>
        </w:tc>
        <w:tc>
          <w:tcPr>
            <w:tcW w:w="1368" w:type="dxa"/>
            <w:tcBorders>
              <w:top w:val="nil"/>
              <w:left w:val="nil"/>
              <w:bottom w:val="nil"/>
              <w:right w:val="nil"/>
            </w:tcBorders>
            <w:shd w:val="clear" w:color="auto" w:fill="auto"/>
            <w:vAlign w:val="center"/>
          </w:tcPr>
          <w:p w14:paraId="497E7073" w14:textId="559D913E"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1.05</w:t>
            </w:r>
          </w:p>
        </w:tc>
        <w:tc>
          <w:tcPr>
            <w:tcW w:w="1260" w:type="dxa"/>
            <w:tcBorders>
              <w:top w:val="nil"/>
              <w:left w:val="nil"/>
              <w:bottom w:val="nil"/>
              <w:right w:val="nil"/>
            </w:tcBorders>
            <w:shd w:val="clear" w:color="auto" w:fill="auto"/>
            <w:vAlign w:val="center"/>
          </w:tcPr>
          <w:p w14:paraId="12ACD0EF" w14:textId="104313C5"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12.7</w:t>
            </w:r>
          </w:p>
        </w:tc>
        <w:tc>
          <w:tcPr>
            <w:tcW w:w="630" w:type="dxa"/>
            <w:tcBorders>
              <w:top w:val="nil"/>
              <w:left w:val="nil"/>
              <w:bottom w:val="nil"/>
              <w:right w:val="nil"/>
            </w:tcBorders>
            <w:shd w:val="clear" w:color="auto" w:fill="auto"/>
            <w:vAlign w:val="center"/>
          </w:tcPr>
          <w:p w14:paraId="0AD81C8C" w14:textId="77777777"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25.4</w:t>
            </w:r>
          </w:p>
        </w:tc>
        <w:tc>
          <w:tcPr>
            <w:tcW w:w="990" w:type="dxa"/>
            <w:gridSpan w:val="2"/>
            <w:tcBorders>
              <w:top w:val="nil"/>
              <w:left w:val="nil"/>
              <w:bottom w:val="nil"/>
              <w:right w:val="nil"/>
            </w:tcBorders>
            <w:shd w:val="clear" w:color="auto" w:fill="auto"/>
            <w:vAlign w:val="center"/>
          </w:tcPr>
          <w:p w14:paraId="1FCBD16C" w14:textId="13EA4A0E"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810±257</w:t>
            </w:r>
          </w:p>
        </w:tc>
        <w:tc>
          <w:tcPr>
            <w:tcW w:w="700" w:type="dxa"/>
            <w:tcBorders>
              <w:top w:val="nil"/>
              <w:left w:val="nil"/>
              <w:bottom w:val="nil"/>
              <w:right w:val="nil"/>
            </w:tcBorders>
            <w:shd w:val="clear" w:color="auto" w:fill="auto"/>
            <w:vAlign w:val="center"/>
          </w:tcPr>
          <w:p w14:paraId="692DD64D" w14:textId="77777777"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0.945</w:t>
            </w:r>
          </w:p>
        </w:tc>
        <w:tc>
          <w:tcPr>
            <w:tcW w:w="250" w:type="dxa"/>
            <w:tcBorders>
              <w:top w:val="nil"/>
              <w:left w:val="nil"/>
              <w:bottom w:val="nil"/>
              <w:right w:val="nil"/>
            </w:tcBorders>
            <w:vAlign w:val="center"/>
          </w:tcPr>
          <w:p w14:paraId="1E833F69" w14:textId="77777777"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p>
        </w:tc>
      </w:tr>
      <w:tr w:rsidR="00894540" w:rsidRPr="005F44EF" w14:paraId="07855878" w14:textId="77777777" w:rsidTr="00B77A7E">
        <w:trPr>
          <w:gridAfter w:val="1"/>
          <w:wAfter w:w="10" w:type="dxa"/>
          <w:trHeight w:val="194"/>
        </w:trPr>
        <w:tc>
          <w:tcPr>
            <w:tcW w:w="1170" w:type="dxa"/>
            <w:gridSpan w:val="2"/>
            <w:tcBorders>
              <w:top w:val="nil"/>
              <w:left w:val="nil"/>
              <w:right w:val="nil"/>
            </w:tcBorders>
            <w:shd w:val="clear" w:color="auto" w:fill="auto"/>
            <w:vAlign w:val="center"/>
          </w:tcPr>
          <w:p w14:paraId="0B960C00" w14:textId="11EFB04E"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ANY20-05</w:t>
            </w:r>
          </w:p>
        </w:tc>
        <w:tc>
          <w:tcPr>
            <w:tcW w:w="900" w:type="dxa"/>
            <w:gridSpan w:val="2"/>
            <w:tcBorders>
              <w:top w:val="nil"/>
              <w:left w:val="nil"/>
              <w:right w:val="nil"/>
            </w:tcBorders>
            <w:vAlign w:val="center"/>
          </w:tcPr>
          <w:p w14:paraId="7186E404" w14:textId="2FC7562F"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Single spectrum</w:t>
            </w:r>
          </w:p>
        </w:tc>
        <w:tc>
          <w:tcPr>
            <w:tcW w:w="1080" w:type="dxa"/>
            <w:gridSpan w:val="2"/>
            <w:tcBorders>
              <w:top w:val="nil"/>
              <w:left w:val="nil"/>
              <w:right w:val="nil"/>
            </w:tcBorders>
            <w:vAlign w:val="center"/>
          </w:tcPr>
          <w:p w14:paraId="37B4FA45" w14:textId="7AD2AFD1"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200.5±0.3</w:t>
            </w:r>
          </w:p>
        </w:tc>
        <w:tc>
          <w:tcPr>
            <w:tcW w:w="1062" w:type="dxa"/>
            <w:tcBorders>
              <w:top w:val="nil"/>
              <w:left w:val="nil"/>
              <w:right w:val="nil"/>
            </w:tcBorders>
            <w:shd w:val="clear" w:color="auto" w:fill="auto"/>
            <w:vAlign w:val="center"/>
          </w:tcPr>
          <w:p w14:paraId="165724C2" w14:textId="6241E043"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3</w:t>
            </w:r>
          </w:p>
        </w:tc>
        <w:tc>
          <w:tcPr>
            <w:tcW w:w="1368" w:type="dxa"/>
            <w:tcBorders>
              <w:top w:val="nil"/>
              <w:left w:val="nil"/>
              <w:right w:val="nil"/>
            </w:tcBorders>
            <w:shd w:val="clear" w:color="auto" w:fill="auto"/>
            <w:vAlign w:val="center"/>
          </w:tcPr>
          <w:p w14:paraId="2829E844" w14:textId="4A157880"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1.87</w:t>
            </w:r>
          </w:p>
        </w:tc>
        <w:tc>
          <w:tcPr>
            <w:tcW w:w="1260" w:type="dxa"/>
            <w:tcBorders>
              <w:top w:val="nil"/>
              <w:left w:val="nil"/>
              <w:right w:val="nil"/>
            </w:tcBorders>
            <w:shd w:val="clear" w:color="auto" w:fill="auto"/>
            <w:vAlign w:val="center"/>
          </w:tcPr>
          <w:p w14:paraId="6AC03E9C" w14:textId="193C1FCF"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13.7</w:t>
            </w:r>
          </w:p>
        </w:tc>
        <w:tc>
          <w:tcPr>
            <w:tcW w:w="630" w:type="dxa"/>
            <w:tcBorders>
              <w:top w:val="nil"/>
              <w:left w:val="nil"/>
              <w:right w:val="nil"/>
            </w:tcBorders>
            <w:shd w:val="clear" w:color="auto" w:fill="auto"/>
            <w:vAlign w:val="center"/>
          </w:tcPr>
          <w:p w14:paraId="6C2ED291" w14:textId="77777777"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34.9</w:t>
            </w:r>
          </w:p>
        </w:tc>
        <w:tc>
          <w:tcPr>
            <w:tcW w:w="990" w:type="dxa"/>
            <w:gridSpan w:val="2"/>
            <w:tcBorders>
              <w:top w:val="nil"/>
              <w:left w:val="nil"/>
              <w:right w:val="nil"/>
            </w:tcBorders>
            <w:shd w:val="clear" w:color="auto" w:fill="auto"/>
            <w:vAlign w:val="center"/>
          </w:tcPr>
          <w:p w14:paraId="5B50F418" w14:textId="486CE06B"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1203±158</w:t>
            </w:r>
          </w:p>
        </w:tc>
        <w:tc>
          <w:tcPr>
            <w:tcW w:w="700" w:type="dxa"/>
            <w:tcBorders>
              <w:top w:val="nil"/>
              <w:left w:val="nil"/>
              <w:right w:val="nil"/>
            </w:tcBorders>
            <w:shd w:val="clear" w:color="auto" w:fill="auto"/>
            <w:vAlign w:val="center"/>
          </w:tcPr>
          <w:p w14:paraId="4BB11A74" w14:textId="77777777"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0.992</w:t>
            </w:r>
          </w:p>
        </w:tc>
        <w:tc>
          <w:tcPr>
            <w:tcW w:w="250" w:type="dxa"/>
            <w:tcBorders>
              <w:top w:val="nil"/>
              <w:left w:val="nil"/>
              <w:right w:val="nil"/>
            </w:tcBorders>
            <w:vAlign w:val="center"/>
          </w:tcPr>
          <w:p w14:paraId="6450B6E5" w14:textId="77777777"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p>
        </w:tc>
      </w:tr>
      <w:tr w:rsidR="00894540" w:rsidRPr="005F44EF" w14:paraId="09C64785" w14:textId="77777777" w:rsidTr="00B77A7E">
        <w:trPr>
          <w:gridAfter w:val="1"/>
          <w:wAfter w:w="10" w:type="dxa"/>
          <w:trHeight w:val="194"/>
        </w:trPr>
        <w:tc>
          <w:tcPr>
            <w:tcW w:w="1170" w:type="dxa"/>
            <w:gridSpan w:val="2"/>
            <w:tcBorders>
              <w:top w:val="nil"/>
              <w:left w:val="nil"/>
              <w:bottom w:val="nil"/>
              <w:right w:val="nil"/>
            </w:tcBorders>
            <w:shd w:val="clear" w:color="auto" w:fill="auto"/>
            <w:vAlign w:val="center"/>
          </w:tcPr>
          <w:p w14:paraId="219FAEF0" w14:textId="6FB7F7BE"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ANY20-08</w:t>
            </w:r>
          </w:p>
        </w:tc>
        <w:tc>
          <w:tcPr>
            <w:tcW w:w="900" w:type="dxa"/>
            <w:gridSpan w:val="2"/>
            <w:tcBorders>
              <w:top w:val="nil"/>
              <w:left w:val="nil"/>
              <w:bottom w:val="nil"/>
              <w:right w:val="nil"/>
            </w:tcBorders>
            <w:vAlign w:val="center"/>
          </w:tcPr>
          <w:p w14:paraId="44AE49F5" w14:textId="11CB1395"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Single spectrum</w:t>
            </w:r>
          </w:p>
        </w:tc>
        <w:tc>
          <w:tcPr>
            <w:tcW w:w="1080" w:type="dxa"/>
            <w:gridSpan w:val="2"/>
            <w:tcBorders>
              <w:top w:val="nil"/>
              <w:left w:val="nil"/>
              <w:bottom w:val="nil"/>
              <w:right w:val="nil"/>
            </w:tcBorders>
            <w:vAlign w:val="center"/>
          </w:tcPr>
          <w:p w14:paraId="4177E633" w14:textId="1AB68C26"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199.2±4.1</w:t>
            </w:r>
          </w:p>
        </w:tc>
        <w:tc>
          <w:tcPr>
            <w:tcW w:w="1062" w:type="dxa"/>
            <w:tcBorders>
              <w:top w:val="nil"/>
              <w:left w:val="nil"/>
              <w:bottom w:val="nil"/>
              <w:right w:val="nil"/>
            </w:tcBorders>
            <w:shd w:val="clear" w:color="auto" w:fill="auto"/>
            <w:vAlign w:val="center"/>
          </w:tcPr>
          <w:p w14:paraId="060701A3" w14:textId="3F158093"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3</w:t>
            </w:r>
          </w:p>
        </w:tc>
        <w:tc>
          <w:tcPr>
            <w:tcW w:w="1368" w:type="dxa"/>
            <w:tcBorders>
              <w:top w:val="nil"/>
              <w:left w:val="nil"/>
              <w:bottom w:val="nil"/>
              <w:right w:val="nil"/>
            </w:tcBorders>
            <w:shd w:val="clear" w:color="auto" w:fill="auto"/>
            <w:vAlign w:val="center"/>
          </w:tcPr>
          <w:p w14:paraId="55D67286" w14:textId="4DA36139"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2.23</w:t>
            </w:r>
          </w:p>
        </w:tc>
        <w:tc>
          <w:tcPr>
            <w:tcW w:w="1260" w:type="dxa"/>
            <w:tcBorders>
              <w:top w:val="nil"/>
              <w:left w:val="nil"/>
              <w:bottom w:val="nil"/>
              <w:right w:val="nil"/>
            </w:tcBorders>
            <w:shd w:val="clear" w:color="auto" w:fill="auto"/>
            <w:vAlign w:val="center"/>
          </w:tcPr>
          <w:p w14:paraId="1EF4743F" w14:textId="7D7B9FA5"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5.2</w:t>
            </w:r>
          </w:p>
        </w:tc>
        <w:tc>
          <w:tcPr>
            <w:tcW w:w="630" w:type="dxa"/>
            <w:tcBorders>
              <w:top w:val="nil"/>
              <w:left w:val="nil"/>
              <w:bottom w:val="nil"/>
              <w:right w:val="nil"/>
            </w:tcBorders>
            <w:shd w:val="clear" w:color="auto" w:fill="auto"/>
            <w:vAlign w:val="center"/>
          </w:tcPr>
          <w:p w14:paraId="231C4824" w14:textId="77777777"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30.2</w:t>
            </w:r>
          </w:p>
        </w:tc>
        <w:tc>
          <w:tcPr>
            <w:tcW w:w="990" w:type="dxa"/>
            <w:gridSpan w:val="2"/>
            <w:tcBorders>
              <w:top w:val="nil"/>
              <w:left w:val="nil"/>
              <w:bottom w:val="nil"/>
              <w:right w:val="nil"/>
            </w:tcBorders>
            <w:shd w:val="clear" w:color="auto" w:fill="auto"/>
            <w:vAlign w:val="center"/>
          </w:tcPr>
          <w:p w14:paraId="0F0849D9" w14:textId="0591E0E2"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1438±263</w:t>
            </w:r>
          </w:p>
        </w:tc>
        <w:tc>
          <w:tcPr>
            <w:tcW w:w="700" w:type="dxa"/>
            <w:tcBorders>
              <w:top w:val="nil"/>
              <w:left w:val="nil"/>
              <w:bottom w:val="nil"/>
              <w:right w:val="nil"/>
            </w:tcBorders>
            <w:shd w:val="clear" w:color="auto" w:fill="auto"/>
            <w:vAlign w:val="center"/>
          </w:tcPr>
          <w:p w14:paraId="4C05C939" w14:textId="77777777"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0.981</w:t>
            </w:r>
          </w:p>
        </w:tc>
        <w:tc>
          <w:tcPr>
            <w:tcW w:w="250" w:type="dxa"/>
            <w:tcBorders>
              <w:top w:val="nil"/>
              <w:left w:val="nil"/>
              <w:bottom w:val="nil"/>
              <w:right w:val="nil"/>
            </w:tcBorders>
            <w:vAlign w:val="center"/>
          </w:tcPr>
          <w:p w14:paraId="15055CD0" w14:textId="77777777"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p>
        </w:tc>
      </w:tr>
      <w:tr w:rsidR="00894540" w:rsidRPr="005F44EF" w14:paraId="14835AA7" w14:textId="77777777" w:rsidTr="00B77A7E">
        <w:trPr>
          <w:gridAfter w:val="1"/>
          <w:wAfter w:w="10" w:type="dxa"/>
          <w:trHeight w:val="194"/>
        </w:trPr>
        <w:tc>
          <w:tcPr>
            <w:tcW w:w="1170" w:type="dxa"/>
            <w:gridSpan w:val="2"/>
            <w:tcBorders>
              <w:top w:val="nil"/>
              <w:left w:val="nil"/>
              <w:bottom w:val="single" w:sz="4" w:space="0" w:color="000000"/>
              <w:right w:val="nil"/>
            </w:tcBorders>
            <w:shd w:val="clear" w:color="auto" w:fill="auto"/>
            <w:vAlign w:val="center"/>
          </w:tcPr>
          <w:p w14:paraId="16B27663" w14:textId="731C247D"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ANY20-09</w:t>
            </w:r>
          </w:p>
        </w:tc>
        <w:tc>
          <w:tcPr>
            <w:tcW w:w="900" w:type="dxa"/>
            <w:gridSpan w:val="2"/>
            <w:tcBorders>
              <w:top w:val="nil"/>
              <w:left w:val="nil"/>
              <w:bottom w:val="single" w:sz="4" w:space="0" w:color="000000"/>
              <w:right w:val="nil"/>
            </w:tcBorders>
            <w:vAlign w:val="center"/>
          </w:tcPr>
          <w:p w14:paraId="666D7B19" w14:textId="64C0605B"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Single spectrum</w:t>
            </w:r>
          </w:p>
        </w:tc>
        <w:tc>
          <w:tcPr>
            <w:tcW w:w="1080" w:type="dxa"/>
            <w:gridSpan w:val="2"/>
            <w:tcBorders>
              <w:top w:val="nil"/>
              <w:left w:val="nil"/>
              <w:bottom w:val="single" w:sz="4" w:space="0" w:color="000000"/>
              <w:right w:val="nil"/>
            </w:tcBorders>
            <w:vAlign w:val="center"/>
          </w:tcPr>
          <w:p w14:paraId="7F1EA741" w14:textId="3A25248B"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200.5±0.3</w:t>
            </w:r>
          </w:p>
        </w:tc>
        <w:tc>
          <w:tcPr>
            <w:tcW w:w="1062" w:type="dxa"/>
            <w:tcBorders>
              <w:top w:val="nil"/>
              <w:left w:val="nil"/>
              <w:bottom w:val="single" w:sz="4" w:space="0" w:color="000000"/>
              <w:right w:val="nil"/>
            </w:tcBorders>
            <w:shd w:val="clear" w:color="auto" w:fill="auto"/>
            <w:vAlign w:val="center"/>
          </w:tcPr>
          <w:p w14:paraId="577468DD" w14:textId="440C1D67"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3</w:t>
            </w:r>
          </w:p>
        </w:tc>
        <w:tc>
          <w:tcPr>
            <w:tcW w:w="1368" w:type="dxa"/>
            <w:tcBorders>
              <w:top w:val="nil"/>
              <w:left w:val="nil"/>
              <w:bottom w:val="single" w:sz="4" w:space="0" w:color="000000"/>
              <w:right w:val="nil"/>
            </w:tcBorders>
            <w:shd w:val="clear" w:color="auto" w:fill="auto"/>
            <w:vAlign w:val="center"/>
          </w:tcPr>
          <w:p w14:paraId="27E7C944" w14:textId="74A62E30"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2.47</w:t>
            </w:r>
          </w:p>
        </w:tc>
        <w:tc>
          <w:tcPr>
            <w:tcW w:w="1260" w:type="dxa"/>
            <w:tcBorders>
              <w:top w:val="nil"/>
              <w:left w:val="nil"/>
              <w:bottom w:val="single" w:sz="4" w:space="0" w:color="000000"/>
              <w:right w:val="nil"/>
            </w:tcBorders>
            <w:shd w:val="clear" w:color="auto" w:fill="auto"/>
            <w:vAlign w:val="center"/>
          </w:tcPr>
          <w:p w14:paraId="02210D86" w14:textId="166E85F2"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6.8</w:t>
            </w:r>
          </w:p>
        </w:tc>
        <w:tc>
          <w:tcPr>
            <w:tcW w:w="630" w:type="dxa"/>
            <w:tcBorders>
              <w:top w:val="nil"/>
              <w:left w:val="nil"/>
              <w:bottom w:val="single" w:sz="4" w:space="0" w:color="000000"/>
              <w:right w:val="nil"/>
            </w:tcBorders>
            <w:shd w:val="clear" w:color="auto" w:fill="auto"/>
            <w:vAlign w:val="center"/>
          </w:tcPr>
          <w:p w14:paraId="49107CA9" w14:textId="77777777"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27.2</w:t>
            </w:r>
          </w:p>
        </w:tc>
        <w:tc>
          <w:tcPr>
            <w:tcW w:w="990" w:type="dxa"/>
            <w:gridSpan w:val="2"/>
            <w:tcBorders>
              <w:top w:val="nil"/>
              <w:left w:val="nil"/>
              <w:bottom w:val="single" w:sz="4" w:space="0" w:color="000000"/>
              <w:right w:val="nil"/>
            </w:tcBorders>
            <w:shd w:val="clear" w:color="auto" w:fill="auto"/>
            <w:vAlign w:val="center"/>
          </w:tcPr>
          <w:p w14:paraId="188B34F8" w14:textId="3B2B16A7"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1267±248</w:t>
            </w:r>
          </w:p>
        </w:tc>
        <w:tc>
          <w:tcPr>
            <w:tcW w:w="700" w:type="dxa"/>
            <w:tcBorders>
              <w:top w:val="nil"/>
              <w:left w:val="nil"/>
              <w:bottom w:val="single" w:sz="4" w:space="0" w:color="000000"/>
              <w:right w:val="nil"/>
            </w:tcBorders>
            <w:shd w:val="clear" w:color="auto" w:fill="auto"/>
            <w:vAlign w:val="center"/>
          </w:tcPr>
          <w:p w14:paraId="2F7BC2D8" w14:textId="77777777"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0.977</w:t>
            </w:r>
          </w:p>
        </w:tc>
        <w:tc>
          <w:tcPr>
            <w:tcW w:w="250" w:type="dxa"/>
            <w:tcBorders>
              <w:top w:val="nil"/>
              <w:left w:val="nil"/>
              <w:bottom w:val="single" w:sz="4" w:space="0" w:color="000000"/>
              <w:right w:val="nil"/>
            </w:tcBorders>
            <w:vAlign w:val="center"/>
          </w:tcPr>
          <w:p w14:paraId="39EEAD83" w14:textId="77777777" w:rsidR="00765D22" w:rsidRPr="005F44EF" w:rsidRDefault="00765D22" w:rsidP="00BE42E9">
            <w:pPr>
              <w:spacing w:after="0" w:line="240" w:lineRule="auto"/>
              <w:jc w:val="center"/>
              <w:rPr>
                <w:rFonts w:ascii="Times New Roman" w:eastAsia="Times New Roman" w:hAnsi="Times New Roman" w:cs="Times New Roman"/>
                <w:color w:val="000000"/>
                <w:sz w:val="18"/>
                <w:szCs w:val="18"/>
              </w:rPr>
            </w:pPr>
          </w:p>
        </w:tc>
      </w:tr>
    </w:tbl>
    <w:p w14:paraId="0E3966E7" w14:textId="148F8D6A" w:rsidR="00BB7AA9" w:rsidRPr="005F44EF" w:rsidRDefault="00BB7AA9">
      <w:pPr>
        <w:pBdr>
          <w:top w:val="nil"/>
          <w:left w:val="nil"/>
          <w:bottom w:val="nil"/>
          <w:right w:val="nil"/>
          <w:between w:val="nil"/>
        </w:pBdr>
        <w:spacing w:after="200" w:line="276" w:lineRule="auto"/>
        <w:jc w:val="both"/>
        <w:rPr>
          <w:rFonts w:ascii="Times New Roman" w:eastAsia="Times New Roman" w:hAnsi="Times New Roman" w:cs="Times New Roman"/>
          <w:color w:val="404040"/>
          <w:sz w:val="24"/>
          <w:szCs w:val="24"/>
        </w:rPr>
      </w:pPr>
    </w:p>
    <w:p w14:paraId="4B2D622A" w14:textId="17C4F1ED" w:rsidR="00BB7AA9" w:rsidRPr="005F44EF" w:rsidRDefault="00B00D87" w:rsidP="008010EE">
      <w:pPr>
        <w:pStyle w:val="Heading3"/>
        <w:rPr>
          <w:rFonts w:cs="Times New Roman"/>
        </w:rPr>
      </w:pPr>
      <w:bookmarkStart w:id="51" w:name="_Toc178429931"/>
      <w:r w:rsidRPr="005F44EF">
        <w:rPr>
          <w:rFonts w:cs="Times New Roman"/>
        </w:rPr>
        <w:t>3.5.2.</w:t>
      </w:r>
      <w:r w:rsidR="00D60275" w:rsidRPr="005F44EF">
        <w:rPr>
          <w:rFonts w:cs="Times New Roman"/>
        </w:rPr>
        <w:t xml:space="preserve"> </w:t>
      </w:r>
      <w:r w:rsidR="00B9564D" w:rsidRPr="005F44EF">
        <w:rPr>
          <w:rFonts w:cs="Times New Roman"/>
        </w:rPr>
        <w:t xml:space="preserve">Ti ESR </w:t>
      </w:r>
      <w:r w:rsidR="00E55F30" w:rsidRPr="005F44EF">
        <w:rPr>
          <w:rFonts w:cs="Times New Roman"/>
        </w:rPr>
        <w:t>D</w:t>
      </w:r>
      <w:r w:rsidR="00E55F30" w:rsidRPr="005F44EF">
        <w:rPr>
          <w:rFonts w:cs="Times New Roman"/>
          <w:vertAlign w:val="subscript"/>
        </w:rPr>
        <w:t>e</w:t>
      </w:r>
      <w:r w:rsidR="00E55F30" w:rsidRPr="005F44EF">
        <w:rPr>
          <w:rFonts w:cs="Times New Roman"/>
        </w:rPr>
        <w:t xml:space="preserve"> </w:t>
      </w:r>
      <w:r w:rsidR="00B9564D" w:rsidRPr="005F44EF">
        <w:rPr>
          <w:rFonts w:cs="Times New Roman"/>
        </w:rPr>
        <w:t>evaluation</w:t>
      </w:r>
      <w:bookmarkEnd w:id="51"/>
    </w:p>
    <w:p w14:paraId="271BD294" w14:textId="77777777" w:rsidR="00BB7AA9" w:rsidRPr="005F44EF" w:rsidRDefault="00B9564D">
      <w:pPr>
        <w:pBdr>
          <w:top w:val="nil"/>
          <w:left w:val="nil"/>
          <w:bottom w:val="nil"/>
          <w:right w:val="nil"/>
          <w:between w:val="nil"/>
        </w:pBdr>
        <w:spacing w:after="0" w:line="276" w:lineRule="auto"/>
        <w:ind w:left="720"/>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ab/>
      </w:r>
    </w:p>
    <w:p w14:paraId="3C494612" w14:textId="57E3271F" w:rsidR="001B49E9"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ESR intensities of the Ti centres were assessed through </w:t>
      </w:r>
      <w:r w:rsidR="00BD046D" w:rsidRPr="005F44EF">
        <w:rPr>
          <w:rFonts w:ascii="Times New Roman" w:eastAsia="Times New Roman" w:hAnsi="Times New Roman" w:cs="Times New Roman"/>
          <w:sz w:val="24"/>
          <w:szCs w:val="24"/>
        </w:rPr>
        <w:t xml:space="preserve">two </w:t>
      </w:r>
      <w:r w:rsidRPr="005F44EF">
        <w:rPr>
          <w:rFonts w:ascii="Times New Roman" w:eastAsia="Times New Roman" w:hAnsi="Times New Roman" w:cs="Times New Roman"/>
          <w:sz w:val="24"/>
          <w:szCs w:val="24"/>
        </w:rPr>
        <w:t>options</w:t>
      </w:r>
      <w:r w:rsidR="007E6D70"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{"citationItems":[{"id":"ITEM-1","itemData":{"DOI":"10.1016/j.radmeas.2014.10.002","ISSN":"13504487","abstract":"Abstract The present study aims at investigating several key aspects of ESR dose reconstruction of quartz grains based on the analysis of the Ti-center: (i) the evaluation of the ESR intensity, (ii) its impact on measurements precision, and (iii) the potential of various fitting functions to describe the behavior of the signal with the radiation absorbed dose. In contrast with the Al center, the various Ti centers have quite low ESR signal intensities. It is thus crucial to adapt the experimental conditions for the optimization of the signal-to-noise ratio and to perform repeated measurements in order to take into consideration the uncertainty associated to angular dependence of the signal as well as day-to-day variations. Several options (named A to E) for evaluating the ESR intensity of the Ti-Li and Ti-H centers are explored and some of them yield too much experimental uncertainty (e.g. options C and E) and are apparently not suitable for accurate ESR dosimetry. In contrast, options A and D usually provide similar equivalent dose (D&lt;inf&gt;E&lt;/inf&gt;) results and can be used together for assessing the dose absorbed by the Ti-Li center. Our results show a systematic non-monotonic behavior of the ESR signal of the Ti center with the dose, which raise some questions about the suitability of the single saturating exponential (SSE) function that is classically used in ESR dating. Consequently, we explored the potential of other functions that can describe the \"radiation bleaching\" phenomenon observed at high doses. We recommend the use of a specific fitting function (called Ti-2 in the present paper) previously proposed by Woda and Wagner (2007) for any dose reconstruction, and define some criteria to ensure a good fitting. The SSE function provides D&lt;inf&gt;E&lt;/inf&gt; results that are, in most cases, relatively consistent with those derived from the Ti-2, suggesting that the Ti centers apparently follow a SSE behavior up to, at least, 6.0-6.5 kGy However, the reliability of the D&lt;inf&gt;E&lt;/inf&gt; values obtained with the SSE seems quite dependent on the accuracy of the ESR intensities of the increasing domain of the dose response curve. We also recommend the definition of criteria to check the reliability of the D&lt;inf&gt;E&lt;/inf&gt; results.","author":[{"dropping-particle":"","family":"Duval","given":"Mathieu","non-dropping-particle":"","parse-names":false,"suffix":""},{"dropping-particle":"","family":"Guilarte","given":"Verónica","non-dropping-particle":"","parse-names":false,"suffix":""}],"container-title":"Radiation Measurements","id":"ITEM-1","issued":{"date-parts":[["2015"]]},"page":"28-41","title":"ESR dosimetry of optically bleached quartz grains extracted from Plio-Quaternary sediment: Evaluating some key aspects of the ESR signals associated to the Ti-centers","type":"article-journal","volume":"78"},"uris":["http://www.mendeley.com/documents/?uuid=b3834102-b8e5-401f-a6a6-d79ce2b464f9"]}],"mendeley":{"formattedCitation":"&lt;sup&gt;103&lt;/sup&gt;","plainTextFormattedCitation":"103","previouslyFormattedCitation":"&lt;sup&gt;103&lt;/sup&gt;"},"properties":{"noteIndex":0},"schema":"https://github.com/citation-style-language/schema/raw/master/csl-citation.json"}</w:instrText>
      </w:r>
      <w:r w:rsidR="007E6D70"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103</w:t>
      </w:r>
      <w:r w:rsidR="007E6D70"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options C</w:t>
      </w:r>
      <w:r w:rsidR="00BD046D" w:rsidRPr="005F44EF">
        <w:rPr>
          <w:rFonts w:ascii="Times New Roman" w:eastAsia="Times New Roman" w:hAnsi="Times New Roman" w:cs="Times New Roman"/>
          <w:sz w:val="24"/>
          <w:szCs w:val="24"/>
        </w:rPr>
        <w:t xml:space="preserve"> and </w:t>
      </w:r>
      <w:r w:rsidRPr="005F44EF">
        <w:rPr>
          <w:rFonts w:ascii="Times New Roman" w:eastAsia="Times New Roman" w:hAnsi="Times New Roman" w:cs="Times New Roman"/>
          <w:sz w:val="24"/>
          <w:szCs w:val="24"/>
        </w:rPr>
        <w:t xml:space="preserve">D. </w:t>
      </w:r>
      <w:r w:rsidR="001B49E9">
        <w:rPr>
          <w:rFonts w:ascii="Times New Roman" w:eastAsia="Times New Roman" w:hAnsi="Times New Roman" w:cs="Times New Roman"/>
          <w:sz w:val="24"/>
          <w:szCs w:val="24"/>
        </w:rPr>
        <w:t>S</w:t>
      </w:r>
      <w:r w:rsidR="008B6C9C" w:rsidRPr="005F44EF">
        <w:rPr>
          <w:rFonts w:ascii="Times New Roman" w:eastAsia="Times New Roman" w:hAnsi="Times New Roman" w:cs="Times New Roman"/>
          <w:sz w:val="24"/>
          <w:szCs w:val="24"/>
        </w:rPr>
        <w:t xml:space="preserve">ome </w:t>
      </w:r>
      <w:r w:rsidR="00460A14" w:rsidRPr="005F44EF">
        <w:rPr>
          <w:rFonts w:ascii="Times New Roman" w:eastAsia="Times New Roman" w:hAnsi="Times New Roman" w:cs="Times New Roman"/>
          <w:sz w:val="24"/>
          <w:szCs w:val="24"/>
        </w:rPr>
        <w:t>p</w:t>
      </w:r>
      <w:r w:rsidR="006F481F" w:rsidRPr="005F44EF">
        <w:rPr>
          <w:rFonts w:ascii="Times New Roman" w:eastAsia="Times New Roman" w:hAnsi="Times New Roman" w:cs="Times New Roman"/>
          <w:sz w:val="24"/>
          <w:szCs w:val="24"/>
        </w:rPr>
        <w:t>revious studies</w:t>
      </w:r>
      <w:r w:rsidR="006F481F"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10.1016/j.quageo.2022.101293","ISSN":"18711014","author":[{"dropping-particle":"","family":"Arous","given":"E.","non-dropping-particle":"Ben","parse-names":false,"suffix":""},{"dropping-particle":"","family":"Duval","given":"M.","non-dropping-particle":"","parse-names":false,"suffix":""},{"dropping-particle":"","family":"Bateman","given":"M.D.","non-dropping-particle":"","parse-names":false,"suffix":""}],"container-title":"Quaternary Geochronology","id":"ITEM-1","issued":{"date-parts":[["2022","4"]]},"page":"101293","title":"ESR dating of optically bleached quartz grains from Plio-Pleistocene to Holocene coastal dune deposits (Wilderness-Knysna area, South Africa): a comparison with luminescence","type":"article-journal"},"uris":["http://www.mendeley.com/documents/?uuid=6238101d-eed2-3279-be56-0e804259f50f"]},{"id":"ITEM-2","itemData":{"DOI":"10.1016/j.radmeas.2014.10.002","ISSN":"13504487","abstract":"Abstract The present study aims at investigating several key aspects of ESR dose reconstruction of quartz grains based on the analysis of the Ti-center: (i) the evaluation of the ESR intensity, (ii) its impact on measurements precision, and (iii) the potential of various fitting functions to describe the behavior of the signal with the radiation absorbed dose. In contrast with the Al center, the various Ti centers have quite low ESR signal intensities. It is thus crucial to adapt the experimental conditions for the optimization of the signal-to-noise ratio and to perform repeated measurements in order to take into consideration the uncertainty associated to angular dependence of the signal as well as day-to-day variations. Several options (named A to E) for evaluating the ESR intensity of the Ti-Li and Ti-H centers are explored and some of them yield too much experimental uncertainty (e.g. options C and E) and are apparently not suitable for accurate ESR dosimetry. In contrast, options A and D usually provide similar equivalent dose (D&lt;inf&gt;E&lt;/inf&gt;) results and can be used together for assessing the dose absorbed by the Ti-Li center. Our results show a systematic non-monotonic behavior of the ESR signal of the Ti center with the dose, which raise some questions about the suitability of the single saturating exponential (SSE) function that is classically used in ESR dating. Consequently, we explored the potential of other functions that can describe the \"radiation bleaching\" phenomenon observed at high doses. We recommend the use of a specific fitting function (called Ti-2 in the present paper) previously proposed by Woda and Wagner (2007) for any dose reconstruction, and define some criteria to ensure a good fitting. The SSE function provides D&lt;inf&gt;E&lt;/inf&gt; results that are, in most cases, relatively consistent with those derived from the Ti-2, suggesting that the Ti centers apparently follow a SSE behavior up to, at least, 6.0-6.5 kGy However, the reliability of the D&lt;inf&gt;E&lt;/inf&gt; values obtained with the SSE seems quite dependent on the accuracy of the ESR intensities of the increasing domain of the dose response curve. We also recommend the definition of criteria to check the reliability of the D&lt;inf&gt;E&lt;/inf&gt; results.","author":[{"dropping-particle":"","family":"Duval","given":"Mathieu","non-dropping-particle":"","parse-names":false,"suffix":""},{"dropping-particle":"","family":"Guilarte","given":"Verónica","non-dropping-particle":"","parse-names":false,"suffix":""}],"container-title":"Radiation Measurements","id":"ITEM-2","issued":{"date-parts":[["2015"]]},"page":"28-41","title":"ESR dosimetry of optically bleached quartz grains extracted from Plio-Quaternary sediment: Evaluating some key aspects of the ESR signals associated to the Ti-centers","type":"article-journal","volume":"78"},"uris":["http://www.mendeley.com/documents/?uuid=b3834102-b8e5-401f-a6a6-d79ce2b464f9"]},{"id":"ITEM-3","itemData":{"DOI":"10.1016/j.quaint.2020.07.044","ISSN":"10406182","author":[{"dropping-particle":"","family":"Duval","given":"Mathieu","non-dropping-particle":"","parse-names":false,"suffix":""},{"dropping-particle":"","family":"Arnold","given":"Lee J.","non-dropping-particle":"","parse-names":false,"suffix":""},{"dropping-particle":"","family":"Rixhon","given":"Gilles","non-dropping-particle":"","parse-names":false,"suffix":""}],"container-title":"Quaternary International","id":"ITEM-3","issued":{"date-parts":[["2020","8","10"]]},"page":"1-10","publisher":"Elsevier Ltd","title":"Electron spin resonance (ESR) dating in Quaternary studies: evolution, recent advances and applications","type":"article","volume":"556"},"uris":["http://www.mendeley.com/documents/?uuid=258e0414-8ac6-3e4a-b690-46494b64819b"]},{"id":"ITEM-4","itemData":{"DOI":"10.1016/J.QUASCIREV.2017.11.008","ISSN":"0277-3791","abstract":"Based on a combination of Electron Spin Resonance (ESR) dating of quartz, luminescence dating of K-feldspar and palaeomagnetism, this study presents the first chronostratigraphic framework for the Pleistocene fluvial deposits of the lower Moulouya river in the Triffa basin (NE Morocco). K-feldspar pIRIR225 and pIRIR290 signals of all samples are saturated, suggesting fluvial deposition at least as early as the Middle Pleistocene (</w:instrText>
      </w:r>
      <w:r w:rsidR="00614E13">
        <w:rPr>
          <w:rFonts w:ascii="Cambria Math" w:eastAsia="Times New Roman" w:hAnsi="Cambria Math" w:cs="Cambria Math"/>
          <w:sz w:val="24"/>
          <w:szCs w:val="24"/>
        </w:rPr>
        <w:instrText>∼</w:instrText>
      </w:r>
      <w:r w:rsidR="00614E13">
        <w:rPr>
          <w:rFonts w:ascii="Times New Roman" w:eastAsia="Times New Roman" w:hAnsi="Times New Roman" w:cs="Times New Roman"/>
          <w:sz w:val="24"/>
          <w:szCs w:val="24"/>
        </w:rPr>
        <w:instrText xml:space="preserve">0.39–0.80 Ma). Consequently, further chronological information was obtained with ESR dating of quartz grains from the ancient Pleistocene fluvial deposits. As for ESR, the multiple centres approach provides equivalent dose values derived from the Al and Ti centres that mostly agree within 1σ-error, suggesting complete signal resetting from the former during fluvial transport. ESR dating results yield Calabrian deposition ages for all river profiles from </w:instrText>
      </w:r>
      <w:r w:rsidR="00614E13">
        <w:rPr>
          <w:rFonts w:ascii="Cambria Math" w:eastAsia="Times New Roman" w:hAnsi="Cambria Math" w:cs="Cambria Math"/>
          <w:sz w:val="24"/>
          <w:szCs w:val="24"/>
        </w:rPr>
        <w:instrText>∼</w:instrText>
      </w:r>
      <w:r w:rsidR="00614E13">
        <w:rPr>
          <w:rFonts w:ascii="Times New Roman" w:eastAsia="Times New Roman" w:hAnsi="Times New Roman" w:cs="Times New Roman"/>
          <w:sz w:val="24"/>
          <w:szCs w:val="24"/>
        </w:rPr>
        <w:instrText xml:space="preserve">1.1 to </w:instrText>
      </w:r>
      <w:r w:rsidR="00614E13">
        <w:rPr>
          <w:rFonts w:ascii="Cambria Math" w:eastAsia="Times New Roman" w:hAnsi="Cambria Math" w:cs="Cambria Math"/>
          <w:sz w:val="24"/>
          <w:szCs w:val="24"/>
        </w:rPr>
        <w:instrText>∼</w:instrText>
      </w:r>
      <w:r w:rsidR="00614E13">
        <w:rPr>
          <w:rFonts w:ascii="Times New Roman" w:eastAsia="Times New Roman" w:hAnsi="Times New Roman" w:cs="Times New Roman"/>
          <w:sz w:val="24"/>
          <w:szCs w:val="24"/>
        </w:rPr>
        <w:instrText xml:space="preserve">1.5 Ma. These ages are remarkably consistent with the palaeomagnetic results: the occurrence of mostly reversed polarity in the deposits indicates a Matuyama age (&gt;0.78 Ma). While low incision rates in the Triffa basin (0.025 ± 0.003 mm/a) related to thrusting activity during the Calabrian could be inferred, the fluvial record points to an acyclic and discontinuous sedimentation pattern over the last </w:instrText>
      </w:r>
      <w:r w:rsidR="00614E13">
        <w:rPr>
          <w:rFonts w:ascii="Cambria Math" w:eastAsia="Times New Roman" w:hAnsi="Cambria Math" w:cs="Cambria Math"/>
          <w:sz w:val="24"/>
          <w:szCs w:val="24"/>
        </w:rPr>
        <w:instrText>∼</w:instrText>
      </w:r>
      <w:r w:rsidR="00614E13">
        <w:rPr>
          <w:rFonts w:ascii="Times New Roman" w:eastAsia="Times New Roman" w:hAnsi="Times New Roman" w:cs="Times New Roman"/>
          <w:sz w:val="24"/>
          <w:szCs w:val="24"/>
        </w:rPr>
        <w:instrText>1.3 Ma. It thereby probably rules out climate as the main driver for fluvial aggradation in the lowermost sedimentary basin. At a regional scale, several indicators point to transient fluvial response resulting from major Quaternary tectonic activity along the Beni Snassen gorge, located directly upstream of the investigated basin. We suggest that a capture event at the margin of the uplifting Beni Snassen massif occurred between 1.04 and 1.36 Ma at the latest and subsequently led to the creation of the gorge.","author":[{"dropping-particle":"","family":"Bartz","given":"Melanie","non-dropping-particle":"","parse-names":false,"suffix":""},{"dropping-particle":"","family":"Rixhon","given":"Gilles","non-dropping-particle":"","parse-names":false,"suffix":""},{"dropping-particle":"","family":"Duval","given":"Mathieu","non-dropping-particle":"","parse-names":false,"suffix":""},{"dropping-particle":"","family":"King","given":"Georgina E.","non-dropping-particle":"","parse-names":false,"suffix":""},{"dropping-particle":"","family":"Álvarez Posada","given":"Claudia","non-dropping-particle":"","parse-names":false,"suffix":""},{"dropping-particle":"","family":"Parés","given":"Josep M.","non-dropping-particle":"","parse-names":false,"suffix":""},{"dropping-particle":"","family":"Brückner","given":"Helmut","non-dropping-particle":"","parse-names":false,"suffix":""}],"container-title":"Quaternary Science Reviews","id":"ITEM-4","issued":{"date-parts":[["2018","4","1"]]},"page":"153-171","publisher":"Pergamon","title":"Successful combination of electron spin resonance, luminescence and palaeomagnetic dating methods allows reconstruction of the Pleistocene evolution of the lower Moulouya river (NE Morocco)","type":"article-journal","volume":"185"},"uris":["http://www.mendeley.com/documents/?uuid=d7671740-5afd-3fc9-abf4-560179c4c91f"]},{"id":"ITEM-5","itemData":{"DOI":"10.1038/s41598-018-21320-1","ISSN":"20452322","PMID":"29449566","abstract":"We describe a European Acheulean site characterised by an extensive accumulation of large cutting tools (LCT). This type of Lower Paleolithic assemblage, with dense LCT accumulations, has only been found on the African continent and in the Near East until now. The identification of a site with large accumulations of LCTs favours the hypothesis of an African origin for the Acheulean of Southwest Europe. The lithic tool-bearing deposits date back to 293-205 thousand years ago. Our chronological findings confirm temporal overlap between sites with clear \"African\" Acheulean affinities and Early Middle Paleolithic sites found elsewhere in the region. These complex technological patterns could be consistent with the potential coexistence of different human species in south-western Europe during the Middle Pleistocene.","author":[{"dropping-particle":"","family":"Méndez-Quintas","given":"E.","non-dropping-particle":"","parse-names":false,"suffix":""},{"dropping-particle":"","family":"Santonja","given":"M.","non-dropping-particle":"","parse-names":false,"suffix":""},{"dropping-particle":"","family":"Pérez-González","given":"A.","non-dropping-particle":"","parse-names":false,"suffix":""},{"dropping-particle":"","family":"Duval","given":"M.","non-dropping-particle":"","parse-names":false,"suffix":""},{"dropping-particle":"","family":"Demuro","given":"M.","non-dropping-particle":"","parse-names":false,"suffix":""},{"dropping-particle":"","family":"Arnold","given":"L. J.","non-dropping-particle":"","parse-names":false,"suffix":""}],"container-title":"Scientific Reports","id":"ITEM-5","issue":"1","issued":{"date-parts":[["2018","12","1"]]},"publisher":"Nature Publishing Group","title":"First evidence of an extensive Acheulean large cutting tool accumulation in Europe from Porto Maior (Galicia, Spain)","type":"article-journal","volume":"8"},"uris":["http://www.mendeley.com/documents/?uuid=4a457b5e-22c3-3412-8bea-bfc7426078ae"]}],"mendeley":{"formattedCitation":"&lt;sup&gt;88,103–106&lt;/sup&gt;","plainTextFormattedCitation":"88,103–106","previouslyFormattedCitation":"&lt;sup&gt;88,103–106&lt;/sup&gt;"},"properties":{"noteIndex":0},"schema":"https://github.com/citation-style-language/schema/raw/master/csl-citation.json"}</w:instrText>
      </w:r>
      <w:r w:rsidR="006F481F"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88,103–106</w:t>
      </w:r>
      <w:r w:rsidR="006F481F" w:rsidRPr="005F44EF">
        <w:rPr>
          <w:rFonts w:ascii="Times New Roman" w:eastAsia="Times New Roman" w:hAnsi="Times New Roman" w:cs="Times New Roman"/>
          <w:sz w:val="24"/>
          <w:szCs w:val="24"/>
        </w:rPr>
        <w:fldChar w:fldCharType="end"/>
      </w:r>
      <w:r w:rsidR="006F481F" w:rsidRPr="005F44EF">
        <w:rPr>
          <w:rFonts w:ascii="Times New Roman" w:eastAsia="Times New Roman" w:hAnsi="Times New Roman" w:cs="Times New Roman"/>
          <w:sz w:val="24"/>
          <w:szCs w:val="24"/>
        </w:rPr>
        <w:t xml:space="preserve"> have shown a </w:t>
      </w:r>
      <w:r w:rsidR="00FA4F05" w:rsidRPr="005F44EF">
        <w:rPr>
          <w:rFonts w:ascii="Times New Roman" w:eastAsia="Times New Roman" w:hAnsi="Times New Roman" w:cs="Times New Roman"/>
          <w:sz w:val="24"/>
          <w:szCs w:val="24"/>
        </w:rPr>
        <w:t xml:space="preserve">relative </w:t>
      </w:r>
      <w:r w:rsidR="006F481F" w:rsidRPr="005F44EF">
        <w:rPr>
          <w:rFonts w:ascii="Times New Roman" w:eastAsia="Times New Roman" w:hAnsi="Times New Roman" w:cs="Times New Roman"/>
          <w:sz w:val="24"/>
          <w:szCs w:val="24"/>
        </w:rPr>
        <w:t xml:space="preserve">consistency </w:t>
      </w:r>
      <w:r w:rsidR="00D24AFC" w:rsidRPr="005F44EF">
        <w:rPr>
          <w:rFonts w:ascii="Times New Roman" w:eastAsia="Times New Roman" w:hAnsi="Times New Roman" w:cs="Times New Roman"/>
          <w:sz w:val="24"/>
          <w:szCs w:val="24"/>
        </w:rPr>
        <w:t xml:space="preserve">between Luminescence and ESR dating results based in either the </w:t>
      </w:r>
      <w:r w:rsidR="006F481F" w:rsidRPr="005F44EF">
        <w:rPr>
          <w:rFonts w:ascii="Times New Roman" w:eastAsia="Times New Roman" w:hAnsi="Times New Roman" w:cs="Times New Roman"/>
          <w:sz w:val="24"/>
          <w:szCs w:val="24"/>
        </w:rPr>
        <w:t>Ti-H (</w:t>
      </w:r>
      <w:r w:rsidR="00D24AFC" w:rsidRPr="005F44EF">
        <w:rPr>
          <w:rFonts w:ascii="Times New Roman" w:eastAsia="Times New Roman" w:hAnsi="Times New Roman" w:cs="Times New Roman"/>
          <w:sz w:val="24"/>
          <w:szCs w:val="24"/>
        </w:rPr>
        <w:t xml:space="preserve">Option </w:t>
      </w:r>
      <w:r w:rsidR="006F481F" w:rsidRPr="005F44EF">
        <w:rPr>
          <w:rFonts w:ascii="Times New Roman" w:eastAsia="Times New Roman" w:hAnsi="Times New Roman" w:cs="Times New Roman"/>
          <w:sz w:val="24"/>
          <w:szCs w:val="24"/>
        </w:rPr>
        <w:t xml:space="preserve">C) </w:t>
      </w:r>
      <w:r w:rsidR="00D24AFC" w:rsidRPr="005F44EF">
        <w:rPr>
          <w:rFonts w:ascii="Times New Roman" w:eastAsia="Times New Roman" w:hAnsi="Times New Roman" w:cs="Times New Roman"/>
          <w:sz w:val="24"/>
          <w:szCs w:val="24"/>
        </w:rPr>
        <w:t>or</w:t>
      </w:r>
      <w:r w:rsidR="0021783D" w:rsidRPr="005F44EF">
        <w:rPr>
          <w:rFonts w:ascii="Times New Roman" w:eastAsia="Times New Roman" w:hAnsi="Times New Roman" w:cs="Times New Roman"/>
          <w:sz w:val="24"/>
          <w:szCs w:val="24"/>
        </w:rPr>
        <w:t xml:space="preserve"> </w:t>
      </w:r>
      <w:r w:rsidR="002B2F2A">
        <w:rPr>
          <w:rFonts w:ascii="Times New Roman" w:eastAsia="Times New Roman" w:hAnsi="Times New Roman" w:cs="Times New Roman"/>
          <w:sz w:val="24"/>
          <w:szCs w:val="24"/>
        </w:rPr>
        <w:t xml:space="preserve">Ti-mix </w:t>
      </w:r>
      <w:r w:rsidR="006F481F" w:rsidRPr="005F44EF">
        <w:rPr>
          <w:rFonts w:ascii="Times New Roman" w:eastAsia="Times New Roman" w:hAnsi="Times New Roman" w:cs="Times New Roman"/>
          <w:sz w:val="24"/>
          <w:szCs w:val="24"/>
        </w:rPr>
        <w:t>(</w:t>
      </w:r>
      <w:r w:rsidR="00D24AFC" w:rsidRPr="005F44EF">
        <w:rPr>
          <w:rFonts w:ascii="Times New Roman" w:eastAsia="Times New Roman" w:hAnsi="Times New Roman" w:cs="Times New Roman"/>
          <w:sz w:val="24"/>
          <w:szCs w:val="24"/>
        </w:rPr>
        <w:t xml:space="preserve">Option </w:t>
      </w:r>
      <w:r w:rsidR="006F481F" w:rsidRPr="005F44EF">
        <w:rPr>
          <w:rFonts w:ascii="Times New Roman" w:eastAsia="Times New Roman" w:hAnsi="Times New Roman" w:cs="Times New Roman"/>
          <w:sz w:val="24"/>
          <w:szCs w:val="24"/>
        </w:rPr>
        <w:t xml:space="preserve">D) </w:t>
      </w:r>
      <w:r w:rsidR="00D24AFC" w:rsidRPr="005F44EF">
        <w:rPr>
          <w:rFonts w:ascii="Times New Roman" w:eastAsia="Times New Roman" w:hAnsi="Times New Roman" w:cs="Times New Roman"/>
          <w:sz w:val="24"/>
          <w:szCs w:val="24"/>
        </w:rPr>
        <w:t xml:space="preserve">signals </w:t>
      </w:r>
      <w:r w:rsidR="006F481F" w:rsidRPr="005F44EF">
        <w:rPr>
          <w:rFonts w:ascii="Times New Roman" w:eastAsia="Times New Roman" w:hAnsi="Times New Roman" w:cs="Times New Roman"/>
          <w:sz w:val="24"/>
          <w:szCs w:val="24"/>
        </w:rPr>
        <w:t>for the last 300 ka</w:t>
      </w:r>
      <w:r w:rsidR="001B49E9">
        <w:rPr>
          <w:rFonts w:ascii="Times New Roman" w:eastAsia="Times New Roman" w:hAnsi="Times New Roman" w:cs="Times New Roman"/>
          <w:sz w:val="24"/>
          <w:szCs w:val="24"/>
        </w:rPr>
        <w:t xml:space="preserve"> while other studies (e.g. </w:t>
      </w:r>
      <w:r w:rsidR="001B49E9">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10.1016/j.quageo.2022.101293","ISSN":"18711014","author":[{"dropping-particle":"","family":"Arous","given":"E.","non-dropping-particle":"Ben","parse-names":false,"suffix":""},{"dropping-particle":"","family":"Duval","given":"M.","non-dropping-particle":"","parse-names":false,"suffix":""},{"dropping-particle":"","family":"Bateman","given":"M.D.","non-dropping-particle":"","parse-names":false,"suffix":""}],"container-title":"Quaternary Geochronology","id":"ITEM-1","issued":{"date-parts":[["2022","4"]]},"page":"101293","title":"ESR dating of optically bleached quartz grains from Plio-Pleistocene to Holocene coastal dune deposits (Wilderness-Knysna area, South Africa): a comparison with luminescence","type":"article-journal"},"uris":["http://www.mendeley.com/documents/?uuid=6238101d-eed2-3279-be56-0e804259f50f"]},{"id":"ITEM-2","itemData":{"DOI":"10.1016/J.QUAGEO.2024.101580","ISSN":"1871-1014","author":[{"dropping-particle":"","family":"Arous","given":"E.","non-dropping-particle":"Ben","parse-names":false,"suffix":""},{"dropping-particle":"","family":"Bateman","given":"M.D.","non-dropping-particle":"","parse-names":false,"suffix":""},{"dropping-particle":"","family":"Duval","given":"M.","non-dropping-particle":"","parse-names":false,"suffix":""}],"container-title":"Quaternary Geochronology","id":"ITEM-2","issued":{"date-parts":[["2024","6","29"]]},"page":"101580","publisher":"Elsevier","title":"Extending the ESR and OSL dating comparison on coastal dune deposits from the Wilderness-Knysna area (South Africa)","type":"article-journal"},"uris":["http://www.mendeley.com/documents/?uuid=00af5db3-e886-3903-9259-f8e81e19c5ea"]}],"mendeley":{"formattedCitation":"&lt;sup&gt;88,107&lt;/sup&gt;","plainTextFormattedCitation":"88,107","previouslyFormattedCitation":"&lt;sup&gt;88,107&lt;/sup&gt;"},"properties":{"noteIndex":0},"schema":"https://github.com/citation-style-language/schema/raw/master/csl-citation.json"}</w:instrText>
      </w:r>
      <w:r w:rsidR="001B49E9">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88,107</w:t>
      </w:r>
      <w:r w:rsidR="001B49E9">
        <w:rPr>
          <w:rFonts w:ascii="Times New Roman" w:eastAsia="Times New Roman" w:hAnsi="Times New Roman" w:cs="Times New Roman"/>
          <w:sz w:val="24"/>
          <w:szCs w:val="24"/>
        </w:rPr>
        <w:fldChar w:fldCharType="end"/>
      </w:r>
      <w:r w:rsidR="001B49E9">
        <w:rPr>
          <w:rFonts w:ascii="Times New Roman" w:eastAsia="Times New Roman" w:hAnsi="Times New Roman" w:cs="Times New Roman"/>
          <w:sz w:val="24"/>
          <w:szCs w:val="24"/>
        </w:rPr>
        <w:t xml:space="preserve">) </w:t>
      </w:r>
      <w:r w:rsidR="00E07D9C" w:rsidRPr="00E07D9C">
        <w:rPr>
          <w:rFonts w:ascii="Times New Roman" w:eastAsia="Times New Roman" w:hAnsi="Times New Roman" w:cs="Times New Roman"/>
          <w:sz w:val="24"/>
          <w:szCs w:val="24"/>
        </w:rPr>
        <w:t>have shown the consistency between OSL and Ti ESR ages is not obvious and can be sample dependant.</w:t>
      </w:r>
    </w:p>
    <w:p w14:paraId="716A5220" w14:textId="31502B83"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Fitting was carried out using a Ti-2 function (weighting by 1/s</w:t>
      </w:r>
      <w:r w:rsidRPr="005F44EF">
        <w:rPr>
          <w:rFonts w:ascii="Times New Roman" w:eastAsia="Times New Roman" w:hAnsi="Times New Roman" w:cs="Times New Roman"/>
          <w:sz w:val="24"/>
          <w:szCs w:val="24"/>
          <w:vertAlign w:val="superscript"/>
        </w:rPr>
        <w:t>2</w:t>
      </w:r>
      <w:r w:rsidRPr="005F44EF">
        <w:rPr>
          <w:rFonts w:ascii="Times New Roman" w:eastAsia="Times New Roman" w:hAnsi="Times New Roman" w:cs="Times New Roman"/>
          <w:sz w:val="24"/>
          <w:szCs w:val="24"/>
        </w:rPr>
        <w:t>)</w:t>
      </w:r>
      <w:r w:rsidR="002D026B" w:rsidRPr="005F44EF">
        <w:rPr>
          <w:rFonts w:ascii="Times New Roman" w:eastAsia="Times New Roman" w:hAnsi="Times New Roman" w:cs="Times New Roman"/>
          <w:sz w:val="24"/>
          <w:szCs w:val="24"/>
        </w:rPr>
        <w:t xml:space="preserve"> over the full dose range, and with </w:t>
      </w:r>
      <w:r w:rsidRPr="005F44EF">
        <w:rPr>
          <w:rFonts w:ascii="Times New Roman" w:eastAsia="Times New Roman" w:hAnsi="Times New Roman" w:cs="Times New Roman"/>
          <w:sz w:val="24"/>
          <w:szCs w:val="24"/>
        </w:rPr>
        <w:t>a standard SSE function (weighting by 1/I</w:t>
      </w:r>
      <w:r w:rsidRPr="005F44EF">
        <w:rPr>
          <w:rFonts w:ascii="Times New Roman" w:eastAsia="Times New Roman" w:hAnsi="Times New Roman" w:cs="Times New Roman"/>
          <w:sz w:val="24"/>
          <w:szCs w:val="24"/>
          <w:vertAlign w:val="superscript"/>
        </w:rPr>
        <w:t>2</w:t>
      </w:r>
      <w:r w:rsidRPr="005F44EF">
        <w:rPr>
          <w:rFonts w:ascii="Times New Roman" w:eastAsia="Times New Roman" w:hAnsi="Times New Roman" w:cs="Times New Roman"/>
          <w:sz w:val="24"/>
          <w:szCs w:val="24"/>
        </w:rPr>
        <w:t>) as recommended by</w:t>
      </w:r>
      <w:r w:rsidR="00E21E58">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uthor":[{"dropping-particle":"","family":"Yokoyama","given":"Y.","non-dropping-particle":"","parse-names":false,"suffix":""},{"dropping-particle":"","family":"Falguères","given":"C.","non-dropping-particle":"","parse-names":false,"suffix":""},{"dropping-particle":"","family":"Quaegebeur","given":"J.P.","non-dropping-particle":"","parse-names":false,"suffix":""}],"container-title":"Nuclear Tracks","id":"ITEM-1","issue":"4-6","issued":{"date-parts":[["1985"]]},"page":"921–928","title":"ESR dating of quartz from Quaternary sediments : first attempts","type":"article-journal","volume":"10"},"uris":["http://www.mendeley.com/documents/?uuid=0eb64678-387e-477b-b500-842d32fd956c"]}],"mendeley":{"formattedCitation":"&lt;sup&gt;92&lt;/sup&gt;","plainTextFormattedCitation":"92","previouslyFormattedCitation":"&lt;sup&gt;92&lt;/sup&gt;"},"properties":{"noteIndex":0},"schema":"https://github.com/citation-style-language/schema/raw/master/csl-citation.json"}</w:instrText>
      </w:r>
      <w:r w:rsidR="00E21E58">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92</w:t>
      </w:r>
      <w:r w:rsidR="00E21E58">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to fit the first part of the dose response curve, up to the maximum ESR intensities. </w:t>
      </w:r>
      <w:r w:rsidR="00963DB6" w:rsidRPr="005F44EF">
        <w:rPr>
          <w:rFonts w:ascii="Times New Roman" w:eastAsia="Times New Roman" w:hAnsi="Times New Roman" w:cs="Times New Roman"/>
          <w:sz w:val="24"/>
          <w:szCs w:val="24"/>
        </w:rPr>
        <w:t>T</w:t>
      </w:r>
      <w:r w:rsidRPr="005F44EF">
        <w:rPr>
          <w:rFonts w:ascii="Times New Roman" w:eastAsia="Times New Roman" w:hAnsi="Times New Roman" w:cs="Times New Roman"/>
          <w:sz w:val="24"/>
          <w:szCs w:val="24"/>
        </w:rPr>
        <w:t>o evaluate whether the maximum irradiation dose selected may have a significant impact on the calculated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w:t>
      </w:r>
      <w:r w:rsidR="00963DB6" w:rsidRPr="005F44EF">
        <w:rPr>
          <w:rFonts w:ascii="Times New Roman" w:eastAsia="Times New Roman" w:hAnsi="Times New Roman" w:cs="Times New Roman"/>
          <w:sz w:val="24"/>
          <w:szCs w:val="24"/>
        </w:rPr>
        <w:t>the D</w:t>
      </w:r>
      <w:r w:rsidR="00963DB6" w:rsidRPr="005F44EF">
        <w:rPr>
          <w:rFonts w:ascii="Times New Roman" w:eastAsia="Times New Roman" w:hAnsi="Times New Roman" w:cs="Times New Roman"/>
          <w:sz w:val="24"/>
          <w:szCs w:val="24"/>
          <w:vertAlign w:val="subscript"/>
        </w:rPr>
        <w:t>e</w:t>
      </w:r>
      <w:r w:rsidR="00963DB6" w:rsidRPr="005F44EF">
        <w:rPr>
          <w:rFonts w:ascii="Times New Roman" w:eastAsia="Times New Roman" w:hAnsi="Times New Roman" w:cs="Times New Roman"/>
          <w:sz w:val="24"/>
          <w:szCs w:val="24"/>
        </w:rPr>
        <w:t xml:space="preserve"> were calculated </w:t>
      </w:r>
      <w:r w:rsidRPr="005F44EF">
        <w:rPr>
          <w:rFonts w:ascii="Times New Roman" w:eastAsia="Times New Roman" w:hAnsi="Times New Roman" w:cs="Times New Roman"/>
          <w:sz w:val="24"/>
          <w:szCs w:val="24"/>
        </w:rPr>
        <w:t>with D</w:t>
      </w:r>
      <w:r w:rsidRPr="005F44EF">
        <w:rPr>
          <w:rFonts w:ascii="Times New Roman" w:eastAsia="Times New Roman" w:hAnsi="Times New Roman" w:cs="Times New Roman"/>
          <w:sz w:val="24"/>
          <w:szCs w:val="24"/>
          <w:vertAlign w:val="subscript"/>
        </w:rPr>
        <w:t>max</w:t>
      </w:r>
      <w:r w:rsidRPr="005F44EF">
        <w:rPr>
          <w:rFonts w:ascii="Times New Roman" w:eastAsia="Times New Roman" w:hAnsi="Times New Roman" w:cs="Times New Roman"/>
          <w:sz w:val="24"/>
          <w:szCs w:val="24"/>
        </w:rPr>
        <w:t>=4.5 kGy and D</w:t>
      </w:r>
      <w:r w:rsidRPr="005F44EF">
        <w:rPr>
          <w:rFonts w:ascii="Times New Roman" w:eastAsia="Times New Roman" w:hAnsi="Times New Roman" w:cs="Times New Roman"/>
          <w:sz w:val="24"/>
          <w:szCs w:val="24"/>
          <w:vertAlign w:val="subscript"/>
        </w:rPr>
        <w:t>max</w:t>
      </w:r>
      <w:r w:rsidRPr="005F44EF">
        <w:rPr>
          <w:rFonts w:ascii="Times New Roman" w:eastAsia="Times New Roman" w:hAnsi="Times New Roman" w:cs="Times New Roman"/>
          <w:sz w:val="24"/>
          <w:szCs w:val="24"/>
        </w:rPr>
        <w:t xml:space="preserve">=2.8 kGy. </w:t>
      </w:r>
      <w:r w:rsidR="002D026B" w:rsidRPr="005F44EF">
        <w:rPr>
          <w:rFonts w:ascii="Times New Roman" w:eastAsia="Times New Roman" w:hAnsi="Times New Roman" w:cs="Times New Roman"/>
          <w:sz w:val="24"/>
          <w:szCs w:val="24"/>
        </w:rPr>
        <w:t>Numerical</w:t>
      </w:r>
      <w:r w:rsidRPr="005F44EF">
        <w:rPr>
          <w:rFonts w:ascii="Times New Roman" w:eastAsia="Times New Roman" w:hAnsi="Times New Roman" w:cs="Times New Roman"/>
          <w:sz w:val="24"/>
          <w:szCs w:val="24"/>
        </w:rPr>
        <w:t xml:space="preserve"> </w:t>
      </w:r>
      <w:r w:rsidR="00D24AFC" w:rsidRPr="005F44EF">
        <w:rPr>
          <w:rFonts w:ascii="Times New Roman" w:eastAsia="Times New Roman" w:hAnsi="Times New Roman" w:cs="Times New Roman"/>
          <w:sz w:val="24"/>
          <w:szCs w:val="24"/>
        </w:rPr>
        <w:t xml:space="preserve">fitting results </w:t>
      </w:r>
      <w:r w:rsidRPr="005F44EF">
        <w:rPr>
          <w:rFonts w:ascii="Times New Roman" w:eastAsia="Times New Roman" w:hAnsi="Times New Roman" w:cs="Times New Roman"/>
          <w:sz w:val="24"/>
          <w:szCs w:val="24"/>
        </w:rPr>
        <w:t xml:space="preserve">data are </w:t>
      </w:r>
      <w:r w:rsidR="002D026B" w:rsidRPr="005F44EF">
        <w:rPr>
          <w:rFonts w:ascii="Times New Roman" w:eastAsia="Times New Roman" w:hAnsi="Times New Roman" w:cs="Times New Roman"/>
          <w:sz w:val="24"/>
          <w:szCs w:val="24"/>
        </w:rPr>
        <w:t>given</w:t>
      </w:r>
      <w:r w:rsidRPr="005F44EF">
        <w:rPr>
          <w:rFonts w:ascii="Times New Roman" w:eastAsia="Times New Roman" w:hAnsi="Times New Roman" w:cs="Times New Roman"/>
          <w:sz w:val="24"/>
          <w:szCs w:val="24"/>
        </w:rPr>
        <w:t xml:space="preserve"> in </w:t>
      </w:r>
      <w:r w:rsidRPr="005F44EF">
        <w:rPr>
          <w:rFonts w:ascii="Times New Roman" w:eastAsia="Times New Roman" w:hAnsi="Times New Roman" w:cs="Times New Roman"/>
          <w:b/>
          <w:sz w:val="24"/>
          <w:szCs w:val="24"/>
        </w:rPr>
        <w:t xml:space="preserve">Table </w:t>
      </w:r>
      <w:r w:rsidR="008A78A0" w:rsidRPr="005F44EF">
        <w:rPr>
          <w:rFonts w:ascii="Times New Roman" w:eastAsia="Times New Roman" w:hAnsi="Times New Roman" w:cs="Times New Roman"/>
          <w:b/>
          <w:sz w:val="24"/>
          <w:szCs w:val="24"/>
        </w:rPr>
        <w:t>S5</w:t>
      </w:r>
      <w:r w:rsidRPr="005F44EF">
        <w:rPr>
          <w:rFonts w:ascii="Times New Roman" w:eastAsia="Times New Roman" w:hAnsi="Times New Roman" w:cs="Times New Roman"/>
          <w:sz w:val="24"/>
          <w:szCs w:val="24"/>
        </w:rPr>
        <w:t xml:space="preserve">. </w:t>
      </w:r>
    </w:p>
    <w:p w14:paraId="31804042" w14:textId="74CC1F52" w:rsidR="008010EE" w:rsidRPr="005F44EF" w:rsidRDefault="008010EE">
      <w:pPr>
        <w:spacing w:after="0" w:line="276" w:lineRule="auto"/>
        <w:jc w:val="both"/>
        <w:rPr>
          <w:rFonts w:ascii="Times New Roman" w:eastAsia="Times New Roman" w:hAnsi="Times New Roman" w:cs="Times New Roman"/>
          <w:sz w:val="24"/>
          <w:szCs w:val="24"/>
        </w:rPr>
      </w:pPr>
    </w:p>
    <w:p w14:paraId="55DA8437" w14:textId="61EA42A2" w:rsidR="00C22F48" w:rsidRPr="005F44EF" w:rsidRDefault="00C22F48">
      <w:pPr>
        <w:spacing w:after="0" w:line="276" w:lineRule="auto"/>
        <w:jc w:val="both"/>
        <w:rPr>
          <w:rFonts w:ascii="Times New Roman" w:eastAsia="Times New Roman" w:hAnsi="Times New Roman" w:cs="Times New Roman"/>
          <w:sz w:val="24"/>
          <w:szCs w:val="24"/>
        </w:rPr>
      </w:pPr>
    </w:p>
    <w:p w14:paraId="730B3D01" w14:textId="0FB3EEBD" w:rsidR="00C22F48" w:rsidRPr="005F44EF" w:rsidRDefault="00C22F48">
      <w:pPr>
        <w:spacing w:after="0" w:line="276" w:lineRule="auto"/>
        <w:jc w:val="both"/>
        <w:rPr>
          <w:rFonts w:ascii="Times New Roman" w:eastAsia="Times New Roman" w:hAnsi="Times New Roman" w:cs="Times New Roman"/>
          <w:sz w:val="24"/>
          <w:szCs w:val="24"/>
        </w:rPr>
      </w:pPr>
    </w:p>
    <w:p w14:paraId="04DA8608" w14:textId="647D00CF" w:rsidR="00C22F48" w:rsidRPr="005F44EF" w:rsidRDefault="00C22F48">
      <w:pPr>
        <w:spacing w:after="0" w:line="276" w:lineRule="auto"/>
        <w:jc w:val="both"/>
        <w:rPr>
          <w:rFonts w:ascii="Times New Roman" w:eastAsia="Times New Roman" w:hAnsi="Times New Roman" w:cs="Times New Roman"/>
          <w:sz w:val="24"/>
          <w:szCs w:val="24"/>
        </w:rPr>
      </w:pPr>
    </w:p>
    <w:p w14:paraId="530FD9F6" w14:textId="77777777" w:rsidR="00217F21" w:rsidRPr="005F44EF" w:rsidRDefault="00217F21">
      <w:pPr>
        <w:spacing w:after="0" w:line="276" w:lineRule="auto"/>
        <w:jc w:val="both"/>
        <w:rPr>
          <w:rFonts w:ascii="Times New Roman" w:eastAsia="Times New Roman" w:hAnsi="Times New Roman" w:cs="Times New Roman"/>
          <w:sz w:val="24"/>
          <w:szCs w:val="24"/>
        </w:rPr>
      </w:pPr>
    </w:p>
    <w:p w14:paraId="2A94E76F" w14:textId="4F62EEB8" w:rsidR="009B2710" w:rsidRPr="005F44EF" w:rsidRDefault="009B2710">
      <w:pPr>
        <w:spacing w:after="0" w:line="276" w:lineRule="auto"/>
        <w:jc w:val="both"/>
        <w:rPr>
          <w:rFonts w:ascii="Times New Roman" w:eastAsia="Times New Roman" w:hAnsi="Times New Roman" w:cs="Times New Roman"/>
          <w:sz w:val="24"/>
          <w:szCs w:val="24"/>
        </w:rPr>
      </w:pPr>
    </w:p>
    <w:p w14:paraId="216CE8E7" w14:textId="70970C95" w:rsidR="009B2710" w:rsidRPr="005F44EF" w:rsidRDefault="009B2710">
      <w:pPr>
        <w:spacing w:after="0" w:line="276" w:lineRule="auto"/>
        <w:jc w:val="both"/>
        <w:rPr>
          <w:rFonts w:ascii="Times New Roman" w:eastAsia="Times New Roman" w:hAnsi="Times New Roman" w:cs="Times New Roman"/>
          <w:sz w:val="24"/>
          <w:szCs w:val="24"/>
        </w:rPr>
      </w:pPr>
    </w:p>
    <w:p w14:paraId="6DCAB533" w14:textId="2BEAF090" w:rsidR="00BE42E9" w:rsidRPr="005F44EF" w:rsidRDefault="00BE42E9">
      <w:pPr>
        <w:spacing w:after="0" w:line="276" w:lineRule="auto"/>
        <w:jc w:val="both"/>
        <w:rPr>
          <w:rFonts w:ascii="Times New Roman" w:eastAsia="Times New Roman" w:hAnsi="Times New Roman" w:cs="Times New Roman"/>
          <w:sz w:val="24"/>
          <w:szCs w:val="24"/>
        </w:rPr>
      </w:pPr>
    </w:p>
    <w:p w14:paraId="30C78DBF" w14:textId="797F769A" w:rsidR="00991AC7" w:rsidRPr="005F44EF" w:rsidRDefault="00B9564D" w:rsidP="00991AC7">
      <w:pPr>
        <w:shd w:val="clear" w:color="auto" w:fill="FFFFFF" w:themeFill="background1"/>
        <w:jc w:val="both"/>
        <w:rPr>
          <w:rFonts w:ascii="Times New Roman" w:hAnsi="Times New Roman" w:cs="Times New Roman"/>
          <w:sz w:val="24"/>
          <w:szCs w:val="24"/>
        </w:rPr>
      </w:pPr>
      <w:bookmarkStart w:id="52" w:name="_3rdcrjn" w:colFirst="0" w:colLast="0"/>
      <w:bookmarkStart w:id="53" w:name="_Hlk170654451"/>
      <w:bookmarkEnd w:id="52"/>
      <w:r w:rsidRPr="005F44EF">
        <w:rPr>
          <w:rFonts w:ascii="Times New Roman" w:eastAsia="Times New Roman" w:hAnsi="Times New Roman" w:cs="Times New Roman"/>
          <w:b/>
          <w:color w:val="000000" w:themeColor="text1"/>
          <w:sz w:val="24"/>
          <w:szCs w:val="24"/>
        </w:rPr>
        <w:lastRenderedPageBreak/>
        <w:t>Figure S</w:t>
      </w:r>
      <w:r w:rsidR="008A78A0" w:rsidRPr="005F44EF">
        <w:rPr>
          <w:rFonts w:ascii="Times New Roman" w:eastAsia="Times New Roman" w:hAnsi="Times New Roman" w:cs="Times New Roman"/>
          <w:b/>
          <w:color w:val="000000" w:themeColor="text1"/>
          <w:sz w:val="24"/>
          <w:szCs w:val="24"/>
        </w:rPr>
        <w:t>1</w:t>
      </w:r>
      <w:r w:rsidR="00EA0F52" w:rsidRPr="005F44EF">
        <w:rPr>
          <w:rFonts w:ascii="Times New Roman" w:eastAsia="Times New Roman" w:hAnsi="Times New Roman" w:cs="Times New Roman"/>
          <w:b/>
          <w:color w:val="000000" w:themeColor="text1"/>
          <w:sz w:val="24"/>
          <w:szCs w:val="24"/>
        </w:rPr>
        <w:t>0</w:t>
      </w:r>
      <w:r w:rsidRPr="005F44EF">
        <w:rPr>
          <w:rFonts w:ascii="Times New Roman" w:eastAsia="Times New Roman" w:hAnsi="Times New Roman" w:cs="Times New Roman"/>
          <w:b/>
          <w:color w:val="000000" w:themeColor="text1"/>
          <w:sz w:val="24"/>
          <w:szCs w:val="24"/>
        </w:rPr>
        <w:t xml:space="preserve">: </w:t>
      </w:r>
      <w:r w:rsidRPr="005F44EF">
        <w:rPr>
          <w:rFonts w:ascii="Times New Roman" w:eastAsia="Times New Roman" w:hAnsi="Times New Roman" w:cs="Times New Roman"/>
          <w:color w:val="000000" w:themeColor="text1"/>
          <w:sz w:val="24"/>
          <w:szCs w:val="24"/>
        </w:rPr>
        <w:t xml:space="preserve">Dose </w:t>
      </w:r>
      <w:r w:rsidR="004F6178" w:rsidRPr="005F44EF">
        <w:rPr>
          <w:rFonts w:ascii="Times New Roman" w:eastAsia="Times New Roman" w:hAnsi="Times New Roman" w:cs="Times New Roman"/>
          <w:color w:val="000000" w:themeColor="text1"/>
          <w:sz w:val="24"/>
          <w:szCs w:val="24"/>
        </w:rPr>
        <w:t>r</w:t>
      </w:r>
      <w:r w:rsidRPr="005F44EF">
        <w:rPr>
          <w:rFonts w:ascii="Times New Roman" w:eastAsia="Times New Roman" w:hAnsi="Times New Roman" w:cs="Times New Roman"/>
          <w:color w:val="000000" w:themeColor="text1"/>
          <w:sz w:val="24"/>
          <w:szCs w:val="24"/>
        </w:rPr>
        <w:t>esponse curves derived from the ESR signal of the Al centre measured in the quartz samples from Bété I</w:t>
      </w:r>
      <w:r w:rsidR="00D24AFC" w:rsidRPr="005F44EF">
        <w:rPr>
          <w:rFonts w:ascii="Times New Roman" w:eastAsia="Times New Roman" w:hAnsi="Times New Roman" w:cs="Times New Roman"/>
          <w:color w:val="000000" w:themeColor="text1"/>
          <w:sz w:val="24"/>
          <w:szCs w:val="24"/>
        </w:rPr>
        <w:t xml:space="preserve">. </w:t>
      </w:r>
      <w:bookmarkEnd w:id="53"/>
      <w:r w:rsidR="00D24AFC" w:rsidRPr="005F44EF">
        <w:rPr>
          <w:rFonts w:ascii="Times New Roman" w:eastAsia="Times New Roman" w:hAnsi="Times New Roman" w:cs="Times New Roman"/>
          <w:color w:val="000000" w:themeColor="text1"/>
          <w:sz w:val="24"/>
          <w:szCs w:val="24"/>
        </w:rPr>
        <w:t xml:space="preserve">An </w:t>
      </w:r>
      <w:r w:rsidRPr="005F44EF">
        <w:rPr>
          <w:rFonts w:ascii="Times New Roman" w:eastAsia="Times New Roman" w:hAnsi="Times New Roman" w:cs="Times New Roman"/>
          <w:color w:val="000000" w:themeColor="text1"/>
          <w:sz w:val="24"/>
          <w:szCs w:val="24"/>
        </w:rPr>
        <w:t xml:space="preserve">EXP+LIN function </w:t>
      </w:r>
      <w:r w:rsidR="00D24AFC" w:rsidRPr="005F44EF">
        <w:rPr>
          <w:rFonts w:ascii="Times New Roman" w:eastAsia="Times New Roman" w:hAnsi="Times New Roman" w:cs="Times New Roman"/>
          <w:color w:val="000000" w:themeColor="text1"/>
          <w:sz w:val="24"/>
          <w:szCs w:val="24"/>
        </w:rPr>
        <w:t xml:space="preserve">was fitted through the experimental points up to </w:t>
      </w:r>
      <w:r w:rsidRPr="005F44EF">
        <w:rPr>
          <w:rFonts w:ascii="Times New Roman" w:eastAsia="Times New Roman" w:hAnsi="Times New Roman" w:cs="Times New Roman"/>
          <w:color w:val="000000" w:themeColor="text1"/>
          <w:sz w:val="24"/>
          <w:szCs w:val="24"/>
        </w:rPr>
        <w:t>D</w:t>
      </w:r>
      <w:r w:rsidRPr="005F44EF">
        <w:rPr>
          <w:rFonts w:ascii="Times New Roman" w:eastAsia="Times New Roman" w:hAnsi="Times New Roman" w:cs="Times New Roman"/>
          <w:color w:val="000000" w:themeColor="text1"/>
          <w:sz w:val="24"/>
          <w:szCs w:val="24"/>
          <w:vertAlign w:val="subscript"/>
        </w:rPr>
        <w:t>max</w:t>
      </w:r>
      <w:r w:rsidRPr="005F44EF">
        <w:rPr>
          <w:rFonts w:ascii="Times New Roman" w:eastAsia="Times New Roman" w:hAnsi="Times New Roman" w:cs="Times New Roman"/>
          <w:color w:val="000000" w:themeColor="text1"/>
          <w:sz w:val="24"/>
          <w:szCs w:val="24"/>
        </w:rPr>
        <w:t xml:space="preserve"> = 2</w:t>
      </w:r>
      <w:r w:rsidR="000B08EA" w:rsidRPr="005F44EF">
        <w:rPr>
          <w:rFonts w:ascii="Times New Roman" w:eastAsia="Times New Roman" w:hAnsi="Times New Roman" w:cs="Times New Roman"/>
          <w:color w:val="000000" w:themeColor="text1"/>
          <w:sz w:val="24"/>
          <w:szCs w:val="24"/>
        </w:rPr>
        <w:t>3</w:t>
      </w:r>
      <w:r w:rsidRPr="005F44EF">
        <w:rPr>
          <w:rFonts w:ascii="Times New Roman" w:eastAsia="Times New Roman" w:hAnsi="Times New Roman" w:cs="Times New Roman"/>
          <w:color w:val="000000" w:themeColor="text1"/>
          <w:sz w:val="24"/>
          <w:szCs w:val="24"/>
        </w:rPr>
        <w:t xml:space="preserve"> kGy.</w:t>
      </w:r>
      <w:r w:rsidR="00991AC7" w:rsidRPr="005F44EF">
        <w:rPr>
          <w:rFonts w:ascii="Times New Roman" w:eastAsia="Times New Roman" w:hAnsi="Times New Roman" w:cs="Times New Roman"/>
          <w:color w:val="000000" w:themeColor="text1"/>
          <w:sz w:val="24"/>
          <w:szCs w:val="24"/>
        </w:rPr>
        <w:t xml:space="preserve"> </w:t>
      </w:r>
      <w:r w:rsidR="00D24AFC" w:rsidRPr="005F44EF">
        <w:rPr>
          <w:rFonts w:ascii="Times New Roman" w:eastAsia="Times New Roman" w:hAnsi="Times New Roman" w:cs="Times New Roman"/>
          <w:color w:val="000000" w:themeColor="text1"/>
          <w:sz w:val="24"/>
          <w:szCs w:val="24"/>
        </w:rPr>
        <w:t>Vertical error</w:t>
      </w:r>
      <w:r w:rsidR="00991AC7" w:rsidRPr="005F44EF">
        <w:rPr>
          <w:rFonts w:ascii="Times New Roman" w:hAnsi="Times New Roman" w:cs="Times New Roman"/>
          <w:color w:val="000000"/>
          <w:sz w:val="24"/>
          <w:szCs w:val="24"/>
        </w:rPr>
        <w:t xml:space="preserve">s bars represent the </w:t>
      </w:r>
      <w:r w:rsidR="00D24AFC" w:rsidRPr="005F44EF">
        <w:rPr>
          <w:rFonts w:ascii="Times New Roman" w:hAnsi="Times New Roman" w:cs="Times New Roman"/>
          <w:color w:val="000000"/>
          <w:sz w:val="24"/>
          <w:szCs w:val="24"/>
        </w:rPr>
        <w:t xml:space="preserve">associated </w:t>
      </w:r>
      <w:r w:rsidR="00991AC7" w:rsidRPr="005F44EF">
        <w:rPr>
          <w:rFonts w:ascii="Times New Roman" w:hAnsi="Times New Roman" w:cs="Times New Roman"/>
          <w:color w:val="000000"/>
          <w:sz w:val="24"/>
          <w:szCs w:val="24"/>
        </w:rPr>
        <w:t xml:space="preserve">1 standard deviation </w:t>
      </w:r>
      <w:r w:rsidR="00D24AFC" w:rsidRPr="005F44EF">
        <w:rPr>
          <w:rFonts w:ascii="Times New Roman" w:hAnsi="Times New Roman" w:cs="Times New Roman"/>
          <w:color w:val="000000"/>
          <w:sz w:val="24"/>
          <w:szCs w:val="24"/>
        </w:rPr>
        <w:t xml:space="preserve">of the mean intensities </w:t>
      </w:r>
      <w:r w:rsidR="00991AC7" w:rsidRPr="005F44EF">
        <w:rPr>
          <w:rFonts w:ascii="Times New Roman" w:hAnsi="Times New Roman" w:cs="Times New Roman"/>
          <w:color w:val="000000"/>
          <w:sz w:val="24"/>
          <w:szCs w:val="24"/>
        </w:rPr>
        <w:t xml:space="preserve">derived from the repeated measurements. </w:t>
      </w:r>
    </w:p>
    <w:p w14:paraId="58E5DF46" w14:textId="77777777" w:rsidR="00BB7AA9" w:rsidRPr="005F44EF" w:rsidRDefault="00B9564D">
      <w:pPr>
        <w:spacing w:after="200" w:line="276" w:lineRule="auto"/>
        <w:jc w:val="both"/>
        <w:rPr>
          <w:rFonts w:ascii="Times New Roman" w:eastAsia="Times New Roman" w:hAnsi="Times New Roman" w:cs="Times New Roman"/>
          <w:color w:val="404040"/>
          <w:sz w:val="24"/>
          <w:szCs w:val="24"/>
        </w:rPr>
      </w:pPr>
      <w:bookmarkStart w:id="54" w:name="_iz8lolt65n9f" w:colFirst="0" w:colLast="0"/>
      <w:bookmarkEnd w:id="54"/>
      <w:r w:rsidRPr="005F44EF">
        <w:rPr>
          <w:rFonts w:ascii="Times New Roman" w:eastAsia="Times New Roman" w:hAnsi="Times New Roman" w:cs="Times New Roman"/>
          <w:noProof/>
          <w:color w:val="404040"/>
          <w:sz w:val="24"/>
          <w:szCs w:val="24"/>
          <w:lang w:val="en-AU" w:eastAsia="en-AU"/>
        </w:rPr>
        <w:drawing>
          <wp:inline distT="0" distB="0" distL="0" distR="0" wp14:anchorId="09859473" wp14:editId="0B9B5B2C">
            <wp:extent cx="6166022" cy="7117492"/>
            <wp:effectExtent l="0" t="0" r="6350" b="7620"/>
            <wp:docPr id="1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7"/>
                    <a:srcRect/>
                    <a:stretch>
                      <a:fillRect/>
                    </a:stretch>
                  </pic:blipFill>
                  <pic:spPr>
                    <a:xfrm>
                      <a:off x="0" y="0"/>
                      <a:ext cx="6184269" cy="7138555"/>
                    </a:xfrm>
                    <a:prstGeom prst="rect">
                      <a:avLst/>
                    </a:prstGeom>
                    <a:ln/>
                  </pic:spPr>
                </pic:pic>
              </a:graphicData>
            </a:graphic>
          </wp:inline>
        </w:drawing>
      </w:r>
    </w:p>
    <w:p w14:paraId="5BF3AC01" w14:textId="58CC5503" w:rsidR="00BB7AA9" w:rsidRPr="003319E5" w:rsidRDefault="00B9564D" w:rsidP="00D60275">
      <w:pPr>
        <w:pStyle w:val="Heading4"/>
        <w:rPr>
          <w:rFonts w:cs="Times New Roman"/>
          <w:lang w:val="en-AU"/>
        </w:rPr>
      </w:pPr>
      <w:bookmarkStart w:id="55" w:name="_26in1rg" w:colFirst="0" w:colLast="0"/>
      <w:bookmarkStart w:id="56" w:name="_yk44e361ro7i" w:colFirst="0" w:colLast="0"/>
      <w:bookmarkEnd w:id="55"/>
      <w:bookmarkEnd w:id="56"/>
      <w:r w:rsidRPr="003319E5">
        <w:rPr>
          <w:rFonts w:cs="Times New Roman"/>
          <w:lang w:val="en-AU"/>
        </w:rPr>
        <w:lastRenderedPageBreak/>
        <w:t xml:space="preserve">3.5.2.1. Ti-H centre </w:t>
      </w:r>
    </w:p>
    <w:p w14:paraId="4FD32525" w14:textId="77777777" w:rsidR="00811AA6" w:rsidRPr="003319E5" w:rsidRDefault="00811AA6">
      <w:pPr>
        <w:spacing w:after="0" w:line="276" w:lineRule="auto"/>
        <w:jc w:val="both"/>
        <w:rPr>
          <w:rFonts w:ascii="Times New Roman" w:eastAsia="Times New Roman" w:hAnsi="Times New Roman" w:cs="Times New Roman"/>
          <w:sz w:val="24"/>
          <w:szCs w:val="24"/>
          <w:u w:val="single"/>
          <w:lang w:val="en-AU"/>
        </w:rPr>
      </w:pPr>
    </w:p>
    <w:p w14:paraId="4971E4AF" w14:textId="6DC59432" w:rsidR="00BB7AA9" w:rsidRPr="005F44EF" w:rsidRDefault="00B9564D">
      <w:pPr>
        <w:spacing w:after="0" w:line="276" w:lineRule="auto"/>
        <w:jc w:val="both"/>
        <w:rPr>
          <w:rFonts w:ascii="Times New Roman" w:eastAsia="Times New Roman" w:hAnsi="Times New Roman" w:cs="Times New Roman"/>
          <w:sz w:val="24"/>
          <w:szCs w:val="24"/>
          <w:u w:val="single"/>
        </w:rPr>
      </w:pPr>
      <w:r w:rsidRPr="005F44EF">
        <w:rPr>
          <w:rFonts w:ascii="Times New Roman" w:eastAsia="Times New Roman" w:hAnsi="Times New Roman" w:cs="Times New Roman"/>
          <w:sz w:val="24"/>
          <w:szCs w:val="24"/>
          <w:u w:val="single"/>
        </w:rPr>
        <w:t>Quality of the ESR data set</w:t>
      </w:r>
    </w:p>
    <w:p w14:paraId="229B852E" w14:textId="10654735" w:rsidR="009C56E0" w:rsidRPr="005F44EF" w:rsidRDefault="009C56E0" w:rsidP="009C56E0">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Repeated measurements of the Ti-H signal show the mean ESR intensity varying by 2.0 to 12.1 %, inducing a significant D</w:t>
      </w:r>
      <w:r w:rsidRPr="005F44EF">
        <w:rPr>
          <w:rFonts w:ascii="Times New Roman" w:eastAsia="Times New Roman" w:hAnsi="Times New Roman" w:cs="Times New Roman"/>
          <w:sz w:val="24"/>
          <w:szCs w:val="24"/>
          <w:vertAlign w:val="subscript"/>
        </w:rPr>
        <w:t xml:space="preserve">e </w:t>
      </w:r>
      <w:r w:rsidRPr="005F44EF">
        <w:rPr>
          <w:rFonts w:ascii="Times New Roman" w:eastAsia="Times New Roman" w:hAnsi="Times New Roman" w:cs="Times New Roman"/>
          <w:sz w:val="24"/>
          <w:szCs w:val="24"/>
        </w:rPr>
        <w:t>scatter of 61.6 to 88.9 % depending on the sample considered (</w:t>
      </w:r>
      <w:r w:rsidRPr="005F44EF">
        <w:rPr>
          <w:rFonts w:ascii="Times New Roman" w:eastAsia="Times New Roman" w:hAnsi="Times New Roman" w:cs="Times New Roman"/>
          <w:b/>
          <w:sz w:val="24"/>
          <w:szCs w:val="24"/>
        </w:rPr>
        <w:t>Table S</w:t>
      </w:r>
      <w:r w:rsidR="00546ED8" w:rsidRPr="005F44EF">
        <w:rPr>
          <w:rFonts w:ascii="Times New Roman" w:eastAsia="Times New Roman" w:hAnsi="Times New Roman" w:cs="Times New Roman"/>
          <w:b/>
          <w:sz w:val="24"/>
          <w:szCs w:val="24"/>
        </w:rPr>
        <w:t>6</w:t>
      </w:r>
      <w:r w:rsidRPr="005F44EF">
        <w:rPr>
          <w:rFonts w:ascii="Times New Roman" w:eastAsia="Times New Roman" w:hAnsi="Times New Roman" w:cs="Times New Roman"/>
          <w:sz w:val="24"/>
          <w:szCs w:val="24"/>
        </w:rPr>
        <w:t>), which is beyond usual standards</w:t>
      </w:r>
      <w:r w:rsidR="008A78A0"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{"citationItems":[{"id":"ITEM-1","itemData":{"DOI":"10.1016/j.radphyschem.2023.111313","ISSN":"18790895","abstract":"The true random uncertainty associated with ESR measurements of quartz grains at cryogenic temperature is currently unknown, as well as its impact on resulting equivalent dose (DE) estimates for ESR dating purpose. We provide here the results from the first quantitative evaluation study based on experimental data. Repeated single aliquot and multiple aliquot measurements of 100–200 μm quartz grains show that the random uncertainty (1σ) on the measurement of an individual aliquot usually lies in the range of 1–2%, 2–3 and 3–6% for the Al, Ti and Ti–H signals, respectively. These values are strongly sample and laboratory dependent, as they directly correlate with the signal-to-noise ratio associated with each signal, and may also be influenced by the stability of the experimental setup. The resulting variability of the DE values obtained from the multiple aliquot additive dose method over repeated measurements is estimated to 9%, 11% and 24% (1σ) on average for the Al, Ti and Ti–H signals, respectively. In the light of this outcome, the reliability of a dose estimate derived from one single measurement may be reasonably questioned, and we strongly advocate for the necessity to systematically carry out repeated measurements of a given quartz sample, a procedure that is far from being systematic within the community. Finally, our reproducibility experiments suggest that the experimental setup, measurement temperature or operator do not induce a significant bias in the dose evaluation, provided that repeated measurement are carried out. Our small-scale interlaboratory comparison shows consistent DE results for the Al and Ti signals, giving us some general confidence for the comparison of the dating results obtained by independent laboratories. We nevertheless acknowledge that a larger intercomparison study should be performed within the ESR dating community in order to confirm these initial results.","author":[{"dropping-particle":"","family":"Duval","given":"M.","non-dropping-particle":"","parse-names":false,"suffix":""},{"dropping-particle":"","family":"Guilarte","given":"V.","non-dropping-particle":"","parse-names":false,"suffix":""},{"dropping-particle":"","family":"Bartz","given":"M.","non-dropping-particle":"","parse-names":false,"suffix":""},{"dropping-particle":"","family":"Alonso Escarza","given":"M. J.","non-dropping-particle":"","parse-names":false,"suffix":""},{"dropping-particle":"","family":"Arous","given":"E.","non-dropping-particle":"Ben","parse-names":false,"suffix":""},{"dropping-particle":"","family":"Val","given":"M.","non-dropping-particle":"del","parse-names":false,"suffix":""},{"dropping-particle":"","family":"García Rodríguez","given":"C.","non-dropping-particle":"","parse-names":false,"suffix":""}],"container-title":"Radiation Physics and Chemistry","id":"ITEM-1","issue":"August","issued":{"date-parts":[["2024"]]},"publisher":"Elsevier Ltd","title":"ESR dating of optically-bleached quartz grains: Evaluating measurement repeatability and reproducibility","type":"article-journal","volume":"215"},"uris":["http://www.mendeley.com/documents/?uuid=3541a16a-718d-463f-bc08-9ff5db71146c"]}],"mendeley":{"formattedCitation":"&lt;sup&gt;102&lt;/sup&gt;","plainTextFormattedCitation":"102","previouslyFormattedCitation":"&lt;sup&gt;102&lt;/sup&gt;"},"properties":{"noteIndex":0},"schema":"https://github.com/citation-style-language/schema/raw/master/csl-citation.json"}</w:instrText>
      </w:r>
      <w:r w:rsidR="008A78A0"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102</w:t>
      </w:r>
      <w:r w:rsidR="008A78A0"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This low measurement repeatability is most likely due t</w:t>
      </w:r>
      <w:r w:rsidR="0021783D" w:rsidRPr="005F44EF">
        <w:rPr>
          <w:rFonts w:ascii="Times New Roman" w:eastAsia="Times New Roman" w:hAnsi="Times New Roman" w:cs="Times New Roman"/>
          <w:sz w:val="24"/>
          <w:szCs w:val="24"/>
        </w:rPr>
        <w:t>o t</w:t>
      </w:r>
      <w:r w:rsidRPr="005F44EF">
        <w:rPr>
          <w:rFonts w:ascii="Times New Roman" w:eastAsia="Times New Roman" w:hAnsi="Times New Roman" w:cs="Times New Roman"/>
          <w:sz w:val="24"/>
          <w:szCs w:val="24"/>
        </w:rPr>
        <w:t>he very weak signals measured in the samples</w:t>
      </w:r>
      <w:r w:rsidR="00546ED8"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{"citationItems":[{"id":"ITEM-1","itemData":{"DOI":"10.1016/j.radphyschem.2023.111313","ISSN":"18790895","abstract":"The true random uncertainty associated with ESR measurements of quartz grains at cryogenic temperature is currently unknown, as well as its impact on resulting equivalent dose (DE) estimates for ESR dating purpose. We provide here the results from the first quantitative evaluation study based on experimental data. Repeated single aliquot and multiple aliquot measurements of 100–200 μm quartz grains show that the random uncertainty (1σ) on the measurement of an individual aliquot usually lies in the range of 1–2%, 2–3 and 3–6% for the Al, Ti and Ti–H signals, respectively. These values are strongly sample and laboratory dependent, as they directly correlate with the signal-to-noise ratio associated with each signal, and may also be influenced by the stability of the experimental setup. The resulting variability of the DE values obtained from the multiple aliquot additive dose method over repeated measurements is estimated to 9%, 11% and 24% (1σ) on average for the Al, Ti and Ti–H signals, respectively. In the light of this outcome, the reliability of a dose estimate derived from one single measurement may be reasonably questioned, and we strongly advocate for the necessity to systematically carry out repeated measurements of a given quartz sample, a procedure that is far from being systematic within the community. Finally, our reproducibility experiments suggest that the experimental setup, measurement temperature or operator do not induce a significant bias in the dose evaluation, provided that repeated measurement are carried out. Our small-scale interlaboratory comparison shows consistent DE results for the Al and Ti signals, giving us some general confidence for the comparison of the dating results obtained by independent laboratories. We nevertheless acknowledge that a larger intercomparison study should be performed within the ESR dating community in order to confirm these initial results.","author":[{"dropping-particle":"","family":"Duval","given":"M.","non-dropping-particle":"","parse-names":false,"suffix":""},{"dropping-particle":"","family":"Guilarte","given":"V.","non-dropping-particle":"","parse-names":false,"suffix":""},{"dropping-particle":"","family":"Bartz","given":"M.","non-dropping-particle":"","parse-names":false,"suffix":""},{"dropping-particle":"","family":"Alonso Escarza","given":"M. J.","non-dropping-particle":"","parse-names":false,"suffix":""},{"dropping-particle":"","family":"Arous","given":"E.","non-dropping-particle":"Ben","parse-names":false,"suffix":""},{"dropping-particle":"","family":"Val","given":"M.","non-dropping-particle":"del","parse-names":false,"suffix":""},{"dropping-particle":"","family":"García Rodríguez","given":"C.","non-dropping-particle":"","parse-names":false,"suffix":""}],"container-title":"Radiation Physics and Chemistry","id":"ITEM-1","issue":"August","issued":{"date-parts":[["2024"]]},"publisher":"Elsevier Ltd","title":"ESR dating of optically-bleached quartz grains: Evaluating measurement repeatability and reproducibility","type":"article-journal","volume":"215"},"uris":["http://www.mendeley.com/documents/?uuid=3541a16a-718d-463f-bc08-9ff5db71146c"]}],"mendeley":{"formattedCitation":"&lt;sup&gt;102&lt;/sup&gt;","plainTextFormattedCitation":"102","previouslyFormattedCitation":"&lt;sup&gt;102&lt;/sup&gt;"},"properties":{"noteIndex":0},"schema":"https://github.com/citation-style-language/schema/raw/master/csl-citation.json"}</w:instrText>
      </w:r>
      <w:r w:rsidR="00546ED8"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102</w:t>
      </w:r>
      <w:r w:rsidR="00546ED8"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as illustrated by the S/N ratio of 2 to 4 for the natural aliquots (</w:t>
      </w:r>
      <w:r w:rsidRPr="005F44EF">
        <w:rPr>
          <w:rFonts w:ascii="Times New Roman" w:eastAsia="Times New Roman" w:hAnsi="Times New Roman" w:cs="Times New Roman"/>
          <w:b/>
          <w:sz w:val="24"/>
          <w:szCs w:val="24"/>
        </w:rPr>
        <w:t>Table S</w:t>
      </w:r>
      <w:r w:rsidR="00546ED8" w:rsidRPr="005F44EF">
        <w:rPr>
          <w:rFonts w:ascii="Times New Roman" w:eastAsia="Times New Roman" w:hAnsi="Times New Roman" w:cs="Times New Roman"/>
          <w:b/>
          <w:sz w:val="24"/>
          <w:szCs w:val="24"/>
        </w:rPr>
        <w:t>6</w:t>
      </w:r>
      <w:r w:rsidRPr="005F44EF">
        <w:rPr>
          <w:rFonts w:ascii="Times New Roman" w:eastAsia="Times New Roman" w:hAnsi="Times New Roman" w:cs="Times New Roman"/>
          <w:sz w:val="24"/>
          <w:szCs w:val="24"/>
        </w:rPr>
        <w:t xml:space="preserve">). </w:t>
      </w:r>
    </w:p>
    <w:p w14:paraId="403A33C2" w14:textId="65025F27" w:rsidR="005342FC" w:rsidRPr="005F44EF" w:rsidRDefault="005342FC" w:rsidP="005342FC">
      <w:pPr>
        <w:spacing w:after="0" w:line="276" w:lineRule="auto"/>
        <w:jc w:val="both"/>
        <w:rPr>
          <w:rFonts w:ascii="Times New Roman" w:eastAsia="Times New Roman" w:hAnsi="Times New Roman" w:cs="Times New Roman"/>
          <w:sz w:val="24"/>
          <w:szCs w:val="24"/>
        </w:rPr>
      </w:pPr>
    </w:p>
    <w:p w14:paraId="3345DE39" w14:textId="549055D8"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u w:val="single"/>
        </w:rPr>
        <w:t>Comparison of the fitting function</w:t>
      </w:r>
      <w:r w:rsidRPr="005F44EF">
        <w:rPr>
          <w:rFonts w:ascii="Times New Roman" w:eastAsia="Times New Roman" w:hAnsi="Times New Roman" w:cs="Times New Roman"/>
          <w:sz w:val="24"/>
          <w:szCs w:val="24"/>
        </w:rPr>
        <w:t xml:space="preserve"> </w:t>
      </w:r>
    </w:p>
    <w:p w14:paraId="4104BD26" w14:textId="671D2771" w:rsidR="009C56E0"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The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values </w:t>
      </w:r>
      <w:r w:rsidR="0021783D" w:rsidRPr="005F44EF">
        <w:rPr>
          <w:rFonts w:ascii="Times New Roman" w:eastAsia="Times New Roman" w:hAnsi="Times New Roman" w:cs="Times New Roman"/>
          <w:sz w:val="24"/>
          <w:szCs w:val="24"/>
        </w:rPr>
        <w:t xml:space="preserve">resulting from the SSE function </w:t>
      </w:r>
      <w:r w:rsidRPr="005F44EF">
        <w:rPr>
          <w:rFonts w:ascii="Times New Roman" w:eastAsia="Times New Roman" w:hAnsi="Times New Roman" w:cs="Times New Roman"/>
          <w:sz w:val="24"/>
          <w:szCs w:val="24"/>
        </w:rPr>
        <w:t>with D</w:t>
      </w:r>
      <w:r w:rsidRPr="005F44EF">
        <w:rPr>
          <w:rFonts w:ascii="Times New Roman" w:eastAsia="Times New Roman" w:hAnsi="Times New Roman" w:cs="Times New Roman"/>
          <w:sz w:val="24"/>
          <w:szCs w:val="24"/>
          <w:vertAlign w:val="subscript"/>
        </w:rPr>
        <w:t>max</w:t>
      </w:r>
      <w:r w:rsidRPr="005F44EF">
        <w:rPr>
          <w:rFonts w:ascii="Times New Roman" w:eastAsia="Times New Roman" w:hAnsi="Times New Roman" w:cs="Times New Roman"/>
          <w:sz w:val="24"/>
          <w:szCs w:val="24"/>
        </w:rPr>
        <w:t xml:space="preserve"> = 2.8 kGy and 4.5 kGy</w:t>
      </w:r>
      <w:r w:rsidR="0021783D"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are consistent within error. In most cases (3/5),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results derived from D</w:t>
      </w:r>
      <w:r w:rsidRPr="005F44EF">
        <w:rPr>
          <w:rFonts w:ascii="Times New Roman" w:eastAsia="Times New Roman" w:hAnsi="Times New Roman" w:cs="Times New Roman"/>
          <w:sz w:val="24"/>
          <w:szCs w:val="24"/>
          <w:vertAlign w:val="subscript"/>
        </w:rPr>
        <w:t>max</w:t>
      </w:r>
      <w:r w:rsidRPr="005F44EF">
        <w:rPr>
          <w:rFonts w:ascii="Times New Roman" w:eastAsia="Times New Roman" w:hAnsi="Times New Roman" w:cs="Times New Roman"/>
          <w:sz w:val="24"/>
          <w:szCs w:val="24"/>
        </w:rPr>
        <w:t xml:space="preserve"> of 2.8 kGy are higher </w:t>
      </w:r>
      <w:r w:rsidR="0021783D" w:rsidRPr="005F44EF">
        <w:rPr>
          <w:rFonts w:ascii="Times New Roman" w:eastAsia="Times New Roman" w:hAnsi="Times New Roman" w:cs="Times New Roman"/>
          <w:sz w:val="24"/>
          <w:szCs w:val="24"/>
        </w:rPr>
        <w:t>by</w:t>
      </w:r>
      <w:r w:rsidRPr="005F44EF">
        <w:rPr>
          <w:rFonts w:ascii="Times New Roman" w:eastAsia="Times New Roman" w:hAnsi="Times New Roman" w:cs="Times New Roman"/>
          <w:sz w:val="24"/>
          <w:szCs w:val="24"/>
        </w:rPr>
        <w:t xml:space="preserve"> about 5 to 9% than those from D</w:t>
      </w:r>
      <w:r w:rsidRPr="005F44EF">
        <w:rPr>
          <w:rFonts w:ascii="Times New Roman" w:eastAsia="Times New Roman" w:hAnsi="Times New Roman" w:cs="Times New Roman"/>
          <w:sz w:val="24"/>
          <w:szCs w:val="24"/>
          <w:vertAlign w:val="subscript"/>
        </w:rPr>
        <w:t>max</w:t>
      </w:r>
      <w:r w:rsidRPr="005F44EF">
        <w:rPr>
          <w:rFonts w:ascii="Times New Roman" w:eastAsia="Times New Roman" w:hAnsi="Times New Roman" w:cs="Times New Roman"/>
          <w:sz w:val="24"/>
          <w:szCs w:val="24"/>
        </w:rPr>
        <w:t xml:space="preserve"> of 4.5 kGy (</w:t>
      </w:r>
      <w:r w:rsidRPr="005F44EF">
        <w:rPr>
          <w:rFonts w:ascii="Times New Roman" w:eastAsia="Times New Roman" w:hAnsi="Times New Roman" w:cs="Times New Roman"/>
          <w:b/>
          <w:sz w:val="24"/>
          <w:szCs w:val="24"/>
        </w:rPr>
        <w:t>Table S</w:t>
      </w:r>
      <w:r w:rsidR="00D60275" w:rsidRPr="005F44EF">
        <w:rPr>
          <w:rFonts w:ascii="Times New Roman" w:eastAsia="Times New Roman" w:hAnsi="Times New Roman" w:cs="Times New Roman"/>
          <w:b/>
          <w:sz w:val="24"/>
          <w:szCs w:val="24"/>
        </w:rPr>
        <w:t>5</w:t>
      </w:r>
      <w:r w:rsidRPr="005F44EF">
        <w:rPr>
          <w:rFonts w:ascii="Times New Roman" w:eastAsia="Times New Roman" w:hAnsi="Times New Roman" w:cs="Times New Roman"/>
          <w:sz w:val="24"/>
          <w:szCs w:val="24"/>
        </w:rPr>
        <w:t>). We consider the results derived from SSE fitting with D</w:t>
      </w:r>
      <w:r w:rsidRPr="005F44EF">
        <w:rPr>
          <w:rFonts w:ascii="Times New Roman" w:eastAsia="Times New Roman" w:hAnsi="Times New Roman" w:cs="Times New Roman"/>
          <w:sz w:val="24"/>
          <w:szCs w:val="24"/>
          <w:vertAlign w:val="subscript"/>
        </w:rPr>
        <w:t>max</w:t>
      </w:r>
      <w:r w:rsidRPr="005F44EF">
        <w:rPr>
          <w:rFonts w:ascii="Times New Roman" w:eastAsia="Times New Roman" w:hAnsi="Times New Roman" w:cs="Times New Roman"/>
          <w:sz w:val="24"/>
          <w:szCs w:val="24"/>
        </w:rPr>
        <w:t xml:space="preserve"> of 4.5 kGy as being more reliable because the goodness-of-fits for the five samples are, on average, </w:t>
      </w:r>
      <w:r w:rsidR="007F7E25" w:rsidRPr="005F44EF">
        <w:rPr>
          <w:rFonts w:ascii="Times New Roman" w:eastAsia="Times New Roman" w:hAnsi="Times New Roman" w:cs="Times New Roman"/>
          <w:sz w:val="24"/>
          <w:szCs w:val="24"/>
        </w:rPr>
        <w:t>higher</w:t>
      </w:r>
      <w:r w:rsidRPr="005F44EF">
        <w:rPr>
          <w:rFonts w:ascii="Times New Roman" w:eastAsia="Times New Roman" w:hAnsi="Times New Roman" w:cs="Times New Roman"/>
          <w:sz w:val="24"/>
          <w:szCs w:val="24"/>
        </w:rPr>
        <w:t xml:space="preserve"> </w:t>
      </w:r>
      <w:r w:rsidR="007F7E25" w:rsidRPr="005F44EF">
        <w:rPr>
          <w:rFonts w:ascii="Times New Roman" w:eastAsia="Times New Roman" w:hAnsi="Times New Roman" w:cs="Times New Roman"/>
          <w:sz w:val="24"/>
          <w:szCs w:val="24"/>
        </w:rPr>
        <w:t>(r</w:t>
      </w:r>
      <w:r w:rsidR="007F7E25" w:rsidRPr="005F44EF">
        <w:rPr>
          <w:rFonts w:ascii="Times New Roman" w:eastAsia="Times New Roman" w:hAnsi="Times New Roman" w:cs="Times New Roman"/>
          <w:sz w:val="24"/>
          <w:szCs w:val="24"/>
          <w:vertAlign w:val="superscript"/>
        </w:rPr>
        <w:t>2</w:t>
      </w:r>
      <w:r w:rsidR="007F7E25" w:rsidRPr="005F44EF">
        <w:rPr>
          <w:rFonts w:ascii="Times New Roman" w:eastAsia="Times New Roman" w:hAnsi="Times New Roman" w:cs="Times New Roman"/>
          <w:sz w:val="24"/>
          <w:szCs w:val="24"/>
        </w:rPr>
        <w:t xml:space="preserve"> between</w:t>
      </w:r>
      <w:r w:rsidRPr="005F44EF">
        <w:rPr>
          <w:rFonts w:ascii="Times New Roman" w:eastAsia="Times New Roman" w:hAnsi="Times New Roman" w:cs="Times New Roman"/>
          <w:sz w:val="24"/>
          <w:szCs w:val="24"/>
        </w:rPr>
        <w:t xml:space="preserve"> 0.84 </w:t>
      </w:r>
      <w:r w:rsidR="007F7E25" w:rsidRPr="005F44EF">
        <w:rPr>
          <w:rFonts w:ascii="Times New Roman" w:eastAsia="Times New Roman" w:hAnsi="Times New Roman" w:cs="Times New Roman"/>
          <w:sz w:val="24"/>
          <w:szCs w:val="24"/>
        </w:rPr>
        <w:t>and</w:t>
      </w:r>
      <w:r w:rsidRPr="005F44EF">
        <w:rPr>
          <w:rFonts w:ascii="Times New Roman" w:eastAsia="Times New Roman" w:hAnsi="Times New Roman" w:cs="Times New Roman"/>
          <w:sz w:val="24"/>
          <w:szCs w:val="24"/>
        </w:rPr>
        <w:t xml:space="preserve"> 0.96</w:t>
      </w:r>
      <w:r w:rsidR="007F7E25" w:rsidRPr="005F44EF">
        <w:rPr>
          <w:rFonts w:ascii="Times New Roman" w:eastAsia="Times New Roman" w:hAnsi="Times New Roman" w:cs="Times New Roman"/>
          <w:sz w:val="24"/>
          <w:szCs w:val="24"/>
        </w:rPr>
        <w:t>)</w:t>
      </w:r>
      <w:r w:rsidRPr="005F44EF">
        <w:rPr>
          <w:rFonts w:ascii="Times New Roman" w:eastAsia="Times New Roman" w:hAnsi="Times New Roman" w:cs="Times New Roman"/>
          <w:sz w:val="24"/>
          <w:szCs w:val="24"/>
        </w:rPr>
        <w:t>. For 4/5 samples,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obtained with Ti-2 function are </w:t>
      </w:r>
      <w:r w:rsidR="0021783D" w:rsidRPr="005F44EF">
        <w:rPr>
          <w:rFonts w:ascii="Times New Roman" w:eastAsia="Times New Roman" w:hAnsi="Times New Roman" w:cs="Times New Roman"/>
          <w:sz w:val="24"/>
          <w:szCs w:val="24"/>
        </w:rPr>
        <w:t>1σ-</w:t>
      </w:r>
      <w:r w:rsidRPr="005F44EF">
        <w:rPr>
          <w:rFonts w:ascii="Times New Roman" w:eastAsia="Times New Roman" w:hAnsi="Times New Roman" w:cs="Times New Roman"/>
          <w:sz w:val="24"/>
          <w:szCs w:val="24"/>
        </w:rPr>
        <w:t xml:space="preserve">consistent with SSE </w:t>
      </w:r>
      <w:r w:rsidR="0021783D" w:rsidRPr="005F44EF">
        <w:rPr>
          <w:rFonts w:ascii="Times New Roman" w:eastAsia="Times New Roman" w:hAnsi="Times New Roman" w:cs="Times New Roman"/>
          <w:sz w:val="24"/>
          <w:szCs w:val="24"/>
        </w:rPr>
        <w:t>(</w:t>
      </w:r>
      <w:r w:rsidRPr="005F44EF">
        <w:rPr>
          <w:rFonts w:ascii="Times New Roman" w:eastAsia="Times New Roman" w:hAnsi="Times New Roman" w:cs="Times New Roman"/>
          <w:sz w:val="24"/>
          <w:szCs w:val="24"/>
        </w:rPr>
        <w:t>D</w:t>
      </w:r>
      <w:r w:rsidRPr="005F44EF">
        <w:rPr>
          <w:rFonts w:ascii="Times New Roman" w:eastAsia="Times New Roman" w:hAnsi="Times New Roman" w:cs="Times New Roman"/>
          <w:sz w:val="24"/>
          <w:szCs w:val="24"/>
          <w:vertAlign w:val="subscript"/>
        </w:rPr>
        <w:t>max</w:t>
      </w:r>
      <w:r w:rsidRPr="005F44EF">
        <w:rPr>
          <w:rFonts w:ascii="Times New Roman" w:eastAsia="Times New Roman" w:hAnsi="Times New Roman" w:cs="Times New Roman"/>
          <w:sz w:val="24"/>
          <w:szCs w:val="24"/>
        </w:rPr>
        <w:t>=4.5 kGy</w:t>
      </w:r>
      <w:r w:rsidR="0021783D" w:rsidRPr="005F44EF">
        <w:rPr>
          <w:rFonts w:ascii="Times New Roman" w:eastAsia="Times New Roman" w:hAnsi="Times New Roman" w:cs="Times New Roman"/>
          <w:sz w:val="24"/>
          <w:szCs w:val="24"/>
        </w:rPr>
        <w:t>) results,</w:t>
      </w:r>
      <w:r w:rsidRPr="005F44EF">
        <w:rPr>
          <w:rFonts w:ascii="Times New Roman" w:eastAsia="Times New Roman" w:hAnsi="Times New Roman" w:cs="Times New Roman"/>
          <w:sz w:val="24"/>
          <w:szCs w:val="24"/>
        </w:rPr>
        <w:t xml:space="preserve"> ANY20-08 </w:t>
      </w:r>
      <w:r w:rsidR="0021783D" w:rsidRPr="005F44EF">
        <w:rPr>
          <w:rFonts w:ascii="Times New Roman" w:eastAsia="Times New Roman" w:hAnsi="Times New Roman" w:cs="Times New Roman"/>
          <w:sz w:val="24"/>
          <w:szCs w:val="24"/>
        </w:rPr>
        <w:t xml:space="preserve">is the exception, with </w:t>
      </w:r>
      <w:r w:rsidR="009C56E0" w:rsidRPr="005F44EF">
        <w:rPr>
          <w:rFonts w:ascii="Times New Roman" w:eastAsia="Times New Roman" w:hAnsi="Times New Roman" w:cs="Times New Roman"/>
          <w:sz w:val="24"/>
          <w:szCs w:val="24"/>
        </w:rPr>
        <w:t>Ti-2 function return</w:t>
      </w:r>
      <w:r w:rsidR="0021783D" w:rsidRPr="005F44EF">
        <w:rPr>
          <w:rFonts w:ascii="Times New Roman" w:eastAsia="Times New Roman" w:hAnsi="Times New Roman" w:cs="Times New Roman"/>
          <w:sz w:val="24"/>
          <w:szCs w:val="24"/>
        </w:rPr>
        <w:t xml:space="preserve">ing </w:t>
      </w:r>
      <w:r w:rsidR="009C56E0" w:rsidRPr="005F44EF">
        <w:rPr>
          <w:rFonts w:ascii="Times New Roman" w:eastAsia="Times New Roman" w:hAnsi="Times New Roman" w:cs="Times New Roman"/>
          <w:sz w:val="24"/>
          <w:szCs w:val="24"/>
        </w:rPr>
        <w:t xml:space="preserve">an extremely low, and questionable, estimate of 47 ± 14 Gy, </w:t>
      </w:r>
      <w:r w:rsidR="0021783D" w:rsidRPr="005F44EF">
        <w:rPr>
          <w:rFonts w:ascii="Times New Roman" w:eastAsia="Times New Roman" w:hAnsi="Times New Roman" w:cs="Times New Roman"/>
          <w:sz w:val="24"/>
          <w:szCs w:val="24"/>
        </w:rPr>
        <w:t xml:space="preserve">which is </w:t>
      </w:r>
      <w:r w:rsidR="009C56E0" w:rsidRPr="005F44EF">
        <w:rPr>
          <w:rFonts w:ascii="Times New Roman" w:eastAsia="Times New Roman" w:hAnsi="Times New Roman" w:cs="Times New Roman"/>
          <w:sz w:val="24"/>
          <w:szCs w:val="24"/>
        </w:rPr>
        <w:t xml:space="preserve">about 150 Gy lower than the SSE dose values. To sum up, despite the relatively low measurement repeatability and goodness-of-of fit achieved, fitting results appear to be relatively consistent and robust since the dose estimates </w:t>
      </w:r>
      <w:r w:rsidR="0021783D" w:rsidRPr="005F44EF">
        <w:rPr>
          <w:rFonts w:ascii="Times New Roman" w:eastAsia="Times New Roman" w:hAnsi="Times New Roman" w:cs="Times New Roman"/>
          <w:sz w:val="24"/>
          <w:szCs w:val="24"/>
        </w:rPr>
        <w:t>are</w:t>
      </w:r>
      <w:r w:rsidR="009C56E0" w:rsidRPr="005F44EF">
        <w:rPr>
          <w:rFonts w:ascii="Times New Roman" w:eastAsia="Times New Roman" w:hAnsi="Times New Roman" w:cs="Times New Roman"/>
          <w:sz w:val="24"/>
          <w:szCs w:val="24"/>
        </w:rPr>
        <w:t xml:space="preserve"> not significantly impacted by fitting conditions (i.e., functions, data weighting and D</w:t>
      </w:r>
      <w:r w:rsidR="009C56E0" w:rsidRPr="005F44EF">
        <w:rPr>
          <w:rFonts w:ascii="Times New Roman" w:eastAsia="Times New Roman" w:hAnsi="Times New Roman" w:cs="Times New Roman"/>
          <w:sz w:val="24"/>
          <w:szCs w:val="24"/>
          <w:vertAlign w:val="subscript"/>
        </w:rPr>
        <w:t>max</w:t>
      </w:r>
      <w:r w:rsidR="009C56E0" w:rsidRPr="005F44EF">
        <w:rPr>
          <w:rFonts w:ascii="Times New Roman" w:eastAsia="Times New Roman" w:hAnsi="Times New Roman" w:cs="Times New Roman"/>
          <w:sz w:val="24"/>
          <w:szCs w:val="24"/>
        </w:rPr>
        <w:t>)</w:t>
      </w:r>
      <w:r w:rsidR="0021783D" w:rsidRPr="005F44EF">
        <w:rPr>
          <w:rFonts w:ascii="Times New Roman" w:eastAsia="Times New Roman" w:hAnsi="Times New Roman" w:cs="Times New Roman"/>
          <w:sz w:val="24"/>
          <w:szCs w:val="24"/>
        </w:rPr>
        <w:t xml:space="preserve">. </w:t>
      </w:r>
    </w:p>
    <w:p w14:paraId="647F177B" w14:textId="77777777" w:rsidR="00D60275" w:rsidRPr="005F44EF" w:rsidRDefault="00D60275">
      <w:pPr>
        <w:spacing w:after="0" w:line="276" w:lineRule="auto"/>
        <w:jc w:val="both"/>
        <w:rPr>
          <w:rFonts w:ascii="Times New Roman" w:eastAsia="Times New Roman" w:hAnsi="Times New Roman" w:cs="Times New Roman"/>
          <w:sz w:val="24"/>
          <w:szCs w:val="24"/>
        </w:rPr>
      </w:pPr>
    </w:p>
    <w:p w14:paraId="19BF59BF" w14:textId="77777777" w:rsidR="009C56E0" w:rsidRPr="005F44EF" w:rsidRDefault="009C56E0" w:rsidP="009C56E0">
      <w:pPr>
        <w:jc w:val="both"/>
        <w:rPr>
          <w:rFonts w:ascii="Times New Roman" w:eastAsia="Times New Roman" w:hAnsi="Times New Roman" w:cs="Times New Roman"/>
          <w:sz w:val="24"/>
          <w:szCs w:val="24"/>
          <w:u w:val="single"/>
          <w:lang w:val="en-US"/>
        </w:rPr>
      </w:pPr>
      <w:r w:rsidRPr="005F44EF">
        <w:rPr>
          <w:rFonts w:ascii="Times New Roman" w:eastAsia="Times New Roman" w:hAnsi="Times New Roman" w:cs="Times New Roman"/>
          <w:sz w:val="24"/>
          <w:szCs w:val="24"/>
          <w:u w:val="single"/>
          <w:lang w:val="en-US"/>
        </w:rPr>
        <w:t>Impact of the noise on the Ti-H D</w:t>
      </w:r>
      <w:r w:rsidRPr="005F44EF">
        <w:rPr>
          <w:rFonts w:ascii="Times New Roman" w:eastAsia="Times New Roman" w:hAnsi="Times New Roman" w:cs="Times New Roman"/>
          <w:sz w:val="24"/>
          <w:szCs w:val="24"/>
          <w:u w:val="single"/>
          <w:vertAlign w:val="subscript"/>
          <w:lang w:val="en-US"/>
        </w:rPr>
        <w:t>e</w:t>
      </w:r>
      <w:r w:rsidRPr="005F44EF">
        <w:rPr>
          <w:rFonts w:ascii="Times New Roman" w:eastAsia="Times New Roman" w:hAnsi="Times New Roman" w:cs="Times New Roman"/>
          <w:sz w:val="24"/>
          <w:szCs w:val="24"/>
          <w:u w:val="single"/>
          <w:lang w:val="en-US"/>
        </w:rPr>
        <w:t xml:space="preserve"> values</w:t>
      </w:r>
    </w:p>
    <w:p w14:paraId="5CE2A504" w14:textId="63EBF3E1" w:rsidR="009C56E0" w:rsidRPr="005F44EF" w:rsidRDefault="009C56E0" w:rsidP="009C56E0">
      <w:pPr>
        <w:jc w:val="both"/>
        <w:rPr>
          <w:rFonts w:ascii="Times New Roman" w:eastAsia="Times New Roman" w:hAnsi="Times New Roman" w:cs="Times New Roman"/>
          <w:sz w:val="24"/>
          <w:szCs w:val="24"/>
          <w:lang w:val="en-US"/>
        </w:rPr>
      </w:pPr>
      <w:r w:rsidRPr="005F44EF">
        <w:rPr>
          <w:rFonts w:ascii="Times New Roman" w:eastAsia="Times New Roman" w:hAnsi="Times New Roman" w:cs="Times New Roman"/>
          <w:sz w:val="24"/>
          <w:szCs w:val="24"/>
          <w:lang w:val="en-US"/>
        </w:rPr>
        <w:t>Following Ben Arous et al.</w:t>
      </w:r>
      <w:r w:rsidR="00311971">
        <w:rPr>
          <w:rFonts w:ascii="Times New Roman" w:eastAsia="Times New Roman" w:hAnsi="Times New Roman" w:cs="Times New Roman"/>
          <w:sz w:val="24"/>
          <w:szCs w:val="24"/>
          <w:lang w:val="en-US"/>
        </w:rPr>
        <w:fldChar w:fldCharType="begin" w:fldLock="1"/>
      </w:r>
      <w:r w:rsidR="00614E13">
        <w:rPr>
          <w:rFonts w:ascii="Times New Roman" w:eastAsia="Times New Roman" w:hAnsi="Times New Roman" w:cs="Times New Roman"/>
          <w:sz w:val="24"/>
          <w:szCs w:val="24"/>
          <w:lang w:val="en-US"/>
        </w:rPr>
        <w:instrText>ADDIN CSL_CITATION {"citationItems":[{"id":"ITEM-1","itemData":{"DOI":"10.1016/J.QUAGEO.2024.101580","ISSN":"1871-1014","author":[{"dropping-particle":"","family":"Arous","given":"E.","non-dropping-particle":"Ben","parse-names":false,"suffix":""},{"dropping-particle":"","family":"Bateman","given":"M.D.","non-dropping-particle":"","parse-names":false,"suffix":""},{"dropping-particle":"","family":"Duval","given":"M.","non-dropping-particle":"","parse-names":false,"suffix":""}],"container-title":"Quaternary Geochronology","id":"ITEM-1","issued":{"date-parts":[["2024","6","29"]]},"page":"101580","publisher":"Elsevier","title":"Extending the ESR and OSL dating comparison on coastal dune deposits from the Wilderness-Knysna area (South Africa)","type":"article-journal"},"uris":["http://www.mendeley.com/documents/?uuid=00af5db3-e886-3903-9259-f8e81e19c5ea"]},{"id":"ITEM-2","itemData":{"DOI":"10.1016/j.quageo.2022.101293","ISSN":"18711014","author":[{"dropping-particle":"","family":"Arous","given":"E.","non-dropping-particle":"Ben","parse-names":false,"suffix":""},{"dropping-particle":"","family":"Duval","given":"M.","non-dropping-particle":"","parse-names":false,"suffix":""},{"dropping-particle":"","family":"Bateman","given":"M.D.","non-dropping-particle":"","parse-names":false,"suffix":""}],"container-title":"Quaternary Geochronology","id":"ITEM-2","issued":{"date-parts":[["2022","4"]]},"page":"101293","title":"ESR dating of optically bleached quartz grains from Plio-Pleistocene to Holocene coastal dune deposits (Wilderness-Knysna area, South Africa): a comparison with luminescence","type":"article-journal"},"uris":["http://www.mendeley.com/documents/?uuid=6238101d-eed2-3279-be56-0e804259f50f"]}],"mendeley":{"formattedCitation":"&lt;sup&gt;88,107&lt;/sup&gt;","plainTextFormattedCitation":"88,107","previouslyFormattedCitation":"&lt;sup&gt;88,107&lt;/sup&gt;"},"properties":{"noteIndex":0},"schema":"https://github.com/citation-style-language/schema/raw/master/csl-citation.json"}</w:instrText>
      </w:r>
      <w:r w:rsidR="00311971">
        <w:rPr>
          <w:rFonts w:ascii="Times New Roman" w:eastAsia="Times New Roman" w:hAnsi="Times New Roman" w:cs="Times New Roman"/>
          <w:sz w:val="24"/>
          <w:szCs w:val="24"/>
          <w:lang w:val="en-US"/>
        </w:rPr>
        <w:fldChar w:fldCharType="separate"/>
      </w:r>
      <w:r w:rsidR="00C212A1" w:rsidRPr="00C212A1">
        <w:rPr>
          <w:rFonts w:ascii="Times New Roman" w:eastAsia="Times New Roman" w:hAnsi="Times New Roman" w:cs="Times New Roman"/>
          <w:noProof/>
          <w:sz w:val="24"/>
          <w:szCs w:val="24"/>
          <w:vertAlign w:val="superscript"/>
          <w:lang w:val="en-US"/>
        </w:rPr>
        <w:t>88,107</w:t>
      </w:r>
      <w:r w:rsidR="00311971">
        <w:rPr>
          <w:rFonts w:ascii="Times New Roman" w:eastAsia="Times New Roman" w:hAnsi="Times New Roman" w:cs="Times New Roman"/>
          <w:sz w:val="24"/>
          <w:szCs w:val="24"/>
          <w:lang w:val="en-US"/>
        </w:rPr>
        <w:fldChar w:fldCharType="end"/>
      </w:r>
      <w:r w:rsidRPr="005F44EF">
        <w:rPr>
          <w:rFonts w:ascii="Times New Roman" w:eastAsia="Times New Roman" w:hAnsi="Times New Roman" w:cs="Times New Roman"/>
          <w:sz w:val="24"/>
          <w:szCs w:val="24"/>
          <w:lang w:val="en-US"/>
        </w:rPr>
        <w:t xml:space="preserve">, we investigated the impact of high-frequency background noise in the Ti-H </w:t>
      </w:r>
      <w:r w:rsidR="00495A79" w:rsidRPr="005F44EF">
        <w:rPr>
          <w:rFonts w:ascii="Times New Roman" w:eastAsia="Times New Roman" w:hAnsi="Times New Roman" w:cs="Times New Roman"/>
          <w:sz w:val="24"/>
          <w:szCs w:val="24"/>
        </w:rPr>
        <w:t>D</w:t>
      </w:r>
      <w:r w:rsidR="00495A79"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lang w:val="en-US"/>
        </w:rPr>
        <w:t xml:space="preserve"> evaluation. The difference observed between dose estimates derived from raw and noise-subtracted ESR intensities is inversely proportional to the magnitude of the D</w:t>
      </w:r>
      <w:r w:rsidRPr="005F44EF">
        <w:rPr>
          <w:rFonts w:ascii="Times New Roman" w:eastAsia="Times New Roman" w:hAnsi="Times New Roman" w:cs="Times New Roman"/>
          <w:sz w:val="24"/>
          <w:szCs w:val="24"/>
          <w:vertAlign w:val="subscript"/>
          <w:lang w:val="en-US"/>
        </w:rPr>
        <w:t>e</w:t>
      </w:r>
      <w:r w:rsidRPr="005F44EF">
        <w:rPr>
          <w:rFonts w:ascii="Times New Roman" w:eastAsia="Times New Roman" w:hAnsi="Times New Roman" w:cs="Times New Roman"/>
          <w:sz w:val="24"/>
          <w:szCs w:val="24"/>
          <w:lang w:val="en-US"/>
        </w:rPr>
        <w:t xml:space="preserve"> (</w:t>
      </w:r>
      <w:r w:rsidRPr="005F44EF">
        <w:rPr>
          <w:rFonts w:ascii="Times New Roman" w:eastAsia="Times New Roman" w:hAnsi="Times New Roman" w:cs="Times New Roman"/>
          <w:b/>
          <w:sz w:val="24"/>
          <w:szCs w:val="24"/>
          <w:lang w:val="en-US"/>
        </w:rPr>
        <w:t xml:space="preserve">Table </w:t>
      </w:r>
      <w:r w:rsidR="008A78A0" w:rsidRPr="005F44EF">
        <w:rPr>
          <w:rFonts w:ascii="Times New Roman" w:eastAsia="Times New Roman" w:hAnsi="Times New Roman" w:cs="Times New Roman"/>
          <w:b/>
          <w:sz w:val="24"/>
          <w:szCs w:val="24"/>
          <w:lang w:val="en-US"/>
        </w:rPr>
        <w:t>S5</w:t>
      </w:r>
      <w:r w:rsidRPr="005F44EF">
        <w:rPr>
          <w:rFonts w:ascii="Times New Roman" w:eastAsia="Times New Roman" w:hAnsi="Times New Roman" w:cs="Times New Roman"/>
          <w:sz w:val="24"/>
          <w:szCs w:val="24"/>
          <w:lang w:val="en-US"/>
        </w:rPr>
        <w:t xml:space="preserve">). In other words, subtracting the background leads to a reduction of the </w:t>
      </w:r>
      <w:r w:rsidR="00495A79" w:rsidRPr="005F44EF">
        <w:rPr>
          <w:rFonts w:ascii="Times New Roman" w:eastAsia="Times New Roman" w:hAnsi="Times New Roman" w:cs="Times New Roman"/>
          <w:sz w:val="24"/>
          <w:szCs w:val="24"/>
        </w:rPr>
        <w:t>D</w:t>
      </w:r>
      <w:r w:rsidR="00495A79"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lang w:val="en-US"/>
        </w:rPr>
        <w:t xml:space="preserve"> </w:t>
      </w:r>
      <w:r w:rsidR="0021783D" w:rsidRPr="005F44EF">
        <w:rPr>
          <w:rFonts w:ascii="Times New Roman" w:eastAsia="Times New Roman" w:hAnsi="Times New Roman" w:cs="Times New Roman"/>
          <w:sz w:val="24"/>
          <w:szCs w:val="24"/>
          <w:lang w:val="en-US"/>
        </w:rPr>
        <w:t xml:space="preserve">estimates </w:t>
      </w:r>
      <w:r w:rsidRPr="005F44EF">
        <w:rPr>
          <w:rFonts w:ascii="Times New Roman" w:eastAsia="Times New Roman" w:hAnsi="Times New Roman" w:cs="Times New Roman"/>
          <w:sz w:val="24"/>
          <w:szCs w:val="24"/>
          <w:lang w:val="en-US"/>
        </w:rPr>
        <w:t>by 27 to 50% for the uppermost three samples (ANY</w:t>
      </w:r>
      <w:r w:rsidR="0055744E" w:rsidRPr="005F44EF">
        <w:rPr>
          <w:rFonts w:ascii="Times New Roman" w:eastAsia="Times New Roman" w:hAnsi="Times New Roman" w:cs="Times New Roman"/>
          <w:sz w:val="24"/>
          <w:szCs w:val="24"/>
          <w:lang w:val="en-US"/>
        </w:rPr>
        <w:t>20</w:t>
      </w:r>
      <w:r w:rsidRPr="005F44EF">
        <w:rPr>
          <w:rFonts w:ascii="Times New Roman" w:eastAsia="Times New Roman" w:hAnsi="Times New Roman" w:cs="Times New Roman"/>
          <w:sz w:val="24"/>
          <w:szCs w:val="24"/>
          <w:lang w:val="en-US"/>
        </w:rPr>
        <w:t>-</w:t>
      </w:r>
      <w:r w:rsidR="0055744E" w:rsidRPr="005F44EF">
        <w:rPr>
          <w:rFonts w:ascii="Times New Roman" w:eastAsia="Times New Roman" w:hAnsi="Times New Roman" w:cs="Times New Roman"/>
          <w:sz w:val="24"/>
          <w:szCs w:val="24"/>
          <w:lang w:val="en-US"/>
        </w:rPr>
        <w:t>0</w:t>
      </w:r>
      <w:r w:rsidRPr="005F44EF">
        <w:rPr>
          <w:rFonts w:ascii="Times New Roman" w:eastAsia="Times New Roman" w:hAnsi="Times New Roman" w:cs="Times New Roman"/>
          <w:sz w:val="24"/>
          <w:szCs w:val="24"/>
          <w:lang w:val="en-US"/>
        </w:rPr>
        <w:t>3, ANY</w:t>
      </w:r>
      <w:r w:rsidR="0055744E" w:rsidRPr="005F44EF">
        <w:rPr>
          <w:rFonts w:ascii="Times New Roman" w:eastAsia="Times New Roman" w:hAnsi="Times New Roman" w:cs="Times New Roman"/>
          <w:sz w:val="24"/>
          <w:szCs w:val="24"/>
          <w:lang w:val="en-US"/>
        </w:rPr>
        <w:t>20</w:t>
      </w:r>
      <w:r w:rsidRPr="005F44EF">
        <w:rPr>
          <w:rFonts w:ascii="Times New Roman" w:eastAsia="Times New Roman" w:hAnsi="Times New Roman" w:cs="Times New Roman"/>
          <w:sz w:val="24"/>
          <w:szCs w:val="24"/>
          <w:lang w:val="en-US"/>
        </w:rPr>
        <w:t>-</w:t>
      </w:r>
      <w:r w:rsidR="0055744E" w:rsidRPr="005F44EF">
        <w:rPr>
          <w:rFonts w:ascii="Times New Roman" w:eastAsia="Times New Roman" w:hAnsi="Times New Roman" w:cs="Times New Roman"/>
          <w:sz w:val="24"/>
          <w:szCs w:val="24"/>
          <w:lang w:val="en-US"/>
        </w:rPr>
        <w:t>0</w:t>
      </w:r>
      <w:r w:rsidRPr="005F44EF">
        <w:rPr>
          <w:rFonts w:ascii="Times New Roman" w:eastAsia="Times New Roman" w:hAnsi="Times New Roman" w:cs="Times New Roman"/>
          <w:sz w:val="24"/>
          <w:szCs w:val="24"/>
          <w:lang w:val="en-US"/>
        </w:rPr>
        <w:t>4, ANY</w:t>
      </w:r>
      <w:r w:rsidR="0055744E" w:rsidRPr="005F44EF">
        <w:rPr>
          <w:rFonts w:ascii="Times New Roman" w:eastAsia="Times New Roman" w:hAnsi="Times New Roman" w:cs="Times New Roman"/>
          <w:sz w:val="24"/>
          <w:szCs w:val="24"/>
          <w:lang w:val="en-US"/>
        </w:rPr>
        <w:t>20</w:t>
      </w:r>
      <w:r w:rsidRPr="005F44EF">
        <w:rPr>
          <w:rFonts w:ascii="Times New Roman" w:eastAsia="Times New Roman" w:hAnsi="Times New Roman" w:cs="Times New Roman"/>
          <w:sz w:val="24"/>
          <w:szCs w:val="24"/>
          <w:lang w:val="en-US"/>
        </w:rPr>
        <w:t>-</w:t>
      </w:r>
      <w:r w:rsidR="0055744E" w:rsidRPr="005F44EF">
        <w:rPr>
          <w:rFonts w:ascii="Times New Roman" w:eastAsia="Times New Roman" w:hAnsi="Times New Roman" w:cs="Times New Roman"/>
          <w:sz w:val="24"/>
          <w:szCs w:val="24"/>
          <w:lang w:val="en-US"/>
        </w:rPr>
        <w:t>0</w:t>
      </w:r>
      <w:r w:rsidRPr="005F44EF">
        <w:rPr>
          <w:rFonts w:ascii="Times New Roman" w:eastAsia="Times New Roman" w:hAnsi="Times New Roman" w:cs="Times New Roman"/>
          <w:sz w:val="24"/>
          <w:szCs w:val="24"/>
          <w:lang w:val="en-US"/>
        </w:rPr>
        <w:t xml:space="preserve">5), demonstrating the importance of such a correction for spectra showing very small S/N (2-3). In contrast, the </w:t>
      </w:r>
      <w:r w:rsidR="00495A79" w:rsidRPr="005F44EF">
        <w:rPr>
          <w:rFonts w:ascii="Times New Roman" w:eastAsia="Times New Roman" w:hAnsi="Times New Roman" w:cs="Times New Roman"/>
          <w:sz w:val="24"/>
          <w:szCs w:val="24"/>
        </w:rPr>
        <w:t>D</w:t>
      </w:r>
      <w:r w:rsidR="00495A79"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lang w:val="en-US"/>
        </w:rPr>
        <w:t xml:space="preserve"> values remain within close range (10-36 Gy) for the oldest two samples ANY</w:t>
      </w:r>
      <w:r w:rsidR="0055744E" w:rsidRPr="005F44EF">
        <w:rPr>
          <w:rFonts w:ascii="Times New Roman" w:eastAsia="Times New Roman" w:hAnsi="Times New Roman" w:cs="Times New Roman"/>
          <w:sz w:val="24"/>
          <w:szCs w:val="24"/>
          <w:lang w:val="en-US"/>
        </w:rPr>
        <w:t>20-0</w:t>
      </w:r>
      <w:r w:rsidRPr="005F44EF">
        <w:rPr>
          <w:rFonts w:ascii="Times New Roman" w:eastAsia="Times New Roman" w:hAnsi="Times New Roman" w:cs="Times New Roman"/>
          <w:sz w:val="24"/>
          <w:szCs w:val="24"/>
          <w:lang w:val="en-US"/>
        </w:rPr>
        <w:t>8 and ANY</w:t>
      </w:r>
      <w:r w:rsidR="0055744E" w:rsidRPr="005F44EF">
        <w:rPr>
          <w:rFonts w:ascii="Times New Roman" w:eastAsia="Times New Roman" w:hAnsi="Times New Roman" w:cs="Times New Roman"/>
          <w:sz w:val="24"/>
          <w:szCs w:val="24"/>
          <w:lang w:val="en-US"/>
        </w:rPr>
        <w:t>20</w:t>
      </w:r>
      <w:r w:rsidRPr="005F44EF">
        <w:rPr>
          <w:rFonts w:ascii="Times New Roman" w:eastAsia="Times New Roman" w:hAnsi="Times New Roman" w:cs="Times New Roman"/>
          <w:sz w:val="24"/>
          <w:szCs w:val="24"/>
          <w:lang w:val="en-US"/>
        </w:rPr>
        <w:t>-</w:t>
      </w:r>
      <w:r w:rsidR="0055744E" w:rsidRPr="005F44EF">
        <w:rPr>
          <w:rFonts w:ascii="Times New Roman" w:eastAsia="Times New Roman" w:hAnsi="Times New Roman" w:cs="Times New Roman"/>
          <w:sz w:val="24"/>
          <w:szCs w:val="24"/>
          <w:lang w:val="en-US"/>
        </w:rPr>
        <w:t>0</w:t>
      </w:r>
      <w:r w:rsidRPr="005F44EF">
        <w:rPr>
          <w:rFonts w:ascii="Times New Roman" w:eastAsia="Times New Roman" w:hAnsi="Times New Roman" w:cs="Times New Roman"/>
          <w:sz w:val="24"/>
          <w:szCs w:val="24"/>
          <w:lang w:val="en-US"/>
        </w:rPr>
        <w:t xml:space="preserve">9, indicating that background noise has limited influence on the dose estimates. Moreover, fitting results based on uncorrected intensities show higher reliability, with higher goodness-of fit and smaller </w:t>
      </w:r>
      <w:r w:rsidR="00495A79" w:rsidRPr="005F44EF">
        <w:rPr>
          <w:rFonts w:ascii="Times New Roman" w:eastAsia="Times New Roman" w:hAnsi="Times New Roman" w:cs="Times New Roman"/>
          <w:sz w:val="24"/>
          <w:szCs w:val="24"/>
        </w:rPr>
        <w:t>D</w:t>
      </w:r>
      <w:r w:rsidR="00495A79"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lang w:val="en-US"/>
        </w:rPr>
        <w:t xml:space="preserve"> errors</w:t>
      </w:r>
      <w:r w:rsidR="0056120E" w:rsidRPr="005F44EF">
        <w:rPr>
          <w:rFonts w:ascii="Times New Roman" w:eastAsia="Times New Roman" w:hAnsi="Times New Roman" w:cs="Times New Roman"/>
          <w:sz w:val="24"/>
          <w:szCs w:val="24"/>
          <w:lang w:val="en-US"/>
        </w:rPr>
        <w:t xml:space="preserve"> (</w:t>
      </w:r>
      <w:r w:rsidR="0056120E" w:rsidRPr="005F44EF">
        <w:rPr>
          <w:rFonts w:ascii="Times New Roman" w:eastAsia="Times New Roman" w:hAnsi="Times New Roman" w:cs="Times New Roman"/>
          <w:b/>
          <w:sz w:val="24"/>
          <w:szCs w:val="24"/>
          <w:lang w:val="en-US"/>
        </w:rPr>
        <w:t>Table S5</w:t>
      </w:r>
      <w:r w:rsidR="0056120E" w:rsidRPr="005F44EF">
        <w:rPr>
          <w:rFonts w:ascii="Times New Roman" w:eastAsia="Times New Roman" w:hAnsi="Times New Roman" w:cs="Times New Roman"/>
          <w:sz w:val="24"/>
          <w:szCs w:val="24"/>
          <w:lang w:val="en-US"/>
        </w:rPr>
        <w:t xml:space="preserve">). </w:t>
      </w:r>
      <w:r w:rsidRPr="005F44EF">
        <w:rPr>
          <w:rFonts w:ascii="Times New Roman" w:eastAsia="Times New Roman" w:hAnsi="Times New Roman" w:cs="Times New Roman"/>
          <w:sz w:val="24"/>
          <w:szCs w:val="24"/>
          <w:lang w:val="en-US"/>
        </w:rPr>
        <w:t xml:space="preserve">Consequently, since noise subtraction does not bring any added value for these two samples, we used the </w:t>
      </w:r>
      <w:r w:rsidR="00495A79" w:rsidRPr="005F44EF">
        <w:rPr>
          <w:rFonts w:ascii="Times New Roman" w:eastAsia="Times New Roman" w:hAnsi="Times New Roman" w:cs="Times New Roman"/>
          <w:sz w:val="24"/>
          <w:szCs w:val="24"/>
        </w:rPr>
        <w:t>D</w:t>
      </w:r>
      <w:r w:rsidR="00495A79"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lang w:val="en-US"/>
        </w:rPr>
        <w:t xml:space="preserve"> values of 240 ± 86 Gy and 253 ± 75 Gy for the Ti-H ESR age calculations of samples ANY</w:t>
      </w:r>
      <w:r w:rsidR="0055744E" w:rsidRPr="005F44EF">
        <w:rPr>
          <w:rFonts w:ascii="Times New Roman" w:eastAsia="Times New Roman" w:hAnsi="Times New Roman" w:cs="Times New Roman"/>
          <w:sz w:val="24"/>
          <w:szCs w:val="24"/>
          <w:lang w:val="en-US"/>
        </w:rPr>
        <w:t>20</w:t>
      </w:r>
      <w:r w:rsidRPr="005F44EF">
        <w:rPr>
          <w:rFonts w:ascii="Times New Roman" w:eastAsia="Times New Roman" w:hAnsi="Times New Roman" w:cs="Times New Roman"/>
          <w:sz w:val="24"/>
          <w:szCs w:val="24"/>
          <w:lang w:val="en-US"/>
        </w:rPr>
        <w:t>-</w:t>
      </w:r>
      <w:r w:rsidR="0055744E" w:rsidRPr="005F44EF">
        <w:rPr>
          <w:rFonts w:ascii="Times New Roman" w:eastAsia="Times New Roman" w:hAnsi="Times New Roman" w:cs="Times New Roman"/>
          <w:sz w:val="24"/>
          <w:szCs w:val="24"/>
          <w:lang w:val="en-US"/>
        </w:rPr>
        <w:t>0</w:t>
      </w:r>
      <w:r w:rsidRPr="005F44EF">
        <w:rPr>
          <w:rFonts w:ascii="Times New Roman" w:eastAsia="Times New Roman" w:hAnsi="Times New Roman" w:cs="Times New Roman"/>
          <w:sz w:val="24"/>
          <w:szCs w:val="24"/>
          <w:lang w:val="en-US"/>
        </w:rPr>
        <w:t>8 and ANY</w:t>
      </w:r>
      <w:r w:rsidR="0055744E" w:rsidRPr="005F44EF">
        <w:rPr>
          <w:rFonts w:ascii="Times New Roman" w:eastAsia="Times New Roman" w:hAnsi="Times New Roman" w:cs="Times New Roman"/>
          <w:sz w:val="24"/>
          <w:szCs w:val="24"/>
          <w:lang w:val="en-US"/>
        </w:rPr>
        <w:t>20</w:t>
      </w:r>
      <w:r w:rsidRPr="005F44EF">
        <w:rPr>
          <w:rFonts w:ascii="Times New Roman" w:eastAsia="Times New Roman" w:hAnsi="Times New Roman" w:cs="Times New Roman"/>
          <w:sz w:val="24"/>
          <w:szCs w:val="24"/>
          <w:lang w:val="en-US"/>
        </w:rPr>
        <w:t>-</w:t>
      </w:r>
      <w:r w:rsidR="0055744E" w:rsidRPr="005F44EF">
        <w:rPr>
          <w:rFonts w:ascii="Times New Roman" w:eastAsia="Times New Roman" w:hAnsi="Times New Roman" w:cs="Times New Roman"/>
          <w:sz w:val="24"/>
          <w:szCs w:val="24"/>
          <w:lang w:val="en-US"/>
        </w:rPr>
        <w:t>0</w:t>
      </w:r>
      <w:r w:rsidRPr="005F44EF">
        <w:rPr>
          <w:rFonts w:ascii="Times New Roman" w:eastAsia="Times New Roman" w:hAnsi="Times New Roman" w:cs="Times New Roman"/>
          <w:sz w:val="24"/>
          <w:szCs w:val="24"/>
          <w:lang w:val="en-US"/>
        </w:rPr>
        <w:t xml:space="preserve">9, respectively. </w:t>
      </w:r>
    </w:p>
    <w:p w14:paraId="0D349C7D" w14:textId="7D6C9935" w:rsidR="009C56E0" w:rsidRPr="005F44EF" w:rsidRDefault="009C56E0">
      <w:pPr>
        <w:spacing w:after="0" w:line="276" w:lineRule="auto"/>
        <w:jc w:val="both"/>
        <w:rPr>
          <w:rFonts w:ascii="Times New Roman" w:eastAsia="Times New Roman" w:hAnsi="Times New Roman" w:cs="Times New Roman"/>
          <w:sz w:val="24"/>
          <w:szCs w:val="24"/>
          <w:lang w:val="en-US"/>
        </w:rPr>
      </w:pPr>
    </w:p>
    <w:p w14:paraId="514537B2" w14:textId="77777777" w:rsidR="00217F21" w:rsidRPr="005F44EF" w:rsidRDefault="00217F21">
      <w:pPr>
        <w:spacing w:after="0" w:line="276" w:lineRule="auto"/>
        <w:jc w:val="both"/>
        <w:rPr>
          <w:rFonts w:ascii="Times New Roman" w:eastAsia="Times New Roman" w:hAnsi="Times New Roman" w:cs="Times New Roman"/>
          <w:sz w:val="24"/>
          <w:szCs w:val="24"/>
          <w:lang w:val="en-US"/>
        </w:rPr>
      </w:pPr>
    </w:p>
    <w:p w14:paraId="7D24A432" w14:textId="339D7941" w:rsidR="00217F21" w:rsidRPr="005F44EF" w:rsidRDefault="00217F21">
      <w:pPr>
        <w:spacing w:after="0" w:line="276" w:lineRule="auto"/>
        <w:jc w:val="both"/>
        <w:rPr>
          <w:rFonts w:ascii="Times New Roman" w:eastAsia="Times New Roman" w:hAnsi="Times New Roman" w:cs="Times New Roman"/>
          <w:sz w:val="24"/>
          <w:szCs w:val="24"/>
          <w:lang w:val="en-US"/>
        </w:rPr>
      </w:pPr>
    </w:p>
    <w:p w14:paraId="3B418915" w14:textId="217FB9EA" w:rsidR="00E13B37" w:rsidRPr="005F44EF" w:rsidRDefault="00E13B37">
      <w:pPr>
        <w:spacing w:after="0" w:line="276" w:lineRule="auto"/>
        <w:jc w:val="both"/>
        <w:rPr>
          <w:rFonts w:ascii="Times New Roman" w:eastAsia="Times New Roman" w:hAnsi="Times New Roman" w:cs="Times New Roman"/>
          <w:sz w:val="24"/>
          <w:szCs w:val="24"/>
          <w:lang w:val="en-US"/>
        </w:rPr>
      </w:pPr>
    </w:p>
    <w:p w14:paraId="3C0C0FBD" w14:textId="6C5FAB2C" w:rsidR="00E13B37" w:rsidRPr="005F44EF" w:rsidRDefault="00E13B37">
      <w:pPr>
        <w:spacing w:after="0" w:line="276" w:lineRule="auto"/>
        <w:jc w:val="both"/>
        <w:rPr>
          <w:rFonts w:ascii="Times New Roman" w:eastAsia="Times New Roman" w:hAnsi="Times New Roman" w:cs="Times New Roman"/>
          <w:sz w:val="24"/>
          <w:szCs w:val="24"/>
          <w:lang w:val="en-US"/>
        </w:rPr>
      </w:pPr>
    </w:p>
    <w:p w14:paraId="2D36982B" w14:textId="451CE5C9" w:rsidR="00E13B37" w:rsidRPr="005F44EF" w:rsidRDefault="00E13B37">
      <w:pPr>
        <w:spacing w:after="0" w:line="276" w:lineRule="auto"/>
        <w:jc w:val="both"/>
        <w:rPr>
          <w:rFonts w:ascii="Times New Roman" w:eastAsia="Times New Roman" w:hAnsi="Times New Roman" w:cs="Times New Roman"/>
          <w:sz w:val="24"/>
          <w:szCs w:val="24"/>
          <w:lang w:val="en-US"/>
        </w:rPr>
      </w:pPr>
    </w:p>
    <w:p w14:paraId="516F83F4" w14:textId="39E63A62" w:rsidR="009C56E0" w:rsidRPr="005F44EF" w:rsidRDefault="009C56E0" w:rsidP="009C56E0">
      <w:pPr>
        <w:jc w:val="both"/>
        <w:rPr>
          <w:rFonts w:ascii="Times New Roman" w:hAnsi="Times New Roman" w:cs="Times New Roman"/>
          <w:sz w:val="24"/>
          <w:szCs w:val="24"/>
        </w:rPr>
      </w:pPr>
      <w:bookmarkStart w:id="57" w:name="_Hlk170654531"/>
      <w:r w:rsidRPr="005F44EF">
        <w:rPr>
          <w:rFonts w:ascii="Times New Roman" w:hAnsi="Times New Roman" w:cs="Times New Roman"/>
          <w:b/>
          <w:sz w:val="24"/>
          <w:szCs w:val="24"/>
          <w:lang w:val="en-US"/>
        </w:rPr>
        <w:lastRenderedPageBreak/>
        <w:t>Table S</w:t>
      </w:r>
      <w:r w:rsidR="008A78A0" w:rsidRPr="005F44EF">
        <w:rPr>
          <w:rFonts w:ascii="Times New Roman" w:hAnsi="Times New Roman" w:cs="Times New Roman"/>
          <w:b/>
          <w:sz w:val="24"/>
          <w:szCs w:val="24"/>
          <w:lang w:val="en-US"/>
        </w:rPr>
        <w:t>5</w:t>
      </w:r>
      <w:r w:rsidRPr="005F44EF">
        <w:rPr>
          <w:rFonts w:ascii="Times New Roman" w:hAnsi="Times New Roman" w:cs="Times New Roman"/>
          <w:sz w:val="24"/>
          <w:szCs w:val="24"/>
          <w:lang w:val="en-US"/>
        </w:rPr>
        <w:t xml:space="preserve">: Ti-H </w:t>
      </w:r>
      <w:r w:rsidR="00495A79" w:rsidRPr="005F44EF">
        <w:rPr>
          <w:rFonts w:ascii="Times New Roman" w:eastAsia="Times New Roman" w:hAnsi="Times New Roman" w:cs="Times New Roman"/>
          <w:sz w:val="24"/>
          <w:szCs w:val="24"/>
        </w:rPr>
        <w:t>D</w:t>
      </w:r>
      <w:r w:rsidR="00495A79" w:rsidRPr="005F44EF">
        <w:rPr>
          <w:rFonts w:ascii="Times New Roman" w:eastAsia="Times New Roman" w:hAnsi="Times New Roman" w:cs="Times New Roman"/>
          <w:sz w:val="24"/>
          <w:szCs w:val="24"/>
          <w:vertAlign w:val="subscript"/>
        </w:rPr>
        <w:t>e</w:t>
      </w:r>
      <w:r w:rsidRPr="005F44EF">
        <w:rPr>
          <w:rFonts w:ascii="Times New Roman" w:hAnsi="Times New Roman" w:cs="Times New Roman"/>
          <w:sz w:val="24"/>
          <w:szCs w:val="24"/>
          <w:lang w:val="en-US"/>
        </w:rPr>
        <w:t xml:space="preserve"> values comparison with an</w:t>
      </w:r>
      <w:r w:rsidRPr="005F44EF">
        <w:rPr>
          <w:rFonts w:ascii="Times New Roman" w:hAnsi="Times New Roman" w:cs="Times New Roman"/>
          <w:sz w:val="24"/>
          <w:szCs w:val="24"/>
        </w:rPr>
        <w:t>d without the noise subtraction. The data in italics are the value without noise subtract</w:t>
      </w:r>
      <w:r w:rsidR="002B2F2A">
        <w:rPr>
          <w:rFonts w:ascii="Times New Roman" w:hAnsi="Times New Roman" w:cs="Times New Roman"/>
          <w:sz w:val="24"/>
          <w:szCs w:val="24"/>
        </w:rPr>
        <w:t>ion</w:t>
      </w:r>
      <w:r w:rsidRPr="005F44EF">
        <w:rPr>
          <w:rFonts w:ascii="Times New Roman" w:hAnsi="Times New Roman" w:cs="Times New Roman"/>
          <w:sz w:val="24"/>
          <w:szCs w:val="24"/>
        </w:rPr>
        <w:t xml:space="preserve">. </w:t>
      </w:r>
    </w:p>
    <w:tbl>
      <w:tblPr>
        <w:tblW w:w="9871" w:type="dxa"/>
        <w:tblCellMar>
          <w:left w:w="70" w:type="dxa"/>
          <w:right w:w="70" w:type="dxa"/>
        </w:tblCellMar>
        <w:tblLook w:val="04A0" w:firstRow="1" w:lastRow="0" w:firstColumn="1" w:lastColumn="0" w:noHBand="0" w:noVBand="1"/>
      </w:tblPr>
      <w:tblGrid>
        <w:gridCol w:w="817"/>
        <w:gridCol w:w="694"/>
        <w:gridCol w:w="513"/>
        <w:gridCol w:w="568"/>
        <w:gridCol w:w="696"/>
        <w:gridCol w:w="513"/>
        <w:gridCol w:w="581"/>
        <w:gridCol w:w="696"/>
        <w:gridCol w:w="513"/>
        <w:gridCol w:w="552"/>
        <w:gridCol w:w="786"/>
        <w:gridCol w:w="513"/>
        <w:gridCol w:w="578"/>
        <w:gridCol w:w="786"/>
        <w:gridCol w:w="513"/>
        <w:gridCol w:w="552"/>
      </w:tblGrid>
      <w:tr w:rsidR="009C56E0" w:rsidRPr="005F44EF" w14:paraId="555CD215" w14:textId="77777777" w:rsidTr="00BE42E9">
        <w:trPr>
          <w:trHeight w:val="251"/>
        </w:trPr>
        <w:tc>
          <w:tcPr>
            <w:tcW w:w="817" w:type="dxa"/>
            <w:tcBorders>
              <w:top w:val="single" w:sz="4" w:space="0" w:color="auto"/>
              <w:left w:val="nil"/>
              <w:bottom w:val="single" w:sz="4" w:space="0" w:color="auto"/>
              <w:right w:val="nil"/>
            </w:tcBorders>
            <w:shd w:val="clear" w:color="auto" w:fill="D9D9D9" w:themeFill="background1" w:themeFillShade="D9"/>
            <w:noWrap/>
            <w:vAlign w:val="center"/>
            <w:hideMark/>
          </w:tcPr>
          <w:p w14:paraId="3E261B1B" w14:textId="77777777" w:rsidR="009C56E0" w:rsidRPr="005F44EF" w:rsidRDefault="009C56E0" w:rsidP="00E94E7E">
            <w:pPr>
              <w:spacing w:after="0" w:line="240" w:lineRule="auto"/>
              <w:jc w:val="center"/>
              <w:rPr>
                <w:rFonts w:ascii="Times New Roman" w:eastAsia="Times New Roman" w:hAnsi="Times New Roman" w:cs="Times New Roman"/>
                <w:b/>
                <w:color w:val="000000"/>
                <w:sz w:val="18"/>
                <w:szCs w:val="18"/>
                <w:lang w:val="fr-FR"/>
              </w:rPr>
            </w:pPr>
            <w:bookmarkStart w:id="58" w:name="_Hlk171617242"/>
            <w:bookmarkEnd w:id="57"/>
            <w:proofErr w:type="spellStart"/>
            <w:r w:rsidRPr="005F44EF">
              <w:rPr>
                <w:rFonts w:ascii="Times New Roman" w:eastAsia="Times New Roman" w:hAnsi="Times New Roman" w:cs="Times New Roman"/>
                <w:b/>
                <w:color w:val="000000"/>
                <w:sz w:val="18"/>
                <w:szCs w:val="18"/>
                <w:lang w:val="fr-FR"/>
              </w:rPr>
              <w:t>Sample</w:t>
            </w:r>
            <w:proofErr w:type="spellEnd"/>
            <w:r w:rsidRPr="005F44EF">
              <w:rPr>
                <w:rFonts w:ascii="Times New Roman" w:eastAsia="Times New Roman" w:hAnsi="Times New Roman" w:cs="Times New Roman"/>
                <w:b/>
                <w:color w:val="000000"/>
                <w:sz w:val="18"/>
                <w:szCs w:val="18"/>
                <w:lang w:val="fr-FR"/>
              </w:rPr>
              <w:t xml:space="preserve"> ID</w:t>
            </w:r>
          </w:p>
        </w:tc>
        <w:tc>
          <w:tcPr>
            <w:tcW w:w="1775" w:type="dxa"/>
            <w:gridSpan w:val="3"/>
            <w:tcBorders>
              <w:top w:val="single" w:sz="4" w:space="0" w:color="auto"/>
              <w:left w:val="nil"/>
              <w:bottom w:val="single" w:sz="4" w:space="0" w:color="auto"/>
              <w:right w:val="nil"/>
            </w:tcBorders>
            <w:shd w:val="clear" w:color="auto" w:fill="D9D9D9" w:themeFill="background1" w:themeFillShade="D9"/>
            <w:noWrap/>
            <w:vAlign w:val="center"/>
            <w:hideMark/>
          </w:tcPr>
          <w:p w14:paraId="56EAB120" w14:textId="64F3362D" w:rsidR="009C56E0" w:rsidRPr="005F44EF" w:rsidRDefault="009C56E0" w:rsidP="00E94E7E">
            <w:pPr>
              <w:spacing w:after="0" w:line="240" w:lineRule="auto"/>
              <w:jc w:val="center"/>
              <w:rPr>
                <w:rFonts w:ascii="Times New Roman" w:eastAsia="Times New Roman" w:hAnsi="Times New Roman" w:cs="Times New Roman"/>
                <w:b/>
                <w:bCs/>
                <w:color w:val="000000"/>
                <w:sz w:val="18"/>
                <w:szCs w:val="18"/>
                <w:lang w:val="fr-FR"/>
              </w:rPr>
            </w:pPr>
            <w:r w:rsidRPr="005F44EF">
              <w:rPr>
                <w:rFonts w:ascii="Times New Roman" w:eastAsia="Times New Roman" w:hAnsi="Times New Roman" w:cs="Times New Roman"/>
                <w:b/>
                <w:bCs/>
                <w:color w:val="000000"/>
                <w:sz w:val="18"/>
                <w:szCs w:val="18"/>
                <w:lang w:val="fr-FR"/>
              </w:rPr>
              <w:t>ANY</w:t>
            </w:r>
            <w:r w:rsidR="0055744E" w:rsidRPr="005F44EF">
              <w:rPr>
                <w:rFonts w:ascii="Times New Roman" w:eastAsia="Times New Roman" w:hAnsi="Times New Roman" w:cs="Times New Roman"/>
                <w:b/>
                <w:bCs/>
                <w:color w:val="000000"/>
                <w:sz w:val="18"/>
                <w:szCs w:val="18"/>
                <w:lang w:val="fr-FR"/>
              </w:rPr>
              <w:t>20-</w:t>
            </w:r>
            <w:r w:rsidRPr="005F44EF">
              <w:rPr>
                <w:rFonts w:ascii="Times New Roman" w:eastAsia="Times New Roman" w:hAnsi="Times New Roman" w:cs="Times New Roman"/>
                <w:b/>
                <w:bCs/>
                <w:color w:val="000000"/>
                <w:sz w:val="18"/>
                <w:szCs w:val="18"/>
                <w:lang w:val="fr-FR"/>
              </w:rPr>
              <w:t>03</w:t>
            </w:r>
          </w:p>
        </w:tc>
        <w:tc>
          <w:tcPr>
            <w:tcW w:w="1790" w:type="dxa"/>
            <w:gridSpan w:val="3"/>
            <w:tcBorders>
              <w:top w:val="single" w:sz="4" w:space="0" w:color="auto"/>
              <w:left w:val="nil"/>
              <w:bottom w:val="single" w:sz="4" w:space="0" w:color="auto"/>
              <w:right w:val="nil"/>
            </w:tcBorders>
            <w:shd w:val="clear" w:color="auto" w:fill="D9D9D9" w:themeFill="background1" w:themeFillShade="D9"/>
            <w:noWrap/>
            <w:vAlign w:val="center"/>
            <w:hideMark/>
          </w:tcPr>
          <w:p w14:paraId="0499FC0F" w14:textId="5E700182" w:rsidR="009C56E0" w:rsidRPr="005F44EF" w:rsidRDefault="009C56E0" w:rsidP="00E94E7E">
            <w:pPr>
              <w:spacing w:after="0" w:line="240" w:lineRule="auto"/>
              <w:jc w:val="center"/>
              <w:rPr>
                <w:rFonts w:ascii="Times New Roman" w:eastAsia="Times New Roman" w:hAnsi="Times New Roman" w:cs="Times New Roman"/>
                <w:b/>
                <w:bCs/>
                <w:color w:val="000000"/>
                <w:sz w:val="18"/>
                <w:szCs w:val="18"/>
                <w:lang w:val="fr-FR"/>
              </w:rPr>
            </w:pPr>
            <w:r w:rsidRPr="005F44EF">
              <w:rPr>
                <w:rFonts w:ascii="Times New Roman" w:eastAsia="Times New Roman" w:hAnsi="Times New Roman" w:cs="Times New Roman"/>
                <w:b/>
                <w:bCs/>
                <w:color w:val="000000"/>
                <w:sz w:val="18"/>
                <w:szCs w:val="18"/>
                <w:lang w:val="fr-FR"/>
              </w:rPr>
              <w:t>ANY</w:t>
            </w:r>
            <w:r w:rsidR="0055744E" w:rsidRPr="005F44EF">
              <w:rPr>
                <w:rFonts w:ascii="Times New Roman" w:eastAsia="Times New Roman" w:hAnsi="Times New Roman" w:cs="Times New Roman"/>
                <w:b/>
                <w:bCs/>
                <w:color w:val="000000"/>
                <w:sz w:val="18"/>
                <w:szCs w:val="18"/>
                <w:lang w:val="fr-FR"/>
              </w:rPr>
              <w:t>20-</w:t>
            </w:r>
            <w:r w:rsidRPr="005F44EF">
              <w:rPr>
                <w:rFonts w:ascii="Times New Roman" w:eastAsia="Times New Roman" w:hAnsi="Times New Roman" w:cs="Times New Roman"/>
                <w:b/>
                <w:bCs/>
                <w:color w:val="000000"/>
                <w:sz w:val="18"/>
                <w:szCs w:val="18"/>
                <w:lang w:val="fr-FR"/>
              </w:rPr>
              <w:t>04</w:t>
            </w:r>
          </w:p>
        </w:tc>
        <w:tc>
          <w:tcPr>
            <w:tcW w:w="1761" w:type="dxa"/>
            <w:gridSpan w:val="3"/>
            <w:tcBorders>
              <w:top w:val="single" w:sz="4" w:space="0" w:color="auto"/>
              <w:left w:val="nil"/>
              <w:bottom w:val="single" w:sz="4" w:space="0" w:color="auto"/>
              <w:right w:val="nil"/>
            </w:tcBorders>
            <w:shd w:val="clear" w:color="auto" w:fill="D9D9D9" w:themeFill="background1" w:themeFillShade="D9"/>
            <w:noWrap/>
            <w:vAlign w:val="center"/>
            <w:hideMark/>
          </w:tcPr>
          <w:p w14:paraId="2267805A" w14:textId="0C65200D" w:rsidR="009C56E0" w:rsidRPr="005F44EF" w:rsidRDefault="009C56E0" w:rsidP="00E94E7E">
            <w:pPr>
              <w:spacing w:after="0" w:line="240" w:lineRule="auto"/>
              <w:jc w:val="center"/>
              <w:rPr>
                <w:rFonts w:ascii="Times New Roman" w:eastAsia="Times New Roman" w:hAnsi="Times New Roman" w:cs="Times New Roman"/>
                <w:b/>
                <w:bCs/>
                <w:color w:val="000000"/>
                <w:sz w:val="18"/>
                <w:szCs w:val="18"/>
                <w:lang w:val="fr-FR"/>
              </w:rPr>
            </w:pPr>
            <w:r w:rsidRPr="005F44EF">
              <w:rPr>
                <w:rFonts w:ascii="Times New Roman" w:eastAsia="Times New Roman" w:hAnsi="Times New Roman" w:cs="Times New Roman"/>
                <w:b/>
                <w:bCs/>
                <w:color w:val="000000"/>
                <w:sz w:val="18"/>
                <w:szCs w:val="18"/>
                <w:lang w:val="fr-FR"/>
              </w:rPr>
              <w:t>ANY</w:t>
            </w:r>
            <w:r w:rsidR="0055744E" w:rsidRPr="005F44EF">
              <w:rPr>
                <w:rFonts w:ascii="Times New Roman" w:eastAsia="Times New Roman" w:hAnsi="Times New Roman" w:cs="Times New Roman"/>
                <w:b/>
                <w:bCs/>
                <w:color w:val="000000"/>
                <w:sz w:val="18"/>
                <w:szCs w:val="18"/>
                <w:lang w:val="fr-FR"/>
              </w:rPr>
              <w:t>20-</w:t>
            </w:r>
            <w:r w:rsidRPr="005F44EF">
              <w:rPr>
                <w:rFonts w:ascii="Times New Roman" w:eastAsia="Times New Roman" w:hAnsi="Times New Roman" w:cs="Times New Roman"/>
                <w:b/>
                <w:bCs/>
                <w:color w:val="000000"/>
                <w:sz w:val="18"/>
                <w:szCs w:val="18"/>
                <w:lang w:val="fr-FR"/>
              </w:rPr>
              <w:t>05</w:t>
            </w:r>
          </w:p>
        </w:tc>
        <w:tc>
          <w:tcPr>
            <w:tcW w:w="1877" w:type="dxa"/>
            <w:gridSpan w:val="3"/>
            <w:tcBorders>
              <w:top w:val="single" w:sz="4" w:space="0" w:color="auto"/>
              <w:left w:val="nil"/>
              <w:bottom w:val="single" w:sz="4" w:space="0" w:color="auto"/>
              <w:right w:val="nil"/>
            </w:tcBorders>
            <w:shd w:val="clear" w:color="auto" w:fill="D9D9D9" w:themeFill="background1" w:themeFillShade="D9"/>
            <w:noWrap/>
            <w:vAlign w:val="center"/>
            <w:hideMark/>
          </w:tcPr>
          <w:p w14:paraId="77B3B94F" w14:textId="53C04275" w:rsidR="009C56E0" w:rsidRPr="005F44EF" w:rsidRDefault="009C56E0" w:rsidP="00E94E7E">
            <w:pPr>
              <w:spacing w:after="0" w:line="240" w:lineRule="auto"/>
              <w:jc w:val="center"/>
              <w:rPr>
                <w:rFonts w:ascii="Times New Roman" w:eastAsia="Times New Roman" w:hAnsi="Times New Roman" w:cs="Times New Roman"/>
                <w:b/>
                <w:bCs/>
                <w:color w:val="000000"/>
                <w:sz w:val="18"/>
                <w:szCs w:val="18"/>
                <w:lang w:val="fr-FR"/>
              </w:rPr>
            </w:pPr>
            <w:r w:rsidRPr="005F44EF">
              <w:rPr>
                <w:rFonts w:ascii="Times New Roman" w:eastAsia="Times New Roman" w:hAnsi="Times New Roman" w:cs="Times New Roman"/>
                <w:b/>
                <w:bCs/>
                <w:color w:val="000000"/>
                <w:sz w:val="18"/>
                <w:szCs w:val="18"/>
                <w:lang w:val="fr-FR"/>
              </w:rPr>
              <w:t>ANY</w:t>
            </w:r>
            <w:r w:rsidR="0055744E" w:rsidRPr="005F44EF">
              <w:rPr>
                <w:rFonts w:ascii="Times New Roman" w:eastAsia="Times New Roman" w:hAnsi="Times New Roman" w:cs="Times New Roman"/>
                <w:b/>
                <w:bCs/>
                <w:color w:val="000000"/>
                <w:sz w:val="18"/>
                <w:szCs w:val="18"/>
                <w:lang w:val="fr-FR"/>
              </w:rPr>
              <w:t>20-</w:t>
            </w:r>
            <w:r w:rsidRPr="005F44EF">
              <w:rPr>
                <w:rFonts w:ascii="Times New Roman" w:eastAsia="Times New Roman" w:hAnsi="Times New Roman" w:cs="Times New Roman"/>
                <w:b/>
                <w:bCs/>
                <w:color w:val="000000"/>
                <w:sz w:val="18"/>
                <w:szCs w:val="18"/>
                <w:lang w:val="fr-FR"/>
              </w:rPr>
              <w:t>08</w:t>
            </w:r>
          </w:p>
        </w:tc>
        <w:tc>
          <w:tcPr>
            <w:tcW w:w="1851" w:type="dxa"/>
            <w:gridSpan w:val="3"/>
            <w:tcBorders>
              <w:top w:val="single" w:sz="4" w:space="0" w:color="auto"/>
              <w:left w:val="nil"/>
              <w:bottom w:val="single" w:sz="4" w:space="0" w:color="auto"/>
              <w:right w:val="nil"/>
            </w:tcBorders>
            <w:shd w:val="clear" w:color="auto" w:fill="D9D9D9" w:themeFill="background1" w:themeFillShade="D9"/>
            <w:noWrap/>
            <w:vAlign w:val="center"/>
            <w:hideMark/>
          </w:tcPr>
          <w:p w14:paraId="44D909E1" w14:textId="21D41F83" w:rsidR="009C56E0" w:rsidRPr="005F44EF" w:rsidRDefault="009C56E0" w:rsidP="00E94E7E">
            <w:pPr>
              <w:spacing w:after="0" w:line="240" w:lineRule="auto"/>
              <w:jc w:val="center"/>
              <w:rPr>
                <w:rFonts w:ascii="Times New Roman" w:eastAsia="Times New Roman" w:hAnsi="Times New Roman" w:cs="Times New Roman"/>
                <w:b/>
                <w:bCs/>
                <w:color w:val="000000"/>
                <w:sz w:val="18"/>
                <w:szCs w:val="18"/>
                <w:lang w:val="fr-FR"/>
              </w:rPr>
            </w:pPr>
            <w:r w:rsidRPr="005F44EF">
              <w:rPr>
                <w:rFonts w:ascii="Times New Roman" w:eastAsia="Times New Roman" w:hAnsi="Times New Roman" w:cs="Times New Roman"/>
                <w:b/>
                <w:bCs/>
                <w:color w:val="000000"/>
                <w:sz w:val="18"/>
                <w:szCs w:val="18"/>
                <w:lang w:val="fr-FR"/>
              </w:rPr>
              <w:t>ANY</w:t>
            </w:r>
            <w:r w:rsidR="0055744E" w:rsidRPr="005F44EF">
              <w:rPr>
                <w:rFonts w:ascii="Times New Roman" w:eastAsia="Times New Roman" w:hAnsi="Times New Roman" w:cs="Times New Roman"/>
                <w:b/>
                <w:bCs/>
                <w:color w:val="000000"/>
                <w:sz w:val="18"/>
                <w:szCs w:val="18"/>
                <w:lang w:val="fr-FR"/>
              </w:rPr>
              <w:t>20-</w:t>
            </w:r>
            <w:r w:rsidRPr="005F44EF">
              <w:rPr>
                <w:rFonts w:ascii="Times New Roman" w:eastAsia="Times New Roman" w:hAnsi="Times New Roman" w:cs="Times New Roman"/>
                <w:b/>
                <w:bCs/>
                <w:color w:val="000000"/>
                <w:sz w:val="18"/>
                <w:szCs w:val="18"/>
                <w:lang w:val="fr-FR"/>
              </w:rPr>
              <w:t>09</w:t>
            </w:r>
          </w:p>
        </w:tc>
      </w:tr>
      <w:tr w:rsidR="00BE42E9" w:rsidRPr="005F44EF" w14:paraId="7FAA4C42" w14:textId="77777777" w:rsidTr="00BE42E9">
        <w:trPr>
          <w:trHeight w:val="251"/>
        </w:trPr>
        <w:tc>
          <w:tcPr>
            <w:tcW w:w="817" w:type="dxa"/>
            <w:tcBorders>
              <w:top w:val="single" w:sz="4" w:space="0" w:color="auto"/>
              <w:left w:val="nil"/>
              <w:bottom w:val="single" w:sz="4" w:space="0" w:color="auto"/>
              <w:right w:val="nil"/>
            </w:tcBorders>
            <w:shd w:val="clear" w:color="auto" w:fill="auto"/>
            <w:noWrap/>
            <w:vAlign w:val="bottom"/>
            <w:hideMark/>
          </w:tcPr>
          <w:p w14:paraId="64F44532" w14:textId="77777777" w:rsidR="009C56E0" w:rsidRPr="005F44EF" w:rsidRDefault="009C56E0" w:rsidP="0033130D">
            <w:pPr>
              <w:spacing w:after="0" w:line="240" w:lineRule="auto"/>
              <w:jc w:val="center"/>
              <w:rPr>
                <w:rFonts w:ascii="Times New Roman" w:eastAsia="Times New Roman" w:hAnsi="Times New Roman" w:cs="Times New Roman"/>
                <w:b/>
                <w:bCs/>
                <w:color w:val="000000"/>
                <w:sz w:val="18"/>
                <w:szCs w:val="18"/>
                <w:lang w:val="fr-FR"/>
              </w:rPr>
            </w:pPr>
          </w:p>
        </w:tc>
        <w:tc>
          <w:tcPr>
            <w:tcW w:w="694" w:type="dxa"/>
            <w:tcBorders>
              <w:top w:val="single" w:sz="4" w:space="0" w:color="auto"/>
              <w:left w:val="nil"/>
              <w:bottom w:val="single" w:sz="4" w:space="0" w:color="auto"/>
              <w:right w:val="nil"/>
            </w:tcBorders>
            <w:shd w:val="clear" w:color="auto" w:fill="auto"/>
            <w:noWrap/>
            <w:vAlign w:val="bottom"/>
            <w:hideMark/>
          </w:tcPr>
          <w:p w14:paraId="0A0F79A4" w14:textId="0935DA8C" w:rsidR="009C56E0" w:rsidRPr="005F44EF" w:rsidRDefault="00F33DD0" w:rsidP="0033130D">
            <w:pPr>
              <w:spacing w:after="0" w:line="240" w:lineRule="auto"/>
              <w:jc w:val="center"/>
              <w:rPr>
                <w:rFonts w:ascii="Times New Roman" w:eastAsia="Times New Roman" w:hAnsi="Times New Roman" w:cs="Times New Roman"/>
                <w:b/>
                <w:bCs/>
                <w:color w:val="000000"/>
                <w:sz w:val="18"/>
                <w:szCs w:val="18"/>
                <w:lang w:val="fr-FR"/>
              </w:rPr>
            </w:pPr>
            <w:r w:rsidRPr="005F44EF">
              <w:rPr>
                <w:rFonts w:ascii="Times New Roman" w:eastAsia="Times New Roman" w:hAnsi="Times New Roman" w:cs="Times New Roman"/>
                <w:b/>
                <w:bCs/>
                <w:color w:val="000000"/>
                <w:sz w:val="18"/>
                <w:szCs w:val="18"/>
                <w:lang w:val="fr-FR"/>
              </w:rPr>
              <w:t>D</w:t>
            </w:r>
            <w:r w:rsidRPr="005F44EF">
              <w:rPr>
                <w:rFonts w:ascii="Times New Roman" w:eastAsia="Times New Roman" w:hAnsi="Times New Roman" w:cs="Times New Roman"/>
                <w:b/>
                <w:bCs/>
                <w:color w:val="000000"/>
                <w:sz w:val="18"/>
                <w:szCs w:val="18"/>
                <w:vertAlign w:val="subscript"/>
                <w:lang w:val="fr-FR"/>
              </w:rPr>
              <w:t>e</w:t>
            </w:r>
            <w:r w:rsidR="009C56E0" w:rsidRPr="005F44EF">
              <w:rPr>
                <w:rFonts w:ascii="Times New Roman" w:eastAsia="Times New Roman" w:hAnsi="Times New Roman" w:cs="Times New Roman"/>
                <w:b/>
                <w:bCs/>
                <w:color w:val="000000"/>
                <w:sz w:val="18"/>
                <w:szCs w:val="18"/>
                <w:vertAlign w:val="subscript"/>
                <w:lang w:val="fr-FR"/>
              </w:rPr>
              <w:t xml:space="preserve"> </w:t>
            </w:r>
          </w:p>
        </w:tc>
        <w:tc>
          <w:tcPr>
            <w:tcW w:w="513" w:type="dxa"/>
            <w:tcBorders>
              <w:top w:val="single" w:sz="4" w:space="0" w:color="auto"/>
              <w:left w:val="nil"/>
              <w:bottom w:val="single" w:sz="4" w:space="0" w:color="auto"/>
              <w:right w:val="nil"/>
            </w:tcBorders>
            <w:shd w:val="clear" w:color="auto" w:fill="auto"/>
            <w:noWrap/>
            <w:vAlign w:val="bottom"/>
            <w:hideMark/>
          </w:tcPr>
          <w:p w14:paraId="0EBA4054" w14:textId="77777777" w:rsidR="009C56E0" w:rsidRPr="005F44EF" w:rsidRDefault="009C56E0" w:rsidP="0033130D">
            <w:pPr>
              <w:spacing w:after="0" w:line="240" w:lineRule="auto"/>
              <w:jc w:val="center"/>
              <w:rPr>
                <w:rFonts w:ascii="Times New Roman" w:eastAsia="Times New Roman" w:hAnsi="Times New Roman" w:cs="Times New Roman"/>
                <w:b/>
                <w:bCs/>
                <w:color w:val="000000"/>
                <w:sz w:val="18"/>
                <w:szCs w:val="18"/>
                <w:lang w:val="fr-FR"/>
              </w:rPr>
            </w:pPr>
            <w:r w:rsidRPr="005F44EF">
              <w:rPr>
                <w:rFonts w:ascii="Times New Roman" w:eastAsia="Times New Roman" w:hAnsi="Times New Roman" w:cs="Times New Roman"/>
                <w:b/>
                <w:bCs/>
                <w:color w:val="000000"/>
                <w:sz w:val="18"/>
                <w:szCs w:val="18"/>
                <w:lang w:val="fr-FR"/>
              </w:rPr>
              <w:t>± (%)</w:t>
            </w:r>
          </w:p>
        </w:tc>
        <w:tc>
          <w:tcPr>
            <w:tcW w:w="566" w:type="dxa"/>
            <w:tcBorders>
              <w:top w:val="single" w:sz="4" w:space="0" w:color="auto"/>
              <w:left w:val="nil"/>
              <w:bottom w:val="single" w:sz="4" w:space="0" w:color="auto"/>
              <w:right w:val="nil"/>
            </w:tcBorders>
            <w:shd w:val="clear" w:color="auto" w:fill="auto"/>
            <w:noWrap/>
            <w:vAlign w:val="bottom"/>
            <w:hideMark/>
          </w:tcPr>
          <w:p w14:paraId="1A428F64" w14:textId="77777777" w:rsidR="009C56E0" w:rsidRPr="005F44EF" w:rsidRDefault="009C56E0" w:rsidP="0033130D">
            <w:pPr>
              <w:spacing w:after="0" w:line="240" w:lineRule="auto"/>
              <w:jc w:val="center"/>
              <w:rPr>
                <w:rFonts w:ascii="Times New Roman" w:eastAsia="Times New Roman" w:hAnsi="Times New Roman" w:cs="Times New Roman"/>
                <w:b/>
                <w:bCs/>
                <w:color w:val="000000"/>
                <w:sz w:val="18"/>
                <w:szCs w:val="18"/>
                <w:lang w:val="fr-FR"/>
              </w:rPr>
            </w:pPr>
            <w:proofErr w:type="gramStart"/>
            <w:r w:rsidRPr="005F44EF">
              <w:rPr>
                <w:rFonts w:ascii="Times New Roman" w:eastAsia="Times New Roman" w:hAnsi="Times New Roman" w:cs="Times New Roman"/>
                <w:b/>
                <w:bCs/>
                <w:color w:val="000000"/>
                <w:sz w:val="18"/>
                <w:szCs w:val="18"/>
                <w:lang w:val="fr-FR"/>
              </w:rPr>
              <w:t>adj</w:t>
            </w:r>
            <w:proofErr w:type="gramEnd"/>
            <w:r w:rsidRPr="005F44EF">
              <w:rPr>
                <w:rFonts w:ascii="Times New Roman" w:eastAsia="Times New Roman" w:hAnsi="Times New Roman" w:cs="Times New Roman"/>
                <w:b/>
                <w:bCs/>
                <w:color w:val="000000"/>
                <w:sz w:val="18"/>
                <w:szCs w:val="18"/>
                <w:lang w:val="fr-FR"/>
              </w:rPr>
              <w:t>-r2</w:t>
            </w:r>
          </w:p>
        </w:tc>
        <w:tc>
          <w:tcPr>
            <w:tcW w:w="696" w:type="dxa"/>
            <w:tcBorders>
              <w:top w:val="single" w:sz="4" w:space="0" w:color="auto"/>
              <w:left w:val="nil"/>
              <w:bottom w:val="single" w:sz="4" w:space="0" w:color="auto"/>
              <w:right w:val="nil"/>
            </w:tcBorders>
            <w:shd w:val="clear" w:color="auto" w:fill="auto"/>
            <w:noWrap/>
            <w:vAlign w:val="bottom"/>
            <w:hideMark/>
          </w:tcPr>
          <w:p w14:paraId="06839DA3" w14:textId="5750C36A" w:rsidR="009C56E0" w:rsidRPr="005F44EF" w:rsidRDefault="00CE69F2" w:rsidP="0033130D">
            <w:pPr>
              <w:spacing w:after="0" w:line="240" w:lineRule="auto"/>
              <w:jc w:val="center"/>
              <w:rPr>
                <w:rFonts w:ascii="Times New Roman" w:eastAsia="Times New Roman" w:hAnsi="Times New Roman" w:cs="Times New Roman"/>
                <w:b/>
                <w:bCs/>
                <w:color w:val="000000"/>
                <w:sz w:val="18"/>
                <w:szCs w:val="18"/>
                <w:lang w:val="fr-FR"/>
              </w:rPr>
            </w:pPr>
            <w:r w:rsidRPr="005F44EF">
              <w:rPr>
                <w:rFonts w:ascii="Times New Roman" w:eastAsia="Times New Roman" w:hAnsi="Times New Roman" w:cs="Times New Roman"/>
                <w:b/>
                <w:bCs/>
                <w:color w:val="000000"/>
                <w:sz w:val="18"/>
                <w:szCs w:val="18"/>
                <w:lang w:val="fr-FR"/>
              </w:rPr>
              <w:t>D</w:t>
            </w:r>
            <w:r w:rsidRPr="005F44EF">
              <w:rPr>
                <w:rFonts w:ascii="Times New Roman" w:eastAsia="Times New Roman" w:hAnsi="Times New Roman" w:cs="Times New Roman"/>
                <w:b/>
                <w:bCs/>
                <w:color w:val="000000"/>
                <w:sz w:val="18"/>
                <w:szCs w:val="18"/>
                <w:vertAlign w:val="subscript"/>
                <w:lang w:val="fr-FR"/>
              </w:rPr>
              <w:t>e</w:t>
            </w:r>
            <w:r w:rsidR="009C56E0" w:rsidRPr="005F44EF">
              <w:rPr>
                <w:rFonts w:ascii="Times New Roman" w:eastAsia="Times New Roman" w:hAnsi="Times New Roman" w:cs="Times New Roman"/>
                <w:b/>
                <w:bCs/>
                <w:color w:val="000000"/>
                <w:sz w:val="18"/>
                <w:szCs w:val="18"/>
                <w:lang w:val="fr-FR"/>
              </w:rPr>
              <w:t xml:space="preserve"> </w:t>
            </w:r>
          </w:p>
        </w:tc>
        <w:tc>
          <w:tcPr>
            <w:tcW w:w="513" w:type="dxa"/>
            <w:tcBorders>
              <w:top w:val="single" w:sz="4" w:space="0" w:color="auto"/>
              <w:left w:val="nil"/>
              <w:bottom w:val="single" w:sz="4" w:space="0" w:color="auto"/>
              <w:right w:val="nil"/>
            </w:tcBorders>
            <w:shd w:val="clear" w:color="auto" w:fill="auto"/>
            <w:noWrap/>
            <w:vAlign w:val="bottom"/>
            <w:hideMark/>
          </w:tcPr>
          <w:p w14:paraId="0243336F" w14:textId="77777777" w:rsidR="009C56E0" w:rsidRPr="005F44EF" w:rsidRDefault="009C56E0" w:rsidP="0033130D">
            <w:pPr>
              <w:spacing w:after="0" w:line="240" w:lineRule="auto"/>
              <w:jc w:val="center"/>
              <w:rPr>
                <w:rFonts w:ascii="Times New Roman" w:eastAsia="Times New Roman" w:hAnsi="Times New Roman" w:cs="Times New Roman"/>
                <w:b/>
                <w:bCs/>
                <w:color w:val="000000"/>
                <w:sz w:val="18"/>
                <w:szCs w:val="18"/>
                <w:lang w:val="fr-FR"/>
              </w:rPr>
            </w:pPr>
            <w:r w:rsidRPr="005F44EF">
              <w:rPr>
                <w:rFonts w:ascii="Times New Roman" w:eastAsia="Times New Roman" w:hAnsi="Times New Roman" w:cs="Times New Roman"/>
                <w:b/>
                <w:bCs/>
                <w:color w:val="000000"/>
                <w:sz w:val="18"/>
                <w:szCs w:val="18"/>
                <w:lang w:val="fr-FR"/>
              </w:rPr>
              <w:t>± (%)</w:t>
            </w:r>
          </w:p>
        </w:tc>
        <w:tc>
          <w:tcPr>
            <w:tcW w:w="581" w:type="dxa"/>
            <w:tcBorders>
              <w:top w:val="single" w:sz="4" w:space="0" w:color="auto"/>
              <w:left w:val="nil"/>
              <w:bottom w:val="single" w:sz="4" w:space="0" w:color="auto"/>
              <w:right w:val="nil"/>
            </w:tcBorders>
            <w:shd w:val="clear" w:color="auto" w:fill="auto"/>
            <w:noWrap/>
            <w:vAlign w:val="bottom"/>
            <w:hideMark/>
          </w:tcPr>
          <w:p w14:paraId="6718EC28" w14:textId="77777777" w:rsidR="009C56E0" w:rsidRPr="005F44EF" w:rsidRDefault="009C56E0" w:rsidP="0033130D">
            <w:pPr>
              <w:spacing w:after="0" w:line="240" w:lineRule="auto"/>
              <w:jc w:val="center"/>
              <w:rPr>
                <w:rFonts w:ascii="Times New Roman" w:eastAsia="Times New Roman" w:hAnsi="Times New Roman" w:cs="Times New Roman"/>
                <w:b/>
                <w:bCs/>
                <w:color w:val="000000"/>
                <w:sz w:val="18"/>
                <w:szCs w:val="18"/>
                <w:lang w:val="fr-FR"/>
              </w:rPr>
            </w:pPr>
            <w:proofErr w:type="gramStart"/>
            <w:r w:rsidRPr="005F44EF">
              <w:rPr>
                <w:rFonts w:ascii="Times New Roman" w:eastAsia="Times New Roman" w:hAnsi="Times New Roman" w:cs="Times New Roman"/>
                <w:b/>
                <w:bCs/>
                <w:color w:val="000000"/>
                <w:sz w:val="18"/>
                <w:szCs w:val="18"/>
                <w:lang w:val="fr-FR"/>
              </w:rPr>
              <w:t>adj</w:t>
            </w:r>
            <w:proofErr w:type="gramEnd"/>
            <w:r w:rsidRPr="005F44EF">
              <w:rPr>
                <w:rFonts w:ascii="Times New Roman" w:eastAsia="Times New Roman" w:hAnsi="Times New Roman" w:cs="Times New Roman"/>
                <w:b/>
                <w:bCs/>
                <w:color w:val="000000"/>
                <w:sz w:val="18"/>
                <w:szCs w:val="18"/>
                <w:lang w:val="fr-FR"/>
              </w:rPr>
              <w:t>-r2</w:t>
            </w:r>
          </w:p>
        </w:tc>
        <w:tc>
          <w:tcPr>
            <w:tcW w:w="696" w:type="dxa"/>
            <w:tcBorders>
              <w:top w:val="single" w:sz="4" w:space="0" w:color="auto"/>
              <w:left w:val="nil"/>
              <w:bottom w:val="single" w:sz="4" w:space="0" w:color="auto"/>
              <w:right w:val="nil"/>
            </w:tcBorders>
            <w:shd w:val="clear" w:color="auto" w:fill="auto"/>
            <w:noWrap/>
            <w:vAlign w:val="bottom"/>
            <w:hideMark/>
          </w:tcPr>
          <w:p w14:paraId="4228BBA3" w14:textId="76AA1823" w:rsidR="009C56E0" w:rsidRPr="005F44EF" w:rsidRDefault="00F33DD0" w:rsidP="0033130D">
            <w:pPr>
              <w:spacing w:after="0" w:line="240" w:lineRule="auto"/>
              <w:jc w:val="center"/>
              <w:rPr>
                <w:rFonts w:ascii="Times New Roman" w:eastAsia="Times New Roman" w:hAnsi="Times New Roman" w:cs="Times New Roman"/>
                <w:b/>
                <w:bCs/>
                <w:color w:val="000000"/>
                <w:sz w:val="18"/>
                <w:szCs w:val="18"/>
                <w:lang w:val="fr-FR"/>
              </w:rPr>
            </w:pPr>
            <w:r w:rsidRPr="005F44EF">
              <w:rPr>
                <w:rFonts w:ascii="Times New Roman" w:eastAsia="Times New Roman" w:hAnsi="Times New Roman" w:cs="Times New Roman"/>
                <w:b/>
                <w:bCs/>
                <w:color w:val="000000"/>
                <w:sz w:val="18"/>
                <w:szCs w:val="18"/>
                <w:lang w:val="fr-FR"/>
              </w:rPr>
              <w:t>D</w:t>
            </w:r>
            <w:r w:rsidRPr="005F44EF">
              <w:rPr>
                <w:rFonts w:ascii="Times New Roman" w:eastAsia="Times New Roman" w:hAnsi="Times New Roman" w:cs="Times New Roman"/>
                <w:b/>
                <w:bCs/>
                <w:color w:val="000000"/>
                <w:sz w:val="18"/>
                <w:szCs w:val="18"/>
                <w:vertAlign w:val="subscript"/>
                <w:lang w:val="fr-FR"/>
              </w:rPr>
              <w:t>e</w:t>
            </w:r>
            <w:r w:rsidR="009C56E0" w:rsidRPr="005F44EF">
              <w:rPr>
                <w:rFonts w:ascii="Times New Roman" w:eastAsia="Times New Roman" w:hAnsi="Times New Roman" w:cs="Times New Roman"/>
                <w:b/>
                <w:bCs/>
                <w:color w:val="000000"/>
                <w:sz w:val="18"/>
                <w:szCs w:val="18"/>
                <w:lang w:val="fr-FR"/>
              </w:rPr>
              <w:t xml:space="preserve"> </w:t>
            </w:r>
          </w:p>
        </w:tc>
        <w:tc>
          <w:tcPr>
            <w:tcW w:w="513" w:type="dxa"/>
            <w:tcBorders>
              <w:top w:val="single" w:sz="4" w:space="0" w:color="auto"/>
              <w:left w:val="nil"/>
              <w:bottom w:val="single" w:sz="4" w:space="0" w:color="auto"/>
              <w:right w:val="nil"/>
            </w:tcBorders>
            <w:shd w:val="clear" w:color="auto" w:fill="auto"/>
            <w:noWrap/>
            <w:vAlign w:val="bottom"/>
            <w:hideMark/>
          </w:tcPr>
          <w:p w14:paraId="2FB3256C" w14:textId="77777777" w:rsidR="009C56E0" w:rsidRPr="005F44EF" w:rsidRDefault="009C56E0" w:rsidP="0033130D">
            <w:pPr>
              <w:spacing w:after="0" w:line="240" w:lineRule="auto"/>
              <w:jc w:val="center"/>
              <w:rPr>
                <w:rFonts w:ascii="Times New Roman" w:eastAsia="Times New Roman" w:hAnsi="Times New Roman" w:cs="Times New Roman"/>
                <w:b/>
                <w:bCs/>
                <w:color w:val="000000"/>
                <w:sz w:val="18"/>
                <w:szCs w:val="18"/>
                <w:lang w:val="fr-FR"/>
              </w:rPr>
            </w:pPr>
            <w:r w:rsidRPr="005F44EF">
              <w:rPr>
                <w:rFonts w:ascii="Times New Roman" w:eastAsia="Times New Roman" w:hAnsi="Times New Roman" w:cs="Times New Roman"/>
                <w:b/>
                <w:bCs/>
                <w:color w:val="000000"/>
                <w:sz w:val="18"/>
                <w:szCs w:val="18"/>
                <w:lang w:val="fr-FR"/>
              </w:rPr>
              <w:t>± (%)</w:t>
            </w:r>
          </w:p>
        </w:tc>
        <w:tc>
          <w:tcPr>
            <w:tcW w:w="552" w:type="dxa"/>
            <w:tcBorders>
              <w:top w:val="single" w:sz="4" w:space="0" w:color="auto"/>
              <w:left w:val="nil"/>
              <w:bottom w:val="single" w:sz="4" w:space="0" w:color="auto"/>
              <w:right w:val="nil"/>
            </w:tcBorders>
            <w:shd w:val="clear" w:color="auto" w:fill="auto"/>
            <w:noWrap/>
            <w:vAlign w:val="bottom"/>
            <w:hideMark/>
          </w:tcPr>
          <w:p w14:paraId="06AF6579" w14:textId="77777777" w:rsidR="009C56E0" w:rsidRPr="005F44EF" w:rsidRDefault="009C56E0" w:rsidP="0033130D">
            <w:pPr>
              <w:spacing w:after="0" w:line="240" w:lineRule="auto"/>
              <w:jc w:val="center"/>
              <w:rPr>
                <w:rFonts w:ascii="Times New Roman" w:eastAsia="Times New Roman" w:hAnsi="Times New Roman" w:cs="Times New Roman"/>
                <w:b/>
                <w:bCs/>
                <w:color w:val="000000"/>
                <w:sz w:val="18"/>
                <w:szCs w:val="18"/>
                <w:lang w:val="fr-FR"/>
              </w:rPr>
            </w:pPr>
            <w:proofErr w:type="gramStart"/>
            <w:r w:rsidRPr="005F44EF">
              <w:rPr>
                <w:rFonts w:ascii="Times New Roman" w:eastAsia="Times New Roman" w:hAnsi="Times New Roman" w:cs="Times New Roman"/>
                <w:b/>
                <w:bCs/>
                <w:color w:val="000000"/>
                <w:sz w:val="18"/>
                <w:szCs w:val="18"/>
                <w:lang w:val="fr-FR"/>
              </w:rPr>
              <w:t>adj</w:t>
            </w:r>
            <w:proofErr w:type="gramEnd"/>
            <w:r w:rsidRPr="005F44EF">
              <w:rPr>
                <w:rFonts w:ascii="Times New Roman" w:eastAsia="Times New Roman" w:hAnsi="Times New Roman" w:cs="Times New Roman"/>
                <w:b/>
                <w:bCs/>
                <w:color w:val="000000"/>
                <w:sz w:val="18"/>
                <w:szCs w:val="18"/>
                <w:lang w:val="fr-FR"/>
              </w:rPr>
              <w:t>-r2</w:t>
            </w:r>
          </w:p>
        </w:tc>
        <w:tc>
          <w:tcPr>
            <w:tcW w:w="786" w:type="dxa"/>
            <w:tcBorders>
              <w:top w:val="single" w:sz="4" w:space="0" w:color="auto"/>
              <w:left w:val="nil"/>
              <w:bottom w:val="single" w:sz="4" w:space="0" w:color="auto"/>
              <w:right w:val="nil"/>
            </w:tcBorders>
            <w:shd w:val="clear" w:color="auto" w:fill="auto"/>
            <w:noWrap/>
            <w:vAlign w:val="bottom"/>
            <w:hideMark/>
          </w:tcPr>
          <w:p w14:paraId="11D48024" w14:textId="49E54E2D" w:rsidR="009C56E0" w:rsidRPr="005F44EF" w:rsidRDefault="00F33DD0" w:rsidP="0033130D">
            <w:pPr>
              <w:spacing w:after="0" w:line="240" w:lineRule="auto"/>
              <w:jc w:val="center"/>
              <w:rPr>
                <w:rFonts w:ascii="Times New Roman" w:eastAsia="Times New Roman" w:hAnsi="Times New Roman" w:cs="Times New Roman"/>
                <w:b/>
                <w:bCs/>
                <w:color w:val="000000"/>
                <w:sz w:val="18"/>
                <w:szCs w:val="18"/>
                <w:lang w:val="fr-FR"/>
              </w:rPr>
            </w:pPr>
            <w:r w:rsidRPr="005F44EF">
              <w:rPr>
                <w:rFonts w:ascii="Times New Roman" w:eastAsia="Times New Roman" w:hAnsi="Times New Roman" w:cs="Times New Roman"/>
                <w:b/>
                <w:bCs/>
                <w:color w:val="000000"/>
                <w:sz w:val="18"/>
                <w:szCs w:val="18"/>
                <w:lang w:val="fr-FR"/>
              </w:rPr>
              <w:t>D</w:t>
            </w:r>
            <w:r w:rsidRPr="005F44EF">
              <w:rPr>
                <w:rFonts w:ascii="Times New Roman" w:eastAsia="Times New Roman" w:hAnsi="Times New Roman" w:cs="Times New Roman"/>
                <w:b/>
                <w:bCs/>
                <w:color w:val="000000"/>
                <w:sz w:val="18"/>
                <w:szCs w:val="18"/>
                <w:vertAlign w:val="subscript"/>
                <w:lang w:val="fr-FR"/>
              </w:rPr>
              <w:t>e</w:t>
            </w:r>
            <w:r w:rsidR="009C56E0" w:rsidRPr="005F44EF">
              <w:rPr>
                <w:rFonts w:ascii="Times New Roman" w:eastAsia="Times New Roman" w:hAnsi="Times New Roman" w:cs="Times New Roman"/>
                <w:b/>
                <w:bCs/>
                <w:color w:val="000000"/>
                <w:sz w:val="18"/>
                <w:szCs w:val="18"/>
                <w:lang w:val="fr-FR"/>
              </w:rPr>
              <w:t xml:space="preserve"> </w:t>
            </w:r>
          </w:p>
        </w:tc>
        <w:tc>
          <w:tcPr>
            <w:tcW w:w="513" w:type="dxa"/>
            <w:tcBorders>
              <w:top w:val="single" w:sz="4" w:space="0" w:color="auto"/>
              <w:left w:val="nil"/>
              <w:bottom w:val="single" w:sz="4" w:space="0" w:color="auto"/>
              <w:right w:val="nil"/>
            </w:tcBorders>
            <w:shd w:val="clear" w:color="auto" w:fill="auto"/>
            <w:noWrap/>
            <w:vAlign w:val="bottom"/>
            <w:hideMark/>
          </w:tcPr>
          <w:p w14:paraId="2044ACDD" w14:textId="77777777" w:rsidR="009C56E0" w:rsidRPr="005F44EF" w:rsidRDefault="009C56E0" w:rsidP="0033130D">
            <w:pPr>
              <w:spacing w:after="0" w:line="240" w:lineRule="auto"/>
              <w:jc w:val="center"/>
              <w:rPr>
                <w:rFonts w:ascii="Times New Roman" w:eastAsia="Times New Roman" w:hAnsi="Times New Roman" w:cs="Times New Roman"/>
                <w:b/>
                <w:bCs/>
                <w:color w:val="000000"/>
                <w:sz w:val="18"/>
                <w:szCs w:val="18"/>
                <w:lang w:val="fr-FR"/>
              </w:rPr>
            </w:pPr>
            <w:r w:rsidRPr="005F44EF">
              <w:rPr>
                <w:rFonts w:ascii="Times New Roman" w:eastAsia="Times New Roman" w:hAnsi="Times New Roman" w:cs="Times New Roman"/>
                <w:b/>
                <w:bCs/>
                <w:color w:val="000000"/>
                <w:sz w:val="18"/>
                <w:szCs w:val="18"/>
                <w:lang w:val="fr-FR"/>
              </w:rPr>
              <w:t>± (%)</w:t>
            </w:r>
          </w:p>
        </w:tc>
        <w:tc>
          <w:tcPr>
            <w:tcW w:w="577" w:type="dxa"/>
            <w:tcBorders>
              <w:top w:val="single" w:sz="4" w:space="0" w:color="auto"/>
              <w:left w:val="nil"/>
              <w:bottom w:val="single" w:sz="4" w:space="0" w:color="auto"/>
              <w:right w:val="nil"/>
            </w:tcBorders>
            <w:shd w:val="clear" w:color="auto" w:fill="auto"/>
            <w:noWrap/>
            <w:vAlign w:val="bottom"/>
            <w:hideMark/>
          </w:tcPr>
          <w:p w14:paraId="05A84E37" w14:textId="77777777" w:rsidR="009C56E0" w:rsidRPr="005F44EF" w:rsidRDefault="009C56E0" w:rsidP="0033130D">
            <w:pPr>
              <w:spacing w:after="0" w:line="240" w:lineRule="auto"/>
              <w:jc w:val="center"/>
              <w:rPr>
                <w:rFonts w:ascii="Times New Roman" w:eastAsia="Times New Roman" w:hAnsi="Times New Roman" w:cs="Times New Roman"/>
                <w:b/>
                <w:bCs/>
                <w:color w:val="000000"/>
                <w:sz w:val="18"/>
                <w:szCs w:val="18"/>
                <w:lang w:val="fr-FR"/>
              </w:rPr>
            </w:pPr>
            <w:proofErr w:type="gramStart"/>
            <w:r w:rsidRPr="005F44EF">
              <w:rPr>
                <w:rFonts w:ascii="Times New Roman" w:eastAsia="Times New Roman" w:hAnsi="Times New Roman" w:cs="Times New Roman"/>
                <w:b/>
                <w:bCs/>
                <w:color w:val="000000"/>
                <w:sz w:val="18"/>
                <w:szCs w:val="18"/>
                <w:lang w:val="fr-FR"/>
              </w:rPr>
              <w:t>adj</w:t>
            </w:r>
            <w:proofErr w:type="gramEnd"/>
            <w:r w:rsidRPr="005F44EF">
              <w:rPr>
                <w:rFonts w:ascii="Times New Roman" w:eastAsia="Times New Roman" w:hAnsi="Times New Roman" w:cs="Times New Roman"/>
                <w:b/>
                <w:bCs/>
                <w:color w:val="000000"/>
                <w:sz w:val="18"/>
                <w:szCs w:val="18"/>
                <w:lang w:val="fr-FR"/>
              </w:rPr>
              <w:t>-r2</w:t>
            </w:r>
          </w:p>
        </w:tc>
        <w:tc>
          <w:tcPr>
            <w:tcW w:w="786" w:type="dxa"/>
            <w:tcBorders>
              <w:top w:val="single" w:sz="4" w:space="0" w:color="auto"/>
              <w:left w:val="nil"/>
              <w:bottom w:val="single" w:sz="4" w:space="0" w:color="auto"/>
              <w:right w:val="nil"/>
            </w:tcBorders>
            <w:shd w:val="clear" w:color="auto" w:fill="auto"/>
            <w:noWrap/>
            <w:vAlign w:val="bottom"/>
            <w:hideMark/>
          </w:tcPr>
          <w:p w14:paraId="24CD42BD" w14:textId="592952B7" w:rsidR="009C56E0" w:rsidRPr="005F44EF" w:rsidRDefault="00F33DD0" w:rsidP="0033130D">
            <w:pPr>
              <w:spacing w:after="0" w:line="240" w:lineRule="auto"/>
              <w:jc w:val="center"/>
              <w:rPr>
                <w:rFonts w:ascii="Times New Roman" w:eastAsia="Times New Roman" w:hAnsi="Times New Roman" w:cs="Times New Roman"/>
                <w:b/>
                <w:bCs/>
                <w:color w:val="000000"/>
                <w:sz w:val="18"/>
                <w:szCs w:val="18"/>
                <w:lang w:val="fr-FR"/>
              </w:rPr>
            </w:pPr>
            <w:r w:rsidRPr="005F44EF">
              <w:rPr>
                <w:rFonts w:ascii="Times New Roman" w:eastAsia="Times New Roman" w:hAnsi="Times New Roman" w:cs="Times New Roman"/>
                <w:b/>
                <w:bCs/>
                <w:color w:val="000000"/>
                <w:sz w:val="18"/>
                <w:szCs w:val="18"/>
                <w:lang w:val="fr-FR"/>
              </w:rPr>
              <w:t>D</w:t>
            </w:r>
            <w:r w:rsidRPr="005F44EF">
              <w:rPr>
                <w:rFonts w:ascii="Times New Roman" w:eastAsia="Times New Roman" w:hAnsi="Times New Roman" w:cs="Times New Roman"/>
                <w:b/>
                <w:bCs/>
                <w:color w:val="000000"/>
                <w:sz w:val="18"/>
                <w:szCs w:val="18"/>
                <w:vertAlign w:val="subscript"/>
                <w:lang w:val="fr-FR"/>
              </w:rPr>
              <w:t>e</w:t>
            </w:r>
            <w:r w:rsidR="009C56E0" w:rsidRPr="005F44EF">
              <w:rPr>
                <w:rFonts w:ascii="Times New Roman" w:eastAsia="Times New Roman" w:hAnsi="Times New Roman" w:cs="Times New Roman"/>
                <w:b/>
                <w:bCs/>
                <w:color w:val="000000"/>
                <w:sz w:val="18"/>
                <w:szCs w:val="18"/>
                <w:lang w:val="fr-FR"/>
              </w:rPr>
              <w:t xml:space="preserve"> </w:t>
            </w:r>
          </w:p>
        </w:tc>
        <w:tc>
          <w:tcPr>
            <w:tcW w:w="513" w:type="dxa"/>
            <w:tcBorders>
              <w:top w:val="single" w:sz="4" w:space="0" w:color="auto"/>
              <w:left w:val="nil"/>
              <w:bottom w:val="single" w:sz="4" w:space="0" w:color="auto"/>
              <w:right w:val="nil"/>
            </w:tcBorders>
            <w:shd w:val="clear" w:color="auto" w:fill="auto"/>
            <w:noWrap/>
            <w:vAlign w:val="bottom"/>
            <w:hideMark/>
          </w:tcPr>
          <w:p w14:paraId="71860D52" w14:textId="77777777" w:rsidR="009C56E0" w:rsidRPr="005F44EF" w:rsidRDefault="009C56E0" w:rsidP="0033130D">
            <w:pPr>
              <w:spacing w:after="0" w:line="240" w:lineRule="auto"/>
              <w:jc w:val="center"/>
              <w:rPr>
                <w:rFonts w:ascii="Times New Roman" w:eastAsia="Times New Roman" w:hAnsi="Times New Roman" w:cs="Times New Roman"/>
                <w:b/>
                <w:bCs/>
                <w:color w:val="000000"/>
                <w:sz w:val="18"/>
                <w:szCs w:val="18"/>
                <w:lang w:val="fr-FR"/>
              </w:rPr>
            </w:pPr>
            <w:r w:rsidRPr="005F44EF">
              <w:rPr>
                <w:rFonts w:ascii="Times New Roman" w:eastAsia="Times New Roman" w:hAnsi="Times New Roman" w:cs="Times New Roman"/>
                <w:b/>
                <w:bCs/>
                <w:color w:val="000000"/>
                <w:sz w:val="18"/>
                <w:szCs w:val="18"/>
                <w:lang w:val="fr-FR"/>
              </w:rPr>
              <w:t>± (%)</w:t>
            </w:r>
          </w:p>
        </w:tc>
        <w:tc>
          <w:tcPr>
            <w:tcW w:w="552" w:type="dxa"/>
            <w:tcBorders>
              <w:top w:val="single" w:sz="4" w:space="0" w:color="auto"/>
              <w:left w:val="nil"/>
              <w:bottom w:val="single" w:sz="4" w:space="0" w:color="auto"/>
              <w:right w:val="nil"/>
            </w:tcBorders>
            <w:shd w:val="clear" w:color="auto" w:fill="auto"/>
            <w:noWrap/>
            <w:vAlign w:val="bottom"/>
            <w:hideMark/>
          </w:tcPr>
          <w:p w14:paraId="3EB9F9A0" w14:textId="77777777" w:rsidR="009C56E0" w:rsidRPr="005F44EF" w:rsidRDefault="009C56E0" w:rsidP="0033130D">
            <w:pPr>
              <w:spacing w:after="0" w:line="240" w:lineRule="auto"/>
              <w:jc w:val="center"/>
              <w:rPr>
                <w:rFonts w:ascii="Times New Roman" w:eastAsia="Times New Roman" w:hAnsi="Times New Roman" w:cs="Times New Roman"/>
                <w:b/>
                <w:bCs/>
                <w:color w:val="000000"/>
                <w:sz w:val="18"/>
                <w:szCs w:val="18"/>
                <w:lang w:val="fr-FR"/>
              </w:rPr>
            </w:pPr>
            <w:proofErr w:type="gramStart"/>
            <w:r w:rsidRPr="005F44EF">
              <w:rPr>
                <w:rFonts w:ascii="Times New Roman" w:eastAsia="Times New Roman" w:hAnsi="Times New Roman" w:cs="Times New Roman"/>
                <w:b/>
                <w:bCs/>
                <w:color w:val="000000"/>
                <w:sz w:val="18"/>
                <w:szCs w:val="18"/>
                <w:lang w:val="fr-FR"/>
              </w:rPr>
              <w:t>adj</w:t>
            </w:r>
            <w:proofErr w:type="gramEnd"/>
            <w:r w:rsidRPr="005F44EF">
              <w:rPr>
                <w:rFonts w:ascii="Times New Roman" w:eastAsia="Times New Roman" w:hAnsi="Times New Roman" w:cs="Times New Roman"/>
                <w:b/>
                <w:bCs/>
                <w:color w:val="000000"/>
                <w:sz w:val="18"/>
                <w:szCs w:val="18"/>
                <w:lang w:val="fr-FR"/>
              </w:rPr>
              <w:t>-r2</w:t>
            </w:r>
          </w:p>
        </w:tc>
      </w:tr>
      <w:tr w:rsidR="00BE42E9" w:rsidRPr="005F44EF" w14:paraId="65BC89D5" w14:textId="77777777" w:rsidTr="00BE42E9">
        <w:trPr>
          <w:trHeight w:val="251"/>
        </w:trPr>
        <w:tc>
          <w:tcPr>
            <w:tcW w:w="817" w:type="dxa"/>
            <w:vMerge w:val="restart"/>
            <w:tcBorders>
              <w:top w:val="single" w:sz="4" w:space="0" w:color="auto"/>
              <w:left w:val="nil"/>
              <w:bottom w:val="nil"/>
              <w:right w:val="nil"/>
            </w:tcBorders>
            <w:shd w:val="clear" w:color="auto" w:fill="auto"/>
            <w:vAlign w:val="center"/>
            <w:hideMark/>
          </w:tcPr>
          <w:p w14:paraId="433C77B6" w14:textId="77777777"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D</w:t>
            </w:r>
            <w:r w:rsidRPr="005F44EF">
              <w:rPr>
                <w:rFonts w:ascii="Times New Roman" w:eastAsia="Times New Roman" w:hAnsi="Times New Roman" w:cs="Times New Roman"/>
                <w:color w:val="000000"/>
                <w:sz w:val="18"/>
                <w:szCs w:val="18"/>
                <w:vertAlign w:val="subscript"/>
                <w:lang w:val="fr-FR"/>
              </w:rPr>
              <w:t>e</w:t>
            </w:r>
            <w:r w:rsidRPr="005F44EF">
              <w:rPr>
                <w:rFonts w:ascii="Times New Roman" w:eastAsia="Times New Roman" w:hAnsi="Times New Roman" w:cs="Times New Roman"/>
                <w:color w:val="000000"/>
                <w:sz w:val="18"/>
                <w:szCs w:val="18"/>
                <w:lang w:val="fr-FR"/>
              </w:rPr>
              <w:t xml:space="preserve"> SSE D</w:t>
            </w:r>
            <w:r w:rsidRPr="005F44EF">
              <w:rPr>
                <w:rFonts w:ascii="Times New Roman" w:eastAsia="Times New Roman" w:hAnsi="Times New Roman" w:cs="Times New Roman"/>
                <w:color w:val="000000"/>
                <w:sz w:val="18"/>
                <w:szCs w:val="18"/>
                <w:vertAlign w:val="subscript"/>
                <w:lang w:val="fr-FR"/>
              </w:rPr>
              <w:t>max</w:t>
            </w:r>
            <w:r w:rsidRPr="005F44EF">
              <w:rPr>
                <w:rFonts w:ascii="Times New Roman" w:eastAsia="Times New Roman" w:hAnsi="Times New Roman" w:cs="Times New Roman"/>
                <w:color w:val="000000"/>
                <w:sz w:val="18"/>
                <w:szCs w:val="18"/>
                <w:lang w:val="fr-FR"/>
              </w:rPr>
              <w:t xml:space="preserve"> = 4.5 kGy</w:t>
            </w:r>
          </w:p>
        </w:tc>
        <w:tc>
          <w:tcPr>
            <w:tcW w:w="694" w:type="dxa"/>
            <w:tcBorders>
              <w:top w:val="single" w:sz="4" w:space="0" w:color="auto"/>
              <w:left w:val="nil"/>
              <w:bottom w:val="nil"/>
              <w:right w:val="nil"/>
            </w:tcBorders>
            <w:shd w:val="clear" w:color="auto" w:fill="auto"/>
            <w:noWrap/>
            <w:vAlign w:val="bottom"/>
            <w:hideMark/>
          </w:tcPr>
          <w:p w14:paraId="01C96527" w14:textId="5B857FD5"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 xml:space="preserve">47±15 </w:t>
            </w:r>
          </w:p>
        </w:tc>
        <w:tc>
          <w:tcPr>
            <w:tcW w:w="513" w:type="dxa"/>
            <w:tcBorders>
              <w:top w:val="single" w:sz="4" w:space="0" w:color="auto"/>
              <w:left w:val="nil"/>
              <w:bottom w:val="nil"/>
              <w:right w:val="nil"/>
            </w:tcBorders>
            <w:shd w:val="clear" w:color="auto" w:fill="auto"/>
            <w:noWrap/>
            <w:vAlign w:val="bottom"/>
            <w:hideMark/>
          </w:tcPr>
          <w:p w14:paraId="263A2917" w14:textId="182D86C2"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31.9</w:t>
            </w:r>
          </w:p>
        </w:tc>
        <w:tc>
          <w:tcPr>
            <w:tcW w:w="566" w:type="dxa"/>
            <w:tcBorders>
              <w:top w:val="single" w:sz="4" w:space="0" w:color="auto"/>
              <w:left w:val="nil"/>
              <w:bottom w:val="nil"/>
              <w:right w:val="nil"/>
            </w:tcBorders>
            <w:shd w:val="clear" w:color="auto" w:fill="auto"/>
            <w:noWrap/>
            <w:vAlign w:val="bottom"/>
            <w:hideMark/>
          </w:tcPr>
          <w:p w14:paraId="2047195F" w14:textId="77777777"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0.934</w:t>
            </w:r>
          </w:p>
        </w:tc>
        <w:tc>
          <w:tcPr>
            <w:tcW w:w="696" w:type="dxa"/>
            <w:tcBorders>
              <w:top w:val="single" w:sz="4" w:space="0" w:color="auto"/>
              <w:left w:val="nil"/>
              <w:bottom w:val="nil"/>
              <w:right w:val="nil"/>
            </w:tcBorders>
            <w:shd w:val="clear" w:color="auto" w:fill="auto"/>
            <w:noWrap/>
            <w:vAlign w:val="bottom"/>
            <w:hideMark/>
          </w:tcPr>
          <w:p w14:paraId="62A51CF6" w14:textId="04709EFA"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52±22</w:t>
            </w:r>
          </w:p>
        </w:tc>
        <w:tc>
          <w:tcPr>
            <w:tcW w:w="513" w:type="dxa"/>
            <w:tcBorders>
              <w:top w:val="single" w:sz="4" w:space="0" w:color="auto"/>
              <w:left w:val="nil"/>
              <w:bottom w:val="nil"/>
              <w:right w:val="nil"/>
            </w:tcBorders>
            <w:shd w:val="clear" w:color="auto" w:fill="auto"/>
            <w:noWrap/>
            <w:vAlign w:val="bottom"/>
            <w:hideMark/>
          </w:tcPr>
          <w:p w14:paraId="73550632" w14:textId="0DF60C7F"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42.3</w:t>
            </w:r>
          </w:p>
        </w:tc>
        <w:tc>
          <w:tcPr>
            <w:tcW w:w="581" w:type="dxa"/>
            <w:tcBorders>
              <w:top w:val="single" w:sz="4" w:space="0" w:color="auto"/>
              <w:left w:val="nil"/>
              <w:bottom w:val="nil"/>
              <w:right w:val="nil"/>
            </w:tcBorders>
            <w:shd w:val="clear" w:color="auto" w:fill="auto"/>
            <w:noWrap/>
            <w:vAlign w:val="bottom"/>
            <w:hideMark/>
          </w:tcPr>
          <w:p w14:paraId="1FDB9D88" w14:textId="77777777"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0.888</w:t>
            </w:r>
          </w:p>
        </w:tc>
        <w:tc>
          <w:tcPr>
            <w:tcW w:w="696" w:type="dxa"/>
            <w:tcBorders>
              <w:top w:val="single" w:sz="4" w:space="0" w:color="auto"/>
              <w:left w:val="nil"/>
              <w:bottom w:val="nil"/>
              <w:right w:val="nil"/>
            </w:tcBorders>
            <w:shd w:val="clear" w:color="auto" w:fill="auto"/>
            <w:noWrap/>
            <w:vAlign w:val="bottom"/>
            <w:hideMark/>
          </w:tcPr>
          <w:p w14:paraId="47373D80" w14:textId="41B0E6DB"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107±25</w:t>
            </w:r>
          </w:p>
        </w:tc>
        <w:tc>
          <w:tcPr>
            <w:tcW w:w="513" w:type="dxa"/>
            <w:tcBorders>
              <w:top w:val="single" w:sz="4" w:space="0" w:color="auto"/>
              <w:left w:val="nil"/>
              <w:bottom w:val="nil"/>
              <w:right w:val="nil"/>
            </w:tcBorders>
            <w:shd w:val="clear" w:color="auto" w:fill="auto"/>
            <w:noWrap/>
            <w:vAlign w:val="bottom"/>
            <w:hideMark/>
          </w:tcPr>
          <w:p w14:paraId="2D3F4233" w14:textId="65129F9E"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23.4</w:t>
            </w:r>
          </w:p>
        </w:tc>
        <w:tc>
          <w:tcPr>
            <w:tcW w:w="552" w:type="dxa"/>
            <w:tcBorders>
              <w:top w:val="single" w:sz="4" w:space="0" w:color="auto"/>
              <w:left w:val="nil"/>
              <w:bottom w:val="nil"/>
              <w:right w:val="nil"/>
            </w:tcBorders>
            <w:shd w:val="clear" w:color="auto" w:fill="auto"/>
            <w:noWrap/>
            <w:vAlign w:val="bottom"/>
            <w:hideMark/>
          </w:tcPr>
          <w:p w14:paraId="6EDB6B2D" w14:textId="77777777"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0.961</w:t>
            </w:r>
          </w:p>
        </w:tc>
        <w:tc>
          <w:tcPr>
            <w:tcW w:w="786" w:type="dxa"/>
            <w:tcBorders>
              <w:top w:val="single" w:sz="4" w:space="0" w:color="auto"/>
              <w:left w:val="nil"/>
              <w:bottom w:val="nil"/>
              <w:right w:val="nil"/>
            </w:tcBorders>
            <w:shd w:val="clear" w:color="auto" w:fill="auto"/>
            <w:noWrap/>
            <w:vAlign w:val="bottom"/>
            <w:hideMark/>
          </w:tcPr>
          <w:p w14:paraId="72AB9694" w14:textId="403425D8"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 xml:space="preserve">204±93 </w:t>
            </w:r>
          </w:p>
        </w:tc>
        <w:tc>
          <w:tcPr>
            <w:tcW w:w="513" w:type="dxa"/>
            <w:tcBorders>
              <w:top w:val="single" w:sz="4" w:space="0" w:color="auto"/>
              <w:left w:val="nil"/>
              <w:bottom w:val="nil"/>
              <w:right w:val="nil"/>
            </w:tcBorders>
            <w:shd w:val="clear" w:color="auto" w:fill="auto"/>
            <w:noWrap/>
            <w:vAlign w:val="bottom"/>
            <w:hideMark/>
          </w:tcPr>
          <w:p w14:paraId="3BBCA812" w14:textId="66F20423"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45.6</w:t>
            </w:r>
          </w:p>
        </w:tc>
        <w:tc>
          <w:tcPr>
            <w:tcW w:w="577" w:type="dxa"/>
            <w:tcBorders>
              <w:top w:val="single" w:sz="4" w:space="0" w:color="auto"/>
              <w:left w:val="nil"/>
              <w:bottom w:val="nil"/>
              <w:right w:val="nil"/>
            </w:tcBorders>
            <w:shd w:val="clear" w:color="auto" w:fill="auto"/>
            <w:noWrap/>
            <w:vAlign w:val="bottom"/>
            <w:hideMark/>
          </w:tcPr>
          <w:p w14:paraId="4F88A191" w14:textId="77777777"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0.840</w:t>
            </w:r>
          </w:p>
        </w:tc>
        <w:tc>
          <w:tcPr>
            <w:tcW w:w="786" w:type="dxa"/>
            <w:tcBorders>
              <w:top w:val="single" w:sz="4" w:space="0" w:color="auto"/>
              <w:left w:val="nil"/>
              <w:bottom w:val="nil"/>
              <w:right w:val="nil"/>
            </w:tcBorders>
            <w:shd w:val="clear" w:color="auto" w:fill="auto"/>
            <w:noWrap/>
            <w:vAlign w:val="bottom"/>
            <w:hideMark/>
          </w:tcPr>
          <w:p w14:paraId="47AB0826" w14:textId="0E8BD351"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243±103</w:t>
            </w:r>
          </w:p>
        </w:tc>
        <w:tc>
          <w:tcPr>
            <w:tcW w:w="513" w:type="dxa"/>
            <w:tcBorders>
              <w:top w:val="single" w:sz="4" w:space="0" w:color="auto"/>
              <w:left w:val="nil"/>
              <w:bottom w:val="nil"/>
              <w:right w:val="nil"/>
            </w:tcBorders>
            <w:shd w:val="clear" w:color="auto" w:fill="auto"/>
            <w:noWrap/>
            <w:vAlign w:val="bottom"/>
            <w:hideMark/>
          </w:tcPr>
          <w:p w14:paraId="076476CB" w14:textId="4887C660"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42.4</w:t>
            </w:r>
          </w:p>
        </w:tc>
        <w:tc>
          <w:tcPr>
            <w:tcW w:w="552" w:type="dxa"/>
            <w:tcBorders>
              <w:top w:val="single" w:sz="4" w:space="0" w:color="auto"/>
              <w:left w:val="nil"/>
              <w:bottom w:val="nil"/>
              <w:right w:val="nil"/>
            </w:tcBorders>
            <w:shd w:val="clear" w:color="auto" w:fill="auto"/>
            <w:noWrap/>
            <w:vAlign w:val="bottom"/>
            <w:hideMark/>
          </w:tcPr>
          <w:p w14:paraId="342E0D2F" w14:textId="77777777"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0.869</w:t>
            </w:r>
          </w:p>
        </w:tc>
      </w:tr>
      <w:tr w:rsidR="00BE42E9" w:rsidRPr="005F44EF" w14:paraId="29F7F5A0" w14:textId="77777777" w:rsidTr="00BE42E9">
        <w:trPr>
          <w:trHeight w:val="251"/>
        </w:trPr>
        <w:tc>
          <w:tcPr>
            <w:tcW w:w="817" w:type="dxa"/>
            <w:vMerge/>
            <w:tcBorders>
              <w:top w:val="nil"/>
              <w:left w:val="nil"/>
              <w:bottom w:val="single" w:sz="4" w:space="0" w:color="auto"/>
              <w:right w:val="nil"/>
            </w:tcBorders>
            <w:vAlign w:val="center"/>
            <w:hideMark/>
          </w:tcPr>
          <w:p w14:paraId="0D008E58" w14:textId="77777777" w:rsidR="009C56E0" w:rsidRPr="005F44EF" w:rsidRDefault="009C56E0" w:rsidP="0033130D">
            <w:pPr>
              <w:spacing w:after="0" w:line="240" w:lineRule="auto"/>
              <w:rPr>
                <w:rFonts w:ascii="Times New Roman" w:eastAsia="Times New Roman" w:hAnsi="Times New Roman" w:cs="Times New Roman"/>
                <w:color w:val="000000"/>
                <w:sz w:val="18"/>
                <w:szCs w:val="18"/>
                <w:lang w:val="fr-FR"/>
              </w:rPr>
            </w:pPr>
          </w:p>
        </w:tc>
        <w:tc>
          <w:tcPr>
            <w:tcW w:w="694" w:type="dxa"/>
            <w:tcBorders>
              <w:top w:val="nil"/>
              <w:left w:val="nil"/>
              <w:bottom w:val="single" w:sz="4" w:space="0" w:color="auto"/>
              <w:right w:val="nil"/>
            </w:tcBorders>
            <w:shd w:val="clear" w:color="auto" w:fill="auto"/>
            <w:noWrap/>
            <w:vAlign w:val="bottom"/>
            <w:hideMark/>
          </w:tcPr>
          <w:p w14:paraId="696170E7" w14:textId="4CF38974"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100±28</w:t>
            </w:r>
          </w:p>
        </w:tc>
        <w:tc>
          <w:tcPr>
            <w:tcW w:w="513" w:type="dxa"/>
            <w:tcBorders>
              <w:top w:val="nil"/>
              <w:left w:val="nil"/>
              <w:bottom w:val="single" w:sz="4" w:space="0" w:color="auto"/>
              <w:right w:val="nil"/>
            </w:tcBorders>
            <w:shd w:val="clear" w:color="auto" w:fill="auto"/>
            <w:noWrap/>
            <w:vAlign w:val="bottom"/>
            <w:hideMark/>
          </w:tcPr>
          <w:p w14:paraId="5A352AD4" w14:textId="364946CA"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28.0</w:t>
            </w:r>
          </w:p>
        </w:tc>
        <w:tc>
          <w:tcPr>
            <w:tcW w:w="566" w:type="dxa"/>
            <w:tcBorders>
              <w:top w:val="nil"/>
              <w:left w:val="nil"/>
              <w:bottom w:val="single" w:sz="4" w:space="0" w:color="auto"/>
              <w:right w:val="nil"/>
            </w:tcBorders>
            <w:shd w:val="clear" w:color="auto" w:fill="auto"/>
            <w:noWrap/>
            <w:vAlign w:val="bottom"/>
            <w:hideMark/>
          </w:tcPr>
          <w:p w14:paraId="44B8E9D9" w14:textId="77777777"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0.943</w:t>
            </w:r>
          </w:p>
        </w:tc>
        <w:tc>
          <w:tcPr>
            <w:tcW w:w="696" w:type="dxa"/>
            <w:tcBorders>
              <w:top w:val="nil"/>
              <w:left w:val="nil"/>
              <w:bottom w:val="single" w:sz="4" w:space="0" w:color="auto"/>
              <w:right w:val="nil"/>
            </w:tcBorders>
            <w:shd w:val="clear" w:color="auto" w:fill="auto"/>
            <w:noWrap/>
            <w:vAlign w:val="bottom"/>
            <w:hideMark/>
          </w:tcPr>
          <w:p w14:paraId="04EFF3B7" w14:textId="7151E8C5"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105±31</w:t>
            </w:r>
          </w:p>
        </w:tc>
        <w:tc>
          <w:tcPr>
            <w:tcW w:w="513" w:type="dxa"/>
            <w:tcBorders>
              <w:top w:val="nil"/>
              <w:left w:val="nil"/>
              <w:bottom w:val="single" w:sz="4" w:space="0" w:color="auto"/>
              <w:right w:val="nil"/>
            </w:tcBorders>
            <w:shd w:val="clear" w:color="auto" w:fill="auto"/>
            <w:noWrap/>
            <w:vAlign w:val="bottom"/>
            <w:hideMark/>
          </w:tcPr>
          <w:p w14:paraId="04656AB5" w14:textId="1B92DB2E"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29.5</w:t>
            </w:r>
          </w:p>
        </w:tc>
        <w:tc>
          <w:tcPr>
            <w:tcW w:w="581" w:type="dxa"/>
            <w:tcBorders>
              <w:top w:val="nil"/>
              <w:left w:val="nil"/>
              <w:bottom w:val="single" w:sz="4" w:space="0" w:color="auto"/>
              <w:right w:val="nil"/>
            </w:tcBorders>
            <w:shd w:val="clear" w:color="auto" w:fill="auto"/>
            <w:noWrap/>
            <w:vAlign w:val="bottom"/>
            <w:hideMark/>
          </w:tcPr>
          <w:p w14:paraId="41BB5036" w14:textId="77777777"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0.941</w:t>
            </w:r>
          </w:p>
        </w:tc>
        <w:tc>
          <w:tcPr>
            <w:tcW w:w="696" w:type="dxa"/>
            <w:tcBorders>
              <w:top w:val="nil"/>
              <w:left w:val="nil"/>
              <w:bottom w:val="single" w:sz="4" w:space="0" w:color="auto"/>
              <w:right w:val="nil"/>
            </w:tcBorders>
            <w:shd w:val="clear" w:color="auto" w:fill="auto"/>
            <w:noWrap/>
            <w:vAlign w:val="bottom"/>
            <w:hideMark/>
          </w:tcPr>
          <w:p w14:paraId="4A00F2C5" w14:textId="5342BA68"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147±31</w:t>
            </w:r>
          </w:p>
        </w:tc>
        <w:tc>
          <w:tcPr>
            <w:tcW w:w="513" w:type="dxa"/>
            <w:tcBorders>
              <w:top w:val="nil"/>
              <w:left w:val="nil"/>
              <w:bottom w:val="single" w:sz="4" w:space="0" w:color="auto"/>
              <w:right w:val="nil"/>
            </w:tcBorders>
            <w:shd w:val="clear" w:color="auto" w:fill="auto"/>
            <w:noWrap/>
            <w:vAlign w:val="bottom"/>
            <w:hideMark/>
          </w:tcPr>
          <w:p w14:paraId="216E5087" w14:textId="58AB25F2"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21.1</w:t>
            </w:r>
          </w:p>
        </w:tc>
        <w:tc>
          <w:tcPr>
            <w:tcW w:w="552" w:type="dxa"/>
            <w:tcBorders>
              <w:top w:val="nil"/>
              <w:left w:val="nil"/>
              <w:bottom w:val="single" w:sz="4" w:space="0" w:color="auto"/>
              <w:right w:val="nil"/>
            </w:tcBorders>
            <w:shd w:val="clear" w:color="auto" w:fill="auto"/>
            <w:noWrap/>
            <w:vAlign w:val="bottom"/>
            <w:hideMark/>
          </w:tcPr>
          <w:p w14:paraId="2014002B" w14:textId="77777777"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0.965</w:t>
            </w:r>
          </w:p>
        </w:tc>
        <w:tc>
          <w:tcPr>
            <w:tcW w:w="786" w:type="dxa"/>
            <w:tcBorders>
              <w:top w:val="nil"/>
              <w:left w:val="nil"/>
              <w:bottom w:val="single" w:sz="4" w:space="0" w:color="auto"/>
              <w:right w:val="nil"/>
            </w:tcBorders>
            <w:shd w:val="clear" w:color="auto" w:fill="auto"/>
            <w:noWrap/>
            <w:vAlign w:val="bottom"/>
            <w:hideMark/>
          </w:tcPr>
          <w:p w14:paraId="3A574325" w14:textId="13D2E880"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240±86</w:t>
            </w:r>
          </w:p>
        </w:tc>
        <w:tc>
          <w:tcPr>
            <w:tcW w:w="513" w:type="dxa"/>
            <w:tcBorders>
              <w:top w:val="nil"/>
              <w:left w:val="nil"/>
              <w:bottom w:val="single" w:sz="4" w:space="0" w:color="auto"/>
              <w:right w:val="nil"/>
            </w:tcBorders>
            <w:shd w:val="clear" w:color="auto" w:fill="auto"/>
            <w:noWrap/>
            <w:vAlign w:val="bottom"/>
            <w:hideMark/>
          </w:tcPr>
          <w:p w14:paraId="40B7ADE5" w14:textId="59438573"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35.8</w:t>
            </w:r>
          </w:p>
        </w:tc>
        <w:tc>
          <w:tcPr>
            <w:tcW w:w="577" w:type="dxa"/>
            <w:tcBorders>
              <w:top w:val="nil"/>
              <w:left w:val="nil"/>
              <w:bottom w:val="single" w:sz="4" w:space="0" w:color="auto"/>
              <w:right w:val="nil"/>
            </w:tcBorders>
            <w:shd w:val="clear" w:color="auto" w:fill="auto"/>
            <w:noWrap/>
            <w:vAlign w:val="bottom"/>
            <w:hideMark/>
          </w:tcPr>
          <w:p w14:paraId="619700A8" w14:textId="77777777"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0.894</w:t>
            </w:r>
          </w:p>
        </w:tc>
        <w:tc>
          <w:tcPr>
            <w:tcW w:w="786" w:type="dxa"/>
            <w:tcBorders>
              <w:top w:val="nil"/>
              <w:left w:val="nil"/>
              <w:bottom w:val="single" w:sz="4" w:space="0" w:color="auto"/>
              <w:right w:val="nil"/>
            </w:tcBorders>
            <w:shd w:val="clear" w:color="auto" w:fill="auto"/>
            <w:noWrap/>
            <w:vAlign w:val="bottom"/>
            <w:hideMark/>
          </w:tcPr>
          <w:p w14:paraId="79011E65" w14:textId="15C40DF1"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 xml:space="preserve">253±75 </w:t>
            </w:r>
          </w:p>
        </w:tc>
        <w:tc>
          <w:tcPr>
            <w:tcW w:w="513" w:type="dxa"/>
            <w:tcBorders>
              <w:top w:val="nil"/>
              <w:left w:val="nil"/>
              <w:bottom w:val="single" w:sz="4" w:space="0" w:color="auto"/>
              <w:right w:val="nil"/>
            </w:tcBorders>
            <w:shd w:val="clear" w:color="auto" w:fill="auto"/>
            <w:noWrap/>
            <w:vAlign w:val="bottom"/>
            <w:hideMark/>
          </w:tcPr>
          <w:p w14:paraId="3AF80213" w14:textId="71F0C510"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29.6</w:t>
            </w:r>
          </w:p>
        </w:tc>
        <w:tc>
          <w:tcPr>
            <w:tcW w:w="552" w:type="dxa"/>
            <w:tcBorders>
              <w:top w:val="nil"/>
              <w:left w:val="nil"/>
              <w:bottom w:val="single" w:sz="4" w:space="0" w:color="auto"/>
              <w:right w:val="nil"/>
            </w:tcBorders>
            <w:shd w:val="clear" w:color="auto" w:fill="auto"/>
            <w:noWrap/>
            <w:vAlign w:val="bottom"/>
            <w:hideMark/>
          </w:tcPr>
          <w:p w14:paraId="577476A1" w14:textId="77777777"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0.930</w:t>
            </w:r>
          </w:p>
        </w:tc>
      </w:tr>
      <w:tr w:rsidR="00BE42E9" w:rsidRPr="005F44EF" w14:paraId="290C0AD3" w14:textId="77777777" w:rsidTr="00BE42E9">
        <w:trPr>
          <w:trHeight w:val="251"/>
        </w:trPr>
        <w:tc>
          <w:tcPr>
            <w:tcW w:w="817" w:type="dxa"/>
            <w:vMerge w:val="restart"/>
            <w:tcBorders>
              <w:top w:val="single" w:sz="4" w:space="0" w:color="auto"/>
              <w:left w:val="nil"/>
              <w:bottom w:val="nil"/>
              <w:right w:val="nil"/>
            </w:tcBorders>
            <w:shd w:val="clear" w:color="auto" w:fill="auto"/>
            <w:vAlign w:val="center"/>
            <w:hideMark/>
          </w:tcPr>
          <w:p w14:paraId="2896CD9F" w14:textId="77777777"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D</w:t>
            </w:r>
            <w:r w:rsidRPr="005F44EF">
              <w:rPr>
                <w:rFonts w:ascii="Times New Roman" w:eastAsia="Times New Roman" w:hAnsi="Times New Roman" w:cs="Times New Roman"/>
                <w:color w:val="000000"/>
                <w:sz w:val="18"/>
                <w:szCs w:val="18"/>
                <w:vertAlign w:val="subscript"/>
                <w:lang w:val="fr-FR"/>
              </w:rPr>
              <w:t>e</w:t>
            </w:r>
            <w:r w:rsidRPr="005F44EF">
              <w:rPr>
                <w:rFonts w:ascii="Times New Roman" w:eastAsia="Times New Roman" w:hAnsi="Times New Roman" w:cs="Times New Roman"/>
                <w:color w:val="000000"/>
                <w:sz w:val="18"/>
                <w:szCs w:val="18"/>
                <w:lang w:val="fr-FR"/>
              </w:rPr>
              <w:t xml:space="preserve"> SSE D</w:t>
            </w:r>
            <w:r w:rsidRPr="005F44EF">
              <w:rPr>
                <w:rFonts w:ascii="Times New Roman" w:eastAsia="Times New Roman" w:hAnsi="Times New Roman" w:cs="Times New Roman"/>
                <w:color w:val="000000"/>
                <w:sz w:val="18"/>
                <w:szCs w:val="18"/>
                <w:vertAlign w:val="subscript"/>
                <w:lang w:val="fr-FR"/>
              </w:rPr>
              <w:t>max</w:t>
            </w:r>
            <w:r w:rsidRPr="005F44EF">
              <w:rPr>
                <w:rFonts w:ascii="Times New Roman" w:eastAsia="Times New Roman" w:hAnsi="Times New Roman" w:cs="Times New Roman"/>
                <w:color w:val="000000"/>
                <w:sz w:val="18"/>
                <w:szCs w:val="18"/>
                <w:lang w:val="fr-FR"/>
              </w:rPr>
              <w:t xml:space="preserve"> = 2.8 kGy</w:t>
            </w:r>
          </w:p>
        </w:tc>
        <w:tc>
          <w:tcPr>
            <w:tcW w:w="694" w:type="dxa"/>
            <w:tcBorders>
              <w:top w:val="single" w:sz="4" w:space="0" w:color="auto"/>
              <w:left w:val="nil"/>
              <w:bottom w:val="nil"/>
              <w:right w:val="nil"/>
            </w:tcBorders>
            <w:shd w:val="clear" w:color="auto" w:fill="auto"/>
            <w:noWrap/>
            <w:vAlign w:val="bottom"/>
            <w:hideMark/>
          </w:tcPr>
          <w:p w14:paraId="3C5B2614" w14:textId="6F1CC9CA"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 xml:space="preserve">49±17 </w:t>
            </w:r>
          </w:p>
        </w:tc>
        <w:tc>
          <w:tcPr>
            <w:tcW w:w="513" w:type="dxa"/>
            <w:tcBorders>
              <w:top w:val="single" w:sz="4" w:space="0" w:color="auto"/>
              <w:left w:val="nil"/>
              <w:bottom w:val="nil"/>
              <w:right w:val="nil"/>
            </w:tcBorders>
            <w:shd w:val="clear" w:color="auto" w:fill="auto"/>
            <w:noWrap/>
            <w:vAlign w:val="bottom"/>
            <w:hideMark/>
          </w:tcPr>
          <w:p w14:paraId="0FD09487" w14:textId="5DF92B3E"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34.7</w:t>
            </w:r>
          </w:p>
        </w:tc>
        <w:tc>
          <w:tcPr>
            <w:tcW w:w="566" w:type="dxa"/>
            <w:tcBorders>
              <w:top w:val="single" w:sz="4" w:space="0" w:color="auto"/>
              <w:left w:val="nil"/>
              <w:bottom w:val="nil"/>
              <w:right w:val="nil"/>
            </w:tcBorders>
            <w:shd w:val="clear" w:color="auto" w:fill="auto"/>
            <w:noWrap/>
            <w:vAlign w:val="bottom"/>
            <w:hideMark/>
          </w:tcPr>
          <w:p w14:paraId="4FDEA88D" w14:textId="77777777"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0.928</w:t>
            </w:r>
          </w:p>
        </w:tc>
        <w:tc>
          <w:tcPr>
            <w:tcW w:w="696" w:type="dxa"/>
            <w:tcBorders>
              <w:top w:val="single" w:sz="4" w:space="0" w:color="auto"/>
              <w:left w:val="nil"/>
              <w:bottom w:val="nil"/>
              <w:right w:val="nil"/>
            </w:tcBorders>
            <w:shd w:val="clear" w:color="auto" w:fill="auto"/>
            <w:noWrap/>
            <w:vAlign w:val="bottom"/>
            <w:hideMark/>
          </w:tcPr>
          <w:p w14:paraId="2BF51B31" w14:textId="23DB3823"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57±22</w:t>
            </w:r>
          </w:p>
        </w:tc>
        <w:tc>
          <w:tcPr>
            <w:tcW w:w="513" w:type="dxa"/>
            <w:tcBorders>
              <w:top w:val="single" w:sz="4" w:space="0" w:color="auto"/>
              <w:left w:val="nil"/>
              <w:bottom w:val="nil"/>
              <w:right w:val="nil"/>
            </w:tcBorders>
            <w:shd w:val="clear" w:color="auto" w:fill="auto"/>
            <w:noWrap/>
            <w:vAlign w:val="bottom"/>
            <w:hideMark/>
          </w:tcPr>
          <w:p w14:paraId="7520E4D7" w14:textId="4FED7483"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38.6</w:t>
            </w:r>
          </w:p>
        </w:tc>
        <w:tc>
          <w:tcPr>
            <w:tcW w:w="581" w:type="dxa"/>
            <w:tcBorders>
              <w:top w:val="single" w:sz="4" w:space="0" w:color="auto"/>
              <w:left w:val="nil"/>
              <w:bottom w:val="nil"/>
              <w:right w:val="nil"/>
            </w:tcBorders>
            <w:shd w:val="clear" w:color="auto" w:fill="auto"/>
            <w:noWrap/>
            <w:vAlign w:val="bottom"/>
            <w:hideMark/>
          </w:tcPr>
          <w:p w14:paraId="09F7F53C" w14:textId="77777777"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0.909</w:t>
            </w:r>
          </w:p>
        </w:tc>
        <w:tc>
          <w:tcPr>
            <w:tcW w:w="696" w:type="dxa"/>
            <w:tcBorders>
              <w:top w:val="single" w:sz="4" w:space="0" w:color="auto"/>
              <w:left w:val="nil"/>
              <w:bottom w:val="nil"/>
              <w:right w:val="nil"/>
            </w:tcBorders>
            <w:shd w:val="clear" w:color="auto" w:fill="auto"/>
            <w:noWrap/>
            <w:vAlign w:val="bottom"/>
            <w:hideMark/>
          </w:tcPr>
          <w:p w14:paraId="0887AC48" w14:textId="5706498A"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108±27</w:t>
            </w:r>
          </w:p>
        </w:tc>
        <w:tc>
          <w:tcPr>
            <w:tcW w:w="513" w:type="dxa"/>
            <w:tcBorders>
              <w:top w:val="single" w:sz="4" w:space="0" w:color="auto"/>
              <w:left w:val="nil"/>
              <w:bottom w:val="nil"/>
              <w:right w:val="nil"/>
            </w:tcBorders>
            <w:shd w:val="clear" w:color="auto" w:fill="auto"/>
            <w:noWrap/>
            <w:vAlign w:val="bottom"/>
            <w:hideMark/>
          </w:tcPr>
          <w:p w14:paraId="57E90372" w14:textId="35CB956F"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25.0</w:t>
            </w:r>
          </w:p>
        </w:tc>
        <w:tc>
          <w:tcPr>
            <w:tcW w:w="552" w:type="dxa"/>
            <w:tcBorders>
              <w:top w:val="single" w:sz="4" w:space="0" w:color="auto"/>
              <w:left w:val="nil"/>
              <w:bottom w:val="nil"/>
              <w:right w:val="nil"/>
            </w:tcBorders>
            <w:shd w:val="clear" w:color="auto" w:fill="auto"/>
            <w:noWrap/>
            <w:vAlign w:val="bottom"/>
            <w:hideMark/>
          </w:tcPr>
          <w:p w14:paraId="21361C95" w14:textId="77777777"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0.954</w:t>
            </w:r>
          </w:p>
        </w:tc>
        <w:tc>
          <w:tcPr>
            <w:tcW w:w="786" w:type="dxa"/>
            <w:tcBorders>
              <w:top w:val="single" w:sz="4" w:space="0" w:color="auto"/>
              <w:left w:val="nil"/>
              <w:bottom w:val="nil"/>
              <w:right w:val="nil"/>
            </w:tcBorders>
            <w:shd w:val="clear" w:color="auto" w:fill="auto"/>
            <w:noWrap/>
            <w:vAlign w:val="bottom"/>
            <w:hideMark/>
          </w:tcPr>
          <w:p w14:paraId="33F356BF" w14:textId="615FEDBE"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 xml:space="preserve">200±102 </w:t>
            </w:r>
          </w:p>
        </w:tc>
        <w:tc>
          <w:tcPr>
            <w:tcW w:w="513" w:type="dxa"/>
            <w:tcBorders>
              <w:top w:val="single" w:sz="4" w:space="0" w:color="auto"/>
              <w:left w:val="nil"/>
              <w:bottom w:val="nil"/>
              <w:right w:val="nil"/>
            </w:tcBorders>
            <w:shd w:val="clear" w:color="auto" w:fill="auto"/>
            <w:noWrap/>
            <w:vAlign w:val="bottom"/>
            <w:hideMark/>
          </w:tcPr>
          <w:p w14:paraId="1953B654" w14:textId="4A46E1AF"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51.0</w:t>
            </w:r>
          </w:p>
        </w:tc>
        <w:tc>
          <w:tcPr>
            <w:tcW w:w="577" w:type="dxa"/>
            <w:tcBorders>
              <w:top w:val="single" w:sz="4" w:space="0" w:color="auto"/>
              <w:left w:val="nil"/>
              <w:bottom w:val="nil"/>
              <w:right w:val="nil"/>
            </w:tcBorders>
            <w:shd w:val="clear" w:color="auto" w:fill="auto"/>
            <w:noWrap/>
            <w:vAlign w:val="bottom"/>
            <w:hideMark/>
          </w:tcPr>
          <w:p w14:paraId="3B867F4B" w14:textId="77777777"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0.811</w:t>
            </w:r>
          </w:p>
        </w:tc>
        <w:tc>
          <w:tcPr>
            <w:tcW w:w="786" w:type="dxa"/>
            <w:tcBorders>
              <w:top w:val="single" w:sz="4" w:space="0" w:color="auto"/>
              <w:left w:val="nil"/>
              <w:bottom w:val="nil"/>
              <w:right w:val="nil"/>
            </w:tcBorders>
            <w:shd w:val="clear" w:color="auto" w:fill="auto"/>
            <w:noWrap/>
            <w:vAlign w:val="bottom"/>
            <w:hideMark/>
          </w:tcPr>
          <w:p w14:paraId="31CE44BA" w14:textId="16F56A03"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 xml:space="preserve"> 222±87 </w:t>
            </w:r>
          </w:p>
        </w:tc>
        <w:tc>
          <w:tcPr>
            <w:tcW w:w="513" w:type="dxa"/>
            <w:tcBorders>
              <w:top w:val="single" w:sz="4" w:space="0" w:color="auto"/>
              <w:left w:val="nil"/>
              <w:bottom w:val="nil"/>
              <w:right w:val="nil"/>
            </w:tcBorders>
            <w:shd w:val="clear" w:color="auto" w:fill="auto"/>
            <w:noWrap/>
            <w:vAlign w:val="bottom"/>
            <w:hideMark/>
          </w:tcPr>
          <w:p w14:paraId="512F5D4D" w14:textId="4E08F3CD"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39.2</w:t>
            </w:r>
          </w:p>
        </w:tc>
        <w:tc>
          <w:tcPr>
            <w:tcW w:w="552" w:type="dxa"/>
            <w:tcBorders>
              <w:top w:val="single" w:sz="4" w:space="0" w:color="auto"/>
              <w:left w:val="nil"/>
              <w:bottom w:val="nil"/>
              <w:right w:val="nil"/>
            </w:tcBorders>
            <w:shd w:val="clear" w:color="auto" w:fill="auto"/>
            <w:noWrap/>
            <w:vAlign w:val="bottom"/>
            <w:hideMark/>
          </w:tcPr>
          <w:p w14:paraId="211B22A0" w14:textId="77777777" w:rsidR="009C56E0" w:rsidRPr="005F44EF" w:rsidRDefault="009C56E0" w:rsidP="0033130D">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0.890</w:t>
            </w:r>
          </w:p>
        </w:tc>
      </w:tr>
      <w:tr w:rsidR="00BE42E9" w:rsidRPr="005F44EF" w14:paraId="63E3E1A9" w14:textId="77777777" w:rsidTr="00BE42E9">
        <w:trPr>
          <w:trHeight w:val="251"/>
        </w:trPr>
        <w:tc>
          <w:tcPr>
            <w:tcW w:w="817" w:type="dxa"/>
            <w:vMerge/>
            <w:tcBorders>
              <w:top w:val="nil"/>
              <w:left w:val="nil"/>
              <w:bottom w:val="nil"/>
              <w:right w:val="nil"/>
            </w:tcBorders>
            <w:vAlign w:val="center"/>
            <w:hideMark/>
          </w:tcPr>
          <w:p w14:paraId="4E080B0E" w14:textId="77777777" w:rsidR="009C56E0" w:rsidRPr="005F44EF" w:rsidRDefault="009C56E0" w:rsidP="0033130D">
            <w:pPr>
              <w:spacing w:after="0" w:line="240" w:lineRule="auto"/>
              <w:rPr>
                <w:rFonts w:ascii="Times New Roman" w:eastAsia="Times New Roman" w:hAnsi="Times New Roman" w:cs="Times New Roman"/>
                <w:color w:val="000000"/>
                <w:sz w:val="18"/>
                <w:szCs w:val="18"/>
                <w:lang w:val="fr-FR"/>
              </w:rPr>
            </w:pPr>
          </w:p>
        </w:tc>
        <w:tc>
          <w:tcPr>
            <w:tcW w:w="694" w:type="dxa"/>
            <w:tcBorders>
              <w:top w:val="nil"/>
              <w:left w:val="nil"/>
              <w:bottom w:val="nil"/>
              <w:right w:val="nil"/>
            </w:tcBorders>
            <w:shd w:val="clear" w:color="auto" w:fill="auto"/>
            <w:noWrap/>
            <w:vAlign w:val="bottom"/>
            <w:hideMark/>
          </w:tcPr>
          <w:p w14:paraId="259D0017" w14:textId="588E8B77"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104±32</w:t>
            </w:r>
          </w:p>
        </w:tc>
        <w:tc>
          <w:tcPr>
            <w:tcW w:w="513" w:type="dxa"/>
            <w:tcBorders>
              <w:top w:val="nil"/>
              <w:left w:val="nil"/>
              <w:bottom w:val="nil"/>
              <w:right w:val="nil"/>
            </w:tcBorders>
            <w:shd w:val="clear" w:color="auto" w:fill="auto"/>
            <w:noWrap/>
            <w:vAlign w:val="bottom"/>
            <w:hideMark/>
          </w:tcPr>
          <w:p w14:paraId="13192A54" w14:textId="28C6D3FD"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30.8</w:t>
            </w:r>
          </w:p>
        </w:tc>
        <w:tc>
          <w:tcPr>
            <w:tcW w:w="566" w:type="dxa"/>
            <w:tcBorders>
              <w:top w:val="nil"/>
              <w:left w:val="nil"/>
              <w:bottom w:val="nil"/>
              <w:right w:val="nil"/>
            </w:tcBorders>
            <w:shd w:val="clear" w:color="auto" w:fill="auto"/>
            <w:noWrap/>
            <w:vAlign w:val="bottom"/>
            <w:hideMark/>
          </w:tcPr>
          <w:p w14:paraId="4779A64B" w14:textId="77777777"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0.936</w:t>
            </w:r>
          </w:p>
        </w:tc>
        <w:tc>
          <w:tcPr>
            <w:tcW w:w="696" w:type="dxa"/>
            <w:tcBorders>
              <w:top w:val="nil"/>
              <w:left w:val="nil"/>
              <w:bottom w:val="nil"/>
              <w:right w:val="nil"/>
            </w:tcBorders>
            <w:shd w:val="clear" w:color="auto" w:fill="auto"/>
            <w:noWrap/>
            <w:vAlign w:val="bottom"/>
            <w:hideMark/>
          </w:tcPr>
          <w:p w14:paraId="20ED538E" w14:textId="65CA7FA1"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114±33</w:t>
            </w:r>
          </w:p>
        </w:tc>
        <w:tc>
          <w:tcPr>
            <w:tcW w:w="513" w:type="dxa"/>
            <w:tcBorders>
              <w:top w:val="nil"/>
              <w:left w:val="nil"/>
              <w:bottom w:val="nil"/>
              <w:right w:val="nil"/>
            </w:tcBorders>
            <w:shd w:val="clear" w:color="auto" w:fill="auto"/>
            <w:noWrap/>
            <w:vAlign w:val="bottom"/>
            <w:hideMark/>
          </w:tcPr>
          <w:p w14:paraId="4BAB2CED" w14:textId="480F7A81"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28.9</w:t>
            </w:r>
          </w:p>
        </w:tc>
        <w:tc>
          <w:tcPr>
            <w:tcW w:w="581" w:type="dxa"/>
            <w:tcBorders>
              <w:top w:val="nil"/>
              <w:left w:val="nil"/>
              <w:bottom w:val="nil"/>
              <w:right w:val="nil"/>
            </w:tcBorders>
            <w:shd w:val="clear" w:color="auto" w:fill="auto"/>
            <w:noWrap/>
            <w:vAlign w:val="bottom"/>
            <w:hideMark/>
          </w:tcPr>
          <w:p w14:paraId="00E75EBC" w14:textId="77777777"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0.943</w:t>
            </w:r>
          </w:p>
        </w:tc>
        <w:tc>
          <w:tcPr>
            <w:tcW w:w="696" w:type="dxa"/>
            <w:tcBorders>
              <w:top w:val="nil"/>
              <w:left w:val="nil"/>
              <w:bottom w:val="nil"/>
              <w:right w:val="nil"/>
            </w:tcBorders>
            <w:shd w:val="clear" w:color="auto" w:fill="auto"/>
            <w:noWrap/>
            <w:vAlign w:val="bottom"/>
            <w:hideMark/>
          </w:tcPr>
          <w:p w14:paraId="472A1595" w14:textId="25690AF9"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143±33</w:t>
            </w:r>
          </w:p>
        </w:tc>
        <w:tc>
          <w:tcPr>
            <w:tcW w:w="513" w:type="dxa"/>
            <w:tcBorders>
              <w:top w:val="nil"/>
              <w:left w:val="nil"/>
              <w:bottom w:val="nil"/>
              <w:right w:val="nil"/>
            </w:tcBorders>
            <w:shd w:val="clear" w:color="auto" w:fill="auto"/>
            <w:noWrap/>
            <w:vAlign w:val="bottom"/>
            <w:hideMark/>
          </w:tcPr>
          <w:p w14:paraId="348AD351" w14:textId="2AABE7A6"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23.1</w:t>
            </w:r>
          </w:p>
        </w:tc>
        <w:tc>
          <w:tcPr>
            <w:tcW w:w="552" w:type="dxa"/>
            <w:tcBorders>
              <w:top w:val="nil"/>
              <w:left w:val="nil"/>
              <w:bottom w:val="nil"/>
              <w:right w:val="nil"/>
            </w:tcBorders>
            <w:shd w:val="clear" w:color="auto" w:fill="auto"/>
            <w:noWrap/>
            <w:vAlign w:val="bottom"/>
            <w:hideMark/>
          </w:tcPr>
          <w:p w14:paraId="4CD995BA" w14:textId="77777777"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0.959</w:t>
            </w:r>
          </w:p>
        </w:tc>
        <w:tc>
          <w:tcPr>
            <w:tcW w:w="786" w:type="dxa"/>
            <w:tcBorders>
              <w:top w:val="nil"/>
              <w:left w:val="nil"/>
              <w:bottom w:val="nil"/>
              <w:right w:val="nil"/>
            </w:tcBorders>
            <w:shd w:val="clear" w:color="auto" w:fill="auto"/>
            <w:noWrap/>
            <w:vAlign w:val="bottom"/>
            <w:hideMark/>
          </w:tcPr>
          <w:p w14:paraId="5251EF77" w14:textId="2C672578"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234±94</w:t>
            </w:r>
          </w:p>
        </w:tc>
        <w:tc>
          <w:tcPr>
            <w:tcW w:w="513" w:type="dxa"/>
            <w:tcBorders>
              <w:top w:val="nil"/>
              <w:left w:val="nil"/>
              <w:bottom w:val="nil"/>
              <w:right w:val="nil"/>
            </w:tcBorders>
            <w:shd w:val="clear" w:color="auto" w:fill="auto"/>
            <w:noWrap/>
            <w:vAlign w:val="bottom"/>
            <w:hideMark/>
          </w:tcPr>
          <w:p w14:paraId="2C5C7B7A" w14:textId="0C548BD3"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40.2</w:t>
            </w:r>
          </w:p>
        </w:tc>
        <w:tc>
          <w:tcPr>
            <w:tcW w:w="577" w:type="dxa"/>
            <w:tcBorders>
              <w:top w:val="nil"/>
              <w:left w:val="nil"/>
              <w:bottom w:val="nil"/>
              <w:right w:val="nil"/>
            </w:tcBorders>
            <w:shd w:val="clear" w:color="auto" w:fill="auto"/>
            <w:noWrap/>
            <w:vAlign w:val="bottom"/>
            <w:hideMark/>
          </w:tcPr>
          <w:p w14:paraId="72F9C997" w14:textId="77777777"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0.874</w:t>
            </w:r>
          </w:p>
        </w:tc>
        <w:tc>
          <w:tcPr>
            <w:tcW w:w="786" w:type="dxa"/>
            <w:tcBorders>
              <w:top w:val="nil"/>
              <w:left w:val="nil"/>
              <w:bottom w:val="nil"/>
              <w:right w:val="nil"/>
            </w:tcBorders>
            <w:shd w:val="clear" w:color="auto" w:fill="auto"/>
            <w:noWrap/>
            <w:vAlign w:val="bottom"/>
            <w:hideMark/>
          </w:tcPr>
          <w:p w14:paraId="73B790A0" w14:textId="78D5E876"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228±58</w:t>
            </w:r>
          </w:p>
        </w:tc>
        <w:tc>
          <w:tcPr>
            <w:tcW w:w="513" w:type="dxa"/>
            <w:tcBorders>
              <w:top w:val="nil"/>
              <w:left w:val="nil"/>
              <w:bottom w:val="nil"/>
              <w:right w:val="nil"/>
            </w:tcBorders>
            <w:shd w:val="clear" w:color="auto" w:fill="auto"/>
            <w:noWrap/>
            <w:vAlign w:val="bottom"/>
            <w:hideMark/>
          </w:tcPr>
          <w:p w14:paraId="6434442E" w14:textId="0C1E07C3"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25.4</w:t>
            </w:r>
          </w:p>
        </w:tc>
        <w:tc>
          <w:tcPr>
            <w:tcW w:w="552" w:type="dxa"/>
            <w:tcBorders>
              <w:top w:val="nil"/>
              <w:left w:val="nil"/>
              <w:bottom w:val="nil"/>
              <w:right w:val="nil"/>
            </w:tcBorders>
            <w:shd w:val="clear" w:color="auto" w:fill="auto"/>
            <w:noWrap/>
            <w:vAlign w:val="bottom"/>
            <w:hideMark/>
          </w:tcPr>
          <w:p w14:paraId="442894DE" w14:textId="77777777" w:rsidR="009C56E0" w:rsidRPr="005F44EF" w:rsidRDefault="009C56E0" w:rsidP="0033130D">
            <w:pPr>
              <w:spacing w:after="0" w:line="240" w:lineRule="auto"/>
              <w:jc w:val="center"/>
              <w:rPr>
                <w:rFonts w:ascii="Times New Roman" w:eastAsia="Times New Roman" w:hAnsi="Times New Roman" w:cs="Times New Roman"/>
                <w:i/>
                <w:iCs/>
                <w:color w:val="000000"/>
                <w:sz w:val="18"/>
                <w:szCs w:val="18"/>
                <w:lang w:val="fr-FR"/>
              </w:rPr>
            </w:pPr>
            <w:r w:rsidRPr="005F44EF">
              <w:rPr>
                <w:rFonts w:ascii="Times New Roman" w:eastAsia="Times New Roman" w:hAnsi="Times New Roman" w:cs="Times New Roman"/>
                <w:i/>
                <w:iCs/>
                <w:color w:val="000000"/>
                <w:sz w:val="18"/>
                <w:szCs w:val="18"/>
                <w:lang w:val="fr-FR"/>
              </w:rPr>
              <w:t>0.949</w:t>
            </w:r>
          </w:p>
        </w:tc>
      </w:tr>
      <w:bookmarkEnd w:id="58"/>
    </w:tbl>
    <w:p w14:paraId="4A3E791E" w14:textId="44A5AC05" w:rsidR="009C56E0" w:rsidRPr="005F44EF" w:rsidRDefault="009C56E0">
      <w:pPr>
        <w:spacing w:after="0" w:line="276" w:lineRule="auto"/>
        <w:jc w:val="both"/>
        <w:rPr>
          <w:rFonts w:ascii="Times New Roman" w:eastAsia="Times New Roman" w:hAnsi="Times New Roman" w:cs="Times New Roman"/>
          <w:sz w:val="16"/>
          <w:szCs w:val="20"/>
        </w:rPr>
      </w:pPr>
    </w:p>
    <w:p w14:paraId="22C516DB" w14:textId="3C9AA83E" w:rsidR="00180FF4" w:rsidRPr="005F44EF" w:rsidRDefault="00180FF4">
      <w:pPr>
        <w:spacing w:after="0" w:line="276" w:lineRule="auto"/>
        <w:jc w:val="both"/>
        <w:rPr>
          <w:rFonts w:ascii="Times New Roman" w:eastAsia="Times New Roman" w:hAnsi="Times New Roman" w:cs="Times New Roman"/>
          <w:sz w:val="16"/>
          <w:szCs w:val="20"/>
        </w:rPr>
      </w:pPr>
    </w:p>
    <w:p w14:paraId="0846AD5E" w14:textId="2CC4394D" w:rsidR="00BB7AA9" w:rsidRPr="00AA748A" w:rsidRDefault="00B9564D" w:rsidP="00D60275">
      <w:pPr>
        <w:pStyle w:val="Heading4"/>
        <w:rPr>
          <w:rFonts w:cs="Times New Roman"/>
          <w:lang w:val="fr-FR"/>
        </w:rPr>
      </w:pPr>
      <w:r w:rsidRPr="00AA748A">
        <w:rPr>
          <w:rFonts w:cs="Times New Roman"/>
          <w:lang w:val="fr-FR"/>
        </w:rPr>
        <w:t>3.5.2.</w:t>
      </w:r>
      <w:r w:rsidR="008F43C2" w:rsidRPr="00AA748A">
        <w:rPr>
          <w:rFonts w:cs="Times New Roman"/>
          <w:lang w:val="fr-FR"/>
        </w:rPr>
        <w:t>2</w:t>
      </w:r>
      <w:r w:rsidRPr="00AA748A">
        <w:rPr>
          <w:rFonts w:cs="Times New Roman"/>
          <w:lang w:val="fr-FR"/>
        </w:rPr>
        <w:t>.Ti</w:t>
      </w:r>
      <w:r w:rsidR="006752E6">
        <w:rPr>
          <w:rFonts w:cs="Times New Roman"/>
          <w:lang w:val="fr-FR"/>
        </w:rPr>
        <w:t>-mix</w:t>
      </w:r>
      <w:r w:rsidR="002B2F2A">
        <w:rPr>
          <w:rFonts w:cs="Times New Roman"/>
          <w:lang w:val="fr-FR"/>
        </w:rPr>
        <w:t xml:space="preserve"> </w:t>
      </w:r>
      <w:r w:rsidR="00372D4D">
        <w:rPr>
          <w:rFonts w:cs="Times New Roman"/>
          <w:lang w:val="fr-FR"/>
        </w:rPr>
        <w:t>signal</w:t>
      </w:r>
      <w:r w:rsidR="00372D4D" w:rsidRPr="00AA748A">
        <w:rPr>
          <w:rFonts w:cs="Times New Roman"/>
          <w:lang w:val="fr-FR"/>
        </w:rPr>
        <w:t xml:space="preserve"> </w:t>
      </w:r>
    </w:p>
    <w:p w14:paraId="1A75AF11" w14:textId="77777777" w:rsidR="00BB7AA9" w:rsidRPr="00AA748A" w:rsidRDefault="00BB7AA9">
      <w:pPr>
        <w:spacing w:after="0" w:line="276" w:lineRule="auto"/>
        <w:ind w:firstLine="720"/>
        <w:jc w:val="both"/>
        <w:rPr>
          <w:rFonts w:ascii="Times New Roman" w:eastAsia="Times New Roman" w:hAnsi="Times New Roman" w:cs="Times New Roman"/>
          <w:i/>
          <w:sz w:val="24"/>
          <w:szCs w:val="24"/>
          <w:lang w:val="fr-FR"/>
        </w:rPr>
      </w:pPr>
    </w:p>
    <w:p w14:paraId="2FC9D054" w14:textId="77777777" w:rsidR="00BB7AA9" w:rsidRPr="005F44EF" w:rsidRDefault="00B9564D">
      <w:pPr>
        <w:spacing w:after="0" w:line="276" w:lineRule="auto"/>
        <w:jc w:val="both"/>
        <w:rPr>
          <w:rFonts w:ascii="Times New Roman" w:eastAsia="Times New Roman" w:hAnsi="Times New Roman" w:cs="Times New Roman"/>
          <w:sz w:val="24"/>
          <w:szCs w:val="24"/>
          <w:u w:val="single"/>
        </w:rPr>
      </w:pPr>
      <w:r w:rsidRPr="005F44EF">
        <w:rPr>
          <w:rFonts w:ascii="Times New Roman" w:eastAsia="Times New Roman" w:hAnsi="Times New Roman" w:cs="Times New Roman"/>
          <w:sz w:val="24"/>
          <w:szCs w:val="24"/>
          <w:u w:val="single"/>
        </w:rPr>
        <w:t>Quality of the ESR data set</w:t>
      </w:r>
    </w:p>
    <w:p w14:paraId="35CF886A" w14:textId="30E0D769" w:rsidR="009C56E0" w:rsidRPr="005F44EF" w:rsidRDefault="009C56E0" w:rsidP="009C56E0">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Measurement repeatability is overall within usual standards for this signal</w:t>
      </w:r>
      <w:r w:rsidR="00C02C57"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{"citationItems":[{"id":"ITEM-1","itemData":{"DOI":"10.1016/j.radphyschem.2023.111313","ISSN":"18790895","abstract":"The true random uncertainty associated with ESR measurements of quartz grains at cryogenic temperature is currently unknown, as well as its impact on resulting equivalent dose (DE) estimates for ESR dating purpose. We provide here the results from the first quantitative evaluation study based on experimental data. Repeated single aliquot and multiple aliquot measurements of 100–200 μm quartz grains show that the random uncertainty (1σ) on the measurement of an individual aliquot usually lies in the range of 1–2%, 2–3 and 3–6% for the Al, Ti and Ti–H signals, respectively. These values are strongly sample and laboratory dependent, as they directly correlate with the signal-to-noise ratio associated with each signal, and may also be influenced by the stability of the experimental setup. The resulting variability of the DE values obtained from the multiple aliquot additive dose method over repeated measurements is estimated to 9%, 11% and 24% (1σ) on average for the Al, Ti and Ti–H signals, respectively. In the light of this outcome, the reliability of a dose estimate derived from one single measurement may be reasonably questioned, and we strongly advocate for the necessity to systematically carry out repeated measurements of a given quartz sample, a procedure that is far from being systematic within the community. Finally, our reproducibility experiments suggest that the experimental setup, measurement temperature or operator do not induce a significant bias in the dose evaluation, provided that repeated measurement are carried out. Our small-scale interlaboratory comparison shows consistent DE results for the Al and Ti signals, giving us some general confidence for the comparison of the dating results obtained by independent laboratories. We nevertheless acknowledge that a larger intercomparison study should be performed within the ESR dating community in order to confirm these initial results.","author":[{"dropping-particle":"","family":"Duval","given":"M.","non-dropping-particle":"","parse-names":false,"suffix":""},{"dropping-particle":"","family":"Guilarte","given":"V.","non-dropping-particle":"","parse-names":false,"suffix":""},{"dropping-particle":"","family":"Bartz","given":"M.","non-dropping-particle":"","parse-names":false,"suffix":""},{"dropping-particle":"","family":"Alonso Escarza","given":"M. J.","non-dropping-particle":"","parse-names":false,"suffix":""},{"dropping-particle":"","family":"Arous","given":"E.","non-dropping-particle":"Ben","parse-names":false,"suffix":""},{"dropping-particle":"","family":"Val","given":"M.","non-dropping-particle":"del","parse-names":false,"suffix":""},{"dropping-particle":"","family":"García Rodríguez","given":"C.","non-dropping-particle":"","parse-names":false,"suffix":""}],"container-title":"Radiation Physics and Chemistry","id":"ITEM-1","issue":"August","issued":{"date-parts":[["2024"]]},"publisher":"Elsevier Ltd","title":"ESR dating of optically-bleached quartz grains: Evaluating measurement repeatability and reproducibility","type":"article-journal","volume":"215"},"uris":["http://www.mendeley.com/documents/?uuid=3541a16a-718d-463f-bc08-9ff5db71146c"]}],"mendeley":{"formattedCitation":"&lt;sup&gt;102&lt;/sup&gt;","plainTextFormattedCitation":"102","previouslyFormattedCitation":"&lt;sup&gt;102&lt;/sup&gt;"},"properties":{"noteIndex":0},"schema":"https://github.com/citation-style-language/schema/raw/master/csl-citation.json"}</w:instrText>
      </w:r>
      <w:r w:rsidR="00C02C57"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102</w:t>
      </w:r>
      <w:r w:rsidR="00C02C57"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with mean ESR intensities varying by 1.1 to 2.7%, resulting in a </w:t>
      </w:r>
      <w:r w:rsidR="00495A79" w:rsidRPr="005F44EF">
        <w:rPr>
          <w:rFonts w:ascii="Times New Roman" w:eastAsia="Times New Roman" w:hAnsi="Times New Roman" w:cs="Times New Roman"/>
          <w:sz w:val="24"/>
          <w:szCs w:val="24"/>
        </w:rPr>
        <w:t>D</w:t>
      </w:r>
      <w:r w:rsidR="00495A79"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scatter &lt;15% for 4/5 samples,</w:t>
      </w:r>
      <w:r w:rsidR="00811AA6"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while ANY</w:t>
      </w:r>
      <w:r w:rsidR="00C02C57" w:rsidRPr="005F44EF">
        <w:rPr>
          <w:rFonts w:ascii="Times New Roman" w:eastAsia="Times New Roman" w:hAnsi="Times New Roman" w:cs="Times New Roman"/>
          <w:sz w:val="24"/>
          <w:szCs w:val="24"/>
        </w:rPr>
        <w:t>20</w:t>
      </w:r>
      <w:r w:rsidRPr="005F44EF">
        <w:rPr>
          <w:rFonts w:ascii="Times New Roman" w:eastAsia="Times New Roman" w:hAnsi="Times New Roman" w:cs="Times New Roman"/>
          <w:sz w:val="24"/>
          <w:szCs w:val="24"/>
        </w:rPr>
        <w:t>-</w:t>
      </w:r>
      <w:r w:rsidR="00C02C57" w:rsidRPr="005F44EF">
        <w:rPr>
          <w:rFonts w:ascii="Times New Roman" w:eastAsia="Times New Roman" w:hAnsi="Times New Roman" w:cs="Times New Roman"/>
          <w:sz w:val="24"/>
          <w:szCs w:val="24"/>
        </w:rPr>
        <w:t>0</w:t>
      </w:r>
      <w:r w:rsidRPr="005F44EF">
        <w:rPr>
          <w:rFonts w:ascii="Times New Roman" w:eastAsia="Times New Roman" w:hAnsi="Times New Roman" w:cs="Times New Roman"/>
          <w:sz w:val="24"/>
          <w:szCs w:val="24"/>
        </w:rPr>
        <w:t>3 shows a much higher variability of 29 % (</w:t>
      </w:r>
      <w:r w:rsidRPr="005F44EF">
        <w:rPr>
          <w:rFonts w:ascii="Times New Roman" w:eastAsia="Times New Roman" w:hAnsi="Times New Roman" w:cs="Times New Roman"/>
          <w:b/>
          <w:sz w:val="24"/>
          <w:szCs w:val="24"/>
        </w:rPr>
        <w:t>Table S</w:t>
      </w:r>
      <w:r w:rsidR="00C02C57" w:rsidRPr="005F44EF">
        <w:rPr>
          <w:rFonts w:ascii="Times New Roman" w:eastAsia="Times New Roman" w:hAnsi="Times New Roman" w:cs="Times New Roman"/>
          <w:b/>
          <w:sz w:val="24"/>
          <w:szCs w:val="24"/>
        </w:rPr>
        <w:t>6</w:t>
      </w:r>
      <w:r w:rsidRPr="005F44EF">
        <w:rPr>
          <w:rFonts w:ascii="Times New Roman" w:eastAsia="Times New Roman" w:hAnsi="Times New Roman" w:cs="Times New Roman"/>
          <w:sz w:val="24"/>
          <w:szCs w:val="24"/>
        </w:rPr>
        <w:t>). This higher repeatability compared with the Ti-H signal is most likely related with the stronger ESR intensities of the Ti-</w:t>
      </w:r>
      <w:r w:rsidR="006752E6">
        <w:rPr>
          <w:rFonts w:ascii="Times New Roman" w:eastAsia="Times New Roman" w:hAnsi="Times New Roman" w:cs="Times New Roman"/>
          <w:sz w:val="24"/>
          <w:szCs w:val="24"/>
        </w:rPr>
        <w:t>mix</w:t>
      </w:r>
      <w:r w:rsidR="003B1308">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signal</w:t>
      </w:r>
      <w:r w:rsidR="008A78A0"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{"citationItems":[{"id":"ITEM-1","itemData":{"DOI":"10.1016/j.radphyschem.2023.111313","ISSN":"18790895","abstract":"The true random uncertainty associated with ESR measurements of quartz grains at cryogenic temperature is currently unknown, as well as its impact on resulting equivalent dose (DE) estimates for ESR dating purpose. We provide here the results from the first quantitative evaluation study based on experimental data. Repeated single aliquot and multiple aliquot measurements of 100–200 μm quartz grains show that the random uncertainty (1σ) on the measurement of an individual aliquot usually lies in the range of 1–2%, 2–3 and 3–6% for the Al, Ti and Ti–H signals, respectively. These values are strongly sample and laboratory dependent, as they directly correlate with the signal-to-noise ratio associated with each signal, and may also be influenced by the stability of the experimental setup. The resulting variability of the DE values obtained from the multiple aliquot additive dose method over repeated measurements is estimated to 9%, 11% and 24% (1σ) on average for the Al, Ti and Ti–H signals, respectively. In the light of this outcome, the reliability of a dose estimate derived from one single measurement may be reasonably questioned, and we strongly advocate for the necessity to systematically carry out repeated measurements of a given quartz sample, a procedure that is far from being systematic within the community. Finally, our reproducibility experiments suggest that the experimental setup, measurement temperature or operator do not induce a significant bias in the dose evaluation, provided that repeated measurement are carried out. Our small-scale interlaboratory comparison shows consistent DE results for the Al and Ti signals, giving us some general confidence for the comparison of the dating results obtained by independent laboratories. We nevertheless acknowledge that a larger intercomparison study should be performed within the ESR dating community in order to confirm these initial results.","author":[{"dropping-particle":"","family":"Duval","given":"M.","non-dropping-particle":"","parse-names":false,"suffix":""},{"dropping-particle":"","family":"Guilarte","given":"V.","non-dropping-particle":"","parse-names":false,"suffix":""},{"dropping-particle":"","family":"Bartz","given":"M.","non-dropping-particle":"","parse-names":false,"suffix":""},{"dropping-particle":"","family":"Alonso Escarza","given":"M. J.","non-dropping-particle":"","parse-names":false,"suffix":""},{"dropping-particle":"","family":"Arous","given":"E.","non-dropping-particle":"Ben","parse-names":false,"suffix":""},{"dropping-particle":"","family":"Val","given":"M.","non-dropping-particle":"del","parse-names":false,"suffix":""},{"dropping-particle":"","family":"García Rodríguez","given":"C.","non-dropping-particle":"","parse-names":false,"suffix":""}],"container-title":"Radiation Physics and Chemistry","id":"ITEM-1","issue":"August","issued":{"date-parts":[["2024"]]},"publisher":"Elsevier Ltd","title":"ESR dating of optically-bleached quartz grains: Evaluating measurement repeatability and reproducibility","type":"article-journal","volume":"215"},"uris":["http://www.mendeley.com/documents/?uuid=3541a16a-718d-463f-bc08-9ff5db71146c"]}],"mendeley":{"formattedCitation":"&lt;sup&gt;102&lt;/sup&gt;","plainTextFormattedCitation":"102","previouslyFormattedCitation":"&lt;sup&gt;102&lt;/sup&gt;"},"properties":{"noteIndex":0},"schema":"https://github.com/citation-style-language/schema/raw/master/csl-citation.json"}</w:instrText>
      </w:r>
      <w:r w:rsidR="008A78A0"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102</w:t>
      </w:r>
      <w:r w:rsidR="008A78A0"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as </w:t>
      </w:r>
      <w:r w:rsidR="0056120E" w:rsidRPr="005F44EF">
        <w:rPr>
          <w:rFonts w:ascii="Times New Roman" w:eastAsia="Times New Roman" w:hAnsi="Times New Roman" w:cs="Times New Roman"/>
          <w:sz w:val="24"/>
          <w:szCs w:val="24"/>
        </w:rPr>
        <w:t>illustrated</w:t>
      </w:r>
      <w:r w:rsidRPr="005F44EF">
        <w:rPr>
          <w:rFonts w:ascii="Times New Roman" w:eastAsia="Times New Roman" w:hAnsi="Times New Roman" w:cs="Times New Roman"/>
          <w:sz w:val="24"/>
          <w:szCs w:val="24"/>
        </w:rPr>
        <w:t xml:space="preserve"> by the higher S/N values (4-10). </w:t>
      </w:r>
    </w:p>
    <w:p w14:paraId="7FA036D6" w14:textId="77777777" w:rsidR="007F7E25" w:rsidRPr="005F44EF" w:rsidRDefault="007F7E25">
      <w:pPr>
        <w:spacing w:after="0" w:line="276" w:lineRule="auto"/>
        <w:jc w:val="both"/>
        <w:rPr>
          <w:rFonts w:ascii="Times New Roman" w:eastAsia="Times New Roman" w:hAnsi="Times New Roman" w:cs="Times New Roman"/>
          <w:sz w:val="24"/>
          <w:szCs w:val="24"/>
        </w:rPr>
      </w:pPr>
    </w:p>
    <w:p w14:paraId="6EE26A62" w14:textId="77777777"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u w:val="single"/>
        </w:rPr>
        <w:t>Comparison of the fitting function</w:t>
      </w:r>
      <w:r w:rsidRPr="005F44EF">
        <w:rPr>
          <w:rFonts w:ascii="Times New Roman" w:eastAsia="Times New Roman" w:hAnsi="Times New Roman" w:cs="Times New Roman"/>
          <w:sz w:val="24"/>
          <w:szCs w:val="24"/>
        </w:rPr>
        <w:t xml:space="preserve"> </w:t>
      </w:r>
    </w:p>
    <w:p w14:paraId="50B9E601" w14:textId="46D8BECF" w:rsidR="009C56E0" w:rsidRPr="005F44EF" w:rsidRDefault="009C56E0" w:rsidP="009C56E0">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The SSE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values derived from fittings carried out with D</w:t>
      </w:r>
      <w:r w:rsidRPr="005F44EF">
        <w:rPr>
          <w:rFonts w:ascii="Times New Roman" w:eastAsia="Times New Roman" w:hAnsi="Times New Roman" w:cs="Times New Roman"/>
          <w:sz w:val="24"/>
          <w:szCs w:val="24"/>
          <w:vertAlign w:val="subscript"/>
        </w:rPr>
        <w:t>max</w:t>
      </w:r>
      <w:r w:rsidRPr="005F44EF">
        <w:rPr>
          <w:rFonts w:ascii="Times New Roman" w:eastAsia="Times New Roman" w:hAnsi="Times New Roman" w:cs="Times New Roman"/>
          <w:sz w:val="24"/>
          <w:szCs w:val="24"/>
        </w:rPr>
        <w:t xml:space="preserve"> = 2.8 kGy and 4.5 kGy are consistent within error for 4/5 samples. However, the goodness-of-fit is on average higher with SSE fitting using D</w:t>
      </w:r>
      <w:r w:rsidRPr="005F44EF">
        <w:rPr>
          <w:rFonts w:ascii="Times New Roman" w:eastAsia="Times New Roman" w:hAnsi="Times New Roman" w:cs="Times New Roman"/>
          <w:sz w:val="24"/>
          <w:szCs w:val="24"/>
          <w:vertAlign w:val="subscript"/>
        </w:rPr>
        <w:t>max</w:t>
      </w:r>
      <w:r w:rsidRPr="005F44EF">
        <w:rPr>
          <w:rFonts w:ascii="Times New Roman" w:eastAsia="Times New Roman" w:hAnsi="Times New Roman" w:cs="Times New Roman"/>
          <w:sz w:val="24"/>
          <w:szCs w:val="24"/>
        </w:rPr>
        <w:t xml:space="preserve"> at 4.5 kGy (</w:t>
      </w:r>
      <w:r w:rsidR="0056120E" w:rsidRPr="005F44EF">
        <w:rPr>
          <w:rFonts w:ascii="Times New Roman" w:eastAsia="Times New Roman" w:hAnsi="Times New Roman" w:cs="Times New Roman"/>
          <w:sz w:val="24"/>
          <w:szCs w:val="24"/>
        </w:rPr>
        <w:t>adj. r</w:t>
      </w:r>
      <w:r w:rsidR="0056120E" w:rsidRPr="005F44EF">
        <w:rPr>
          <w:rFonts w:ascii="Times New Roman" w:eastAsia="Times New Roman" w:hAnsi="Times New Roman" w:cs="Times New Roman"/>
          <w:sz w:val="24"/>
          <w:szCs w:val="24"/>
          <w:vertAlign w:val="superscript"/>
        </w:rPr>
        <w:t>2</w:t>
      </w:r>
      <w:r w:rsidR="0056120E" w:rsidRPr="005F44EF">
        <w:rPr>
          <w:rFonts w:ascii="Times New Roman" w:eastAsia="Times New Roman" w:hAnsi="Times New Roman" w:cs="Times New Roman"/>
          <w:sz w:val="24"/>
          <w:szCs w:val="24"/>
        </w:rPr>
        <w:t xml:space="preserve"> = </w:t>
      </w:r>
      <w:r w:rsidRPr="005F44EF">
        <w:rPr>
          <w:rFonts w:ascii="Times New Roman" w:eastAsia="Times New Roman" w:hAnsi="Times New Roman" w:cs="Times New Roman"/>
          <w:sz w:val="24"/>
          <w:szCs w:val="24"/>
        </w:rPr>
        <w:t>0.947-0.990) and even higher for the Ti-2 function (</w:t>
      </w:r>
      <w:r w:rsidR="0056120E" w:rsidRPr="005F44EF">
        <w:rPr>
          <w:rFonts w:ascii="Times New Roman" w:eastAsia="Times New Roman" w:hAnsi="Times New Roman" w:cs="Times New Roman"/>
          <w:sz w:val="24"/>
          <w:szCs w:val="24"/>
        </w:rPr>
        <w:t>adj. r</w:t>
      </w:r>
      <w:r w:rsidR="0056120E" w:rsidRPr="005F44EF">
        <w:rPr>
          <w:rFonts w:ascii="Times New Roman" w:eastAsia="Times New Roman" w:hAnsi="Times New Roman" w:cs="Times New Roman"/>
          <w:sz w:val="24"/>
          <w:szCs w:val="24"/>
          <w:vertAlign w:val="superscript"/>
        </w:rPr>
        <w:t>2</w:t>
      </w:r>
      <w:r w:rsidR="0056120E" w:rsidRPr="005F44EF">
        <w:rPr>
          <w:rFonts w:ascii="Times New Roman" w:eastAsia="Times New Roman" w:hAnsi="Times New Roman" w:cs="Times New Roman"/>
          <w:sz w:val="24"/>
          <w:szCs w:val="24"/>
        </w:rPr>
        <w:t xml:space="preserve"> = </w:t>
      </w:r>
      <w:r w:rsidRPr="005F44EF">
        <w:rPr>
          <w:rFonts w:ascii="Times New Roman" w:eastAsia="Times New Roman" w:hAnsi="Times New Roman" w:cs="Times New Roman"/>
          <w:sz w:val="24"/>
          <w:szCs w:val="24"/>
        </w:rPr>
        <w:t>0.959-0.993). Note that for 3/5 samples,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values determined with the three fitting functions are 1σ consistent, indicating that fitting conditions do not significant bias dose estimates. </w:t>
      </w:r>
    </w:p>
    <w:p w14:paraId="7E96373C" w14:textId="77777777" w:rsidR="00BB7AA9" w:rsidRPr="005F44EF" w:rsidRDefault="00BB7AA9">
      <w:pPr>
        <w:spacing w:after="0" w:line="276" w:lineRule="auto"/>
        <w:jc w:val="both"/>
        <w:rPr>
          <w:rFonts w:ascii="Times New Roman" w:eastAsia="Times New Roman" w:hAnsi="Times New Roman" w:cs="Times New Roman"/>
          <w:sz w:val="24"/>
          <w:szCs w:val="24"/>
        </w:rPr>
      </w:pPr>
    </w:p>
    <w:p w14:paraId="63D1EFEE" w14:textId="77777777" w:rsidR="00BB7AA9" w:rsidRPr="005F44EF" w:rsidRDefault="00B9564D" w:rsidP="00FD119E">
      <w:pPr>
        <w:pStyle w:val="Heading3"/>
        <w:rPr>
          <w:rFonts w:cs="Times New Roman"/>
        </w:rPr>
      </w:pPr>
      <w:bookmarkStart w:id="59" w:name="_Toc178429932"/>
      <w:r w:rsidRPr="005F44EF">
        <w:rPr>
          <w:rFonts w:cs="Times New Roman"/>
        </w:rPr>
        <w:t>3.5.3. Comparison of the D</w:t>
      </w:r>
      <w:r w:rsidRPr="005F44EF">
        <w:rPr>
          <w:rFonts w:cs="Times New Roman"/>
          <w:vertAlign w:val="subscript"/>
        </w:rPr>
        <w:t>e</w:t>
      </w:r>
      <w:bookmarkEnd w:id="59"/>
      <w:r w:rsidRPr="005F44EF">
        <w:rPr>
          <w:rFonts w:cs="Times New Roman"/>
        </w:rPr>
        <w:t xml:space="preserve"> </w:t>
      </w:r>
    </w:p>
    <w:p w14:paraId="6243C0D8" w14:textId="25EDF35A" w:rsidR="00BB7AA9" w:rsidRPr="005F44EF" w:rsidRDefault="009C56E0">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The comparison of the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values derived from the Al and Ti-</w:t>
      </w:r>
      <w:r w:rsidR="006752E6">
        <w:rPr>
          <w:rFonts w:ascii="Times New Roman" w:eastAsia="Times New Roman" w:hAnsi="Times New Roman" w:cs="Times New Roman"/>
          <w:sz w:val="24"/>
          <w:szCs w:val="24"/>
        </w:rPr>
        <w:t>mix</w:t>
      </w:r>
      <w:r w:rsidRPr="005F44EF">
        <w:rPr>
          <w:rFonts w:ascii="Times New Roman" w:eastAsia="Times New Roman" w:hAnsi="Times New Roman" w:cs="Times New Roman"/>
          <w:sz w:val="24"/>
          <w:szCs w:val="24"/>
        </w:rPr>
        <w:t xml:space="preserve"> </w:t>
      </w:r>
      <w:r w:rsidR="00372D4D">
        <w:rPr>
          <w:rFonts w:ascii="Times New Roman" w:eastAsia="Times New Roman" w:hAnsi="Times New Roman" w:cs="Times New Roman"/>
          <w:sz w:val="24"/>
          <w:szCs w:val="24"/>
        </w:rPr>
        <w:t>signals</w:t>
      </w:r>
      <w:r w:rsidR="00372D4D"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shows that only 2 samples return consistent results (the lowermost ANY20-08 and ANY20-09). No sample show an overlap of the Al and Ti-H dose estimates. The Al centre systematically provides higher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values by 50 to 70% than Ti centre for all the samples, while the Ti-H centre systematically provides the smallest dose estimates. Following the basic principles of the Multiple Centres approach and the recommendation in</w:t>
      </w:r>
      <w:r w:rsidRPr="005F44EF">
        <w:rPr>
          <w:rFonts w:ascii="Times New Roman" w:eastAsia="Times New Roman" w:hAnsi="Times New Roman" w:cs="Times New Roman"/>
          <w:sz w:val="24"/>
          <w:szCs w:val="24"/>
          <w:vertAlign w:val="superscript"/>
        </w:rPr>
        <w:t>11</w:t>
      </w:r>
      <w:r w:rsidRPr="005F44EF">
        <w:rPr>
          <w:rFonts w:ascii="Times New Roman" w:eastAsia="Times New Roman" w:hAnsi="Times New Roman" w:cs="Times New Roman"/>
          <w:sz w:val="24"/>
          <w:szCs w:val="24"/>
        </w:rPr>
        <w:t>, this suggests that the Al and Ti-</w:t>
      </w:r>
      <w:r w:rsidR="006752E6">
        <w:rPr>
          <w:rFonts w:ascii="Times New Roman" w:eastAsia="Times New Roman" w:hAnsi="Times New Roman" w:cs="Times New Roman"/>
          <w:sz w:val="24"/>
          <w:szCs w:val="24"/>
        </w:rPr>
        <w:t>mix</w:t>
      </w:r>
      <w:r w:rsidRPr="005F44EF">
        <w:rPr>
          <w:rFonts w:ascii="Times New Roman" w:eastAsia="Times New Roman" w:hAnsi="Times New Roman" w:cs="Times New Roman"/>
          <w:sz w:val="24"/>
          <w:szCs w:val="24"/>
        </w:rPr>
        <w:t xml:space="preserve"> </w:t>
      </w:r>
      <w:r w:rsidR="00603481">
        <w:rPr>
          <w:rFonts w:ascii="Times New Roman" w:eastAsia="Times New Roman" w:hAnsi="Times New Roman" w:cs="Times New Roman"/>
          <w:sz w:val="24"/>
          <w:szCs w:val="24"/>
        </w:rPr>
        <w:t xml:space="preserve">signals </w:t>
      </w:r>
      <w:r w:rsidRPr="005F44EF">
        <w:rPr>
          <w:rFonts w:ascii="Times New Roman" w:eastAsia="Times New Roman" w:hAnsi="Times New Roman" w:cs="Times New Roman"/>
          <w:sz w:val="24"/>
          <w:szCs w:val="24"/>
        </w:rPr>
        <w:t xml:space="preserve">have been incompletely reset during transport or redeposition of the sediment. </w:t>
      </w:r>
      <w:r w:rsidR="00603481">
        <w:rPr>
          <w:rFonts w:ascii="Times New Roman" w:eastAsia="Times New Roman" w:hAnsi="Times New Roman" w:cs="Times New Roman"/>
          <w:sz w:val="24"/>
          <w:szCs w:val="24"/>
        </w:rPr>
        <w:t>In other words</w:t>
      </w:r>
      <w:r w:rsidRPr="005F44EF">
        <w:rPr>
          <w:rFonts w:ascii="Times New Roman" w:eastAsia="Times New Roman" w:hAnsi="Times New Roman" w:cs="Times New Roman"/>
          <w:sz w:val="24"/>
          <w:szCs w:val="24"/>
        </w:rPr>
        <w:t>, the Ti-H signal, which has the fastest bleaching kinetics</w:t>
      </w:r>
      <w:r w:rsidR="00811AA6"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uthor":[{"dropping-particle":"","family":"Toyoda","given":"Shin","non-dropping-particle":"","parse-names":false,"suffix":""},{"dropping-particle":"","family":"Voinchet","given":"Pierre","non-dropping-particle":"","parse-names":false,"suffix":""},{"dropping-particle":"","family":"Falgueres","given":"Christophe","non-dropping-particle":"","parse-names":false,"suffix":""},{"dropping-particle":"","family":"Dolo","given":"Jean-Michel","non-dropping-particle":"","parse-names":false,"suffix":""},{"dropping-particle":"","family":"Laurent","given":"Michel","non-dropping-particle":"","parse-names":false,"suffix":""}],"container-title":"Applied Radiation and Isotopes","id":"ITEM-1","issued":{"date-parts":[["2000"]]},"page":"1357-1362","title":"Bleaching of ESR signals by the sunlight : a laboratory experiment for establishing the ESR dating of sediments","type":"article-journal","volume":"52"},"uris":["http://www.mendeley.com/documents/?uuid=8829b472-8678-4452-9339-ee329a07123e"]},{"id":"ITEM-2","itemData":{"DOI":"10.1016/j.quageo.2016.09.006","ISSN":"18711014","abstract":"Electron spin resonance (ESR) dating of optically bleached quartz grains was performed on three sediment samples collected from the Middle Palaeolithic site of Cuesta de la Bajada (Spain). A standard multiple grain and multiple aliquot additive dose procedure was employed, and both the Al and Ti centres were measured as part of the multiple centres approach. ESR age estimates obtained for the three samples indicate that the Al centre provides a maximum possible chronology, as the Ti centres show that the Al signal was likely not systematically reset to its residual level during sediment transport. A direct comparison between ESR ages based on the Ti centres and single grain optically stimulated luminescence (OSL) ages from samples collected nearby shows broadly consistent results. The Ti-H centre also appears to provide suitable chronologies for at least two of the three Middle Pleistocene samples studied here. Surprisingly, the only sample showing consistent ESR ages between the Al and Ti centres appears to be overestimated in comparison with the Ti-centre and OSL ages derived from the other two samples. This indicates either incomplete bleaching of both the Al and Ti centres for this sample, or unexpected impacts of other sources of De uncertainty, such as multi-grain averaging effects. The ESR dating results overall indicate that the archaeological sequence of Cuesta de la Bajada CB-3 is most likely correlated to either MIS 7 or 9.","author":[{"dropping-particle":"","family":"Duval","given":"M.","non-dropping-particle":"","parse-names":false,"suffix":""},{"dropping-particle":"","family":"Arnold","given":"L. J.","non-dropping-particle":"","parse-names":false,"suffix":""},{"dropping-particle":"","family":"Guilarte","given":"V.","non-dropping-particle":"","parse-names":false,"suffix":""},{"dropping-particle":"","family":"Demuro","given":"M.","non-dropping-particle":"","parse-names":false,"suffix":""},{"dropping-particle":"","family":"Santonja","given":"M.","non-dropping-particle":"","parse-names":false,"suffix":""},{"dropping-particle":"","family":"Pérez-González","given":"A.","non-dropping-particle":"","parse-names":false,"suffix":""}],"container-title":"Quaternary Geochronology","id":"ITEM-2","issued":{"date-parts":[["2017","2","1"]]},"page":"82-96","publisher":"Elsevier B.V.","title":"Electron spin resonance dating of optically bleached quartz grains from the Middle Palaeolithic site of Cuesta de la Bajada (Spain) using the multiple centres approach","type":"article-journal","volume":"37"},"uris":["http://www.mendeley.com/documents/?uuid=05080a91-02f2-367f-b73d-7ba53628d02c"]}],"mendeley":{"formattedCitation":"&lt;sup&gt;84,108&lt;/sup&gt;","plainTextFormattedCitation":"84,108","previouslyFormattedCitation":"&lt;sup&gt;84,108&lt;/sup&gt;"},"properties":{"noteIndex":0},"schema":"https://github.com/citation-style-language/schema/raw/master/csl-citation.json"}</w:instrText>
      </w:r>
      <w:r w:rsidR="00811AA6"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84,108</w:t>
      </w:r>
      <w:r w:rsidR="00811AA6"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is more likely to be fully reset than any other </w:t>
      </w:r>
      <w:r w:rsidR="0056120E" w:rsidRPr="005F44EF">
        <w:rPr>
          <w:rFonts w:ascii="Times New Roman" w:eastAsia="Times New Roman" w:hAnsi="Times New Roman" w:cs="Times New Roman"/>
          <w:sz w:val="24"/>
          <w:szCs w:val="24"/>
        </w:rPr>
        <w:t xml:space="preserve">ESR </w:t>
      </w:r>
      <w:r w:rsidRPr="005F44EF">
        <w:rPr>
          <w:rFonts w:ascii="Times New Roman" w:eastAsia="Times New Roman" w:hAnsi="Times New Roman" w:cs="Times New Roman"/>
          <w:sz w:val="24"/>
          <w:szCs w:val="24"/>
        </w:rPr>
        <w:t>signal</w:t>
      </w:r>
      <w:r w:rsidR="00603481">
        <w:rPr>
          <w:rFonts w:ascii="Times New Roman" w:eastAsia="Times New Roman" w:hAnsi="Times New Roman" w:cs="Times New Roman"/>
          <w:sz w:val="24"/>
          <w:szCs w:val="24"/>
        </w:rPr>
        <w:t>s. Consequently, it may be regarded as yielding</w:t>
      </w:r>
      <w:r w:rsidR="00603481"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the closest estimation of the true burial dose</w:t>
      </w:r>
      <w:r w:rsidR="00603481">
        <w:rPr>
          <w:rFonts w:ascii="Times New Roman" w:eastAsia="Times New Roman" w:hAnsi="Times New Roman" w:cs="Times New Roman"/>
          <w:sz w:val="24"/>
          <w:szCs w:val="24"/>
        </w:rPr>
        <w:t xml:space="preserve">, provided there is no evidence indicating that the </w:t>
      </w:r>
      <w:r w:rsidR="00603481" w:rsidRPr="005F44EF">
        <w:rPr>
          <w:rFonts w:ascii="Times New Roman" w:eastAsia="Times New Roman" w:hAnsi="Times New Roman" w:cs="Times New Roman"/>
          <w:sz w:val="24"/>
          <w:szCs w:val="24"/>
        </w:rPr>
        <w:t xml:space="preserve">Ti-H </w:t>
      </w:r>
      <w:r w:rsidR="00603481">
        <w:rPr>
          <w:rFonts w:ascii="Times New Roman" w:eastAsia="Times New Roman" w:hAnsi="Times New Roman" w:cs="Times New Roman"/>
          <w:sz w:val="24"/>
          <w:szCs w:val="24"/>
        </w:rPr>
        <w:t>D</w:t>
      </w:r>
      <w:r w:rsidR="00D1135F">
        <w:rPr>
          <w:rFonts w:ascii="Times New Roman" w:eastAsia="Times New Roman" w:hAnsi="Times New Roman" w:cs="Times New Roman"/>
          <w:sz w:val="24"/>
          <w:szCs w:val="24"/>
          <w:vertAlign w:val="subscript"/>
        </w:rPr>
        <w:t>e</w:t>
      </w:r>
      <w:r w:rsidR="00603481">
        <w:rPr>
          <w:rFonts w:ascii="Times New Roman" w:eastAsia="Times New Roman" w:hAnsi="Times New Roman" w:cs="Times New Roman"/>
          <w:sz w:val="24"/>
          <w:szCs w:val="24"/>
        </w:rPr>
        <w:t xml:space="preserve"> value may be underestimated, which is the case here</w:t>
      </w:r>
      <w:r w:rsidRPr="005F44EF">
        <w:rPr>
          <w:rFonts w:ascii="Times New Roman" w:eastAsia="Times New Roman" w:hAnsi="Times New Roman" w:cs="Times New Roman"/>
          <w:sz w:val="24"/>
          <w:szCs w:val="24"/>
        </w:rPr>
        <w:t xml:space="preserve">. </w:t>
      </w:r>
      <w:r w:rsidR="00603481">
        <w:rPr>
          <w:rFonts w:ascii="Times New Roman" w:eastAsia="Times New Roman" w:hAnsi="Times New Roman" w:cs="Times New Roman"/>
          <w:sz w:val="24"/>
          <w:szCs w:val="24"/>
        </w:rPr>
        <w:t xml:space="preserve">Indeed, importantly, in the present study </w:t>
      </w:r>
      <w:r w:rsidRPr="005F44EF">
        <w:rPr>
          <w:rFonts w:ascii="Times New Roman" w:eastAsia="Times New Roman" w:hAnsi="Times New Roman" w:cs="Times New Roman"/>
          <w:sz w:val="24"/>
          <w:szCs w:val="24"/>
        </w:rPr>
        <w:t xml:space="preserve">the magnitude of the dose estimates obtained for these 5 samples (50-250 Gy) falls within the range usually regarded as suitable (&lt;300 Gy; e.g., </w:t>
      </w:r>
      <w:r w:rsidR="00811AA6" w:rsidRPr="005F44EF">
        <w:rPr>
          <w:rFonts w:ascii="Times New Roman" w:eastAsia="Times New Roman" w:hAnsi="Times New Roman" w:cs="Times New Roman"/>
          <w:sz w:val="24"/>
          <w:szCs w:val="24"/>
        </w:rPr>
        <w:lastRenderedPageBreak/>
        <w:fldChar w:fldCharType="begin" w:fldLock="1"/>
      </w:r>
      <w:r w:rsidR="00614E13">
        <w:rPr>
          <w:rFonts w:ascii="Times New Roman" w:eastAsia="Times New Roman" w:hAnsi="Times New Roman" w:cs="Times New Roman"/>
          <w:sz w:val="24"/>
          <w:szCs w:val="24"/>
        </w:rPr>
        <w:instrText>ADDIN CSL_CITATION {"citationItems":[{"id":"ITEM-1","itemData":{"DOI":"10.1016/j.quaint.2020.03.037","ISSN":"10406182","abstract":"Coastal alluvial fans (CAF) are important geo-archives due to their sensitivity to both tectonic activity and climatic changes. Thus, they can give key insights for geomorphic and sedimentary processes. In this study we test the potential of K-feldspar post infrared-infrared stimulated luminescence (pIR-IRSL) and quartz electron spin resonance (ESR) methods for dating alluvial fan complexes in arid environments. The existing chronological data from marine terraces that interact with CAF make the Atacama Desert in northern Chile an excellent setting for this research. Samples have been collected from alluvial, marine and aeolian sediments embedded in the CAF complexes, allowing evaluation of the different signal properties and bleaching characteristics of the pIR-IRSL and ESR signals over Late Pleistocene time scales. pIR-IRSL dose distributions of clast-rich alluvial fan samples are characterised by higher scatter and demonstrate heterogeneous bleaching, while matrix-rich alluvial fan deposits show rather homogeneous poor bleaching in the dose dispersion as indicated by a modern analogue sample. In contrast, marine and aeolian deposits are homogeneously well bleached, supported by a modern littoral sample. Following the quartz multiple centre (MC) ESR dating approach (Al and Ti centres), bleaching of the different centres prior to deposition has been achieved. While the Ti–H centre provides mostly lower doses than the Ti–Li centre, in most cases the Al centre provides the highest dose values. This pattern is consistent with their respective bleaching kinetics and suggests that the Ti centre signals most likely provide the closest estimate to the true burial dose for samples with doses &gt;200 Gy. ESR and pIR-IRSL ages are consistent at 2σ for the marine, aeolian and clast-rich debris-flow deposits, which is in agreement with existing chronological data in this area. It appears that the mode of sediment transport on alluvial fans, either as matrix- or clast-rich flows, plays an important role in sediment bleaching. While clast-rich alluvial fan deposits are likely better bleached, we cannot exclude insufficient bleaching during matrix-rich alluvial fan flows; our dating results suggest that both pIR-IRSL and ESR dating overestimate the true burial age. The combination of pIR-IRSL and MC ESR dating can be considered as a promising tool for deciphering alluvial fan formation over (Late) Pleistocene time scales.","author":[{"dropping-particle":"","family":"Bartz","given":"Melanie","non-dropping-particle":"","parse-names":false,"suffix":""},{"dropping-particle":"","family":"Duval","given":"Mathieu","non-dropping-particle":"","parse-names":false,"suffix":""},{"dropping-particle":"","family":"Brill","given":"Dominik","non-dropping-particle":"","parse-names":false,"suffix":""},{"dropping-particle":"","family":"Zander","given":"Anja","non-dropping-particle":"","parse-names":false,"suffix":""},{"dropping-particle":"","family":"King","given":"Georgina E.","non-dropping-particle":"","parse-names":false,"suffix":""},{"dropping-particle":"","family":"Rhein","given":"Alexander","non-dropping-particle":"","parse-names":false,"suffix":""},{"dropping-particle":"","family":"Walk","given":"Janek","non-dropping-particle":"","parse-names":false,"suffix":""},{"dropping-particle":"","family":"Stauch","given":"Georg","non-dropping-particle":"","parse-names":false,"suffix":""},{"dropping-particle":"","family":"Lehmkuhl","given":"Frank","non-dropping-particle":"","parse-names":false,"suffix":""},{"dropping-particle":"","family":"Brückner","given":"Helmut","non-dropping-particle":"","parse-names":false,"suffix":""}],"container-title":"Quaternary International","id":"ITEM-1","issue":"April","issued":{"date-parts":[["2020"]]},"page":"124-143","publisher":"Elsevier","title":"Testing the potential of K-feldspar pIR-IRSL and quartz ESR for dating coastal alluvial fan complexes in arid environments","type":"article-journal","volume":"556"},"uris":["http://www.mendeley.com/documents/?uuid=5786b7be-6362-4629-9f74-e75e9b4f62ab"]},{"id":"ITEM-2","itemData":{"DOI":"10.1016/j.quaint.2020.07.044","ISSN":"10406182","author":[{"dropping-particle":"","family":"Duval","given":"Mathieu","non-dropping-particle":"","parse-names":false,"suffix":""},{"dropping-particle":"","family":"Arnold","given":"Lee J.","non-dropping-particle":"","parse-names":false,"suffix":""},{"dropping-particle":"","family":"Rixhon","given":"Gilles","non-dropping-particle":"","parse-names":false,"suffix":""}],"container-title":"Quaternary International","id":"ITEM-2","issued":{"date-parts":[["2020","8","10"]]},"page":"1-10","publisher":"Elsevier Ltd","title":"Electron spin resonance (ESR) dating in Quaternary studies: evolution, recent advances and applications","type":"article","volume":"556"},"uris":["http://www.mendeley.com/documents/?uuid=258e0414-8ac6-3e4a-b690-46494b64819b"]}],"mendeley":{"formattedCitation":"&lt;sup&gt;104,109&lt;/sup&gt;","plainTextFormattedCitation":"104,109","previouslyFormattedCitation":"&lt;sup&gt;104,109&lt;/sup&gt;"},"properties":{"noteIndex":0},"schema":"https://github.com/citation-style-language/schema/raw/master/csl-citation.json"}</w:instrText>
      </w:r>
      <w:r w:rsidR="00811AA6"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104,109</w:t>
      </w:r>
      <w:r w:rsidR="00811AA6"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for the use of the Ti-H signal for dose determination. Consequently, the Ti-H centre was used for the final dose evaluation and ESR age calculations.</w:t>
      </w:r>
      <w:r w:rsidR="00F24010">
        <w:rPr>
          <w:rFonts w:ascii="Times New Roman" w:eastAsia="Times New Roman" w:hAnsi="Times New Roman" w:cs="Times New Roman"/>
          <w:sz w:val="24"/>
          <w:szCs w:val="24"/>
        </w:rPr>
        <w:t xml:space="preserve"> </w:t>
      </w:r>
    </w:p>
    <w:p w14:paraId="0C878911" w14:textId="4681895C" w:rsidR="00BB7AA9" w:rsidRPr="005F44EF" w:rsidRDefault="00B00D87" w:rsidP="00FD119E">
      <w:pPr>
        <w:pStyle w:val="Heading3"/>
        <w:rPr>
          <w:rFonts w:cs="Times New Roman"/>
        </w:rPr>
      </w:pPr>
      <w:bookmarkStart w:id="60" w:name="_Toc178429933"/>
      <w:r w:rsidRPr="005F44EF">
        <w:rPr>
          <w:rFonts w:cs="Times New Roman"/>
        </w:rPr>
        <w:t xml:space="preserve">3.5.4. </w:t>
      </w:r>
      <w:r w:rsidR="00B9564D" w:rsidRPr="005F44EF">
        <w:rPr>
          <w:rFonts w:cs="Times New Roman"/>
        </w:rPr>
        <w:t>Dose rate evaluation</w:t>
      </w:r>
      <w:bookmarkEnd w:id="60"/>
    </w:p>
    <w:p w14:paraId="46A20C5E" w14:textId="77777777" w:rsidR="00BB7AA9" w:rsidRPr="005F44EF" w:rsidRDefault="00B9564D">
      <w:pPr>
        <w:spacing w:after="0" w:line="276" w:lineRule="auto"/>
        <w:ind w:left="720"/>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 </w:t>
      </w:r>
    </w:p>
    <w:p w14:paraId="026719BD" w14:textId="7EAC98A9" w:rsidR="00BB7AA9" w:rsidRPr="005F44EF" w:rsidRDefault="009C56E0">
      <w:pPr>
        <w:spacing w:after="0" w:line="276" w:lineRule="auto"/>
        <w:jc w:val="both"/>
        <w:rPr>
          <w:rFonts w:ascii="Times New Roman" w:eastAsia="Times New Roman" w:hAnsi="Times New Roman" w:cs="Times New Roman"/>
          <w:sz w:val="24"/>
          <w:szCs w:val="24"/>
          <w:highlight w:val="white"/>
        </w:rPr>
      </w:pPr>
      <w:r w:rsidRPr="005F44EF">
        <w:rPr>
          <w:rFonts w:ascii="Times New Roman" w:eastAsia="Times New Roman" w:hAnsi="Times New Roman" w:cs="Times New Roman"/>
          <w:sz w:val="24"/>
          <w:szCs w:val="24"/>
        </w:rPr>
        <w:t>Radioelement</w:t>
      </w:r>
      <w:r w:rsidR="00B9564D" w:rsidRPr="005F44EF">
        <w:rPr>
          <w:rFonts w:ascii="Times New Roman" w:eastAsia="Times New Roman" w:hAnsi="Times New Roman" w:cs="Times New Roman"/>
          <w:sz w:val="24"/>
          <w:szCs w:val="24"/>
        </w:rPr>
        <w:t xml:space="preserve"> concentrations for dose rate evaluation are </w:t>
      </w:r>
      <w:r w:rsidRPr="005F44EF">
        <w:rPr>
          <w:rFonts w:ascii="Times New Roman" w:eastAsia="Times New Roman" w:hAnsi="Times New Roman" w:cs="Times New Roman"/>
          <w:sz w:val="24"/>
          <w:szCs w:val="24"/>
        </w:rPr>
        <w:t xml:space="preserve">given </w:t>
      </w:r>
      <w:r w:rsidR="00B9564D" w:rsidRPr="005F44EF">
        <w:rPr>
          <w:rFonts w:ascii="Times New Roman" w:eastAsia="Times New Roman" w:hAnsi="Times New Roman" w:cs="Times New Roman"/>
          <w:sz w:val="24"/>
          <w:szCs w:val="24"/>
        </w:rPr>
        <w:t xml:space="preserve">in </w:t>
      </w:r>
      <w:r w:rsidR="00B9564D" w:rsidRPr="005F44EF">
        <w:rPr>
          <w:rFonts w:ascii="Times New Roman" w:eastAsia="Times New Roman" w:hAnsi="Times New Roman" w:cs="Times New Roman"/>
          <w:b/>
          <w:sz w:val="24"/>
          <w:szCs w:val="24"/>
        </w:rPr>
        <w:t xml:space="preserve">Table </w:t>
      </w:r>
      <w:r w:rsidR="0056120E" w:rsidRPr="005F44EF">
        <w:rPr>
          <w:rFonts w:ascii="Times New Roman" w:eastAsia="Times New Roman" w:hAnsi="Times New Roman" w:cs="Times New Roman"/>
          <w:b/>
          <w:sz w:val="24"/>
          <w:szCs w:val="24"/>
        </w:rPr>
        <w:t>S7</w:t>
      </w:r>
      <w:r w:rsidR="00B9564D" w:rsidRPr="005F44EF">
        <w:rPr>
          <w:rFonts w:ascii="Times New Roman" w:eastAsia="Times New Roman" w:hAnsi="Times New Roman" w:cs="Times New Roman"/>
          <w:sz w:val="24"/>
          <w:szCs w:val="24"/>
        </w:rPr>
        <w:t>. The</w:t>
      </w:r>
      <w:r w:rsidR="0033130D" w:rsidRPr="005F44EF">
        <w:rPr>
          <w:rFonts w:ascii="Times New Roman" w:eastAsia="Times New Roman" w:hAnsi="Times New Roman" w:cs="Times New Roman"/>
          <w:sz w:val="24"/>
          <w:szCs w:val="24"/>
        </w:rPr>
        <w:t>y show an overall</w:t>
      </w:r>
      <w:r w:rsidR="00FD119E" w:rsidRPr="005F44EF">
        <w:rPr>
          <w:rFonts w:ascii="Times New Roman" w:eastAsia="Times New Roman" w:hAnsi="Times New Roman" w:cs="Times New Roman"/>
          <w:sz w:val="24"/>
          <w:szCs w:val="24"/>
        </w:rPr>
        <w:t xml:space="preserve"> </w:t>
      </w:r>
      <w:r w:rsidR="00E55F30" w:rsidRPr="005F44EF">
        <w:rPr>
          <w:rFonts w:ascii="Times New Roman" w:eastAsia="Times New Roman" w:hAnsi="Times New Roman" w:cs="Times New Roman"/>
          <w:sz w:val="24"/>
          <w:szCs w:val="24"/>
        </w:rPr>
        <w:t xml:space="preserve">relative </w:t>
      </w:r>
      <w:r w:rsidR="00B9564D" w:rsidRPr="005F44EF">
        <w:rPr>
          <w:rFonts w:ascii="Times New Roman" w:eastAsia="Times New Roman" w:hAnsi="Times New Roman" w:cs="Times New Roman"/>
          <w:sz w:val="24"/>
          <w:szCs w:val="24"/>
        </w:rPr>
        <w:t xml:space="preserve">homogeneity </w:t>
      </w:r>
      <w:r w:rsidR="00E55F30" w:rsidRPr="005F44EF">
        <w:rPr>
          <w:rFonts w:ascii="Times New Roman" w:eastAsia="Times New Roman" w:hAnsi="Times New Roman" w:cs="Times New Roman"/>
          <w:sz w:val="24"/>
          <w:szCs w:val="24"/>
        </w:rPr>
        <w:t xml:space="preserve">within each </w:t>
      </w:r>
      <w:r w:rsidR="00B9564D" w:rsidRPr="005F44EF">
        <w:rPr>
          <w:rFonts w:ascii="Times New Roman" w:eastAsia="Times New Roman" w:hAnsi="Times New Roman" w:cs="Times New Roman"/>
          <w:sz w:val="24"/>
          <w:szCs w:val="24"/>
        </w:rPr>
        <w:t xml:space="preserve">Unit and increase with depth. </w:t>
      </w:r>
      <w:r w:rsidR="00E55F30" w:rsidRPr="005F44EF">
        <w:rPr>
          <w:rFonts w:ascii="Times New Roman" w:eastAsia="Times New Roman" w:hAnsi="Times New Roman" w:cs="Times New Roman"/>
          <w:sz w:val="24"/>
          <w:szCs w:val="24"/>
        </w:rPr>
        <w:t>T</w:t>
      </w:r>
      <w:r w:rsidR="00B9564D" w:rsidRPr="005F44EF">
        <w:rPr>
          <w:rFonts w:ascii="Times New Roman" w:eastAsia="Times New Roman" w:hAnsi="Times New Roman" w:cs="Times New Roman"/>
          <w:sz w:val="24"/>
          <w:szCs w:val="24"/>
        </w:rPr>
        <w:t xml:space="preserve">he two samples from Unit C contain 0.1 % of </w:t>
      </w:r>
      <w:r w:rsidR="0033130D" w:rsidRPr="005F44EF">
        <w:rPr>
          <w:rFonts w:ascii="Times New Roman" w:eastAsia="Times New Roman" w:hAnsi="Times New Roman" w:cs="Times New Roman"/>
          <w:sz w:val="24"/>
          <w:szCs w:val="24"/>
        </w:rPr>
        <w:t>K</w:t>
      </w:r>
      <w:r w:rsidR="00B9564D" w:rsidRPr="005F44EF">
        <w:rPr>
          <w:rFonts w:ascii="Times New Roman" w:eastAsia="Times New Roman" w:hAnsi="Times New Roman" w:cs="Times New Roman"/>
          <w:sz w:val="24"/>
          <w:szCs w:val="24"/>
        </w:rPr>
        <w:t xml:space="preserve">, 1.3 ppm </w:t>
      </w:r>
      <w:r w:rsidR="0033130D" w:rsidRPr="005F44EF">
        <w:rPr>
          <w:rFonts w:ascii="Times New Roman" w:eastAsia="Times New Roman" w:hAnsi="Times New Roman" w:cs="Times New Roman"/>
          <w:sz w:val="24"/>
          <w:szCs w:val="24"/>
        </w:rPr>
        <w:t>U</w:t>
      </w:r>
      <w:r w:rsidR="00B9564D" w:rsidRPr="005F44EF">
        <w:rPr>
          <w:rFonts w:ascii="Times New Roman" w:eastAsia="Times New Roman" w:hAnsi="Times New Roman" w:cs="Times New Roman"/>
          <w:sz w:val="24"/>
          <w:szCs w:val="24"/>
        </w:rPr>
        <w:t xml:space="preserve">, 6-7 ppm </w:t>
      </w:r>
      <w:r w:rsidR="0033130D" w:rsidRPr="005F44EF">
        <w:rPr>
          <w:rFonts w:ascii="Times New Roman" w:eastAsia="Times New Roman" w:hAnsi="Times New Roman" w:cs="Times New Roman"/>
          <w:sz w:val="24"/>
          <w:szCs w:val="24"/>
        </w:rPr>
        <w:t>Th</w:t>
      </w:r>
      <w:r w:rsidR="00B9564D" w:rsidRPr="005F44EF">
        <w:rPr>
          <w:rFonts w:ascii="Times New Roman" w:eastAsia="Times New Roman" w:hAnsi="Times New Roman" w:cs="Times New Roman"/>
          <w:sz w:val="24"/>
          <w:szCs w:val="24"/>
        </w:rPr>
        <w:t xml:space="preserve">. The five others samples from Unit D contain 0.2 % of potassium, between 1.5-1.9 ppm uranium and 11-12 ppm thorium. Additional HGRS </w:t>
      </w:r>
      <w:r w:rsidR="00E55F30" w:rsidRPr="005F44EF">
        <w:rPr>
          <w:rFonts w:ascii="Times New Roman" w:eastAsia="Times New Roman" w:hAnsi="Times New Roman" w:cs="Times New Roman"/>
          <w:sz w:val="24"/>
          <w:szCs w:val="24"/>
        </w:rPr>
        <w:t xml:space="preserve">analyses </w:t>
      </w:r>
      <w:r w:rsidR="00B9564D" w:rsidRPr="005F44EF">
        <w:rPr>
          <w:rFonts w:ascii="Times New Roman" w:eastAsia="Times New Roman" w:hAnsi="Times New Roman" w:cs="Times New Roman"/>
          <w:sz w:val="24"/>
          <w:szCs w:val="24"/>
        </w:rPr>
        <w:t xml:space="preserve">were performed to </w:t>
      </w:r>
      <w:r w:rsidR="00E55F30" w:rsidRPr="005F44EF">
        <w:rPr>
          <w:rFonts w:ascii="Times New Roman" w:eastAsia="Times New Roman" w:hAnsi="Times New Roman" w:cs="Times New Roman"/>
          <w:sz w:val="24"/>
          <w:szCs w:val="24"/>
        </w:rPr>
        <w:t xml:space="preserve">evaluate </w:t>
      </w:r>
      <w:r w:rsidR="00B9564D" w:rsidRPr="005F44EF">
        <w:rPr>
          <w:rFonts w:ascii="Times New Roman" w:eastAsia="Times New Roman" w:hAnsi="Times New Roman" w:cs="Times New Roman"/>
          <w:sz w:val="24"/>
          <w:szCs w:val="24"/>
        </w:rPr>
        <w:t xml:space="preserve">a possible radioactive disequilibrium in the </w:t>
      </w:r>
      <w:r w:rsidR="00E55F30" w:rsidRPr="005F44EF">
        <w:rPr>
          <w:rFonts w:ascii="Times New Roman" w:eastAsia="Times New Roman" w:hAnsi="Times New Roman" w:cs="Times New Roman"/>
          <w:sz w:val="24"/>
          <w:szCs w:val="24"/>
          <w:highlight w:val="white"/>
          <w:vertAlign w:val="superscript"/>
        </w:rPr>
        <w:t>238</w:t>
      </w:r>
      <w:r w:rsidR="00E55F30" w:rsidRPr="005F44EF">
        <w:rPr>
          <w:rFonts w:ascii="Times New Roman" w:eastAsia="Times New Roman" w:hAnsi="Times New Roman" w:cs="Times New Roman"/>
          <w:sz w:val="24"/>
          <w:szCs w:val="24"/>
          <w:highlight w:val="white"/>
        </w:rPr>
        <w:t>U</w:t>
      </w:r>
      <w:r w:rsidR="00E55F30" w:rsidRPr="005F44EF" w:rsidDel="00E55F30">
        <w:rPr>
          <w:rFonts w:ascii="Times New Roman" w:eastAsia="Times New Roman" w:hAnsi="Times New Roman" w:cs="Times New Roman"/>
          <w:sz w:val="24"/>
          <w:szCs w:val="24"/>
          <w:highlight w:val="white"/>
        </w:rPr>
        <w:t xml:space="preserve"> </w:t>
      </w:r>
      <w:r w:rsidR="00E55F30" w:rsidRPr="005F44EF">
        <w:rPr>
          <w:rFonts w:ascii="Times New Roman" w:eastAsia="Times New Roman" w:hAnsi="Times New Roman" w:cs="Times New Roman"/>
          <w:sz w:val="24"/>
          <w:szCs w:val="24"/>
          <w:highlight w:val="white"/>
        </w:rPr>
        <w:t>decay chain</w:t>
      </w:r>
      <w:r w:rsidR="0033130D" w:rsidRPr="005F44EF">
        <w:rPr>
          <w:rFonts w:ascii="Times New Roman" w:eastAsia="Times New Roman" w:hAnsi="Times New Roman" w:cs="Times New Roman"/>
          <w:sz w:val="24"/>
          <w:szCs w:val="24"/>
          <w:highlight w:val="white"/>
        </w:rPr>
        <w:t xml:space="preserve"> (</w:t>
      </w:r>
      <w:r w:rsidR="0033130D" w:rsidRPr="005F44EF">
        <w:rPr>
          <w:rFonts w:ascii="Times New Roman" w:eastAsia="Times New Roman" w:hAnsi="Times New Roman" w:cs="Times New Roman"/>
          <w:b/>
          <w:sz w:val="24"/>
          <w:szCs w:val="24"/>
          <w:highlight w:val="white"/>
        </w:rPr>
        <w:t>Table S</w:t>
      </w:r>
      <w:r w:rsidR="0056120E" w:rsidRPr="005F44EF">
        <w:rPr>
          <w:rFonts w:ascii="Times New Roman" w:eastAsia="Times New Roman" w:hAnsi="Times New Roman" w:cs="Times New Roman"/>
          <w:b/>
          <w:sz w:val="24"/>
          <w:szCs w:val="24"/>
          <w:highlight w:val="white"/>
        </w:rPr>
        <w:t>7</w:t>
      </w:r>
      <w:r w:rsidR="0033130D" w:rsidRPr="005F44EF">
        <w:rPr>
          <w:rFonts w:ascii="Times New Roman" w:eastAsia="Times New Roman" w:hAnsi="Times New Roman" w:cs="Times New Roman"/>
          <w:sz w:val="24"/>
          <w:szCs w:val="24"/>
          <w:highlight w:val="white"/>
        </w:rPr>
        <w:t>)</w:t>
      </w:r>
      <w:r w:rsidR="00B9564D" w:rsidRPr="005F44EF">
        <w:rPr>
          <w:rFonts w:ascii="Times New Roman" w:eastAsia="Times New Roman" w:hAnsi="Times New Roman" w:cs="Times New Roman"/>
          <w:sz w:val="24"/>
          <w:szCs w:val="24"/>
        </w:rPr>
        <w:t xml:space="preserve">. U content </w:t>
      </w:r>
      <w:r w:rsidR="001D37CA" w:rsidRPr="005F44EF">
        <w:rPr>
          <w:rFonts w:ascii="Times New Roman" w:eastAsia="Times New Roman" w:hAnsi="Times New Roman" w:cs="Times New Roman"/>
          <w:sz w:val="24"/>
          <w:szCs w:val="24"/>
        </w:rPr>
        <w:t xml:space="preserve">determination </w:t>
      </w:r>
      <w:r w:rsidR="00E55F30" w:rsidRPr="005F44EF">
        <w:rPr>
          <w:rFonts w:ascii="Times New Roman" w:eastAsia="Times New Roman" w:hAnsi="Times New Roman" w:cs="Times New Roman"/>
          <w:sz w:val="24"/>
          <w:szCs w:val="24"/>
        </w:rPr>
        <w:t xml:space="preserve">was </w:t>
      </w:r>
      <w:r w:rsidR="001D37CA" w:rsidRPr="005F44EF">
        <w:rPr>
          <w:rFonts w:ascii="Times New Roman" w:eastAsia="Times New Roman" w:hAnsi="Times New Roman" w:cs="Times New Roman"/>
          <w:sz w:val="24"/>
          <w:szCs w:val="24"/>
        </w:rPr>
        <w:t>based on (</w:t>
      </w:r>
      <w:proofErr w:type="spellStart"/>
      <w:r w:rsidR="001D37CA" w:rsidRPr="005F44EF">
        <w:rPr>
          <w:rFonts w:ascii="Times New Roman" w:eastAsia="Times New Roman" w:hAnsi="Times New Roman" w:cs="Times New Roman"/>
          <w:sz w:val="24"/>
          <w:szCs w:val="24"/>
        </w:rPr>
        <w:t>i</w:t>
      </w:r>
      <w:proofErr w:type="spellEnd"/>
      <w:r w:rsidR="001D37CA" w:rsidRPr="005F44EF">
        <w:rPr>
          <w:rFonts w:ascii="Times New Roman" w:eastAsia="Times New Roman" w:hAnsi="Times New Roman" w:cs="Times New Roman"/>
          <w:sz w:val="24"/>
          <w:szCs w:val="24"/>
        </w:rPr>
        <w:t xml:space="preserve">) </w:t>
      </w:r>
      <w:r w:rsidR="00B9564D" w:rsidRPr="005F44EF">
        <w:rPr>
          <w:rFonts w:ascii="Times New Roman" w:eastAsia="Times New Roman" w:hAnsi="Times New Roman" w:cs="Times New Roman"/>
          <w:sz w:val="24"/>
          <w:szCs w:val="24"/>
          <w:highlight w:val="white"/>
        </w:rPr>
        <w:t>the beginning (</w:t>
      </w:r>
      <w:r w:rsidR="00B9564D" w:rsidRPr="005F44EF">
        <w:rPr>
          <w:rFonts w:ascii="Times New Roman" w:eastAsia="Times New Roman" w:hAnsi="Times New Roman" w:cs="Times New Roman"/>
          <w:sz w:val="24"/>
          <w:szCs w:val="24"/>
          <w:highlight w:val="white"/>
          <w:vertAlign w:val="superscript"/>
        </w:rPr>
        <w:t>238</w:t>
      </w:r>
      <w:r w:rsidR="00B9564D" w:rsidRPr="005F44EF">
        <w:rPr>
          <w:rFonts w:ascii="Times New Roman" w:eastAsia="Times New Roman" w:hAnsi="Times New Roman" w:cs="Times New Roman"/>
          <w:sz w:val="24"/>
          <w:szCs w:val="24"/>
          <w:highlight w:val="white"/>
        </w:rPr>
        <w:t xml:space="preserve">U </w:t>
      </w:r>
      <w:r w:rsidR="0033130D" w:rsidRPr="005F44EF">
        <w:rPr>
          <w:rFonts w:ascii="Times New Roman" w:eastAsia="Times New Roman" w:hAnsi="Times New Roman" w:cs="Times New Roman"/>
          <w:sz w:val="24"/>
          <w:szCs w:val="24"/>
          <w:highlight w:val="white"/>
        </w:rPr>
        <w:t xml:space="preserve">derived </w:t>
      </w:r>
      <w:r w:rsidR="00B9564D" w:rsidRPr="005F44EF">
        <w:rPr>
          <w:rFonts w:ascii="Times New Roman" w:eastAsia="Times New Roman" w:hAnsi="Times New Roman" w:cs="Times New Roman"/>
          <w:sz w:val="24"/>
          <w:szCs w:val="24"/>
          <w:highlight w:val="white"/>
        </w:rPr>
        <w:t xml:space="preserve">from the activities of </w:t>
      </w:r>
      <w:r w:rsidR="00B9564D" w:rsidRPr="005F44EF">
        <w:rPr>
          <w:rFonts w:ascii="Times New Roman" w:eastAsia="Times New Roman" w:hAnsi="Times New Roman" w:cs="Times New Roman"/>
          <w:sz w:val="24"/>
          <w:szCs w:val="24"/>
          <w:highlight w:val="white"/>
          <w:vertAlign w:val="superscript"/>
        </w:rPr>
        <w:t>234</w:t>
      </w:r>
      <w:r w:rsidR="00B9564D" w:rsidRPr="005F44EF">
        <w:rPr>
          <w:rFonts w:ascii="Times New Roman" w:eastAsia="Times New Roman" w:hAnsi="Times New Roman" w:cs="Times New Roman"/>
          <w:sz w:val="24"/>
          <w:szCs w:val="24"/>
          <w:highlight w:val="white"/>
        </w:rPr>
        <w:t xml:space="preserve">Th, </w:t>
      </w:r>
      <w:r w:rsidR="00B9564D" w:rsidRPr="005F44EF">
        <w:rPr>
          <w:rFonts w:ascii="Times New Roman" w:eastAsia="Times New Roman" w:hAnsi="Times New Roman" w:cs="Times New Roman"/>
          <w:sz w:val="24"/>
          <w:szCs w:val="24"/>
          <w:highlight w:val="white"/>
          <w:vertAlign w:val="superscript"/>
        </w:rPr>
        <w:t>234</w:t>
      </w:r>
      <w:r w:rsidR="00B9564D" w:rsidRPr="005F44EF">
        <w:rPr>
          <w:rFonts w:ascii="Times New Roman" w:eastAsia="Times New Roman" w:hAnsi="Times New Roman" w:cs="Times New Roman"/>
          <w:sz w:val="24"/>
          <w:szCs w:val="24"/>
          <w:highlight w:val="white"/>
        </w:rPr>
        <w:t xml:space="preserve">Pa and </w:t>
      </w:r>
      <w:r w:rsidR="00B9564D" w:rsidRPr="005F44EF">
        <w:rPr>
          <w:rFonts w:ascii="Times New Roman" w:eastAsia="Times New Roman" w:hAnsi="Times New Roman" w:cs="Times New Roman"/>
          <w:sz w:val="24"/>
          <w:szCs w:val="24"/>
          <w:highlight w:val="white"/>
          <w:vertAlign w:val="superscript"/>
        </w:rPr>
        <w:t>235</w:t>
      </w:r>
      <w:r w:rsidR="00B9564D" w:rsidRPr="005F44EF">
        <w:rPr>
          <w:rFonts w:ascii="Times New Roman" w:eastAsia="Times New Roman" w:hAnsi="Times New Roman" w:cs="Times New Roman"/>
          <w:sz w:val="24"/>
          <w:szCs w:val="24"/>
          <w:highlight w:val="white"/>
        </w:rPr>
        <w:t xml:space="preserve">U), </w:t>
      </w:r>
      <w:r w:rsidR="001D37CA" w:rsidRPr="005F44EF">
        <w:rPr>
          <w:rFonts w:ascii="Times New Roman" w:eastAsia="Times New Roman" w:hAnsi="Times New Roman" w:cs="Times New Roman"/>
          <w:sz w:val="24"/>
          <w:szCs w:val="24"/>
          <w:highlight w:val="white"/>
        </w:rPr>
        <w:t xml:space="preserve">(ii) </w:t>
      </w:r>
      <w:r w:rsidR="00B9564D" w:rsidRPr="005F44EF">
        <w:rPr>
          <w:rFonts w:ascii="Times New Roman" w:eastAsia="Times New Roman" w:hAnsi="Times New Roman" w:cs="Times New Roman"/>
          <w:sz w:val="24"/>
          <w:szCs w:val="24"/>
          <w:highlight w:val="white"/>
        </w:rPr>
        <w:t>the middle (</w:t>
      </w:r>
      <w:r w:rsidR="00B9564D" w:rsidRPr="005F44EF">
        <w:rPr>
          <w:rFonts w:ascii="Times New Roman" w:eastAsia="Times New Roman" w:hAnsi="Times New Roman" w:cs="Times New Roman"/>
          <w:sz w:val="24"/>
          <w:szCs w:val="24"/>
          <w:highlight w:val="white"/>
          <w:vertAlign w:val="superscript"/>
        </w:rPr>
        <w:t>226</w:t>
      </w:r>
      <w:r w:rsidR="00B9564D" w:rsidRPr="005F44EF">
        <w:rPr>
          <w:rFonts w:ascii="Times New Roman" w:eastAsia="Times New Roman" w:hAnsi="Times New Roman" w:cs="Times New Roman"/>
          <w:sz w:val="24"/>
          <w:szCs w:val="24"/>
          <w:highlight w:val="white"/>
        </w:rPr>
        <w:t xml:space="preserve">Ra deduced from the measured activity of </w:t>
      </w:r>
      <w:r w:rsidR="00B9564D" w:rsidRPr="005F44EF">
        <w:rPr>
          <w:rFonts w:ascii="Times New Roman" w:eastAsia="Times New Roman" w:hAnsi="Times New Roman" w:cs="Times New Roman"/>
          <w:sz w:val="24"/>
          <w:szCs w:val="24"/>
          <w:highlight w:val="white"/>
          <w:vertAlign w:val="superscript"/>
        </w:rPr>
        <w:t>214</w:t>
      </w:r>
      <w:r w:rsidR="00B9564D" w:rsidRPr="005F44EF">
        <w:rPr>
          <w:rFonts w:ascii="Times New Roman" w:eastAsia="Times New Roman" w:hAnsi="Times New Roman" w:cs="Times New Roman"/>
          <w:sz w:val="24"/>
          <w:szCs w:val="24"/>
          <w:highlight w:val="white"/>
        </w:rPr>
        <w:t xml:space="preserve">Pb and </w:t>
      </w:r>
      <w:r w:rsidR="00B9564D" w:rsidRPr="005F44EF">
        <w:rPr>
          <w:rFonts w:ascii="Times New Roman" w:eastAsia="Times New Roman" w:hAnsi="Times New Roman" w:cs="Times New Roman"/>
          <w:sz w:val="24"/>
          <w:szCs w:val="24"/>
          <w:highlight w:val="white"/>
          <w:vertAlign w:val="superscript"/>
        </w:rPr>
        <w:t>214</w:t>
      </w:r>
      <w:r w:rsidR="00B9564D" w:rsidRPr="005F44EF">
        <w:rPr>
          <w:rFonts w:ascii="Times New Roman" w:eastAsia="Times New Roman" w:hAnsi="Times New Roman" w:cs="Times New Roman"/>
          <w:sz w:val="24"/>
          <w:szCs w:val="24"/>
          <w:highlight w:val="white"/>
        </w:rPr>
        <w:t xml:space="preserve">Bi) and </w:t>
      </w:r>
      <w:r w:rsidR="001D37CA" w:rsidRPr="005F44EF">
        <w:rPr>
          <w:rFonts w:ascii="Times New Roman" w:eastAsia="Times New Roman" w:hAnsi="Times New Roman" w:cs="Times New Roman"/>
          <w:sz w:val="24"/>
          <w:szCs w:val="24"/>
          <w:highlight w:val="white"/>
        </w:rPr>
        <w:t xml:space="preserve">(iii) </w:t>
      </w:r>
      <w:r w:rsidR="00B9564D" w:rsidRPr="005F44EF">
        <w:rPr>
          <w:rFonts w:ascii="Times New Roman" w:eastAsia="Times New Roman" w:hAnsi="Times New Roman" w:cs="Times New Roman"/>
          <w:sz w:val="24"/>
          <w:szCs w:val="24"/>
          <w:highlight w:val="white"/>
        </w:rPr>
        <w:t xml:space="preserve">the </w:t>
      </w:r>
      <w:r w:rsidR="001D37CA" w:rsidRPr="005F44EF">
        <w:rPr>
          <w:rFonts w:ascii="Times New Roman" w:eastAsia="Times New Roman" w:hAnsi="Times New Roman" w:cs="Times New Roman"/>
          <w:sz w:val="24"/>
          <w:szCs w:val="24"/>
          <w:highlight w:val="white"/>
        </w:rPr>
        <w:t xml:space="preserve">end </w:t>
      </w:r>
      <w:r w:rsidR="00B9564D" w:rsidRPr="005F44EF">
        <w:rPr>
          <w:rFonts w:ascii="Times New Roman" w:eastAsia="Times New Roman" w:hAnsi="Times New Roman" w:cs="Times New Roman"/>
          <w:sz w:val="24"/>
          <w:szCs w:val="24"/>
          <w:highlight w:val="white"/>
        </w:rPr>
        <w:t>(</w:t>
      </w:r>
      <w:r w:rsidR="00B9564D" w:rsidRPr="005F44EF">
        <w:rPr>
          <w:rFonts w:ascii="Times New Roman" w:eastAsia="Times New Roman" w:hAnsi="Times New Roman" w:cs="Times New Roman"/>
          <w:sz w:val="24"/>
          <w:szCs w:val="24"/>
          <w:highlight w:val="white"/>
          <w:vertAlign w:val="superscript"/>
        </w:rPr>
        <w:t>210</w:t>
      </w:r>
      <w:r w:rsidR="00B9564D" w:rsidRPr="005F44EF">
        <w:rPr>
          <w:rFonts w:ascii="Times New Roman" w:eastAsia="Times New Roman" w:hAnsi="Times New Roman" w:cs="Times New Roman"/>
          <w:sz w:val="24"/>
          <w:szCs w:val="24"/>
          <w:highlight w:val="white"/>
        </w:rPr>
        <w:t xml:space="preserve">Pb) of the </w:t>
      </w:r>
      <w:r w:rsidR="00E55F30" w:rsidRPr="005F44EF">
        <w:rPr>
          <w:rFonts w:ascii="Times New Roman" w:eastAsia="Times New Roman" w:hAnsi="Times New Roman" w:cs="Times New Roman"/>
          <w:sz w:val="24"/>
          <w:szCs w:val="24"/>
          <w:highlight w:val="white"/>
          <w:vertAlign w:val="superscript"/>
        </w:rPr>
        <w:t>238</w:t>
      </w:r>
      <w:r w:rsidR="00E55F30" w:rsidRPr="005F44EF">
        <w:rPr>
          <w:rFonts w:ascii="Times New Roman" w:eastAsia="Times New Roman" w:hAnsi="Times New Roman" w:cs="Times New Roman"/>
          <w:sz w:val="24"/>
          <w:szCs w:val="24"/>
          <w:highlight w:val="white"/>
        </w:rPr>
        <w:t>U</w:t>
      </w:r>
      <w:r w:rsidR="00E55F30" w:rsidRPr="005F44EF" w:rsidDel="00E55F30">
        <w:rPr>
          <w:rFonts w:ascii="Times New Roman" w:eastAsia="Times New Roman" w:hAnsi="Times New Roman" w:cs="Times New Roman"/>
          <w:sz w:val="24"/>
          <w:szCs w:val="24"/>
          <w:highlight w:val="white"/>
        </w:rPr>
        <w:t xml:space="preserve"> </w:t>
      </w:r>
      <w:r w:rsidR="00E55F30" w:rsidRPr="005F44EF">
        <w:rPr>
          <w:rFonts w:ascii="Times New Roman" w:eastAsia="Times New Roman" w:hAnsi="Times New Roman" w:cs="Times New Roman"/>
          <w:sz w:val="24"/>
          <w:szCs w:val="24"/>
          <w:highlight w:val="white"/>
        </w:rPr>
        <w:t>decay</w:t>
      </w:r>
      <w:r w:rsidR="000B08EA" w:rsidRPr="005F44EF">
        <w:rPr>
          <w:rFonts w:ascii="Times New Roman" w:eastAsia="Times New Roman" w:hAnsi="Times New Roman" w:cs="Times New Roman"/>
          <w:sz w:val="24"/>
          <w:szCs w:val="24"/>
          <w:highlight w:val="white"/>
        </w:rPr>
        <w:t xml:space="preserve"> </w:t>
      </w:r>
      <w:r w:rsidR="00B9564D" w:rsidRPr="005F44EF">
        <w:rPr>
          <w:rFonts w:ascii="Times New Roman" w:eastAsia="Times New Roman" w:hAnsi="Times New Roman" w:cs="Times New Roman"/>
          <w:sz w:val="24"/>
          <w:szCs w:val="24"/>
          <w:highlight w:val="white"/>
        </w:rPr>
        <w:t>chain</w:t>
      </w:r>
      <w:r w:rsidR="0033130D" w:rsidRPr="005F44EF">
        <w:rPr>
          <w:rFonts w:ascii="Times New Roman" w:eastAsia="Times New Roman" w:hAnsi="Times New Roman" w:cs="Times New Roman"/>
          <w:sz w:val="24"/>
          <w:szCs w:val="24"/>
          <w:highlight w:val="white"/>
        </w:rPr>
        <w:t xml:space="preserve">. </w:t>
      </w:r>
      <w:r w:rsidR="001D37CA" w:rsidRPr="005F44EF">
        <w:rPr>
          <w:rFonts w:ascii="Times New Roman" w:eastAsia="Times New Roman" w:hAnsi="Times New Roman" w:cs="Times New Roman"/>
          <w:sz w:val="24"/>
          <w:szCs w:val="24"/>
          <w:highlight w:val="white"/>
          <w:vertAlign w:val="superscript"/>
        </w:rPr>
        <w:t>210</w:t>
      </w:r>
      <w:r w:rsidR="001D37CA" w:rsidRPr="005F44EF">
        <w:rPr>
          <w:rFonts w:ascii="Times New Roman" w:eastAsia="Times New Roman" w:hAnsi="Times New Roman" w:cs="Times New Roman"/>
          <w:sz w:val="24"/>
          <w:szCs w:val="24"/>
          <w:highlight w:val="white"/>
        </w:rPr>
        <w:t>Pb/</w:t>
      </w:r>
      <w:r w:rsidR="001D37CA" w:rsidRPr="005F44EF">
        <w:rPr>
          <w:rFonts w:ascii="Times New Roman" w:eastAsia="Times New Roman" w:hAnsi="Times New Roman" w:cs="Times New Roman"/>
          <w:sz w:val="24"/>
          <w:szCs w:val="24"/>
          <w:highlight w:val="white"/>
          <w:vertAlign w:val="superscript"/>
        </w:rPr>
        <w:t>238</w:t>
      </w:r>
      <w:r w:rsidR="001D37CA" w:rsidRPr="005F44EF">
        <w:rPr>
          <w:rFonts w:ascii="Times New Roman" w:eastAsia="Times New Roman" w:hAnsi="Times New Roman" w:cs="Times New Roman"/>
          <w:sz w:val="24"/>
          <w:szCs w:val="24"/>
          <w:highlight w:val="white"/>
        </w:rPr>
        <w:t xml:space="preserve">U and </w:t>
      </w:r>
      <w:r w:rsidR="001D37CA" w:rsidRPr="005F44EF">
        <w:rPr>
          <w:rFonts w:ascii="Times New Roman" w:eastAsia="Times New Roman" w:hAnsi="Times New Roman" w:cs="Times New Roman"/>
          <w:sz w:val="24"/>
          <w:szCs w:val="24"/>
          <w:highlight w:val="white"/>
          <w:vertAlign w:val="superscript"/>
        </w:rPr>
        <w:t>226</w:t>
      </w:r>
      <w:r w:rsidR="001D37CA" w:rsidRPr="005F44EF">
        <w:rPr>
          <w:rFonts w:ascii="Times New Roman" w:eastAsia="Times New Roman" w:hAnsi="Times New Roman" w:cs="Times New Roman"/>
          <w:sz w:val="24"/>
          <w:szCs w:val="24"/>
          <w:highlight w:val="white"/>
        </w:rPr>
        <w:t>Ra/</w:t>
      </w:r>
      <w:r w:rsidR="001D37CA" w:rsidRPr="005F44EF">
        <w:rPr>
          <w:rFonts w:ascii="Times New Roman" w:eastAsia="Times New Roman" w:hAnsi="Times New Roman" w:cs="Times New Roman"/>
          <w:sz w:val="24"/>
          <w:szCs w:val="24"/>
          <w:highlight w:val="white"/>
          <w:vertAlign w:val="superscript"/>
        </w:rPr>
        <w:t>238</w:t>
      </w:r>
      <w:r w:rsidR="001D37CA" w:rsidRPr="005F44EF">
        <w:rPr>
          <w:rFonts w:ascii="Times New Roman" w:eastAsia="Times New Roman" w:hAnsi="Times New Roman" w:cs="Times New Roman"/>
          <w:sz w:val="24"/>
          <w:szCs w:val="24"/>
          <w:highlight w:val="white"/>
        </w:rPr>
        <w:t>U activity ratios were</w:t>
      </w:r>
      <w:r w:rsidR="0033130D" w:rsidRPr="005F44EF">
        <w:rPr>
          <w:rFonts w:ascii="Times New Roman" w:eastAsia="Times New Roman" w:hAnsi="Times New Roman" w:cs="Times New Roman"/>
          <w:sz w:val="24"/>
          <w:szCs w:val="24"/>
          <w:highlight w:val="white"/>
        </w:rPr>
        <w:t xml:space="preserve"> also</w:t>
      </w:r>
      <w:r w:rsidR="001D37CA" w:rsidRPr="005F44EF">
        <w:rPr>
          <w:rFonts w:ascii="Times New Roman" w:eastAsia="Times New Roman" w:hAnsi="Times New Roman" w:cs="Times New Roman"/>
          <w:sz w:val="24"/>
          <w:szCs w:val="24"/>
          <w:highlight w:val="white"/>
        </w:rPr>
        <w:t xml:space="preserve"> calculated</w:t>
      </w:r>
      <w:r w:rsidR="00B9564D" w:rsidRPr="005F44EF">
        <w:rPr>
          <w:rFonts w:ascii="Times New Roman" w:eastAsia="Times New Roman" w:hAnsi="Times New Roman" w:cs="Times New Roman"/>
          <w:sz w:val="24"/>
          <w:szCs w:val="24"/>
          <w:highlight w:val="white"/>
        </w:rPr>
        <w:t xml:space="preserve">. </w:t>
      </w:r>
      <w:r w:rsidR="00B9564D" w:rsidRPr="005F44EF">
        <w:rPr>
          <w:rFonts w:ascii="Times New Roman" w:eastAsia="Times New Roman" w:hAnsi="Times New Roman" w:cs="Times New Roman"/>
          <w:sz w:val="24"/>
          <w:szCs w:val="24"/>
          <w:highlight w:val="white"/>
          <w:vertAlign w:val="superscript"/>
        </w:rPr>
        <w:t>210</w:t>
      </w:r>
      <w:r w:rsidR="00B9564D" w:rsidRPr="005F44EF">
        <w:rPr>
          <w:rFonts w:ascii="Times New Roman" w:eastAsia="Times New Roman" w:hAnsi="Times New Roman" w:cs="Times New Roman"/>
          <w:sz w:val="24"/>
          <w:szCs w:val="24"/>
          <w:highlight w:val="white"/>
        </w:rPr>
        <w:t>Pb/</w:t>
      </w:r>
      <w:r w:rsidR="00B9564D" w:rsidRPr="005F44EF">
        <w:rPr>
          <w:rFonts w:ascii="Times New Roman" w:eastAsia="Times New Roman" w:hAnsi="Times New Roman" w:cs="Times New Roman"/>
          <w:sz w:val="24"/>
          <w:szCs w:val="24"/>
          <w:highlight w:val="white"/>
          <w:vertAlign w:val="superscript"/>
        </w:rPr>
        <w:t>238</w:t>
      </w:r>
      <w:r w:rsidR="00B9564D" w:rsidRPr="005F44EF">
        <w:rPr>
          <w:rFonts w:ascii="Times New Roman" w:eastAsia="Times New Roman" w:hAnsi="Times New Roman" w:cs="Times New Roman"/>
          <w:sz w:val="24"/>
          <w:szCs w:val="24"/>
          <w:highlight w:val="white"/>
        </w:rPr>
        <w:t>U are close to unity but between 0.76 and 0.89 for</w:t>
      </w:r>
      <w:r w:rsidR="00FD119E" w:rsidRPr="005F44EF">
        <w:rPr>
          <w:rFonts w:ascii="Times New Roman" w:eastAsia="Times New Roman" w:hAnsi="Times New Roman" w:cs="Times New Roman"/>
          <w:sz w:val="24"/>
          <w:szCs w:val="24"/>
          <w:highlight w:val="white"/>
        </w:rPr>
        <w:t xml:space="preserve"> </w:t>
      </w:r>
      <w:r w:rsidR="00B9564D" w:rsidRPr="005F44EF">
        <w:rPr>
          <w:rFonts w:ascii="Times New Roman" w:eastAsia="Times New Roman" w:hAnsi="Times New Roman" w:cs="Times New Roman"/>
          <w:sz w:val="24"/>
          <w:szCs w:val="24"/>
          <w:highlight w:val="white"/>
          <w:vertAlign w:val="superscript"/>
        </w:rPr>
        <w:t>226</w:t>
      </w:r>
      <w:r w:rsidR="00B9564D" w:rsidRPr="005F44EF">
        <w:rPr>
          <w:rFonts w:ascii="Times New Roman" w:eastAsia="Times New Roman" w:hAnsi="Times New Roman" w:cs="Times New Roman"/>
          <w:sz w:val="24"/>
          <w:szCs w:val="24"/>
          <w:highlight w:val="white"/>
        </w:rPr>
        <w:t>Ra/</w:t>
      </w:r>
      <w:r w:rsidR="00B9564D" w:rsidRPr="005F44EF">
        <w:rPr>
          <w:rFonts w:ascii="Times New Roman" w:eastAsia="Times New Roman" w:hAnsi="Times New Roman" w:cs="Times New Roman"/>
          <w:sz w:val="24"/>
          <w:szCs w:val="24"/>
          <w:highlight w:val="white"/>
          <w:vertAlign w:val="superscript"/>
        </w:rPr>
        <w:t>238</w:t>
      </w:r>
      <w:r w:rsidR="00B9564D" w:rsidRPr="005F44EF">
        <w:rPr>
          <w:rFonts w:ascii="Times New Roman" w:eastAsia="Times New Roman" w:hAnsi="Times New Roman" w:cs="Times New Roman"/>
          <w:sz w:val="24"/>
          <w:szCs w:val="24"/>
          <w:highlight w:val="white"/>
        </w:rPr>
        <w:t xml:space="preserve">U, indicating a </w:t>
      </w:r>
      <w:r w:rsidR="001D37CA" w:rsidRPr="005F44EF">
        <w:rPr>
          <w:rFonts w:ascii="Times New Roman" w:eastAsia="Times New Roman" w:hAnsi="Times New Roman" w:cs="Times New Roman"/>
          <w:sz w:val="24"/>
          <w:szCs w:val="24"/>
          <w:highlight w:val="white"/>
        </w:rPr>
        <w:t xml:space="preserve">potential </w:t>
      </w:r>
      <w:r w:rsidR="00B9564D" w:rsidRPr="005F44EF">
        <w:rPr>
          <w:rFonts w:ascii="Times New Roman" w:eastAsia="Times New Roman" w:hAnsi="Times New Roman" w:cs="Times New Roman"/>
          <w:sz w:val="24"/>
          <w:szCs w:val="24"/>
          <w:highlight w:val="white"/>
        </w:rPr>
        <w:t>slight disequilibrium</w:t>
      </w:r>
      <w:r w:rsidR="001D37CA" w:rsidRPr="005F44EF">
        <w:rPr>
          <w:rFonts w:ascii="Times New Roman" w:eastAsia="Times New Roman" w:hAnsi="Times New Roman" w:cs="Times New Roman"/>
          <w:sz w:val="24"/>
          <w:szCs w:val="24"/>
          <w:highlight w:val="white"/>
        </w:rPr>
        <w:t xml:space="preserve"> in the middle of the chain, possibly resulting from </w:t>
      </w:r>
      <w:bookmarkStart w:id="61" w:name="_Hlk183078385"/>
      <w:r w:rsidR="00372D4D">
        <w:rPr>
          <w:rFonts w:ascii="Times New Roman" w:eastAsia="Times New Roman" w:hAnsi="Times New Roman" w:cs="Times New Roman"/>
          <w:sz w:val="24"/>
          <w:szCs w:val="24"/>
          <w:highlight w:val="white"/>
        </w:rPr>
        <w:t>Ra</w:t>
      </w:r>
      <w:r w:rsidR="00F65468">
        <w:rPr>
          <w:rFonts w:ascii="Times New Roman" w:eastAsia="Times New Roman" w:hAnsi="Times New Roman" w:cs="Times New Roman"/>
          <w:sz w:val="24"/>
          <w:szCs w:val="24"/>
          <w:highlight w:val="white"/>
        </w:rPr>
        <w:t xml:space="preserve"> loss</w:t>
      </w:r>
      <w:r w:rsidR="00372D4D">
        <w:rPr>
          <w:rFonts w:ascii="Times New Roman" w:eastAsia="Times New Roman" w:hAnsi="Times New Roman" w:cs="Times New Roman"/>
          <w:sz w:val="24"/>
          <w:szCs w:val="24"/>
          <w:highlight w:val="white"/>
        </w:rPr>
        <w:t xml:space="preserve">, which </w:t>
      </w:r>
      <w:r w:rsidR="004C22C6">
        <w:rPr>
          <w:rFonts w:ascii="Times New Roman" w:eastAsia="Times New Roman" w:hAnsi="Times New Roman" w:cs="Times New Roman"/>
          <w:sz w:val="24"/>
          <w:szCs w:val="24"/>
          <w:highlight w:val="white"/>
        </w:rPr>
        <w:t xml:space="preserve">is </w:t>
      </w:r>
      <w:r w:rsidR="00F65468">
        <w:rPr>
          <w:rFonts w:ascii="Times New Roman" w:eastAsia="Times New Roman" w:hAnsi="Times New Roman" w:cs="Times New Roman"/>
          <w:sz w:val="24"/>
          <w:szCs w:val="24"/>
          <w:highlight w:val="white"/>
        </w:rPr>
        <w:t xml:space="preserve">a </w:t>
      </w:r>
      <w:r w:rsidR="00372D4D">
        <w:rPr>
          <w:rFonts w:ascii="Times New Roman" w:eastAsia="Times New Roman" w:hAnsi="Times New Roman" w:cs="Times New Roman"/>
          <w:sz w:val="24"/>
          <w:szCs w:val="24"/>
          <w:highlight w:val="white"/>
        </w:rPr>
        <w:t>fairly mobile element</w:t>
      </w:r>
      <w:r w:rsidR="00B9564D" w:rsidRPr="005F44EF">
        <w:rPr>
          <w:rFonts w:ascii="Times New Roman" w:eastAsia="Times New Roman" w:hAnsi="Times New Roman" w:cs="Times New Roman"/>
          <w:sz w:val="24"/>
          <w:szCs w:val="24"/>
          <w:highlight w:val="white"/>
        </w:rPr>
        <w:t>.</w:t>
      </w:r>
      <w:r w:rsidR="00F65468">
        <w:rPr>
          <w:rFonts w:ascii="Times New Roman" w:eastAsia="Times New Roman" w:hAnsi="Times New Roman" w:cs="Times New Roman"/>
          <w:sz w:val="24"/>
          <w:szCs w:val="24"/>
          <w:highlight w:val="white"/>
        </w:rPr>
        <w:t xml:space="preserve"> Given the short half-life of this element (1599 years), </w:t>
      </w:r>
      <w:r w:rsidR="00B3404D">
        <w:rPr>
          <w:rFonts w:ascii="Times New Roman" w:eastAsia="Times New Roman" w:hAnsi="Times New Roman" w:cs="Times New Roman"/>
          <w:sz w:val="24"/>
          <w:szCs w:val="24"/>
          <w:highlight w:val="white"/>
        </w:rPr>
        <w:t>t</w:t>
      </w:r>
      <w:r w:rsidR="00F65468">
        <w:rPr>
          <w:rFonts w:ascii="Times New Roman" w:eastAsia="Times New Roman" w:hAnsi="Times New Roman" w:cs="Times New Roman"/>
          <w:sz w:val="24"/>
          <w:szCs w:val="24"/>
          <w:highlight w:val="white"/>
        </w:rPr>
        <w:t xml:space="preserve">his Ra-loss may possibly be a very recent overprint </w:t>
      </w:r>
      <w:r w:rsidR="00B3404D">
        <w:rPr>
          <w:rFonts w:ascii="Times New Roman" w:eastAsia="Times New Roman" w:hAnsi="Times New Roman" w:cs="Times New Roman"/>
          <w:sz w:val="24"/>
          <w:szCs w:val="24"/>
          <w:highlight w:val="white"/>
        </w:rPr>
        <w:t>associated</w:t>
      </w:r>
      <w:r w:rsidR="00F65468">
        <w:rPr>
          <w:rFonts w:ascii="Times New Roman" w:eastAsia="Times New Roman" w:hAnsi="Times New Roman" w:cs="Times New Roman"/>
          <w:sz w:val="24"/>
          <w:szCs w:val="24"/>
          <w:highlight w:val="white"/>
        </w:rPr>
        <w:t xml:space="preserve"> with some </w:t>
      </w:r>
      <w:r w:rsidR="00EA1693">
        <w:rPr>
          <w:rFonts w:ascii="Times New Roman" w:eastAsia="Times New Roman" w:hAnsi="Times New Roman" w:cs="Times New Roman"/>
          <w:sz w:val="24"/>
          <w:szCs w:val="24"/>
          <w:highlight w:val="white"/>
        </w:rPr>
        <w:t xml:space="preserve">late Holocene </w:t>
      </w:r>
      <w:r w:rsidR="00F65468">
        <w:rPr>
          <w:rFonts w:ascii="Times New Roman" w:eastAsia="Times New Roman" w:hAnsi="Times New Roman" w:cs="Times New Roman"/>
          <w:sz w:val="24"/>
          <w:szCs w:val="24"/>
          <w:highlight w:val="white"/>
        </w:rPr>
        <w:t>changes in the geochemical conditions of the surrounding environment</w:t>
      </w:r>
      <w:r w:rsidR="00B3404D">
        <w:rPr>
          <w:rFonts w:ascii="Times New Roman" w:eastAsia="Times New Roman" w:hAnsi="Times New Roman" w:cs="Times New Roman"/>
          <w:sz w:val="24"/>
          <w:szCs w:val="24"/>
          <w:highlight w:val="white"/>
        </w:rPr>
        <w:t xml:space="preserve">, and is unlikely to be representative of the </w:t>
      </w:r>
      <w:r w:rsidR="00EA1693">
        <w:rPr>
          <w:rFonts w:ascii="Times New Roman" w:eastAsia="Times New Roman" w:hAnsi="Times New Roman" w:cs="Times New Roman"/>
          <w:sz w:val="24"/>
          <w:szCs w:val="24"/>
          <w:highlight w:val="white"/>
        </w:rPr>
        <w:t xml:space="preserve">full </w:t>
      </w:r>
      <w:r w:rsidR="00F65468">
        <w:rPr>
          <w:rFonts w:ascii="Times New Roman" w:eastAsia="Times New Roman" w:hAnsi="Times New Roman" w:cs="Times New Roman"/>
          <w:sz w:val="24"/>
          <w:szCs w:val="24"/>
          <w:highlight w:val="white"/>
        </w:rPr>
        <w:t xml:space="preserve">burial history </w:t>
      </w:r>
      <w:r w:rsidR="00B3404D">
        <w:rPr>
          <w:rFonts w:ascii="Times New Roman" w:eastAsia="Times New Roman" w:hAnsi="Times New Roman" w:cs="Times New Roman"/>
          <w:sz w:val="24"/>
          <w:szCs w:val="24"/>
          <w:highlight w:val="white"/>
        </w:rPr>
        <w:t>of the sample</w:t>
      </w:r>
      <w:r w:rsidR="00F65468">
        <w:rPr>
          <w:rFonts w:ascii="Times New Roman" w:eastAsia="Times New Roman" w:hAnsi="Times New Roman" w:cs="Times New Roman"/>
          <w:sz w:val="24"/>
          <w:szCs w:val="24"/>
          <w:highlight w:val="white"/>
        </w:rPr>
        <w:t>.</w:t>
      </w:r>
      <w:r w:rsidR="00B9564D" w:rsidRPr="005F44EF">
        <w:rPr>
          <w:rFonts w:ascii="Times New Roman" w:eastAsia="Times New Roman" w:hAnsi="Times New Roman" w:cs="Times New Roman"/>
          <w:sz w:val="24"/>
          <w:szCs w:val="24"/>
          <w:highlight w:val="white"/>
        </w:rPr>
        <w:t xml:space="preserve"> </w:t>
      </w:r>
      <w:bookmarkEnd w:id="61"/>
      <w:r w:rsidR="00F65468">
        <w:rPr>
          <w:rFonts w:ascii="Times New Roman" w:eastAsia="Times New Roman" w:hAnsi="Times New Roman" w:cs="Times New Roman"/>
          <w:sz w:val="24"/>
          <w:szCs w:val="24"/>
          <w:highlight w:val="white"/>
        </w:rPr>
        <w:t xml:space="preserve">Regardless, assuming that </w:t>
      </w:r>
      <w:r w:rsidR="00561E9D" w:rsidRPr="005F44EF">
        <w:rPr>
          <w:rFonts w:ascii="Times New Roman" w:eastAsia="Times New Roman" w:hAnsi="Times New Roman" w:cs="Times New Roman"/>
          <w:sz w:val="24"/>
          <w:szCs w:val="24"/>
          <w:highlight w:val="white"/>
        </w:rPr>
        <w:t>this</w:t>
      </w:r>
      <w:r w:rsidR="00B9564D" w:rsidRPr="005F44EF">
        <w:rPr>
          <w:rFonts w:ascii="Times New Roman" w:eastAsia="Times New Roman" w:hAnsi="Times New Roman" w:cs="Times New Roman"/>
          <w:sz w:val="24"/>
          <w:szCs w:val="24"/>
          <w:highlight w:val="white"/>
        </w:rPr>
        <w:t xml:space="preserve"> disequilibrium </w:t>
      </w:r>
      <w:r w:rsidR="00F65468">
        <w:rPr>
          <w:rFonts w:ascii="Times New Roman" w:eastAsia="Times New Roman" w:hAnsi="Times New Roman" w:cs="Times New Roman"/>
          <w:sz w:val="24"/>
          <w:szCs w:val="24"/>
          <w:highlight w:val="white"/>
        </w:rPr>
        <w:t xml:space="preserve">has prevailed throughout the burial history </w:t>
      </w:r>
      <w:r w:rsidR="001D37CA" w:rsidRPr="005F44EF">
        <w:rPr>
          <w:rFonts w:ascii="Times New Roman" w:eastAsia="Times New Roman" w:hAnsi="Times New Roman" w:cs="Times New Roman"/>
          <w:sz w:val="24"/>
          <w:szCs w:val="24"/>
          <w:highlight w:val="white"/>
        </w:rPr>
        <w:t xml:space="preserve">has no significant impact on the dose rate: the values assuming equilibrium </w:t>
      </w:r>
      <w:r w:rsidR="00B9564D" w:rsidRPr="005F44EF">
        <w:rPr>
          <w:rFonts w:ascii="Times New Roman" w:eastAsia="Times New Roman" w:hAnsi="Times New Roman" w:cs="Times New Roman"/>
          <w:sz w:val="24"/>
          <w:szCs w:val="24"/>
          <w:highlight w:val="white"/>
        </w:rPr>
        <w:t xml:space="preserve">(from 1219±46 to 1169±44 </w:t>
      </w:r>
      <w:r w:rsidR="00B9564D" w:rsidRPr="005F44EF">
        <w:rPr>
          <w:rFonts w:ascii="Times New Roman" w:eastAsia="Times New Roman" w:hAnsi="Times New Roman" w:cs="Times New Roman"/>
          <w:sz w:val="24"/>
          <w:szCs w:val="24"/>
        </w:rPr>
        <w:t>μGy/a</w:t>
      </w:r>
      <w:r w:rsidR="00B9564D" w:rsidRPr="005F44EF">
        <w:rPr>
          <w:rFonts w:ascii="Times New Roman" w:eastAsia="Times New Roman" w:hAnsi="Times New Roman" w:cs="Times New Roman"/>
          <w:sz w:val="24"/>
          <w:szCs w:val="24"/>
          <w:highlight w:val="white"/>
        </w:rPr>
        <w:t xml:space="preserve">) </w:t>
      </w:r>
      <w:r w:rsidR="001D37CA" w:rsidRPr="005F44EF">
        <w:rPr>
          <w:rFonts w:ascii="Times New Roman" w:eastAsia="Times New Roman" w:hAnsi="Times New Roman" w:cs="Times New Roman"/>
          <w:sz w:val="24"/>
          <w:szCs w:val="24"/>
          <w:highlight w:val="white"/>
        </w:rPr>
        <w:t>and constant post-</w:t>
      </w:r>
      <w:r w:rsidR="00F65468" w:rsidRPr="005F44EF">
        <w:rPr>
          <w:rFonts w:ascii="Times New Roman" w:eastAsia="Times New Roman" w:hAnsi="Times New Roman" w:cs="Times New Roman"/>
          <w:sz w:val="24"/>
          <w:szCs w:val="24"/>
          <w:highlight w:val="white"/>
        </w:rPr>
        <w:t>R</w:t>
      </w:r>
      <w:r w:rsidR="00F65468">
        <w:rPr>
          <w:rFonts w:ascii="Times New Roman" w:eastAsia="Times New Roman" w:hAnsi="Times New Roman" w:cs="Times New Roman"/>
          <w:sz w:val="24"/>
          <w:szCs w:val="24"/>
          <w:highlight w:val="white"/>
        </w:rPr>
        <w:t>a</w:t>
      </w:r>
      <w:r w:rsidR="00F65468" w:rsidRPr="005F44EF">
        <w:rPr>
          <w:rFonts w:ascii="Times New Roman" w:eastAsia="Times New Roman" w:hAnsi="Times New Roman" w:cs="Times New Roman"/>
          <w:sz w:val="24"/>
          <w:szCs w:val="24"/>
          <w:highlight w:val="white"/>
        </w:rPr>
        <w:t xml:space="preserve"> </w:t>
      </w:r>
      <w:r w:rsidR="001D37CA" w:rsidRPr="005F44EF">
        <w:rPr>
          <w:rFonts w:ascii="Times New Roman" w:eastAsia="Times New Roman" w:hAnsi="Times New Roman" w:cs="Times New Roman"/>
          <w:sz w:val="24"/>
          <w:szCs w:val="24"/>
          <w:highlight w:val="white"/>
        </w:rPr>
        <w:t>disequilibrium (from 1171±42 to 1136±41</w:t>
      </w:r>
      <w:r w:rsidR="001D37CA" w:rsidRPr="005F44EF">
        <w:rPr>
          <w:rFonts w:ascii="Times New Roman" w:eastAsia="Times New Roman" w:hAnsi="Times New Roman" w:cs="Times New Roman"/>
          <w:sz w:val="24"/>
          <w:szCs w:val="24"/>
        </w:rPr>
        <w:t xml:space="preserve"> μGy/a</w:t>
      </w:r>
      <w:r w:rsidR="001D37CA" w:rsidRPr="005F44EF">
        <w:rPr>
          <w:rFonts w:ascii="Times New Roman" w:eastAsia="Times New Roman" w:hAnsi="Times New Roman" w:cs="Times New Roman"/>
          <w:sz w:val="24"/>
          <w:szCs w:val="24"/>
          <w:highlight w:val="white"/>
        </w:rPr>
        <w:t>) slightly differ by only 2-4 %, resulting in a limited impact on the calculated</w:t>
      </w:r>
      <w:r w:rsidR="000B08EA" w:rsidRPr="005F44EF">
        <w:rPr>
          <w:rFonts w:ascii="Times New Roman" w:eastAsia="Times New Roman" w:hAnsi="Times New Roman" w:cs="Times New Roman"/>
          <w:sz w:val="24"/>
          <w:szCs w:val="24"/>
          <w:highlight w:val="white"/>
        </w:rPr>
        <w:t xml:space="preserve"> OSL and ESR</w:t>
      </w:r>
      <w:r w:rsidR="001D37CA" w:rsidRPr="005F44EF">
        <w:rPr>
          <w:rFonts w:ascii="Times New Roman" w:eastAsia="Times New Roman" w:hAnsi="Times New Roman" w:cs="Times New Roman"/>
          <w:sz w:val="24"/>
          <w:szCs w:val="24"/>
          <w:highlight w:val="white"/>
        </w:rPr>
        <w:t xml:space="preserve"> age. </w:t>
      </w:r>
      <w:r w:rsidR="007F6D24" w:rsidRPr="005F44EF">
        <w:rPr>
          <w:rFonts w:ascii="Times New Roman" w:eastAsia="Times New Roman" w:hAnsi="Times New Roman" w:cs="Times New Roman"/>
          <w:sz w:val="24"/>
          <w:szCs w:val="24"/>
          <w:highlight w:val="white"/>
        </w:rPr>
        <w:t xml:space="preserve">HGRS and ICP </w:t>
      </w:r>
      <w:r w:rsidR="0056120E" w:rsidRPr="005F44EF">
        <w:rPr>
          <w:rFonts w:ascii="Times New Roman" w:eastAsia="Times New Roman" w:hAnsi="Times New Roman" w:cs="Times New Roman"/>
          <w:sz w:val="24"/>
          <w:szCs w:val="24"/>
          <w:highlight w:val="white"/>
        </w:rPr>
        <w:t xml:space="preserve">analytical results are overall </w:t>
      </w:r>
      <w:r w:rsidR="007F6D24" w:rsidRPr="005F44EF">
        <w:rPr>
          <w:rFonts w:ascii="Times New Roman" w:eastAsia="Times New Roman" w:hAnsi="Times New Roman" w:cs="Times New Roman"/>
          <w:sz w:val="24"/>
          <w:szCs w:val="24"/>
          <w:highlight w:val="white"/>
        </w:rPr>
        <w:t>consistent. F</w:t>
      </w:r>
      <w:r w:rsidR="00B9564D" w:rsidRPr="005F44EF">
        <w:rPr>
          <w:rFonts w:ascii="Times New Roman" w:eastAsia="Times New Roman" w:hAnsi="Times New Roman" w:cs="Times New Roman"/>
          <w:sz w:val="24"/>
          <w:szCs w:val="24"/>
          <w:highlight w:val="white"/>
        </w:rPr>
        <w:t xml:space="preserve">inal ages parameters </w:t>
      </w:r>
      <w:r w:rsidR="0056120E" w:rsidRPr="005F44EF">
        <w:rPr>
          <w:rFonts w:ascii="Times New Roman" w:eastAsia="Times New Roman" w:hAnsi="Times New Roman" w:cs="Times New Roman"/>
          <w:sz w:val="24"/>
          <w:szCs w:val="24"/>
          <w:highlight w:val="white"/>
        </w:rPr>
        <w:t>calculations are based on the</w:t>
      </w:r>
      <w:r w:rsidR="00B9564D" w:rsidRPr="005F44EF">
        <w:rPr>
          <w:rFonts w:ascii="Times New Roman" w:eastAsia="Times New Roman" w:hAnsi="Times New Roman" w:cs="Times New Roman"/>
          <w:sz w:val="24"/>
          <w:szCs w:val="24"/>
          <w:highlight w:val="white"/>
        </w:rPr>
        <w:t xml:space="preserve"> ICP-MS </w:t>
      </w:r>
      <w:r w:rsidR="001D37CA" w:rsidRPr="005F44EF">
        <w:rPr>
          <w:rFonts w:ascii="Times New Roman" w:eastAsia="Times New Roman" w:hAnsi="Times New Roman" w:cs="Times New Roman"/>
          <w:sz w:val="24"/>
          <w:szCs w:val="24"/>
          <w:highlight w:val="white"/>
        </w:rPr>
        <w:t xml:space="preserve">data for U and Th </w:t>
      </w:r>
      <w:r w:rsidR="00B9564D" w:rsidRPr="005F44EF">
        <w:rPr>
          <w:rFonts w:ascii="Times New Roman" w:eastAsia="Times New Roman" w:hAnsi="Times New Roman" w:cs="Times New Roman"/>
          <w:sz w:val="24"/>
          <w:szCs w:val="24"/>
          <w:highlight w:val="white"/>
        </w:rPr>
        <w:t>(</w:t>
      </w:r>
      <w:r w:rsidR="00B9564D" w:rsidRPr="005F44EF">
        <w:rPr>
          <w:rFonts w:ascii="Times New Roman" w:eastAsia="Times New Roman" w:hAnsi="Times New Roman" w:cs="Times New Roman"/>
          <w:b/>
          <w:sz w:val="24"/>
          <w:szCs w:val="24"/>
        </w:rPr>
        <w:t>Table S6 and S7</w:t>
      </w:r>
      <w:r w:rsidR="001D37CA" w:rsidRPr="005F44EF">
        <w:rPr>
          <w:rFonts w:ascii="Times New Roman" w:eastAsia="Times New Roman" w:hAnsi="Times New Roman" w:cs="Times New Roman"/>
          <w:sz w:val="24"/>
          <w:szCs w:val="24"/>
          <w:highlight w:val="white"/>
        </w:rPr>
        <w:t xml:space="preserve">), HRGS K content, the latter being close to the detection limit </w:t>
      </w:r>
      <w:r w:rsidR="0033130D" w:rsidRPr="005F44EF">
        <w:rPr>
          <w:rFonts w:ascii="Times New Roman" w:eastAsia="Times New Roman" w:hAnsi="Times New Roman" w:cs="Times New Roman"/>
          <w:sz w:val="24"/>
          <w:szCs w:val="24"/>
          <w:highlight w:val="white"/>
        </w:rPr>
        <w:t>(~0.1 %)</w:t>
      </w:r>
      <w:r w:rsidR="0056120E" w:rsidRPr="005F44EF">
        <w:rPr>
          <w:rFonts w:ascii="Times New Roman" w:eastAsia="Times New Roman" w:hAnsi="Times New Roman" w:cs="Times New Roman"/>
          <w:sz w:val="24"/>
          <w:szCs w:val="24"/>
          <w:highlight w:val="white"/>
        </w:rPr>
        <w:t xml:space="preserve"> </w:t>
      </w:r>
      <w:r w:rsidR="001D37CA" w:rsidRPr="005F44EF">
        <w:rPr>
          <w:rFonts w:ascii="Times New Roman" w:eastAsia="Times New Roman" w:hAnsi="Times New Roman" w:cs="Times New Roman"/>
          <w:sz w:val="24"/>
          <w:szCs w:val="24"/>
          <w:highlight w:val="white"/>
        </w:rPr>
        <w:t>of ICP analysis.</w:t>
      </w:r>
      <w:r w:rsidR="000D62DC" w:rsidRPr="005F44EF">
        <w:rPr>
          <w:rFonts w:ascii="Times New Roman" w:eastAsia="Times New Roman" w:hAnsi="Times New Roman" w:cs="Times New Roman"/>
          <w:sz w:val="24"/>
          <w:szCs w:val="24"/>
          <w:highlight w:val="white"/>
        </w:rPr>
        <w:t xml:space="preserve"> </w:t>
      </w:r>
    </w:p>
    <w:p w14:paraId="48530FBF" w14:textId="77777777" w:rsidR="00BB7AA9" w:rsidRPr="005F44EF" w:rsidRDefault="00BB7AA9">
      <w:pPr>
        <w:spacing w:after="0" w:line="276" w:lineRule="auto"/>
        <w:jc w:val="both"/>
        <w:rPr>
          <w:rFonts w:ascii="Times New Roman" w:eastAsia="Times New Roman" w:hAnsi="Times New Roman" w:cs="Times New Roman"/>
          <w:sz w:val="24"/>
          <w:szCs w:val="24"/>
        </w:rPr>
        <w:sectPr w:rsidR="00BB7AA9" w:rsidRPr="005F44EF">
          <w:pgSz w:w="12240" w:h="15840"/>
          <w:pgMar w:top="1417" w:right="1417" w:bottom="1134" w:left="1417" w:header="720" w:footer="720" w:gutter="0"/>
          <w:lnNumType w:countBy="1" w:restart="continuous"/>
          <w:cols w:space="720"/>
        </w:sectPr>
      </w:pPr>
    </w:p>
    <w:p w14:paraId="358FF30C" w14:textId="6C373459" w:rsidR="00BB7AA9" w:rsidRPr="005F44EF" w:rsidRDefault="00B9564D">
      <w:pPr>
        <w:keepNext/>
        <w:spacing w:after="0" w:line="276" w:lineRule="auto"/>
        <w:jc w:val="both"/>
        <w:rPr>
          <w:rFonts w:ascii="Times New Roman" w:eastAsia="Times New Roman" w:hAnsi="Times New Roman" w:cs="Times New Roman"/>
          <w:sz w:val="24"/>
          <w:szCs w:val="24"/>
        </w:rPr>
      </w:pPr>
      <w:bookmarkStart w:id="62" w:name="_Hlk170654557"/>
      <w:r w:rsidRPr="005F44EF">
        <w:rPr>
          <w:rFonts w:ascii="Times New Roman" w:eastAsia="Times New Roman" w:hAnsi="Times New Roman" w:cs="Times New Roman"/>
          <w:b/>
          <w:sz w:val="24"/>
          <w:szCs w:val="24"/>
        </w:rPr>
        <w:lastRenderedPageBreak/>
        <w:t xml:space="preserve">Table </w:t>
      </w:r>
      <w:r w:rsidR="008A78A0" w:rsidRPr="005F44EF">
        <w:rPr>
          <w:rFonts w:ascii="Times New Roman" w:eastAsia="Times New Roman" w:hAnsi="Times New Roman" w:cs="Times New Roman"/>
          <w:b/>
          <w:sz w:val="24"/>
          <w:szCs w:val="24"/>
        </w:rPr>
        <w:t>S6</w:t>
      </w:r>
      <w:r w:rsidRPr="005F44EF">
        <w:rPr>
          <w:rFonts w:ascii="Times New Roman" w:eastAsia="Times New Roman" w:hAnsi="Times New Roman" w:cs="Times New Roman"/>
          <w:b/>
          <w:sz w:val="24"/>
          <w:szCs w:val="24"/>
        </w:rPr>
        <w:t xml:space="preserve">: </w:t>
      </w:r>
      <w:r w:rsidR="00034172" w:rsidRPr="005F44EF">
        <w:rPr>
          <w:rFonts w:ascii="Times New Roman" w:eastAsia="Times New Roman" w:hAnsi="Times New Roman" w:cs="Times New Roman"/>
          <w:sz w:val="24"/>
          <w:szCs w:val="24"/>
        </w:rPr>
        <w:t xml:space="preserve">Final </w:t>
      </w:r>
      <w:r w:rsidRPr="005F44EF">
        <w:rPr>
          <w:rFonts w:ascii="Times New Roman" w:eastAsia="Times New Roman" w:hAnsi="Times New Roman" w:cs="Times New Roman"/>
          <w:sz w:val="24"/>
          <w:szCs w:val="24"/>
        </w:rPr>
        <w:t>ESR data derived from measuring the Ti-H and Ti-</w:t>
      </w:r>
      <w:r w:rsidR="006752E6">
        <w:rPr>
          <w:rFonts w:ascii="Times New Roman" w:eastAsia="Times New Roman" w:hAnsi="Times New Roman" w:cs="Times New Roman"/>
          <w:sz w:val="24"/>
          <w:szCs w:val="24"/>
        </w:rPr>
        <w:t>mix</w:t>
      </w:r>
      <w:r w:rsidRPr="005F44EF">
        <w:rPr>
          <w:rFonts w:ascii="Times New Roman" w:eastAsia="Times New Roman" w:hAnsi="Times New Roman" w:cs="Times New Roman"/>
          <w:sz w:val="24"/>
          <w:szCs w:val="24"/>
        </w:rPr>
        <w:t xml:space="preserve"> </w:t>
      </w:r>
      <w:r w:rsidR="00372D4D">
        <w:rPr>
          <w:rFonts w:ascii="Times New Roman" w:eastAsia="Times New Roman" w:hAnsi="Times New Roman" w:cs="Times New Roman"/>
          <w:sz w:val="24"/>
          <w:szCs w:val="24"/>
        </w:rPr>
        <w:t>signals</w:t>
      </w:r>
      <w:r w:rsidRPr="005F44EF">
        <w:rPr>
          <w:rFonts w:ascii="Times New Roman" w:eastAsia="Times New Roman" w:hAnsi="Times New Roman" w:cs="Times New Roman"/>
          <w:sz w:val="24"/>
          <w:szCs w:val="24"/>
        </w:rPr>
        <w:t xml:space="preserve">. </w:t>
      </w:r>
      <w:bookmarkEnd w:id="62"/>
      <w:r w:rsidRPr="005F44EF">
        <w:rPr>
          <w:rFonts w:ascii="Times New Roman" w:eastAsia="Times New Roman" w:hAnsi="Times New Roman" w:cs="Times New Roman"/>
          <w:sz w:val="24"/>
          <w:szCs w:val="24"/>
        </w:rPr>
        <w:t xml:space="preserve">*Average S/N </w:t>
      </w:r>
      <w:r w:rsidR="0039668B" w:rsidRPr="005F44EF">
        <w:rPr>
          <w:rFonts w:ascii="Times New Roman" w:hAnsi="Times New Roman" w:cs="Times New Roman"/>
          <w:color w:val="000000"/>
          <w:sz w:val="24"/>
          <w:szCs w:val="24"/>
          <w:lang w:val="en-US"/>
        </w:rPr>
        <w:t xml:space="preserve">value calculated from the repeated measurement of </w:t>
      </w:r>
      <w:r w:rsidRPr="005F44EF">
        <w:rPr>
          <w:rFonts w:ascii="Times New Roman" w:eastAsia="Times New Roman" w:hAnsi="Times New Roman" w:cs="Times New Roman"/>
          <w:sz w:val="24"/>
          <w:szCs w:val="24"/>
        </w:rPr>
        <w:t xml:space="preserve">he natural aliquot. The </w:t>
      </w:r>
      <w:bookmarkStart w:id="63" w:name="_Hlk181693293"/>
      <w:r w:rsidRPr="005F44EF">
        <w:rPr>
          <w:rFonts w:ascii="Times New Roman" w:eastAsia="Times New Roman" w:hAnsi="Times New Roman" w:cs="Times New Roman"/>
          <w:sz w:val="24"/>
          <w:szCs w:val="24"/>
        </w:rPr>
        <w:t xml:space="preserve">ESR intensities repeatability </w:t>
      </w:r>
      <w:bookmarkEnd w:id="63"/>
      <w:r w:rsidR="00AC0D73">
        <w:rPr>
          <w:rFonts w:ascii="Times New Roman" w:eastAsia="Times New Roman" w:hAnsi="Times New Roman" w:cs="Times New Roman"/>
          <w:sz w:val="24"/>
          <w:szCs w:val="24"/>
        </w:rPr>
        <w:t>is expressed as</w:t>
      </w:r>
      <w:r w:rsidR="00AC0D73"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 xml:space="preserve">the relative standard deviation </w:t>
      </w:r>
      <w:r w:rsidR="00267335">
        <w:rPr>
          <w:rFonts w:ascii="Times New Roman" w:eastAsia="Times New Roman" w:hAnsi="Times New Roman" w:cs="Times New Roman"/>
          <w:sz w:val="24"/>
          <w:szCs w:val="24"/>
        </w:rPr>
        <w:t xml:space="preserve">(coefficient of variation) </w:t>
      </w:r>
      <w:r w:rsidRPr="005F44EF">
        <w:rPr>
          <w:rFonts w:ascii="Times New Roman" w:eastAsia="Times New Roman" w:hAnsi="Times New Roman" w:cs="Times New Roman"/>
          <w:sz w:val="24"/>
          <w:szCs w:val="24"/>
        </w:rPr>
        <w:t xml:space="preserve">of the average ESR intensities obtained from each set of ESR measurement. The </w:t>
      </w:r>
      <w:bookmarkStart w:id="64" w:name="_Hlk181693300"/>
      <w:r w:rsidRPr="005F44EF">
        <w:rPr>
          <w:rFonts w:ascii="Times New Roman" w:eastAsia="Times New Roman" w:hAnsi="Times New Roman" w:cs="Times New Roman"/>
          <w:sz w:val="24"/>
          <w:szCs w:val="24"/>
        </w:rPr>
        <w:t>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repeatability </w:t>
      </w:r>
      <w:bookmarkEnd w:id="64"/>
      <w:r w:rsidRPr="005F44EF">
        <w:rPr>
          <w:rFonts w:ascii="Times New Roman" w:eastAsia="Times New Roman" w:hAnsi="Times New Roman" w:cs="Times New Roman"/>
          <w:sz w:val="24"/>
          <w:szCs w:val="24"/>
        </w:rPr>
        <w:t>is evaluated via the variability of the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values obtained after each set of measurement</w:t>
      </w:r>
      <w:r w:rsidR="00267335">
        <w:rPr>
          <w:rFonts w:ascii="Times New Roman" w:eastAsia="Times New Roman" w:hAnsi="Times New Roman" w:cs="Times New Roman"/>
          <w:sz w:val="24"/>
          <w:szCs w:val="24"/>
        </w:rPr>
        <w:t>,</w:t>
      </w:r>
      <w:r w:rsidRPr="005F44EF">
        <w:rPr>
          <w:rFonts w:ascii="Times New Roman" w:eastAsia="Times New Roman" w:hAnsi="Times New Roman" w:cs="Times New Roman"/>
          <w:sz w:val="24"/>
          <w:szCs w:val="24"/>
        </w:rPr>
        <w:t xml:space="preserve"> and </w:t>
      </w:r>
      <w:r w:rsidR="00267335">
        <w:rPr>
          <w:rFonts w:ascii="Times New Roman" w:eastAsia="Times New Roman" w:hAnsi="Times New Roman" w:cs="Times New Roman"/>
          <w:sz w:val="24"/>
          <w:szCs w:val="24"/>
        </w:rPr>
        <w:t>calculated</w:t>
      </w:r>
      <w:r w:rsidR="00AC0D73"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 xml:space="preserve">as the relative standard deviation </w:t>
      </w:r>
      <w:r w:rsidR="00AC0D73">
        <w:rPr>
          <w:rFonts w:ascii="Times New Roman" w:eastAsia="Times New Roman" w:hAnsi="Times New Roman" w:cs="Times New Roman"/>
          <w:sz w:val="24"/>
          <w:szCs w:val="24"/>
        </w:rPr>
        <w:t xml:space="preserve">(coefficient of variation) </w:t>
      </w:r>
      <w:r w:rsidR="00267335">
        <w:rPr>
          <w:rFonts w:ascii="Times New Roman" w:eastAsia="Times New Roman" w:hAnsi="Times New Roman" w:cs="Times New Roman"/>
          <w:sz w:val="24"/>
          <w:szCs w:val="24"/>
        </w:rPr>
        <w:t>from the mean value</w:t>
      </w:r>
      <w:r w:rsidRPr="005F44EF">
        <w:rPr>
          <w:rFonts w:ascii="Times New Roman" w:eastAsia="Times New Roman" w:hAnsi="Times New Roman" w:cs="Times New Roman"/>
          <w:sz w:val="24"/>
          <w:szCs w:val="24"/>
        </w:rPr>
        <w:t>.</w:t>
      </w:r>
      <w:r w:rsidR="0033130D" w:rsidRPr="005F44EF">
        <w:rPr>
          <w:rFonts w:ascii="Times New Roman" w:eastAsia="Times New Roman" w:hAnsi="Times New Roman" w:cs="Times New Roman"/>
          <w:sz w:val="24"/>
          <w:szCs w:val="24"/>
        </w:rPr>
        <w:t xml:space="preserve"> </w:t>
      </w:r>
      <w:r w:rsidR="00AC0D73" w:rsidRPr="00AC0D73">
        <w:rPr>
          <w:rFonts w:ascii="Times New Roman" w:eastAsia="Times New Roman" w:hAnsi="Times New Roman" w:cs="Times New Roman"/>
          <w:sz w:val="24"/>
          <w:szCs w:val="24"/>
        </w:rPr>
        <w:t>Mean aliquot weight</w:t>
      </w:r>
      <w:r w:rsidR="00AC0D73">
        <w:rPr>
          <w:rFonts w:ascii="Times New Roman" w:eastAsia="Times New Roman" w:hAnsi="Times New Roman" w:cs="Times New Roman"/>
          <w:sz w:val="24"/>
          <w:szCs w:val="24"/>
        </w:rPr>
        <w:t>s are reported in Table S4.</w:t>
      </w:r>
    </w:p>
    <w:p w14:paraId="6E6BE9F9" w14:textId="77777777" w:rsidR="00BB7AA9" w:rsidRPr="005F44EF" w:rsidRDefault="00BB7AA9">
      <w:pPr>
        <w:keepNext/>
        <w:spacing w:after="0" w:line="276" w:lineRule="auto"/>
        <w:jc w:val="both"/>
        <w:rPr>
          <w:rFonts w:ascii="Times New Roman" w:eastAsia="Times New Roman" w:hAnsi="Times New Roman" w:cs="Times New Roman"/>
          <w:color w:val="404040"/>
          <w:sz w:val="20"/>
          <w:szCs w:val="20"/>
        </w:rPr>
      </w:pPr>
      <w:bookmarkStart w:id="65" w:name="_g4w633f591o9" w:colFirst="0" w:colLast="0"/>
      <w:bookmarkEnd w:id="65"/>
    </w:p>
    <w:tbl>
      <w:tblPr>
        <w:tblStyle w:val="a2"/>
        <w:tblW w:w="13422" w:type="dxa"/>
        <w:tblLayout w:type="fixed"/>
        <w:tblLook w:val="0400" w:firstRow="0" w:lastRow="0" w:firstColumn="0" w:lastColumn="0" w:noHBand="0" w:noVBand="1"/>
      </w:tblPr>
      <w:tblGrid>
        <w:gridCol w:w="1120"/>
        <w:gridCol w:w="1444"/>
        <w:gridCol w:w="1444"/>
        <w:gridCol w:w="2155"/>
        <w:gridCol w:w="1771"/>
        <w:gridCol w:w="824"/>
        <w:gridCol w:w="1508"/>
        <w:gridCol w:w="1022"/>
        <w:gridCol w:w="223"/>
        <w:gridCol w:w="985"/>
        <w:gridCol w:w="926"/>
      </w:tblGrid>
      <w:tr w:rsidR="00E94E7E" w:rsidRPr="00372D4D" w14:paraId="1A77BF7C" w14:textId="77777777" w:rsidTr="00E94E7E">
        <w:trPr>
          <w:trHeight w:val="461"/>
        </w:trPr>
        <w:tc>
          <w:tcPr>
            <w:tcW w:w="13422" w:type="dxa"/>
            <w:gridSpan w:val="11"/>
            <w:tcBorders>
              <w:top w:val="single" w:sz="4" w:space="0" w:color="auto"/>
              <w:left w:val="nil"/>
              <w:bottom w:val="single" w:sz="4" w:space="0" w:color="000000"/>
              <w:right w:val="nil"/>
            </w:tcBorders>
            <w:shd w:val="clear" w:color="auto" w:fill="D9D9D9" w:themeFill="background1" w:themeFillShade="D9"/>
            <w:vAlign w:val="center"/>
          </w:tcPr>
          <w:p w14:paraId="6815457F" w14:textId="42E08221" w:rsidR="00E94E7E" w:rsidRPr="00D1135F" w:rsidRDefault="00E94E7E" w:rsidP="0056119E">
            <w:pPr>
              <w:spacing w:after="0" w:line="276" w:lineRule="auto"/>
              <w:jc w:val="center"/>
              <w:rPr>
                <w:rFonts w:ascii="Times New Roman" w:eastAsia="Times New Roman" w:hAnsi="Times New Roman" w:cs="Times New Roman"/>
                <w:b/>
                <w:color w:val="000000"/>
                <w:sz w:val="18"/>
                <w:szCs w:val="18"/>
                <w:lang w:val="en-AU"/>
              </w:rPr>
            </w:pPr>
            <w:r w:rsidRPr="00D1135F">
              <w:rPr>
                <w:rFonts w:ascii="Times New Roman" w:eastAsia="Times New Roman" w:hAnsi="Times New Roman" w:cs="Times New Roman"/>
                <w:b/>
                <w:color w:val="000000"/>
                <w:sz w:val="18"/>
                <w:szCs w:val="18"/>
                <w:lang w:val="en-AU"/>
              </w:rPr>
              <w:t xml:space="preserve">Ti-H </w:t>
            </w:r>
            <w:r w:rsidR="00372D4D" w:rsidRPr="00D1135F">
              <w:rPr>
                <w:rFonts w:ascii="Times New Roman" w:eastAsia="Times New Roman" w:hAnsi="Times New Roman" w:cs="Times New Roman"/>
                <w:b/>
                <w:color w:val="000000"/>
                <w:sz w:val="18"/>
                <w:szCs w:val="18"/>
                <w:lang w:val="en-AU"/>
              </w:rPr>
              <w:t xml:space="preserve">signal </w:t>
            </w:r>
            <w:r w:rsidRPr="00D1135F">
              <w:rPr>
                <w:rFonts w:ascii="Times New Roman" w:eastAsia="Times New Roman" w:hAnsi="Times New Roman" w:cs="Times New Roman"/>
                <w:b/>
                <w:color w:val="000000"/>
                <w:sz w:val="18"/>
                <w:szCs w:val="18"/>
                <w:lang w:val="en-AU"/>
              </w:rPr>
              <w:t>(Option C)</w:t>
            </w:r>
          </w:p>
        </w:tc>
      </w:tr>
      <w:tr w:rsidR="004E18A5" w:rsidRPr="005F44EF" w14:paraId="0F0639F6" w14:textId="77777777" w:rsidTr="00E94E7E">
        <w:trPr>
          <w:trHeight w:val="461"/>
        </w:trPr>
        <w:tc>
          <w:tcPr>
            <w:tcW w:w="1120" w:type="dxa"/>
            <w:tcBorders>
              <w:top w:val="nil"/>
              <w:left w:val="nil"/>
              <w:bottom w:val="single" w:sz="4" w:space="0" w:color="000000"/>
              <w:right w:val="nil"/>
            </w:tcBorders>
            <w:shd w:val="clear" w:color="auto" w:fill="D9D9D9" w:themeFill="background1" w:themeFillShade="D9"/>
            <w:vAlign w:val="center"/>
          </w:tcPr>
          <w:p w14:paraId="0C02B75D" w14:textId="77777777" w:rsidR="004E18A5" w:rsidRPr="005F44EF" w:rsidRDefault="004E18A5" w:rsidP="00E94E7E">
            <w:pPr>
              <w:spacing w:after="0" w:line="276"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Sample</w:t>
            </w:r>
          </w:p>
        </w:tc>
        <w:tc>
          <w:tcPr>
            <w:tcW w:w="1444" w:type="dxa"/>
            <w:tcBorders>
              <w:top w:val="nil"/>
              <w:left w:val="nil"/>
              <w:bottom w:val="single" w:sz="4" w:space="0" w:color="000000"/>
              <w:right w:val="nil"/>
            </w:tcBorders>
            <w:shd w:val="clear" w:color="auto" w:fill="D9D9D9" w:themeFill="background1" w:themeFillShade="D9"/>
            <w:vAlign w:val="center"/>
          </w:tcPr>
          <w:p w14:paraId="5F5D220D" w14:textId="1A4C47B5" w:rsidR="004E18A5" w:rsidRPr="005F44EF" w:rsidRDefault="004E18A5" w:rsidP="00E94E7E">
            <w:pPr>
              <w:spacing w:after="0" w:line="276" w:lineRule="auto"/>
              <w:jc w:val="center"/>
              <w:rPr>
                <w:rFonts w:ascii="Times New Roman" w:eastAsia="Times New Roman" w:hAnsi="Times New Roman" w:cs="Times New Roman"/>
                <w:b/>
                <w:color w:val="000000"/>
                <w:sz w:val="18"/>
                <w:szCs w:val="18"/>
              </w:rPr>
            </w:pPr>
            <w:proofErr w:type="spellStart"/>
            <w:r w:rsidRPr="005F44EF">
              <w:rPr>
                <w:rFonts w:ascii="Times New Roman" w:hAnsi="Times New Roman" w:cs="Times New Roman"/>
                <w:b/>
                <w:color w:val="000000"/>
                <w:sz w:val="18"/>
                <w:szCs w:val="18"/>
                <w:lang w:val="fr-FR"/>
              </w:rPr>
              <w:t>Measurement</w:t>
            </w:r>
            <w:proofErr w:type="spellEnd"/>
            <w:r w:rsidRPr="005F44EF">
              <w:rPr>
                <w:rFonts w:ascii="Times New Roman" w:hAnsi="Times New Roman" w:cs="Times New Roman"/>
                <w:b/>
                <w:color w:val="000000"/>
                <w:sz w:val="18"/>
                <w:szCs w:val="18"/>
                <w:lang w:val="fr-FR"/>
              </w:rPr>
              <w:t xml:space="preserve"> </w:t>
            </w:r>
            <w:proofErr w:type="spellStart"/>
            <w:r w:rsidRPr="005F44EF">
              <w:rPr>
                <w:rFonts w:ascii="Times New Roman" w:hAnsi="Times New Roman" w:cs="Times New Roman"/>
                <w:b/>
                <w:color w:val="000000"/>
                <w:sz w:val="18"/>
                <w:szCs w:val="18"/>
                <w:lang w:val="fr-FR"/>
              </w:rPr>
              <w:t>method</w:t>
            </w:r>
            <w:proofErr w:type="spellEnd"/>
          </w:p>
        </w:tc>
        <w:tc>
          <w:tcPr>
            <w:tcW w:w="1444" w:type="dxa"/>
            <w:tcBorders>
              <w:top w:val="nil"/>
              <w:left w:val="nil"/>
              <w:bottom w:val="single" w:sz="4" w:space="0" w:color="000000"/>
              <w:right w:val="nil"/>
            </w:tcBorders>
            <w:shd w:val="clear" w:color="auto" w:fill="D9D9D9" w:themeFill="background1" w:themeFillShade="D9"/>
            <w:vAlign w:val="center"/>
          </w:tcPr>
          <w:p w14:paraId="5F411472" w14:textId="1632B3C3" w:rsidR="004E18A5" w:rsidRPr="005F44EF" w:rsidRDefault="004E18A5" w:rsidP="00E94E7E">
            <w:pPr>
              <w:spacing w:after="0" w:line="276"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Number of repeated measurements</w:t>
            </w:r>
          </w:p>
        </w:tc>
        <w:tc>
          <w:tcPr>
            <w:tcW w:w="2155" w:type="dxa"/>
            <w:tcBorders>
              <w:top w:val="nil"/>
              <w:left w:val="nil"/>
              <w:bottom w:val="single" w:sz="4" w:space="0" w:color="000000"/>
              <w:right w:val="nil"/>
            </w:tcBorders>
            <w:shd w:val="clear" w:color="auto" w:fill="D9D9D9" w:themeFill="background1" w:themeFillShade="D9"/>
            <w:vAlign w:val="center"/>
          </w:tcPr>
          <w:p w14:paraId="2390A4C6" w14:textId="0F8F07FC" w:rsidR="004E18A5" w:rsidRPr="005F44EF" w:rsidRDefault="004E18A5" w:rsidP="00E94E7E">
            <w:pPr>
              <w:spacing w:after="0" w:line="276"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Repeatability ESR intensities (%)</w:t>
            </w:r>
          </w:p>
        </w:tc>
        <w:tc>
          <w:tcPr>
            <w:tcW w:w="1771" w:type="dxa"/>
            <w:tcBorders>
              <w:top w:val="nil"/>
              <w:left w:val="nil"/>
              <w:bottom w:val="single" w:sz="4" w:space="0" w:color="000000"/>
              <w:right w:val="nil"/>
            </w:tcBorders>
            <w:shd w:val="clear" w:color="auto" w:fill="D9D9D9" w:themeFill="background1" w:themeFillShade="D9"/>
            <w:vAlign w:val="center"/>
          </w:tcPr>
          <w:p w14:paraId="5EBA32F4" w14:textId="60687D02" w:rsidR="004E18A5" w:rsidRPr="005F44EF" w:rsidRDefault="004E18A5" w:rsidP="00E94E7E">
            <w:pPr>
              <w:spacing w:after="0" w:line="276"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D</w:t>
            </w:r>
            <w:r w:rsidRPr="005F44EF">
              <w:rPr>
                <w:rFonts w:ascii="Times New Roman" w:eastAsia="Times New Roman" w:hAnsi="Times New Roman" w:cs="Times New Roman"/>
                <w:b/>
                <w:color w:val="000000"/>
                <w:sz w:val="18"/>
                <w:szCs w:val="18"/>
                <w:vertAlign w:val="subscript"/>
              </w:rPr>
              <w:t>e</w:t>
            </w:r>
            <w:r w:rsidRPr="005F44EF">
              <w:rPr>
                <w:rFonts w:ascii="Times New Roman" w:eastAsia="Times New Roman" w:hAnsi="Times New Roman" w:cs="Times New Roman"/>
                <w:b/>
                <w:color w:val="000000"/>
                <w:sz w:val="18"/>
                <w:szCs w:val="18"/>
              </w:rPr>
              <w:t xml:space="preserve"> repeatability (%)</w:t>
            </w:r>
          </w:p>
        </w:tc>
        <w:tc>
          <w:tcPr>
            <w:tcW w:w="824" w:type="dxa"/>
            <w:tcBorders>
              <w:top w:val="nil"/>
              <w:left w:val="nil"/>
              <w:bottom w:val="single" w:sz="4" w:space="0" w:color="000000"/>
              <w:right w:val="nil"/>
            </w:tcBorders>
            <w:shd w:val="clear" w:color="auto" w:fill="D9D9D9" w:themeFill="background1" w:themeFillShade="D9"/>
            <w:vAlign w:val="center"/>
          </w:tcPr>
          <w:p w14:paraId="284196CE" w14:textId="77777777" w:rsidR="004E18A5" w:rsidRPr="005F44EF" w:rsidRDefault="004E18A5" w:rsidP="00E94E7E">
            <w:pPr>
              <w:spacing w:after="0" w:line="276"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S/N*</w:t>
            </w:r>
          </w:p>
        </w:tc>
        <w:tc>
          <w:tcPr>
            <w:tcW w:w="2753" w:type="dxa"/>
            <w:gridSpan w:val="3"/>
            <w:tcBorders>
              <w:top w:val="single" w:sz="4" w:space="0" w:color="000000"/>
              <w:left w:val="nil"/>
              <w:bottom w:val="single" w:sz="4" w:space="0" w:color="000000"/>
              <w:right w:val="nil"/>
            </w:tcBorders>
            <w:shd w:val="clear" w:color="auto" w:fill="D9D9D9" w:themeFill="background1" w:themeFillShade="D9"/>
            <w:vAlign w:val="center"/>
          </w:tcPr>
          <w:p w14:paraId="77432058" w14:textId="781ACFC7" w:rsidR="004E18A5" w:rsidRPr="005F44EF" w:rsidRDefault="004E18A5" w:rsidP="00E94E7E">
            <w:pPr>
              <w:spacing w:after="0" w:line="276"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Ti-2 function (W-1/s</w:t>
            </w:r>
            <w:r w:rsidRPr="005F44EF">
              <w:rPr>
                <w:rFonts w:ascii="Times New Roman" w:eastAsia="Times New Roman" w:hAnsi="Times New Roman" w:cs="Times New Roman"/>
                <w:b/>
                <w:color w:val="000000"/>
                <w:sz w:val="18"/>
                <w:szCs w:val="18"/>
                <w:vertAlign w:val="superscript"/>
              </w:rPr>
              <w:t>2</w:t>
            </w:r>
            <w:r w:rsidRPr="005F44EF">
              <w:rPr>
                <w:rFonts w:ascii="Times New Roman" w:eastAsia="Times New Roman" w:hAnsi="Times New Roman" w:cs="Times New Roman"/>
                <w:b/>
                <w:color w:val="000000"/>
                <w:sz w:val="18"/>
                <w:szCs w:val="18"/>
              </w:rPr>
              <w:t>)</w:t>
            </w:r>
          </w:p>
          <w:p w14:paraId="653CC30F" w14:textId="27474B6D" w:rsidR="004E18A5" w:rsidRPr="005F44EF" w:rsidRDefault="004E18A5" w:rsidP="00E94E7E">
            <w:pPr>
              <w:spacing w:after="0" w:line="276"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D</w:t>
            </w:r>
            <w:r w:rsidRPr="005F44EF">
              <w:rPr>
                <w:rFonts w:ascii="Times New Roman" w:eastAsia="Times New Roman" w:hAnsi="Times New Roman" w:cs="Times New Roman"/>
                <w:b/>
                <w:color w:val="000000"/>
                <w:sz w:val="18"/>
                <w:szCs w:val="18"/>
                <w:vertAlign w:val="subscript"/>
              </w:rPr>
              <w:t>max</w:t>
            </w:r>
            <w:r w:rsidRPr="005F44EF">
              <w:rPr>
                <w:rFonts w:ascii="Times New Roman" w:eastAsia="Times New Roman" w:hAnsi="Times New Roman" w:cs="Times New Roman"/>
                <w:b/>
                <w:color w:val="000000"/>
                <w:sz w:val="18"/>
                <w:szCs w:val="18"/>
              </w:rPr>
              <w:t>=23 kGy</w:t>
            </w:r>
          </w:p>
        </w:tc>
        <w:tc>
          <w:tcPr>
            <w:tcW w:w="1911" w:type="dxa"/>
            <w:gridSpan w:val="2"/>
            <w:tcBorders>
              <w:top w:val="single" w:sz="4" w:space="0" w:color="000000"/>
              <w:left w:val="nil"/>
              <w:bottom w:val="single" w:sz="4" w:space="0" w:color="000000"/>
              <w:right w:val="nil"/>
            </w:tcBorders>
            <w:shd w:val="clear" w:color="auto" w:fill="D9D9D9" w:themeFill="background1" w:themeFillShade="D9"/>
            <w:vAlign w:val="center"/>
          </w:tcPr>
          <w:p w14:paraId="6713F049" w14:textId="5D498FDA" w:rsidR="004E18A5" w:rsidRPr="005F44EF" w:rsidRDefault="004E18A5" w:rsidP="00E94E7E">
            <w:pPr>
              <w:spacing w:after="0" w:line="276"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SSE function (W-1/I</w:t>
            </w:r>
            <w:r w:rsidRPr="005F44EF">
              <w:rPr>
                <w:rFonts w:ascii="Times New Roman" w:eastAsia="Times New Roman" w:hAnsi="Times New Roman" w:cs="Times New Roman"/>
                <w:b/>
                <w:color w:val="000000"/>
                <w:sz w:val="18"/>
                <w:szCs w:val="18"/>
                <w:vertAlign w:val="superscript"/>
              </w:rPr>
              <w:t>2</w:t>
            </w:r>
            <w:r w:rsidRPr="005F44EF">
              <w:rPr>
                <w:rFonts w:ascii="Times New Roman" w:eastAsia="Times New Roman" w:hAnsi="Times New Roman" w:cs="Times New Roman"/>
                <w:b/>
                <w:color w:val="000000"/>
                <w:sz w:val="18"/>
                <w:szCs w:val="18"/>
              </w:rPr>
              <w:t>)</w:t>
            </w:r>
          </w:p>
          <w:p w14:paraId="02F6188F" w14:textId="77777777" w:rsidR="004E18A5" w:rsidRPr="005F44EF" w:rsidRDefault="004E18A5" w:rsidP="00E94E7E">
            <w:pPr>
              <w:spacing w:after="0" w:line="276"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D</w:t>
            </w:r>
            <w:r w:rsidRPr="005F44EF">
              <w:rPr>
                <w:rFonts w:ascii="Times New Roman" w:eastAsia="Times New Roman" w:hAnsi="Times New Roman" w:cs="Times New Roman"/>
                <w:b/>
                <w:color w:val="000000"/>
                <w:sz w:val="18"/>
                <w:szCs w:val="18"/>
                <w:vertAlign w:val="subscript"/>
              </w:rPr>
              <w:t>max</w:t>
            </w:r>
            <w:r w:rsidRPr="005F44EF">
              <w:rPr>
                <w:rFonts w:ascii="Times New Roman" w:eastAsia="Times New Roman" w:hAnsi="Times New Roman" w:cs="Times New Roman"/>
                <w:b/>
                <w:color w:val="000000"/>
                <w:sz w:val="18"/>
                <w:szCs w:val="18"/>
              </w:rPr>
              <w:t xml:space="preserve"> = 4.5 kGy</w:t>
            </w:r>
          </w:p>
        </w:tc>
      </w:tr>
      <w:tr w:rsidR="004E18A5" w:rsidRPr="005F44EF" w14:paraId="40D64E95" w14:textId="77777777" w:rsidTr="00E94E7E">
        <w:trPr>
          <w:trHeight w:val="243"/>
        </w:trPr>
        <w:tc>
          <w:tcPr>
            <w:tcW w:w="1120" w:type="dxa"/>
            <w:tcBorders>
              <w:top w:val="nil"/>
              <w:left w:val="nil"/>
              <w:bottom w:val="nil"/>
              <w:right w:val="nil"/>
            </w:tcBorders>
            <w:shd w:val="clear" w:color="auto" w:fill="auto"/>
            <w:vAlign w:val="center"/>
          </w:tcPr>
          <w:p w14:paraId="7CEA5BB8" w14:textId="77777777"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p>
        </w:tc>
        <w:tc>
          <w:tcPr>
            <w:tcW w:w="1444" w:type="dxa"/>
            <w:tcBorders>
              <w:top w:val="nil"/>
              <w:left w:val="nil"/>
              <w:bottom w:val="nil"/>
              <w:right w:val="nil"/>
            </w:tcBorders>
            <w:vAlign w:val="center"/>
          </w:tcPr>
          <w:p w14:paraId="22602FD9" w14:textId="77777777" w:rsidR="004E18A5" w:rsidRPr="005F44EF" w:rsidRDefault="004E18A5" w:rsidP="00E94E7E">
            <w:pPr>
              <w:spacing w:after="0" w:line="276" w:lineRule="auto"/>
              <w:jc w:val="center"/>
              <w:rPr>
                <w:rFonts w:ascii="Times New Roman" w:eastAsia="Times New Roman" w:hAnsi="Times New Roman" w:cs="Times New Roman"/>
                <w:sz w:val="18"/>
                <w:szCs w:val="18"/>
              </w:rPr>
            </w:pPr>
          </w:p>
        </w:tc>
        <w:tc>
          <w:tcPr>
            <w:tcW w:w="1444" w:type="dxa"/>
            <w:tcBorders>
              <w:top w:val="nil"/>
              <w:left w:val="nil"/>
              <w:bottom w:val="nil"/>
              <w:right w:val="nil"/>
            </w:tcBorders>
            <w:shd w:val="clear" w:color="auto" w:fill="auto"/>
            <w:vAlign w:val="center"/>
          </w:tcPr>
          <w:p w14:paraId="45CD9B61" w14:textId="12F028F6" w:rsidR="004E18A5" w:rsidRPr="005F44EF" w:rsidRDefault="004E18A5" w:rsidP="00E94E7E">
            <w:pPr>
              <w:spacing w:after="0" w:line="276" w:lineRule="auto"/>
              <w:jc w:val="center"/>
              <w:rPr>
                <w:rFonts w:ascii="Times New Roman" w:eastAsia="Times New Roman" w:hAnsi="Times New Roman" w:cs="Times New Roman"/>
                <w:sz w:val="18"/>
                <w:szCs w:val="18"/>
              </w:rPr>
            </w:pPr>
          </w:p>
        </w:tc>
        <w:tc>
          <w:tcPr>
            <w:tcW w:w="2155" w:type="dxa"/>
            <w:tcBorders>
              <w:top w:val="nil"/>
              <w:left w:val="nil"/>
              <w:bottom w:val="nil"/>
              <w:right w:val="nil"/>
            </w:tcBorders>
            <w:vAlign w:val="center"/>
          </w:tcPr>
          <w:p w14:paraId="565961C7" w14:textId="7D36BD6D" w:rsidR="004E18A5" w:rsidRPr="005F44EF" w:rsidRDefault="004E18A5" w:rsidP="00E94E7E">
            <w:pPr>
              <w:spacing w:after="0" w:line="276" w:lineRule="auto"/>
              <w:jc w:val="center"/>
              <w:rPr>
                <w:rFonts w:ascii="Times New Roman" w:eastAsia="Times New Roman" w:hAnsi="Times New Roman" w:cs="Times New Roman"/>
                <w:sz w:val="18"/>
                <w:szCs w:val="18"/>
              </w:rPr>
            </w:pPr>
          </w:p>
        </w:tc>
        <w:tc>
          <w:tcPr>
            <w:tcW w:w="1771" w:type="dxa"/>
            <w:tcBorders>
              <w:top w:val="nil"/>
              <w:left w:val="nil"/>
              <w:bottom w:val="nil"/>
              <w:right w:val="nil"/>
            </w:tcBorders>
            <w:shd w:val="clear" w:color="auto" w:fill="auto"/>
            <w:vAlign w:val="center"/>
          </w:tcPr>
          <w:p w14:paraId="7BCEA3B0" w14:textId="7F0DFABF" w:rsidR="004E18A5" w:rsidRPr="005F44EF" w:rsidRDefault="004E18A5" w:rsidP="00E94E7E">
            <w:pPr>
              <w:spacing w:after="0" w:line="276" w:lineRule="auto"/>
              <w:jc w:val="center"/>
              <w:rPr>
                <w:rFonts w:ascii="Times New Roman" w:eastAsia="Times New Roman" w:hAnsi="Times New Roman" w:cs="Times New Roman"/>
                <w:sz w:val="18"/>
                <w:szCs w:val="18"/>
              </w:rPr>
            </w:pPr>
          </w:p>
        </w:tc>
        <w:tc>
          <w:tcPr>
            <w:tcW w:w="824" w:type="dxa"/>
            <w:tcBorders>
              <w:top w:val="nil"/>
              <w:left w:val="nil"/>
              <w:bottom w:val="nil"/>
              <w:right w:val="nil"/>
            </w:tcBorders>
            <w:shd w:val="clear" w:color="auto" w:fill="auto"/>
            <w:vAlign w:val="center"/>
          </w:tcPr>
          <w:p w14:paraId="416A93C5" w14:textId="77777777" w:rsidR="004E18A5" w:rsidRPr="005F44EF" w:rsidRDefault="004E18A5" w:rsidP="00E94E7E">
            <w:pPr>
              <w:spacing w:after="0" w:line="276" w:lineRule="auto"/>
              <w:jc w:val="center"/>
              <w:rPr>
                <w:rFonts w:ascii="Times New Roman" w:eastAsia="Times New Roman" w:hAnsi="Times New Roman" w:cs="Times New Roman"/>
                <w:sz w:val="18"/>
                <w:szCs w:val="18"/>
              </w:rPr>
            </w:pPr>
          </w:p>
        </w:tc>
        <w:tc>
          <w:tcPr>
            <w:tcW w:w="1508" w:type="dxa"/>
            <w:tcBorders>
              <w:top w:val="nil"/>
              <w:left w:val="nil"/>
              <w:bottom w:val="nil"/>
              <w:right w:val="nil"/>
            </w:tcBorders>
            <w:shd w:val="clear" w:color="auto" w:fill="auto"/>
            <w:vAlign w:val="center"/>
          </w:tcPr>
          <w:p w14:paraId="30B3B7B9" w14:textId="77777777"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D</w:t>
            </w:r>
            <w:r w:rsidRPr="005F44EF">
              <w:rPr>
                <w:rFonts w:ascii="Times New Roman" w:eastAsia="Times New Roman" w:hAnsi="Times New Roman" w:cs="Times New Roman"/>
                <w:color w:val="000000"/>
                <w:sz w:val="18"/>
                <w:szCs w:val="18"/>
                <w:vertAlign w:val="subscript"/>
              </w:rPr>
              <w:t>e</w:t>
            </w:r>
          </w:p>
        </w:tc>
        <w:tc>
          <w:tcPr>
            <w:tcW w:w="1022" w:type="dxa"/>
            <w:tcBorders>
              <w:top w:val="nil"/>
              <w:left w:val="nil"/>
              <w:bottom w:val="nil"/>
              <w:right w:val="nil"/>
            </w:tcBorders>
            <w:shd w:val="clear" w:color="auto" w:fill="auto"/>
            <w:vAlign w:val="center"/>
          </w:tcPr>
          <w:p w14:paraId="799BEECC" w14:textId="77777777"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Adj. r²</w:t>
            </w:r>
          </w:p>
        </w:tc>
        <w:tc>
          <w:tcPr>
            <w:tcW w:w="1208" w:type="dxa"/>
            <w:gridSpan w:val="2"/>
            <w:tcBorders>
              <w:top w:val="nil"/>
              <w:left w:val="nil"/>
              <w:bottom w:val="nil"/>
              <w:right w:val="nil"/>
            </w:tcBorders>
            <w:shd w:val="clear" w:color="auto" w:fill="auto"/>
            <w:vAlign w:val="center"/>
          </w:tcPr>
          <w:p w14:paraId="6E2509F5" w14:textId="77777777"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D</w:t>
            </w:r>
            <w:r w:rsidRPr="005F44EF">
              <w:rPr>
                <w:rFonts w:ascii="Times New Roman" w:eastAsia="Times New Roman" w:hAnsi="Times New Roman" w:cs="Times New Roman"/>
                <w:color w:val="000000"/>
                <w:sz w:val="18"/>
                <w:szCs w:val="18"/>
                <w:vertAlign w:val="subscript"/>
              </w:rPr>
              <w:t>e</w:t>
            </w:r>
          </w:p>
        </w:tc>
        <w:tc>
          <w:tcPr>
            <w:tcW w:w="926" w:type="dxa"/>
            <w:tcBorders>
              <w:top w:val="nil"/>
              <w:left w:val="nil"/>
              <w:bottom w:val="nil"/>
              <w:right w:val="nil"/>
            </w:tcBorders>
            <w:shd w:val="clear" w:color="auto" w:fill="auto"/>
            <w:vAlign w:val="center"/>
          </w:tcPr>
          <w:p w14:paraId="1DFBF3F7" w14:textId="77777777"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Adj. r²</w:t>
            </w:r>
          </w:p>
        </w:tc>
      </w:tr>
      <w:tr w:rsidR="004E18A5" w:rsidRPr="005F44EF" w14:paraId="27D01C9F" w14:textId="77777777" w:rsidTr="00E94E7E">
        <w:trPr>
          <w:trHeight w:val="332"/>
        </w:trPr>
        <w:tc>
          <w:tcPr>
            <w:tcW w:w="1120" w:type="dxa"/>
            <w:tcBorders>
              <w:top w:val="nil"/>
              <w:left w:val="nil"/>
              <w:bottom w:val="nil"/>
              <w:right w:val="nil"/>
            </w:tcBorders>
            <w:shd w:val="clear" w:color="auto" w:fill="auto"/>
            <w:vAlign w:val="center"/>
          </w:tcPr>
          <w:p w14:paraId="789175BA" w14:textId="064268AF"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ANY</w:t>
            </w:r>
            <w:r w:rsidR="0055744E" w:rsidRPr="005F44EF">
              <w:rPr>
                <w:rFonts w:ascii="Times New Roman" w:eastAsia="Times New Roman" w:hAnsi="Times New Roman" w:cs="Times New Roman"/>
                <w:color w:val="000000"/>
                <w:sz w:val="18"/>
                <w:szCs w:val="18"/>
              </w:rPr>
              <w:t>20-0</w:t>
            </w:r>
            <w:r w:rsidRPr="005F44EF">
              <w:rPr>
                <w:rFonts w:ascii="Times New Roman" w:eastAsia="Times New Roman" w:hAnsi="Times New Roman" w:cs="Times New Roman"/>
                <w:color w:val="000000"/>
                <w:sz w:val="18"/>
                <w:szCs w:val="18"/>
              </w:rPr>
              <w:t>3</w:t>
            </w:r>
          </w:p>
        </w:tc>
        <w:tc>
          <w:tcPr>
            <w:tcW w:w="1444" w:type="dxa"/>
            <w:tcBorders>
              <w:top w:val="nil"/>
              <w:left w:val="nil"/>
              <w:bottom w:val="nil"/>
              <w:right w:val="nil"/>
            </w:tcBorders>
            <w:vAlign w:val="center"/>
          </w:tcPr>
          <w:p w14:paraId="453882E7" w14:textId="78504F33"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Twin windows</w:t>
            </w:r>
          </w:p>
        </w:tc>
        <w:tc>
          <w:tcPr>
            <w:tcW w:w="1444" w:type="dxa"/>
            <w:tcBorders>
              <w:top w:val="nil"/>
              <w:left w:val="nil"/>
              <w:bottom w:val="nil"/>
              <w:right w:val="nil"/>
            </w:tcBorders>
            <w:shd w:val="clear" w:color="auto" w:fill="auto"/>
            <w:vAlign w:val="center"/>
          </w:tcPr>
          <w:p w14:paraId="7F5E6B55" w14:textId="4BBD5363"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3</w:t>
            </w:r>
          </w:p>
        </w:tc>
        <w:tc>
          <w:tcPr>
            <w:tcW w:w="2155" w:type="dxa"/>
            <w:tcBorders>
              <w:top w:val="nil"/>
              <w:left w:val="nil"/>
              <w:bottom w:val="nil"/>
              <w:right w:val="nil"/>
            </w:tcBorders>
            <w:vAlign w:val="center"/>
          </w:tcPr>
          <w:p w14:paraId="798AF080" w14:textId="3934D169"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12.1</w:t>
            </w:r>
          </w:p>
        </w:tc>
        <w:tc>
          <w:tcPr>
            <w:tcW w:w="1771" w:type="dxa"/>
            <w:tcBorders>
              <w:top w:val="nil"/>
              <w:left w:val="nil"/>
              <w:bottom w:val="nil"/>
              <w:right w:val="nil"/>
            </w:tcBorders>
            <w:shd w:val="clear" w:color="auto" w:fill="auto"/>
            <w:vAlign w:val="center"/>
          </w:tcPr>
          <w:p w14:paraId="6448AB5D" w14:textId="3A5277D2"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88.9</w:t>
            </w:r>
          </w:p>
        </w:tc>
        <w:tc>
          <w:tcPr>
            <w:tcW w:w="824" w:type="dxa"/>
            <w:tcBorders>
              <w:top w:val="nil"/>
              <w:left w:val="nil"/>
              <w:bottom w:val="nil"/>
              <w:right w:val="nil"/>
            </w:tcBorders>
            <w:shd w:val="clear" w:color="auto" w:fill="auto"/>
            <w:vAlign w:val="center"/>
          </w:tcPr>
          <w:p w14:paraId="52E308FE" w14:textId="77777777"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2</w:t>
            </w:r>
          </w:p>
        </w:tc>
        <w:tc>
          <w:tcPr>
            <w:tcW w:w="1508" w:type="dxa"/>
            <w:tcBorders>
              <w:top w:val="nil"/>
              <w:left w:val="nil"/>
              <w:bottom w:val="nil"/>
              <w:right w:val="nil"/>
            </w:tcBorders>
            <w:shd w:val="clear" w:color="auto" w:fill="auto"/>
            <w:vAlign w:val="center"/>
          </w:tcPr>
          <w:p w14:paraId="6ADCDBED" w14:textId="49273DA0"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52±19</w:t>
            </w:r>
          </w:p>
        </w:tc>
        <w:tc>
          <w:tcPr>
            <w:tcW w:w="1022" w:type="dxa"/>
            <w:tcBorders>
              <w:top w:val="nil"/>
              <w:left w:val="nil"/>
              <w:bottom w:val="nil"/>
              <w:right w:val="nil"/>
            </w:tcBorders>
            <w:shd w:val="clear" w:color="auto" w:fill="auto"/>
            <w:vAlign w:val="center"/>
          </w:tcPr>
          <w:p w14:paraId="35EE0344" w14:textId="77777777"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0.951</w:t>
            </w:r>
          </w:p>
        </w:tc>
        <w:tc>
          <w:tcPr>
            <w:tcW w:w="1208" w:type="dxa"/>
            <w:gridSpan w:val="2"/>
            <w:tcBorders>
              <w:top w:val="nil"/>
              <w:left w:val="nil"/>
              <w:bottom w:val="nil"/>
              <w:right w:val="nil"/>
            </w:tcBorders>
            <w:shd w:val="clear" w:color="auto" w:fill="auto"/>
            <w:vAlign w:val="center"/>
          </w:tcPr>
          <w:p w14:paraId="07001E66" w14:textId="64746682"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47±15</w:t>
            </w:r>
          </w:p>
        </w:tc>
        <w:tc>
          <w:tcPr>
            <w:tcW w:w="926" w:type="dxa"/>
            <w:tcBorders>
              <w:top w:val="nil"/>
              <w:left w:val="nil"/>
              <w:bottom w:val="nil"/>
              <w:right w:val="nil"/>
            </w:tcBorders>
            <w:shd w:val="clear" w:color="auto" w:fill="auto"/>
            <w:vAlign w:val="center"/>
          </w:tcPr>
          <w:p w14:paraId="2A9AE89A" w14:textId="729079F0"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0.934</w:t>
            </w:r>
          </w:p>
        </w:tc>
      </w:tr>
      <w:tr w:rsidR="004E18A5" w:rsidRPr="005F44EF" w14:paraId="2CD87CFE" w14:textId="77777777" w:rsidTr="00E94E7E">
        <w:trPr>
          <w:trHeight w:val="243"/>
        </w:trPr>
        <w:tc>
          <w:tcPr>
            <w:tcW w:w="1120" w:type="dxa"/>
            <w:tcBorders>
              <w:top w:val="nil"/>
              <w:left w:val="nil"/>
              <w:bottom w:val="nil"/>
              <w:right w:val="nil"/>
            </w:tcBorders>
            <w:shd w:val="clear" w:color="auto" w:fill="auto"/>
            <w:vAlign w:val="center"/>
          </w:tcPr>
          <w:p w14:paraId="75E6B854" w14:textId="4821D001"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ANY</w:t>
            </w:r>
            <w:r w:rsidR="0055744E" w:rsidRPr="005F44EF">
              <w:rPr>
                <w:rFonts w:ascii="Times New Roman" w:eastAsia="Times New Roman" w:hAnsi="Times New Roman" w:cs="Times New Roman"/>
                <w:color w:val="000000"/>
                <w:sz w:val="18"/>
                <w:szCs w:val="18"/>
              </w:rPr>
              <w:t>20-0</w:t>
            </w:r>
            <w:r w:rsidRPr="005F44EF">
              <w:rPr>
                <w:rFonts w:ascii="Times New Roman" w:eastAsia="Times New Roman" w:hAnsi="Times New Roman" w:cs="Times New Roman"/>
                <w:color w:val="000000"/>
                <w:sz w:val="18"/>
                <w:szCs w:val="18"/>
              </w:rPr>
              <w:t>4</w:t>
            </w:r>
          </w:p>
        </w:tc>
        <w:tc>
          <w:tcPr>
            <w:tcW w:w="1444" w:type="dxa"/>
            <w:tcBorders>
              <w:top w:val="nil"/>
              <w:left w:val="nil"/>
              <w:bottom w:val="nil"/>
              <w:right w:val="nil"/>
            </w:tcBorders>
            <w:vAlign w:val="center"/>
          </w:tcPr>
          <w:p w14:paraId="14A9C554" w14:textId="315675A7"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Twin windows</w:t>
            </w:r>
          </w:p>
        </w:tc>
        <w:tc>
          <w:tcPr>
            <w:tcW w:w="1444" w:type="dxa"/>
            <w:tcBorders>
              <w:top w:val="nil"/>
              <w:left w:val="nil"/>
              <w:bottom w:val="nil"/>
              <w:right w:val="nil"/>
            </w:tcBorders>
            <w:shd w:val="clear" w:color="auto" w:fill="auto"/>
            <w:vAlign w:val="center"/>
          </w:tcPr>
          <w:p w14:paraId="2F3A740A" w14:textId="12474875"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3</w:t>
            </w:r>
          </w:p>
        </w:tc>
        <w:tc>
          <w:tcPr>
            <w:tcW w:w="2155" w:type="dxa"/>
            <w:tcBorders>
              <w:top w:val="nil"/>
              <w:left w:val="nil"/>
              <w:bottom w:val="nil"/>
              <w:right w:val="nil"/>
            </w:tcBorders>
            <w:vAlign w:val="center"/>
          </w:tcPr>
          <w:p w14:paraId="4BDC4931" w14:textId="53B36E3E"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8.7</w:t>
            </w:r>
          </w:p>
        </w:tc>
        <w:tc>
          <w:tcPr>
            <w:tcW w:w="1771" w:type="dxa"/>
            <w:tcBorders>
              <w:top w:val="nil"/>
              <w:left w:val="nil"/>
              <w:bottom w:val="nil"/>
              <w:right w:val="nil"/>
            </w:tcBorders>
            <w:shd w:val="clear" w:color="auto" w:fill="auto"/>
            <w:vAlign w:val="center"/>
          </w:tcPr>
          <w:p w14:paraId="7082717B" w14:textId="25993424"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69.0</w:t>
            </w:r>
          </w:p>
        </w:tc>
        <w:tc>
          <w:tcPr>
            <w:tcW w:w="824" w:type="dxa"/>
            <w:tcBorders>
              <w:top w:val="nil"/>
              <w:left w:val="nil"/>
              <w:bottom w:val="nil"/>
              <w:right w:val="nil"/>
            </w:tcBorders>
            <w:shd w:val="clear" w:color="auto" w:fill="auto"/>
            <w:vAlign w:val="center"/>
          </w:tcPr>
          <w:p w14:paraId="57487152" w14:textId="77777777"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2</w:t>
            </w:r>
          </w:p>
        </w:tc>
        <w:tc>
          <w:tcPr>
            <w:tcW w:w="1508" w:type="dxa"/>
            <w:tcBorders>
              <w:top w:val="nil"/>
              <w:left w:val="nil"/>
              <w:bottom w:val="nil"/>
              <w:right w:val="nil"/>
            </w:tcBorders>
            <w:shd w:val="clear" w:color="auto" w:fill="auto"/>
            <w:vAlign w:val="center"/>
          </w:tcPr>
          <w:p w14:paraId="11303786" w14:textId="0174025D"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60±33</w:t>
            </w:r>
          </w:p>
        </w:tc>
        <w:tc>
          <w:tcPr>
            <w:tcW w:w="1022" w:type="dxa"/>
            <w:tcBorders>
              <w:top w:val="nil"/>
              <w:left w:val="nil"/>
              <w:bottom w:val="nil"/>
              <w:right w:val="nil"/>
            </w:tcBorders>
            <w:shd w:val="clear" w:color="auto" w:fill="auto"/>
            <w:vAlign w:val="center"/>
          </w:tcPr>
          <w:p w14:paraId="01CED644" w14:textId="77777777"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0.819</w:t>
            </w:r>
          </w:p>
        </w:tc>
        <w:tc>
          <w:tcPr>
            <w:tcW w:w="1208" w:type="dxa"/>
            <w:gridSpan w:val="2"/>
            <w:tcBorders>
              <w:top w:val="nil"/>
              <w:left w:val="nil"/>
              <w:bottom w:val="nil"/>
              <w:right w:val="nil"/>
            </w:tcBorders>
            <w:shd w:val="clear" w:color="auto" w:fill="auto"/>
            <w:vAlign w:val="center"/>
          </w:tcPr>
          <w:p w14:paraId="76FEA639" w14:textId="3051ED3D"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52±22</w:t>
            </w:r>
          </w:p>
        </w:tc>
        <w:tc>
          <w:tcPr>
            <w:tcW w:w="926" w:type="dxa"/>
            <w:tcBorders>
              <w:top w:val="nil"/>
              <w:left w:val="nil"/>
              <w:bottom w:val="nil"/>
              <w:right w:val="nil"/>
            </w:tcBorders>
            <w:shd w:val="clear" w:color="auto" w:fill="auto"/>
            <w:vAlign w:val="center"/>
          </w:tcPr>
          <w:p w14:paraId="223BC967" w14:textId="0CF5C95F"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0.888</w:t>
            </w:r>
          </w:p>
        </w:tc>
      </w:tr>
      <w:tr w:rsidR="004E18A5" w:rsidRPr="005F44EF" w14:paraId="6E95F9F5" w14:textId="77777777" w:rsidTr="00E94E7E">
        <w:trPr>
          <w:trHeight w:val="243"/>
        </w:trPr>
        <w:tc>
          <w:tcPr>
            <w:tcW w:w="1120" w:type="dxa"/>
            <w:tcBorders>
              <w:top w:val="nil"/>
              <w:left w:val="nil"/>
              <w:bottom w:val="nil"/>
              <w:right w:val="nil"/>
            </w:tcBorders>
            <w:shd w:val="clear" w:color="auto" w:fill="auto"/>
            <w:vAlign w:val="center"/>
          </w:tcPr>
          <w:p w14:paraId="083FE4BC" w14:textId="621C8A94"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ANY</w:t>
            </w:r>
            <w:r w:rsidR="0055744E" w:rsidRPr="005F44EF">
              <w:rPr>
                <w:rFonts w:ascii="Times New Roman" w:eastAsia="Times New Roman" w:hAnsi="Times New Roman" w:cs="Times New Roman"/>
                <w:color w:val="000000"/>
                <w:sz w:val="18"/>
                <w:szCs w:val="18"/>
              </w:rPr>
              <w:t>20-0</w:t>
            </w:r>
            <w:r w:rsidRPr="005F44EF">
              <w:rPr>
                <w:rFonts w:ascii="Times New Roman" w:eastAsia="Times New Roman" w:hAnsi="Times New Roman" w:cs="Times New Roman"/>
                <w:color w:val="000000"/>
                <w:sz w:val="18"/>
                <w:szCs w:val="18"/>
              </w:rPr>
              <w:t>5</w:t>
            </w:r>
          </w:p>
        </w:tc>
        <w:tc>
          <w:tcPr>
            <w:tcW w:w="1444" w:type="dxa"/>
            <w:tcBorders>
              <w:top w:val="nil"/>
              <w:left w:val="nil"/>
              <w:bottom w:val="nil"/>
              <w:right w:val="nil"/>
            </w:tcBorders>
            <w:vAlign w:val="center"/>
          </w:tcPr>
          <w:p w14:paraId="3D7F64C2" w14:textId="73F8234D"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Twin windows</w:t>
            </w:r>
          </w:p>
        </w:tc>
        <w:tc>
          <w:tcPr>
            <w:tcW w:w="1444" w:type="dxa"/>
            <w:tcBorders>
              <w:top w:val="nil"/>
              <w:left w:val="nil"/>
              <w:bottom w:val="nil"/>
              <w:right w:val="nil"/>
            </w:tcBorders>
            <w:shd w:val="clear" w:color="auto" w:fill="auto"/>
            <w:vAlign w:val="center"/>
          </w:tcPr>
          <w:p w14:paraId="1636A637" w14:textId="6ECECD10"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3</w:t>
            </w:r>
          </w:p>
        </w:tc>
        <w:tc>
          <w:tcPr>
            <w:tcW w:w="2155" w:type="dxa"/>
            <w:tcBorders>
              <w:top w:val="nil"/>
              <w:left w:val="nil"/>
              <w:bottom w:val="nil"/>
              <w:right w:val="nil"/>
            </w:tcBorders>
            <w:vAlign w:val="center"/>
          </w:tcPr>
          <w:p w14:paraId="1A78D94B" w14:textId="0E9DDEAE"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2.0</w:t>
            </w:r>
          </w:p>
        </w:tc>
        <w:tc>
          <w:tcPr>
            <w:tcW w:w="1771" w:type="dxa"/>
            <w:tcBorders>
              <w:top w:val="nil"/>
              <w:left w:val="nil"/>
              <w:bottom w:val="nil"/>
              <w:right w:val="nil"/>
            </w:tcBorders>
            <w:shd w:val="clear" w:color="auto" w:fill="auto"/>
            <w:vAlign w:val="center"/>
          </w:tcPr>
          <w:p w14:paraId="49933C02" w14:textId="59747ED1"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70.9</w:t>
            </w:r>
          </w:p>
        </w:tc>
        <w:tc>
          <w:tcPr>
            <w:tcW w:w="824" w:type="dxa"/>
            <w:tcBorders>
              <w:top w:val="nil"/>
              <w:left w:val="nil"/>
              <w:bottom w:val="nil"/>
              <w:right w:val="nil"/>
            </w:tcBorders>
            <w:shd w:val="clear" w:color="auto" w:fill="auto"/>
            <w:vAlign w:val="center"/>
          </w:tcPr>
          <w:p w14:paraId="30720320" w14:textId="77777777"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3</w:t>
            </w:r>
          </w:p>
        </w:tc>
        <w:tc>
          <w:tcPr>
            <w:tcW w:w="1508" w:type="dxa"/>
            <w:tcBorders>
              <w:top w:val="nil"/>
              <w:left w:val="nil"/>
              <w:bottom w:val="nil"/>
              <w:right w:val="nil"/>
            </w:tcBorders>
            <w:shd w:val="clear" w:color="auto" w:fill="auto"/>
            <w:vAlign w:val="center"/>
          </w:tcPr>
          <w:p w14:paraId="20EEB9C5" w14:textId="1C219422"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117±38</w:t>
            </w:r>
          </w:p>
        </w:tc>
        <w:tc>
          <w:tcPr>
            <w:tcW w:w="1022" w:type="dxa"/>
            <w:tcBorders>
              <w:top w:val="nil"/>
              <w:left w:val="nil"/>
              <w:bottom w:val="nil"/>
              <w:right w:val="nil"/>
            </w:tcBorders>
            <w:shd w:val="clear" w:color="auto" w:fill="auto"/>
            <w:vAlign w:val="center"/>
          </w:tcPr>
          <w:p w14:paraId="01597790" w14:textId="77777777"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0.913</w:t>
            </w:r>
          </w:p>
        </w:tc>
        <w:tc>
          <w:tcPr>
            <w:tcW w:w="1208" w:type="dxa"/>
            <w:gridSpan w:val="2"/>
            <w:tcBorders>
              <w:top w:val="nil"/>
              <w:left w:val="nil"/>
              <w:bottom w:val="nil"/>
              <w:right w:val="nil"/>
            </w:tcBorders>
            <w:shd w:val="clear" w:color="auto" w:fill="auto"/>
            <w:vAlign w:val="center"/>
          </w:tcPr>
          <w:p w14:paraId="604C7D3E" w14:textId="0EF035F0"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107±25</w:t>
            </w:r>
          </w:p>
        </w:tc>
        <w:tc>
          <w:tcPr>
            <w:tcW w:w="926" w:type="dxa"/>
            <w:tcBorders>
              <w:top w:val="nil"/>
              <w:left w:val="nil"/>
              <w:bottom w:val="nil"/>
              <w:right w:val="nil"/>
            </w:tcBorders>
            <w:shd w:val="clear" w:color="auto" w:fill="auto"/>
            <w:vAlign w:val="center"/>
          </w:tcPr>
          <w:p w14:paraId="716D9AA0" w14:textId="26644362" w:rsidR="004E18A5" w:rsidRPr="005F44EF" w:rsidRDefault="004E18A5" w:rsidP="00E94E7E">
            <w:pPr>
              <w:spacing w:after="0" w:line="276" w:lineRule="auto"/>
              <w:jc w:val="center"/>
              <w:rPr>
                <w:rFonts w:ascii="Times New Roman" w:hAnsi="Times New Roman" w:cs="Times New Roman"/>
                <w:i/>
                <w:iCs/>
                <w:color w:val="000000"/>
                <w:sz w:val="18"/>
                <w:szCs w:val="18"/>
              </w:rPr>
            </w:pPr>
            <w:r w:rsidRPr="005F44EF">
              <w:rPr>
                <w:rFonts w:ascii="Times New Roman" w:eastAsia="Times New Roman" w:hAnsi="Times New Roman" w:cs="Times New Roman"/>
                <w:color w:val="000000"/>
                <w:sz w:val="18"/>
                <w:szCs w:val="18"/>
              </w:rPr>
              <w:t>0.961</w:t>
            </w:r>
          </w:p>
        </w:tc>
      </w:tr>
      <w:tr w:rsidR="004E18A5" w:rsidRPr="005F44EF" w14:paraId="6076DC99" w14:textId="77777777" w:rsidTr="00E94E7E">
        <w:trPr>
          <w:trHeight w:val="243"/>
        </w:trPr>
        <w:tc>
          <w:tcPr>
            <w:tcW w:w="1120" w:type="dxa"/>
            <w:tcBorders>
              <w:top w:val="nil"/>
              <w:left w:val="nil"/>
              <w:bottom w:val="nil"/>
              <w:right w:val="nil"/>
            </w:tcBorders>
            <w:shd w:val="clear" w:color="auto" w:fill="auto"/>
            <w:vAlign w:val="center"/>
          </w:tcPr>
          <w:p w14:paraId="0AA31A01" w14:textId="64DCE612"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bookmarkStart w:id="66" w:name="_lnxbz9" w:colFirst="0" w:colLast="0"/>
            <w:bookmarkEnd w:id="66"/>
            <w:r w:rsidRPr="005F44EF">
              <w:rPr>
                <w:rFonts w:ascii="Times New Roman" w:eastAsia="Times New Roman" w:hAnsi="Times New Roman" w:cs="Times New Roman"/>
                <w:color w:val="000000"/>
                <w:sz w:val="18"/>
                <w:szCs w:val="18"/>
              </w:rPr>
              <w:t>ANY</w:t>
            </w:r>
            <w:r w:rsidR="0055744E" w:rsidRPr="005F44EF">
              <w:rPr>
                <w:rFonts w:ascii="Times New Roman" w:eastAsia="Times New Roman" w:hAnsi="Times New Roman" w:cs="Times New Roman"/>
                <w:color w:val="000000"/>
                <w:sz w:val="18"/>
                <w:szCs w:val="18"/>
              </w:rPr>
              <w:t>20-08</w:t>
            </w:r>
          </w:p>
        </w:tc>
        <w:tc>
          <w:tcPr>
            <w:tcW w:w="1444" w:type="dxa"/>
            <w:tcBorders>
              <w:top w:val="nil"/>
              <w:left w:val="nil"/>
              <w:bottom w:val="nil"/>
              <w:right w:val="nil"/>
            </w:tcBorders>
            <w:vAlign w:val="center"/>
          </w:tcPr>
          <w:p w14:paraId="23F03834" w14:textId="0BD61FA7"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Twin windows</w:t>
            </w:r>
          </w:p>
        </w:tc>
        <w:tc>
          <w:tcPr>
            <w:tcW w:w="1444" w:type="dxa"/>
            <w:tcBorders>
              <w:top w:val="nil"/>
              <w:left w:val="nil"/>
              <w:bottom w:val="nil"/>
              <w:right w:val="nil"/>
            </w:tcBorders>
            <w:shd w:val="clear" w:color="auto" w:fill="auto"/>
            <w:vAlign w:val="center"/>
          </w:tcPr>
          <w:p w14:paraId="2E293E5A" w14:textId="4212FCB2"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3</w:t>
            </w:r>
          </w:p>
        </w:tc>
        <w:tc>
          <w:tcPr>
            <w:tcW w:w="2155" w:type="dxa"/>
            <w:tcBorders>
              <w:top w:val="nil"/>
              <w:left w:val="nil"/>
              <w:bottom w:val="nil"/>
              <w:right w:val="nil"/>
            </w:tcBorders>
            <w:vAlign w:val="center"/>
          </w:tcPr>
          <w:p w14:paraId="6CB10C6A" w14:textId="6D7505F3"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6.6</w:t>
            </w:r>
          </w:p>
        </w:tc>
        <w:tc>
          <w:tcPr>
            <w:tcW w:w="1771" w:type="dxa"/>
            <w:tcBorders>
              <w:top w:val="nil"/>
              <w:left w:val="nil"/>
              <w:bottom w:val="nil"/>
              <w:right w:val="nil"/>
            </w:tcBorders>
            <w:shd w:val="clear" w:color="auto" w:fill="auto"/>
            <w:vAlign w:val="center"/>
          </w:tcPr>
          <w:p w14:paraId="7F49E00D" w14:textId="3D723629"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67.9</w:t>
            </w:r>
          </w:p>
        </w:tc>
        <w:tc>
          <w:tcPr>
            <w:tcW w:w="824" w:type="dxa"/>
            <w:tcBorders>
              <w:top w:val="nil"/>
              <w:left w:val="nil"/>
              <w:bottom w:val="nil"/>
              <w:right w:val="nil"/>
            </w:tcBorders>
            <w:shd w:val="clear" w:color="auto" w:fill="auto"/>
            <w:vAlign w:val="center"/>
          </w:tcPr>
          <w:p w14:paraId="50255F5D" w14:textId="77777777"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3</w:t>
            </w:r>
          </w:p>
        </w:tc>
        <w:tc>
          <w:tcPr>
            <w:tcW w:w="1508" w:type="dxa"/>
            <w:tcBorders>
              <w:top w:val="nil"/>
              <w:left w:val="nil"/>
              <w:bottom w:val="nil"/>
              <w:right w:val="nil"/>
            </w:tcBorders>
            <w:shd w:val="clear" w:color="auto" w:fill="auto"/>
            <w:vAlign w:val="center"/>
          </w:tcPr>
          <w:p w14:paraId="44C84A60" w14:textId="2EBF4DF0"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47±14</w:t>
            </w:r>
          </w:p>
        </w:tc>
        <w:tc>
          <w:tcPr>
            <w:tcW w:w="1022" w:type="dxa"/>
            <w:tcBorders>
              <w:top w:val="nil"/>
              <w:left w:val="nil"/>
              <w:bottom w:val="nil"/>
              <w:right w:val="nil"/>
            </w:tcBorders>
            <w:shd w:val="clear" w:color="auto" w:fill="auto"/>
            <w:vAlign w:val="center"/>
          </w:tcPr>
          <w:p w14:paraId="52DA2BAD" w14:textId="77777777"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0.928</w:t>
            </w:r>
          </w:p>
        </w:tc>
        <w:tc>
          <w:tcPr>
            <w:tcW w:w="1208" w:type="dxa"/>
            <w:gridSpan w:val="2"/>
            <w:tcBorders>
              <w:top w:val="nil"/>
              <w:left w:val="nil"/>
              <w:bottom w:val="nil"/>
              <w:right w:val="nil"/>
            </w:tcBorders>
            <w:shd w:val="clear" w:color="auto" w:fill="auto"/>
            <w:vAlign w:val="center"/>
          </w:tcPr>
          <w:p w14:paraId="16CA6DC8" w14:textId="437C3453" w:rsidR="004E18A5" w:rsidRPr="005F44EF" w:rsidRDefault="004E18A5" w:rsidP="00E94E7E">
            <w:pPr>
              <w:spacing w:after="0" w:line="276" w:lineRule="auto"/>
              <w:jc w:val="center"/>
              <w:rPr>
                <w:rFonts w:ascii="Times New Roman" w:hAnsi="Times New Roman" w:cs="Times New Roman"/>
                <w:i/>
                <w:iCs/>
                <w:color w:val="000000"/>
                <w:sz w:val="18"/>
                <w:szCs w:val="18"/>
              </w:rPr>
            </w:pPr>
            <w:r w:rsidRPr="005F44EF">
              <w:rPr>
                <w:rFonts w:ascii="Times New Roman" w:eastAsia="Times New Roman" w:hAnsi="Times New Roman" w:cs="Times New Roman"/>
                <w:color w:val="000000"/>
                <w:sz w:val="18"/>
                <w:szCs w:val="18"/>
              </w:rPr>
              <w:t>240±86</w:t>
            </w:r>
          </w:p>
        </w:tc>
        <w:tc>
          <w:tcPr>
            <w:tcW w:w="926" w:type="dxa"/>
            <w:tcBorders>
              <w:top w:val="nil"/>
              <w:left w:val="nil"/>
              <w:bottom w:val="nil"/>
              <w:right w:val="nil"/>
            </w:tcBorders>
            <w:shd w:val="clear" w:color="auto" w:fill="auto"/>
            <w:vAlign w:val="center"/>
          </w:tcPr>
          <w:p w14:paraId="6EE254A4" w14:textId="03083FFE" w:rsidR="004E18A5" w:rsidRPr="005F44EF" w:rsidRDefault="004E18A5" w:rsidP="00E94E7E">
            <w:pPr>
              <w:spacing w:after="0" w:line="276" w:lineRule="auto"/>
              <w:jc w:val="center"/>
              <w:rPr>
                <w:rFonts w:ascii="Times New Roman" w:hAnsi="Times New Roman" w:cs="Times New Roman"/>
                <w:i/>
                <w:iCs/>
                <w:color w:val="000000"/>
                <w:sz w:val="18"/>
                <w:szCs w:val="18"/>
              </w:rPr>
            </w:pPr>
            <w:r w:rsidRPr="005F44EF">
              <w:rPr>
                <w:rFonts w:ascii="Times New Roman" w:eastAsia="Times New Roman" w:hAnsi="Times New Roman" w:cs="Times New Roman"/>
                <w:color w:val="000000"/>
                <w:sz w:val="18"/>
                <w:szCs w:val="18"/>
              </w:rPr>
              <w:t>0.894</w:t>
            </w:r>
          </w:p>
        </w:tc>
      </w:tr>
      <w:tr w:rsidR="004E18A5" w:rsidRPr="005F44EF" w14:paraId="4B047856" w14:textId="77777777" w:rsidTr="00E94E7E">
        <w:trPr>
          <w:trHeight w:val="243"/>
        </w:trPr>
        <w:tc>
          <w:tcPr>
            <w:tcW w:w="1120" w:type="dxa"/>
            <w:tcBorders>
              <w:top w:val="nil"/>
              <w:left w:val="nil"/>
              <w:bottom w:val="single" w:sz="4" w:space="0" w:color="auto"/>
              <w:right w:val="nil"/>
            </w:tcBorders>
            <w:shd w:val="clear" w:color="auto" w:fill="auto"/>
            <w:vAlign w:val="center"/>
          </w:tcPr>
          <w:p w14:paraId="4AF9C135" w14:textId="567ED1B5"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ANY</w:t>
            </w:r>
            <w:r w:rsidR="0055744E" w:rsidRPr="005F44EF">
              <w:rPr>
                <w:rFonts w:ascii="Times New Roman" w:eastAsia="Times New Roman" w:hAnsi="Times New Roman" w:cs="Times New Roman"/>
                <w:color w:val="000000"/>
                <w:sz w:val="18"/>
                <w:szCs w:val="18"/>
              </w:rPr>
              <w:t>20-0</w:t>
            </w:r>
            <w:r w:rsidRPr="005F44EF">
              <w:rPr>
                <w:rFonts w:ascii="Times New Roman" w:eastAsia="Times New Roman" w:hAnsi="Times New Roman" w:cs="Times New Roman"/>
                <w:color w:val="000000"/>
                <w:sz w:val="18"/>
                <w:szCs w:val="18"/>
              </w:rPr>
              <w:t>9</w:t>
            </w:r>
          </w:p>
        </w:tc>
        <w:tc>
          <w:tcPr>
            <w:tcW w:w="1444" w:type="dxa"/>
            <w:tcBorders>
              <w:top w:val="nil"/>
              <w:left w:val="nil"/>
              <w:bottom w:val="single" w:sz="4" w:space="0" w:color="auto"/>
              <w:right w:val="nil"/>
            </w:tcBorders>
            <w:vAlign w:val="center"/>
          </w:tcPr>
          <w:p w14:paraId="58764051" w14:textId="7152AD7A"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Twin windows</w:t>
            </w:r>
          </w:p>
        </w:tc>
        <w:tc>
          <w:tcPr>
            <w:tcW w:w="1444" w:type="dxa"/>
            <w:tcBorders>
              <w:top w:val="nil"/>
              <w:left w:val="nil"/>
              <w:bottom w:val="single" w:sz="4" w:space="0" w:color="auto"/>
              <w:right w:val="nil"/>
            </w:tcBorders>
            <w:shd w:val="clear" w:color="auto" w:fill="auto"/>
            <w:vAlign w:val="center"/>
          </w:tcPr>
          <w:p w14:paraId="6A75F01C" w14:textId="6A0BE4C1"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3</w:t>
            </w:r>
          </w:p>
        </w:tc>
        <w:tc>
          <w:tcPr>
            <w:tcW w:w="2155" w:type="dxa"/>
            <w:tcBorders>
              <w:top w:val="nil"/>
              <w:left w:val="nil"/>
              <w:bottom w:val="single" w:sz="4" w:space="0" w:color="auto"/>
              <w:right w:val="nil"/>
            </w:tcBorders>
            <w:vAlign w:val="center"/>
          </w:tcPr>
          <w:p w14:paraId="3C8F9AA1" w14:textId="55A75BE5"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3.7</w:t>
            </w:r>
          </w:p>
        </w:tc>
        <w:tc>
          <w:tcPr>
            <w:tcW w:w="1771" w:type="dxa"/>
            <w:tcBorders>
              <w:top w:val="nil"/>
              <w:left w:val="nil"/>
              <w:bottom w:val="single" w:sz="4" w:space="0" w:color="auto"/>
              <w:right w:val="nil"/>
            </w:tcBorders>
            <w:shd w:val="clear" w:color="auto" w:fill="auto"/>
            <w:vAlign w:val="center"/>
          </w:tcPr>
          <w:p w14:paraId="4989448D" w14:textId="3064485B"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61.6</w:t>
            </w:r>
          </w:p>
        </w:tc>
        <w:tc>
          <w:tcPr>
            <w:tcW w:w="824" w:type="dxa"/>
            <w:tcBorders>
              <w:top w:val="nil"/>
              <w:left w:val="nil"/>
              <w:bottom w:val="single" w:sz="4" w:space="0" w:color="auto"/>
              <w:right w:val="nil"/>
            </w:tcBorders>
            <w:shd w:val="clear" w:color="auto" w:fill="auto"/>
            <w:vAlign w:val="center"/>
          </w:tcPr>
          <w:p w14:paraId="3217C205" w14:textId="77777777"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4</w:t>
            </w:r>
          </w:p>
        </w:tc>
        <w:tc>
          <w:tcPr>
            <w:tcW w:w="1508" w:type="dxa"/>
            <w:tcBorders>
              <w:top w:val="nil"/>
              <w:left w:val="nil"/>
              <w:bottom w:val="single" w:sz="4" w:space="0" w:color="auto"/>
              <w:right w:val="nil"/>
            </w:tcBorders>
            <w:shd w:val="clear" w:color="auto" w:fill="auto"/>
            <w:vAlign w:val="center"/>
          </w:tcPr>
          <w:p w14:paraId="547B09C4" w14:textId="7C1DBE7C"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264±73</w:t>
            </w:r>
          </w:p>
        </w:tc>
        <w:tc>
          <w:tcPr>
            <w:tcW w:w="1022" w:type="dxa"/>
            <w:tcBorders>
              <w:top w:val="nil"/>
              <w:left w:val="nil"/>
              <w:bottom w:val="single" w:sz="4" w:space="0" w:color="auto"/>
              <w:right w:val="nil"/>
            </w:tcBorders>
            <w:shd w:val="clear" w:color="auto" w:fill="auto"/>
            <w:vAlign w:val="center"/>
          </w:tcPr>
          <w:p w14:paraId="0F3276C7" w14:textId="77777777"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0.890</w:t>
            </w:r>
          </w:p>
        </w:tc>
        <w:tc>
          <w:tcPr>
            <w:tcW w:w="1208" w:type="dxa"/>
            <w:gridSpan w:val="2"/>
            <w:tcBorders>
              <w:top w:val="nil"/>
              <w:left w:val="nil"/>
              <w:bottom w:val="nil"/>
              <w:right w:val="nil"/>
            </w:tcBorders>
            <w:shd w:val="clear" w:color="auto" w:fill="auto"/>
            <w:vAlign w:val="center"/>
          </w:tcPr>
          <w:p w14:paraId="1E036A37" w14:textId="67C28179" w:rsidR="004E18A5" w:rsidRPr="005F44EF" w:rsidRDefault="004E18A5" w:rsidP="00E94E7E">
            <w:pPr>
              <w:spacing w:after="0" w:line="276" w:lineRule="auto"/>
              <w:jc w:val="center"/>
              <w:rPr>
                <w:rFonts w:ascii="Times New Roman" w:hAnsi="Times New Roman" w:cs="Times New Roman"/>
                <w:i/>
                <w:iCs/>
                <w:color w:val="000000"/>
                <w:sz w:val="18"/>
                <w:szCs w:val="18"/>
              </w:rPr>
            </w:pPr>
            <w:r w:rsidRPr="005F44EF">
              <w:rPr>
                <w:rFonts w:ascii="Times New Roman" w:eastAsia="Times New Roman" w:hAnsi="Times New Roman" w:cs="Times New Roman"/>
                <w:color w:val="000000"/>
                <w:sz w:val="18"/>
                <w:szCs w:val="18"/>
              </w:rPr>
              <w:t>253±75</w:t>
            </w:r>
          </w:p>
        </w:tc>
        <w:tc>
          <w:tcPr>
            <w:tcW w:w="926" w:type="dxa"/>
            <w:tcBorders>
              <w:top w:val="nil"/>
              <w:left w:val="nil"/>
              <w:bottom w:val="nil"/>
              <w:right w:val="nil"/>
            </w:tcBorders>
            <w:shd w:val="clear" w:color="auto" w:fill="auto"/>
            <w:vAlign w:val="center"/>
          </w:tcPr>
          <w:p w14:paraId="040E831F" w14:textId="49275DD3"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0.930</w:t>
            </w:r>
          </w:p>
        </w:tc>
      </w:tr>
      <w:tr w:rsidR="00E94E7E" w:rsidRPr="007655BB" w14:paraId="63FC4595" w14:textId="77777777" w:rsidTr="00E94E7E">
        <w:trPr>
          <w:trHeight w:val="461"/>
        </w:trPr>
        <w:tc>
          <w:tcPr>
            <w:tcW w:w="13422" w:type="dxa"/>
            <w:gridSpan w:val="11"/>
            <w:tcBorders>
              <w:top w:val="single" w:sz="4" w:space="0" w:color="auto"/>
              <w:left w:val="nil"/>
              <w:bottom w:val="single" w:sz="4" w:space="0" w:color="000000"/>
              <w:right w:val="nil"/>
            </w:tcBorders>
            <w:shd w:val="clear" w:color="auto" w:fill="D9D9D9" w:themeFill="background1" w:themeFillShade="D9"/>
            <w:vAlign w:val="center"/>
          </w:tcPr>
          <w:p w14:paraId="40B562A6" w14:textId="1C0C4121" w:rsidR="00E94E7E" w:rsidRPr="00AA748A" w:rsidRDefault="006752E6" w:rsidP="0056119E">
            <w:pPr>
              <w:spacing w:after="0" w:line="276" w:lineRule="auto"/>
              <w:jc w:val="center"/>
              <w:rPr>
                <w:rFonts w:ascii="Times New Roman" w:eastAsia="Times New Roman" w:hAnsi="Times New Roman" w:cs="Times New Roman"/>
                <w:b/>
                <w:color w:val="000000"/>
                <w:sz w:val="18"/>
                <w:szCs w:val="18"/>
                <w:lang w:val="fr-FR"/>
              </w:rPr>
            </w:pPr>
            <w:r>
              <w:rPr>
                <w:rFonts w:ascii="Times New Roman" w:eastAsia="Times New Roman" w:hAnsi="Times New Roman" w:cs="Times New Roman"/>
                <w:b/>
                <w:color w:val="000000"/>
                <w:sz w:val="18"/>
                <w:szCs w:val="18"/>
                <w:lang w:val="fr-FR"/>
              </w:rPr>
              <w:t xml:space="preserve">Ti-mix </w:t>
            </w:r>
            <w:r w:rsidR="00372D4D">
              <w:rPr>
                <w:rFonts w:ascii="Times New Roman" w:eastAsia="Times New Roman" w:hAnsi="Times New Roman" w:cs="Times New Roman"/>
                <w:b/>
                <w:color w:val="000000"/>
                <w:sz w:val="18"/>
                <w:szCs w:val="18"/>
                <w:lang w:val="fr-FR"/>
              </w:rPr>
              <w:t>signal</w:t>
            </w:r>
            <w:r w:rsidR="00372D4D" w:rsidRPr="00AA748A">
              <w:rPr>
                <w:rFonts w:ascii="Times New Roman" w:eastAsia="Times New Roman" w:hAnsi="Times New Roman" w:cs="Times New Roman"/>
                <w:b/>
                <w:color w:val="000000"/>
                <w:sz w:val="18"/>
                <w:szCs w:val="18"/>
                <w:lang w:val="fr-FR"/>
              </w:rPr>
              <w:t xml:space="preserve"> </w:t>
            </w:r>
            <w:r w:rsidR="00E94E7E" w:rsidRPr="00AA748A">
              <w:rPr>
                <w:rFonts w:ascii="Times New Roman" w:eastAsia="Times New Roman" w:hAnsi="Times New Roman" w:cs="Times New Roman"/>
                <w:b/>
                <w:color w:val="000000"/>
                <w:sz w:val="18"/>
                <w:szCs w:val="18"/>
                <w:lang w:val="fr-FR"/>
              </w:rPr>
              <w:t xml:space="preserve">(Option </w:t>
            </w:r>
            <w:r w:rsidR="00BB4761" w:rsidRPr="00AA748A">
              <w:rPr>
                <w:rFonts w:ascii="Times New Roman" w:eastAsia="Times New Roman" w:hAnsi="Times New Roman" w:cs="Times New Roman"/>
                <w:b/>
                <w:color w:val="000000"/>
                <w:sz w:val="18"/>
                <w:szCs w:val="18"/>
                <w:lang w:val="fr-FR"/>
              </w:rPr>
              <w:t>D</w:t>
            </w:r>
            <w:r w:rsidR="00E94E7E" w:rsidRPr="00AA748A">
              <w:rPr>
                <w:rFonts w:ascii="Times New Roman" w:eastAsia="Times New Roman" w:hAnsi="Times New Roman" w:cs="Times New Roman"/>
                <w:b/>
                <w:color w:val="000000"/>
                <w:sz w:val="18"/>
                <w:szCs w:val="18"/>
                <w:lang w:val="fr-FR"/>
              </w:rPr>
              <w:t>)</w:t>
            </w:r>
          </w:p>
        </w:tc>
      </w:tr>
      <w:tr w:rsidR="004E18A5" w:rsidRPr="005F44EF" w14:paraId="7E420DEA" w14:textId="77777777" w:rsidTr="00E94E7E">
        <w:trPr>
          <w:trHeight w:val="461"/>
        </w:trPr>
        <w:tc>
          <w:tcPr>
            <w:tcW w:w="1120" w:type="dxa"/>
            <w:tcBorders>
              <w:top w:val="nil"/>
              <w:left w:val="nil"/>
              <w:bottom w:val="single" w:sz="4" w:space="0" w:color="000000"/>
              <w:right w:val="nil"/>
            </w:tcBorders>
            <w:shd w:val="clear" w:color="auto" w:fill="D9D9D9" w:themeFill="background1" w:themeFillShade="D9"/>
            <w:vAlign w:val="center"/>
          </w:tcPr>
          <w:p w14:paraId="5F10B4C1" w14:textId="77777777" w:rsidR="004E18A5" w:rsidRPr="005F44EF" w:rsidRDefault="004E18A5" w:rsidP="00E94E7E">
            <w:pPr>
              <w:spacing w:after="0" w:line="276"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Sample</w:t>
            </w:r>
          </w:p>
        </w:tc>
        <w:tc>
          <w:tcPr>
            <w:tcW w:w="1444" w:type="dxa"/>
            <w:tcBorders>
              <w:top w:val="nil"/>
              <w:left w:val="nil"/>
              <w:bottom w:val="single" w:sz="4" w:space="0" w:color="000000"/>
              <w:right w:val="nil"/>
            </w:tcBorders>
            <w:shd w:val="clear" w:color="auto" w:fill="D9D9D9" w:themeFill="background1" w:themeFillShade="D9"/>
            <w:vAlign w:val="center"/>
          </w:tcPr>
          <w:p w14:paraId="09D33CE6" w14:textId="77777777" w:rsidR="004E18A5" w:rsidRPr="005F44EF" w:rsidRDefault="004E18A5" w:rsidP="00E94E7E">
            <w:pPr>
              <w:spacing w:after="0" w:line="276" w:lineRule="auto"/>
              <w:jc w:val="center"/>
              <w:rPr>
                <w:rFonts w:ascii="Times New Roman" w:eastAsia="Times New Roman" w:hAnsi="Times New Roman" w:cs="Times New Roman"/>
                <w:b/>
                <w:color w:val="000000"/>
                <w:sz w:val="18"/>
                <w:szCs w:val="18"/>
              </w:rPr>
            </w:pPr>
          </w:p>
        </w:tc>
        <w:tc>
          <w:tcPr>
            <w:tcW w:w="1444" w:type="dxa"/>
            <w:tcBorders>
              <w:top w:val="nil"/>
              <w:left w:val="nil"/>
              <w:bottom w:val="single" w:sz="4" w:space="0" w:color="000000"/>
              <w:right w:val="nil"/>
            </w:tcBorders>
            <w:shd w:val="clear" w:color="auto" w:fill="D9D9D9" w:themeFill="background1" w:themeFillShade="D9"/>
            <w:vAlign w:val="center"/>
          </w:tcPr>
          <w:p w14:paraId="1EF3332C" w14:textId="070A7556" w:rsidR="004E18A5" w:rsidRPr="005F44EF" w:rsidRDefault="004E18A5" w:rsidP="00E94E7E">
            <w:pPr>
              <w:spacing w:after="0" w:line="276"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Number of repeated measurements</w:t>
            </w:r>
          </w:p>
        </w:tc>
        <w:tc>
          <w:tcPr>
            <w:tcW w:w="2155" w:type="dxa"/>
            <w:tcBorders>
              <w:top w:val="nil"/>
              <w:left w:val="nil"/>
              <w:bottom w:val="single" w:sz="4" w:space="0" w:color="000000"/>
              <w:right w:val="nil"/>
            </w:tcBorders>
            <w:shd w:val="clear" w:color="auto" w:fill="D9D9D9" w:themeFill="background1" w:themeFillShade="D9"/>
            <w:vAlign w:val="center"/>
          </w:tcPr>
          <w:p w14:paraId="1D44434F" w14:textId="2906309E" w:rsidR="004E18A5" w:rsidRPr="005F44EF" w:rsidRDefault="004E18A5" w:rsidP="00E94E7E">
            <w:pPr>
              <w:spacing w:after="0" w:line="276"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Repeatability ESR intensities (%)</w:t>
            </w:r>
          </w:p>
        </w:tc>
        <w:tc>
          <w:tcPr>
            <w:tcW w:w="1771" w:type="dxa"/>
            <w:tcBorders>
              <w:top w:val="nil"/>
              <w:left w:val="nil"/>
              <w:bottom w:val="single" w:sz="4" w:space="0" w:color="000000"/>
              <w:right w:val="nil"/>
            </w:tcBorders>
            <w:shd w:val="clear" w:color="auto" w:fill="D9D9D9" w:themeFill="background1" w:themeFillShade="D9"/>
            <w:vAlign w:val="center"/>
          </w:tcPr>
          <w:p w14:paraId="72FED767" w14:textId="2A7D2013" w:rsidR="004E18A5" w:rsidRPr="005F44EF" w:rsidRDefault="004E18A5" w:rsidP="00E94E7E">
            <w:pPr>
              <w:spacing w:after="0" w:line="276"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D</w:t>
            </w:r>
            <w:r w:rsidRPr="005F44EF">
              <w:rPr>
                <w:rFonts w:ascii="Times New Roman" w:eastAsia="Times New Roman" w:hAnsi="Times New Roman" w:cs="Times New Roman"/>
                <w:b/>
                <w:color w:val="000000"/>
                <w:sz w:val="18"/>
                <w:szCs w:val="18"/>
                <w:vertAlign w:val="subscript"/>
              </w:rPr>
              <w:t>e</w:t>
            </w:r>
            <w:r w:rsidRPr="005F44EF">
              <w:rPr>
                <w:rFonts w:ascii="Times New Roman" w:eastAsia="Times New Roman" w:hAnsi="Times New Roman" w:cs="Times New Roman"/>
                <w:b/>
                <w:color w:val="000000"/>
                <w:sz w:val="18"/>
                <w:szCs w:val="18"/>
              </w:rPr>
              <w:t xml:space="preserve"> repeatability (%)</w:t>
            </w:r>
          </w:p>
        </w:tc>
        <w:tc>
          <w:tcPr>
            <w:tcW w:w="824" w:type="dxa"/>
            <w:tcBorders>
              <w:top w:val="nil"/>
              <w:left w:val="nil"/>
              <w:bottom w:val="single" w:sz="4" w:space="0" w:color="000000"/>
              <w:right w:val="nil"/>
            </w:tcBorders>
            <w:shd w:val="clear" w:color="auto" w:fill="D9D9D9" w:themeFill="background1" w:themeFillShade="D9"/>
            <w:vAlign w:val="center"/>
          </w:tcPr>
          <w:p w14:paraId="359A8201" w14:textId="77777777" w:rsidR="004E18A5" w:rsidRPr="005F44EF" w:rsidRDefault="004E18A5" w:rsidP="00E94E7E">
            <w:pPr>
              <w:spacing w:after="0" w:line="276"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S/N*</w:t>
            </w:r>
          </w:p>
        </w:tc>
        <w:tc>
          <w:tcPr>
            <w:tcW w:w="2530" w:type="dxa"/>
            <w:gridSpan w:val="2"/>
            <w:tcBorders>
              <w:top w:val="single" w:sz="4" w:space="0" w:color="000000"/>
              <w:left w:val="nil"/>
              <w:bottom w:val="single" w:sz="4" w:space="0" w:color="000000"/>
              <w:right w:val="nil"/>
            </w:tcBorders>
            <w:shd w:val="clear" w:color="auto" w:fill="D9D9D9" w:themeFill="background1" w:themeFillShade="D9"/>
            <w:vAlign w:val="center"/>
          </w:tcPr>
          <w:p w14:paraId="5E7FEBD1" w14:textId="77777777" w:rsidR="004E18A5" w:rsidRPr="005F44EF" w:rsidRDefault="004E18A5" w:rsidP="00E94E7E">
            <w:pPr>
              <w:spacing w:after="0" w:line="276"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Ti-2 function (W-1/s</w:t>
            </w:r>
            <w:r w:rsidRPr="005F44EF">
              <w:rPr>
                <w:rFonts w:ascii="Times New Roman" w:eastAsia="Times New Roman" w:hAnsi="Times New Roman" w:cs="Times New Roman"/>
                <w:b/>
                <w:color w:val="000000"/>
                <w:sz w:val="18"/>
                <w:szCs w:val="18"/>
                <w:vertAlign w:val="superscript"/>
              </w:rPr>
              <w:t>2</w:t>
            </w:r>
            <w:r w:rsidRPr="005F44EF">
              <w:rPr>
                <w:rFonts w:ascii="Times New Roman" w:eastAsia="Times New Roman" w:hAnsi="Times New Roman" w:cs="Times New Roman"/>
                <w:b/>
                <w:color w:val="000000"/>
                <w:sz w:val="18"/>
                <w:szCs w:val="18"/>
              </w:rPr>
              <w:t>)</w:t>
            </w:r>
          </w:p>
          <w:p w14:paraId="0282354B" w14:textId="10893C56" w:rsidR="004E18A5" w:rsidRPr="005F44EF" w:rsidRDefault="004E18A5" w:rsidP="00E94E7E">
            <w:pPr>
              <w:spacing w:after="0" w:line="276"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D</w:t>
            </w:r>
            <w:r w:rsidRPr="005F44EF">
              <w:rPr>
                <w:rFonts w:ascii="Times New Roman" w:eastAsia="Times New Roman" w:hAnsi="Times New Roman" w:cs="Times New Roman"/>
                <w:b/>
                <w:color w:val="000000"/>
                <w:sz w:val="18"/>
                <w:szCs w:val="18"/>
                <w:vertAlign w:val="subscript"/>
              </w:rPr>
              <w:t>max</w:t>
            </w:r>
            <w:r w:rsidRPr="005F44EF">
              <w:rPr>
                <w:rFonts w:ascii="Times New Roman" w:eastAsia="Times New Roman" w:hAnsi="Times New Roman" w:cs="Times New Roman"/>
                <w:b/>
                <w:color w:val="000000"/>
                <w:sz w:val="18"/>
                <w:szCs w:val="18"/>
              </w:rPr>
              <w:t>=23 kGy</w:t>
            </w:r>
          </w:p>
        </w:tc>
        <w:tc>
          <w:tcPr>
            <w:tcW w:w="2134" w:type="dxa"/>
            <w:gridSpan w:val="3"/>
            <w:tcBorders>
              <w:top w:val="single" w:sz="4" w:space="0" w:color="000000"/>
              <w:left w:val="nil"/>
              <w:bottom w:val="single" w:sz="4" w:space="0" w:color="000000"/>
              <w:right w:val="nil"/>
            </w:tcBorders>
            <w:shd w:val="clear" w:color="auto" w:fill="D9D9D9" w:themeFill="background1" w:themeFillShade="D9"/>
            <w:vAlign w:val="center"/>
          </w:tcPr>
          <w:p w14:paraId="286808B9" w14:textId="77777777" w:rsidR="004E18A5" w:rsidRPr="005F44EF" w:rsidRDefault="004E18A5" w:rsidP="00E94E7E">
            <w:pPr>
              <w:spacing w:after="0" w:line="276"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SSE function (W-1/I</w:t>
            </w:r>
            <w:r w:rsidRPr="005F44EF">
              <w:rPr>
                <w:rFonts w:ascii="Times New Roman" w:eastAsia="Times New Roman" w:hAnsi="Times New Roman" w:cs="Times New Roman"/>
                <w:b/>
                <w:color w:val="000000"/>
                <w:sz w:val="18"/>
                <w:szCs w:val="18"/>
                <w:vertAlign w:val="superscript"/>
              </w:rPr>
              <w:t>2</w:t>
            </w:r>
            <w:r w:rsidRPr="005F44EF">
              <w:rPr>
                <w:rFonts w:ascii="Times New Roman" w:eastAsia="Times New Roman" w:hAnsi="Times New Roman" w:cs="Times New Roman"/>
                <w:b/>
                <w:color w:val="000000"/>
                <w:sz w:val="18"/>
                <w:szCs w:val="18"/>
              </w:rPr>
              <w:t>)</w:t>
            </w:r>
          </w:p>
          <w:p w14:paraId="2264B414" w14:textId="057F07C0" w:rsidR="004E18A5" w:rsidRPr="005F44EF" w:rsidRDefault="004E18A5" w:rsidP="00E94E7E">
            <w:pPr>
              <w:spacing w:after="0" w:line="276"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D</w:t>
            </w:r>
            <w:r w:rsidRPr="005F44EF">
              <w:rPr>
                <w:rFonts w:ascii="Times New Roman" w:eastAsia="Times New Roman" w:hAnsi="Times New Roman" w:cs="Times New Roman"/>
                <w:b/>
                <w:color w:val="000000"/>
                <w:sz w:val="18"/>
                <w:szCs w:val="18"/>
                <w:vertAlign w:val="subscript"/>
              </w:rPr>
              <w:t>max</w:t>
            </w:r>
            <w:r w:rsidRPr="005F44EF">
              <w:rPr>
                <w:rFonts w:ascii="Times New Roman" w:eastAsia="Times New Roman" w:hAnsi="Times New Roman" w:cs="Times New Roman"/>
                <w:b/>
                <w:color w:val="000000"/>
                <w:sz w:val="18"/>
                <w:szCs w:val="18"/>
              </w:rPr>
              <w:t xml:space="preserve"> = 4.5 kGy</w:t>
            </w:r>
          </w:p>
        </w:tc>
      </w:tr>
      <w:tr w:rsidR="004E18A5" w:rsidRPr="005F44EF" w14:paraId="2204EF07" w14:textId="77777777" w:rsidTr="00E94E7E">
        <w:trPr>
          <w:trHeight w:val="243"/>
        </w:trPr>
        <w:tc>
          <w:tcPr>
            <w:tcW w:w="1120" w:type="dxa"/>
            <w:tcBorders>
              <w:top w:val="nil"/>
              <w:left w:val="nil"/>
              <w:bottom w:val="nil"/>
              <w:right w:val="nil"/>
            </w:tcBorders>
            <w:shd w:val="clear" w:color="auto" w:fill="auto"/>
            <w:vAlign w:val="center"/>
          </w:tcPr>
          <w:p w14:paraId="471CD7EC" w14:textId="77777777"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p>
        </w:tc>
        <w:tc>
          <w:tcPr>
            <w:tcW w:w="1444" w:type="dxa"/>
            <w:tcBorders>
              <w:top w:val="nil"/>
              <w:left w:val="nil"/>
              <w:bottom w:val="nil"/>
              <w:right w:val="nil"/>
            </w:tcBorders>
            <w:vAlign w:val="center"/>
          </w:tcPr>
          <w:p w14:paraId="6BB2A8D0" w14:textId="77777777" w:rsidR="004E18A5" w:rsidRPr="005F44EF" w:rsidRDefault="004E18A5" w:rsidP="00E94E7E">
            <w:pPr>
              <w:spacing w:after="0" w:line="276" w:lineRule="auto"/>
              <w:jc w:val="center"/>
              <w:rPr>
                <w:rFonts w:ascii="Times New Roman" w:eastAsia="Times New Roman" w:hAnsi="Times New Roman" w:cs="Times New Roman"/>
                <w:sz w:val="18"/>
                <w:szCs w:val="18"/>
              </w:rPr>
            </w:pPr>
          </w:p>
        </w:tc>
        <w:tc>
          <w:tcPr>
            <w:tcW w:w="1444" w:type="dxa"/>
            <w:tcBorders>
              <w:top w:val="nil"/>
              <w:left w:val="nil"/>
              <w:bottom w:val="nil"/>
              <w:right w:val="nil"/>
            </w:tcBorders>
            <w:shd w:val="clear" w:color="auto" w:fill="auto"/>
            <w:vAlign w:val="center"/>
          </w:tcPr>
          <w:p w14:paraId="389453C6" w14:textId="07D40439" w:rsidR="004E18A5" w:rsidRPr="005F44EF" w:rsidRDefault="004E18A5" w:rsidP="00E94E7E">
            <w:pPr>
              <w:spacing w:after="0" w:line="276" w:lineRule="auto"/>
              <w:jc w:val="center"/>
              <w:rPr>
                <w:rFonts w:ascii="Times New Roman" w:eastAsia="Times New Roman" w:hAnsi="Times New Roman" w:cs="Times New Roman"/>
                <w:sz w:val="18"/>
                <w:szCs w:val="18"/>
              </w:rPr>
            </w:pPr>
          </w:p>
        </w:tc>
        <w:tc>
          <w:tcPr>
            <w:tcW w:w="2155" w:type="dxa"/>
            <w:tcBorders>
              <w:top w:val="nil"/>
              <w:left w:val="nil"/>
              <w:bottom w:val="nil"/>
              <w:right w:val="nil"/>
            </w:tcBorders>
            <w:vAlign w:val="center"/>
          </w:tcPr>
          <w:p w14:paraId="76A89493" w14:textId="77777777" w:rsidR="004E18A5" w:rsidRPr="005F44EF" w:rsidRDefault="004E18A5" w:rsidP="00E94E7E">
            <w:pPr>
              <w:spacing w:after="0" w:line="276" w:lineRule="auto"/>
              <w:jc w:val="center"/>
              <w:rPr>
                <w:rFonts w:ascii="Times New Roman" w:eastAsia="Times New Roman" w:hAnsi="Times New Roman" w:cs="Times New Roman"/>
                <w:sz w:val="18"/>
                <w:szCs w:val="18"/>
              </w:rPr>
            </w:pPr>
          </w:p>
        </w:tc>
        <w:tc>
          <w:tcPr>
            <w:tcW w:w="1771" w:type="dxa"/>
            <w:tcBorders>
              <w:top w:val="nil"/>
              <w:left w:val="nil"/>
              <w:bottom w:val="nil"/>
              <w:right w:val="nil"/>
            </w:tcBorders>
            <w:shd w:val="clear" w:color="auto" w:fill="auto"/>
            <w:vAlign w:val="center"/>
          </w:tcPr>
          <w:p w14:paraId="2D5EA102" w14:textId="5ED6EF56" w:rsidR="004E18A5" w:rsidRPr="005F44EF" w:rsidRDefault="004E18A5" w:rsidP="00E94E7E">
            <w:pPr>
              <w:spacing w:after="0" w:line="276" w:lineRule="auto"/>
              <w:jc w:val="center"/>
              <w:rPr>
                <w:rFonts w:ascii="Times New Roman" w:eastAsia="Times New Roman" w:hAnsi="Times New Roman" w:cs="Times New Roman"/>
                <w:sz w:val="18"/>
                <w:szCs w:val="18"/>
              </w:rPr>
            </w:pPr>
          </w:p>
        </w:tc>
        <w:tc>
          <w:tcPr>
            <w:tcW w:w="824" w:type="dxa"/>
            <w:tcBorders>
              <w:top w:val="nil"/>
              <w:left w:val="nil"/>
              <w:bottom w:val="nil"/>
              <w:right w:val="nil"/>
            </w:tcBorders>
            <w:shd w:val="clear" w:color="auto" w:fill="auto"/>
            <w:vAlign w:val="center"/>
          </w:tcPr>
          <w:p w14:paraId="2253878B" w14:textId="77777777" w:rsidR="004E18A5" w:rsidRPr="005F44EF" w:rsidRDefault="004E18A5" w:rsidP="00E94E7E">
            <w:pPr>
              <w:spacing w:after="0" w:line="276" w:lineRule="auto"/>
              <w:jc w:val="center"/>
              <w:rPr>
                <w:rFonts w:ascii="Times New Roman" w:eastAsia="Times New Roman" w:hAnsi="Times New Roman" w:cs="Times New Roman"/>
                <w:sz w:val="18"/>
                <w:szCs w:val="18"/>
              </w:rPr>
            </w:pPr>
          </w:p>
        </w:tc>
        <w:tc>
          <w:tcPr>
            <w:tcW w:w="1508" w:type="dxa"/>
            <w:tcBorders>
              <w:top w:val="nil"/>
              <w:left w:val="nil"/>
              <w:bottom w:val="nil"/>
              <w:right w:val="nil"/>
            </w:tcBorders>
            <w:shd w:val="clear" w:color="auto" w:fill="auto"/>
            <w:vAlign w:val="center"/>
          </w:tcPr>
          <w:p w14:paraId="7983B3B6" w14:textId="77777777"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D</w:t>
            </w:r>
            <w:r w:rsidRPr="005F44EF">
              <w:rPr>
                <w:rFonts w:ascii="Times New Roman" w:eastAsia="Times New Roman" w:hAnsi="Times New Roman" w:cs="Times New Roman"/>
                <w:color w:val="000000"/>
                <w:sz w:val="18"/>
                <w:szCs w:val="18"/>
                <w:vertAlign w:val="subscript"/>
              </w:rPr>
              <w:t>e</w:t>
            </w:r>
          </w:p>
        </w:tc>
        <w:tc>
          <w:tcPr>
            <w:tcW w:w="1022" w:type="dxa"/>
            <w:tcBorders>
              <w:top w:val="nil"/>
              <w:left w:val="nil"/>
              <w:bottom w:val="nil"/>
              <w:right w:val="nil"/>
            </w:tcBorders>
            <w:shd w:val="clear" w:color="auto" w:fill="auto"/>
            <w:vAlign w:val="center"/>
          </w:tcPr>
          <w:p w14:paraId="4C92539D" w14:textId="77777777"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Adj. r²</w:t>
            </w:r>
          </w:p>
        </w:tc>
        <w:tc>
          <w:tcPr>
            <w:tcW w:w="1208" w:type="dxa"/>
            <w:gridSpan w:val="2"/>
            <w:tcBorders>
              <w:top w:val="nil"/>
              <w:left w:val="nil"/>
              <w:bottom w:val="nil"/>
              <w:right w:val="nil"/>
            </w:tcBorders>
            <w:shd w:val="clear" w:color="auto" w:fill="auto"/>
            <w:vAlign w:val="center"/>
          </w:tcPr>
          <w:p w14:paraId="249E89AD" w14:textId="77777777"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D</w:t>
            </w:r>
            <w:r w:rsidRPr="005F44EF">
              <w:rPr>
                <w:rFonts w:ascii="Times New Roman" w:eastAsia="Times New Roman" w:hAnsi="Times New Roman" w:cs="Times New Roman"/>
                <w:color w:val="000000"/>
                <w:sz w:val="18"/>
                <w:szCs w:val="18"/>
                <w:vertAlign w:val="subscript"/>
              </w:rPr>
              <w:t>e</w:t>
            </w:r>
          </w:p>
        </w:tc>
        <w:tc>
          <w:tcPr>
            <w:tcW w:w="926" w:type="dxa"/>
            <w:tcBorders>
              <w:top w:val="nil"/>
              <w:left w:val="nil"/>
              <w:bottom w:val="nil"/>
              <w:right w:val="nil"/>
            </w:tcBorders>
            <w:shd w:val="clear" w:color="auto" w:fill="auto"/>
            <w:vAlign w:val="center"/>
          </w:tcPr>
          <w:p w14:paraId="71146AF1" w14:textId="77777777" w:rsidR="004E18A5" w:rsidRPr="005F44EF" w:rsidRDefault="004E18A5"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Adj. r²</w:t>
            </w:r>
          </w:p>
        </w:tc>
      </w:tr>
      <w:tr w:rsidR="0055744E" w:rsidRPr="005F44EF" w14:paraId="4DC2989B" w14:textId="77777777" w:rsidTr="00E94E7E">
        <w:trPr>
          <w:trHeight w:val="243"/>
        </w:trPr>
        <w:tc>
          <w:tcPr>
            <w:tcW w:w="1120" w:type="dxa"/>
            <w:tcBorders>
              <w:top w:val="nil"/>
              <w:left w:val="nil"/>
              <w:bottom w:val="nil"/>
              <w:right w:val="nil"/>
            </w:tcBorders>
            <w:shd w:val="clear" w:color="auto" w:fill="auto"/>
            <w:vAlign w:val="center"/>
          </w:tcPr>
          <w:p w14:paraId="3252A108" w14:textId="5AC1FEC1"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ANY20-03</w:t>
            </w:r>
          </w:p>
        </w:tc>
        <w:tc>
          <w:tcPr>
            <w:tcW w:w="1444" w:type="dxa"/>
            <w:tcBorders>
              <w:top w:val="nil"/>
              <w:left w:val="nil"/>
              <w:bottom w:val="nil"/>
              <w:right w:val="nil"/>
            </w:tcBorders>
            <w:vAlign w:val="center"/>
          </w:tcPr>
          <w:p w14:paraId="565E7284" w14:textId="13D43590"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Twin windows</w:t>
            </w:r>
          </w:p>
        </w:tc>
        <w:tc>
          <w:tcPr>
            <w:tcW w:w="1444" w:type="dxa"/>
            <w:tcBorders>
              <w:top w:val="nil"/>
              <w:left w:val="nil"/>
              <w:bottom w:val="nil"/>
              <w:right w:val="nil"/>
            </w:tcBorders>
            <w:shd w:val="clear" w:color="auto" w:fill="auto"/>
            <w:vAlign w:val="center"/>
          </w:tcPr>
          <w:p w14:paraId="26F8804E" w14:textId="5368A834"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3</w:t>
            </w:r>
          </w:p>
        </w:tc>
        <w:tc>
          <w:tcPr>
            <w:tcW w:w="2155" w:type="dxa"/>
            <w:tcBorders>
              <w:top w:val="nil"/>
              <w:left w:val="nil"/>
              <w:bottom w:val="nil"/>
              <w:right w:val="nil"/>
            </w:tcBorders>
            <w:vAlign w:val="center"/>
          </w:tcPr>
          <w:p w14:paraId="33B8FFF4" w14:textId="7109C1B5"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2.1</w:t>
            </w:r>
          </w:p>
        </w:tc>
        <w:tc>
          <w:tcPr>
            <w:tcW w:w="1771" w:type="dxa"/>
            <w:tcBorders>
              <w:top w:val="nil"/>
              <w:left w:val="nil"/>
              <w:bottom w:val="nil"/>
              <w:right w:val="nil"/>
            </w:tcBorders>
            <w:shd w:val="clear" w:color="auto" w:fill="auto"/>
            <w:vAlign w:val="center"/>
          </w:tcPr>
          <w:p w14:paraId="265F065B" w14:textId="1E592F66"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29.0</w:t>
            </w:r>
          </w:p>
        </w:tc>
        <w:tc>
          <w:tcPr>
            <w:tcW w:w="824" w:type="dxa"/>
            <w:tcBorders>
              <w:top w:val="nil"/>
              <w:left w:val="nil"/>
              <w:bottom w:val="nil"/>
              <w:right w:val="nil"/>
            </w:tcBorders>
            <w:shd w:val="clear" w:color="auto" w:fill="auto"/>
            <w:vAlign w:val="center"/>
          </w:tcPr>
          <w:p w14:paraId="2683989E" w14:textId="77777777"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4</w:t>
            </w:r>
          </w:p>
        </w:tc>
        <w:tc>
          <w:tcPr>
            <w:tcW w:w="1508" w:type="dxa"/>
            <w:tcBorders>
              <w:top w:val="nil"/>
              <w:left w:val="nil"/>
              <w:bottom w:val="nil"/>
              <w:right w:val="nil"/>
            </w:tcBorders>
            <w:shd w:val="clear" w:color="auto" w:fill="auto"/>
            <w:vAlign w:val="center"/>
          </w:tcPr>
          <w:p w14:paraId="2182AAC9" w14:textId="72BFC70D"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481±39</w:t>
            </w:r>
          </w:p>
        </w:tc>
        <w:tc>
          <w:tcPr>
            <w:tcW w:w="1022" w:type="dxa"/>
            <w:tcBorders>
              <w:top w:val="nil"/>
              <w:left w:val="nil"/>
              <w:bottom w:val="nil"/>
              <w:right w:val="nil"/>
            </w:tcBorders>
            <w:shd w:val="clear" w:color="auto" w:fill="auto"/>
            <w:vAlign w:val="center"/>
          </w:tcPr>
          <w:p w14:paraId="2CDE9C24" w14:textId="77777777"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0.987</w:t>
            </w:r>
          </w:p>
        </w:tc>
        <w:tc>
          <w:tcPr>
            <w:tcW w:w="1208" w:type="dxa"/>
            <w:gridSpan w:val="2"/>
            <w:tcBorders>
              <w:top w:val="nil"/>
              <w:left w:val="nil"/>
              <w:bottom w:val="nil"/>
              <w:right w:val="nil"/>
            </w:tcBorders>
            <w:shd w:val="clear" w:color="auto" w:fill="auto"/>
            <w:vAlign w:val="center"/>
          </w:tcPr>
          <w:p w14:paraId="7318D09D" w14:textId="65BA4A38"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542±74</w:t>
            </w:r>
          </w:p>
        </w:tc>
        <w:tc>
          <w:tcPr>
            <w:tcW w:w="926" w:type="dxa"/>
            <w:tcBorders>
              <w:top w:val="nil"/>
              <w:left w:val="nil"/>
              <w:bottom w:val="nil"/>
              <w:right w:val="nil"/>
            </w:tcBorders>
            <w:shd w:val="clear" w:color="auto" w:fill="auto"/>
            <w:vAlign w:val="center"/>
          </w:tcPr>
          <w:p w14:paraId="1A081870" w14:textId="77777777"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0.981</w:t>
            </w:r>
          </w:p>
        </w:tc>
      </w:tr>
      <w:tr w:rsidR="0055744E" w:rsidRPr="005F44EF" w14:paraId="09068D08" w14:textId="77777777" w:rsidTr="00E94E7E">
        <w:trPr>
          <w:trHeight w:val="243"/>
        </w:trPr>
        <w:tc>
          <w:tcPr>
            <w:tcW w:w="1120" w:type="dxa"/>
            <w:tcBorders>
              <w:top w:val="nil"/>
              <w:left w:val="nil"/>
              <w:bottom w:val="nil"/>
              <w:right w:val="nil"/>
            </w:tcBorders>
            <w:shd w:val="clear" w:color="auto" w:fill="auto"/>
            <w:vAlign w:val="center"/>
          </w:tcPr>
          <w:p w14:paraId="3D654A5A" w14:textId="2C5ADFD2"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ANY20-04</w:t>
            </w:r>
          </w:p>
        </w:tc>
        <w:tc>
          <w:tcPr>
            <w:tcW w:w="1444" w:type="dxa"/>
            <w:tcBorders>
              <w:top w:val="nil"/>
              <w:left w:val="nil"/>
              <w:bottom w:val="nil"/>
              <w:right w:val="nil"/>
            </w:tcBorders>
            <w:vAlign w:val="center"/>
          </w:tcPr>
          <w:p w14:paraId="6A05F0D5" w14:textId="5D908C23"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Twin windows</w:t>
            </w:r>
          </w:p>
        </w:tc>
        <w:tc>
          <w:tcPr>
            <w:tcW w:w="1444" w:type="dxa"/>
            <w:tcBorders>
              <w:top w:val="nil"/>
              <w:left w:val="nil"/>
              <w:bottom w:val="nil"/>
              <w:right w:val="nil"/>
            </w:tcBorders>
            <w:shd w:val="clear" w:color="auto" w:fill="auto"/>
            <w:vAlign w:val="center"/>
          </w:tcPr>
          <w:p w14:paraId="71E22294" w14:textId="5E7C0C3B"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3</w:t>
            </w:r>
          </w:p>
        </w:tc>
        <w:tc>
          <w:tcPr>
            <w:tcW w:w="2155" w:type="dxa"/>
            <w:tcBorders>
              <w:top w:val="nil"/>
              <w:left w:val="nil"/>
              <w:bottom w:val="nil"/>
              <w:right w:val="nil"/>
            </w:tcBorders>
            <w:vAlign w:val="center"/>
          </w:tcPr>
          <w:p w14:paraId="4149B0C3" w14:textId="57EE2BC4"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2.2</w:t>
            </w:r>
          </w:p>
        </w:tc>
        <w:tc>
          <w:tcPr>
            <w:tcW w:w="1771" w:type="dxa"/>
            <w:tcBorders>
              <w:top w:val="nil"/>
              <w:left w:val="nil"/>
              <w:bottom w:val="nil"/>
              <w:right w:val="nil"/>
            </w:tcBorders>
            <w:shd w:val="clear" w:color="auto" w:fill="auto"/>
            <w:vAlign w:val="center"/>
          </w:tcPr>
          <w:p w14:paraId="0B557756" w14:textId="6711F377"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11.9</w:t>
            </w:r>
          </w:p>
        </w:tc>
        <w:tc>
          <w:tcPr>
            <w:tcW w:w="824" w:type="dxa"/>
            <w:tcBorders>
              <w:top w:val="nil"/>
              <w:left w:val="nil"/>
              <w:bottom w:val="nil"/>
              <w:right w:val="nil"/>
            </w:tcBorders>
            <w:shd w:val="clear" w:color="auto" w:fill="auto"/>
            <w:vAlign w:val="center"/>
          </w:tcPr>
          <w:p w14:paraId="68CFE38C" w14:textId="77777777"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4</w:t>
            </w:r>
          </w:p>
        </w:tc>
        <w:tc>
          <w:tcPr>
            <w:tcW w:w="1508" w:type="dxa"/>
            <w:tcBorders>
              <w:top w:val="nil"/>
              <w:left w:val="nil"/>
              <w:bottom w:val="nil"/>
              <w:right w:val="nil"/>
            </w:tcBorders>
            <w:shd w:val="clear" w:color="auto" w:fill="auto"/>
            <w:vAlign w:val="center"/>
          </w:tcPr>
          <w:p w14:paraId="0A5972BD" w14:textId="05933F6E"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501±84</w:t>
            </w:r>
          </w:p>
        </w:tc>
        <w:tc>
          <w:tcPr>
            <w:tcW w:w="1022" w:type="dxa"/>
            <w:tcBorders>
              <w:top w:val="nil"/>
              <w:left w:val="nil"/>
              <w:bottom w:val="nil"/>
              <w:right w:val="nil"/>
            </w:tcBorders>
            <w:shd w:val="clear" w:color="auto" w:fill="auto"/>
            <w:vAlign w:val="center"/>
          </w:tcPr>
          <w:p w14:paraId="24938053" w14:textId="77777777"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0.959</w:t>
            </w:r>
          </w:p>
        </w:tc>
        <w:tc>
          <w:tcPr>
            <w:tcW w:w="1208" w:type="dxa"/>
            <w:gridSpan w:val="2"/>
            <w:tcBorders>
              <w:top w:val="nil"/>
              <w:left w:val="nil"/>
              <w:bottom w:val="nil"/>
              <w:right w:val="nil"/>
            </w:tcBorders>
            <w:shd w:val="clear" w:color="auto" w:fill="auto"/>
            <w:vAlign w:val="center"/>
          </w:tcPr>
          <w:p w14:paraId="49AEA474" w14:textId="3E51DDE4"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562±129</w:t>
            </w:r>
          </w:p>
        </w:tc>
        <w:tc>
          <w:tcPr>
            <w:tcW w:w="926" w:type="dxa"/>
            <w:tcBorders>
              <w:top w:val="nil"/>
              <w:left w:val="nil"/>
              <w:bottom w:val="nil"/>
              <w:right w:val="nil"/>
            </w:tcBorders>
            <w:shd w:val="clear" w:color="auto" w:fill="auto"/>
            <w:vAlign w:val="center"/>
          </w:tcPr>
          <w:p w14:paraId="4BE7C7BD" w14:textId="77777777"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0.947</w:t>
            </w:r>
          </w:p>
        </w:tc>
      </w:tr>
      <w:tr w:rsidR="0055744E" w:rsidRPr="005F44EF" w14:paraId="49AE5625" w14:textId="77777777" w:rsidTr="00E94E7E">
        <w:trPr>
          <w:trHeight w:val="243"/>
        </w:trPr>
        <w:tc>
          <w:tcPr>
            <w:tcW w:w="1120" w:type="dxa"/>
            <w:tcBorders>
              <w:top w:val="nil"/>
              <w:left w:val="nil"/>
              <w:bottom w:val="nil"/>
              <w:right w:val="nil"/>
            </w:tcBorders>
            <w:shd w:val="clear" w:color="auto" w:fill="auto"/>
            <w:vAlign w:val="center"/>
          </w:tcPr>
          <w:p w14:paraId="5B5D14AA" w14:textId="54883BE2"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ANY20-05</w:t>
            </w:r>
          </w:p>
        </w:tc>
        <w:tc>
          <w:tcPr>
            <w:tcW w:w="1444" w:type="dxa"/>
            <w:tcBorders>
              <w:top w:val="nil"/>
              <w:left w:val="nil"/>
              <w:bottom w:val="nil"/>
              <w:right w:val="nil"/>
            </w:tcBorders>
            <w:vAlign w:val="center"/>
          </w:tcPr>
          <w:p w14:paraId="54F6B148" w14:textId="56462F47"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Twin windows</w:t>
            </w:r>
          </w:p>
        </w:tc>
        <w:tc>
          <w:tcPr>
            <w:tcW w:w="1444" w:type="dxa"/>
            <w:tcBorders>
              <w:top w:val="nil"/>
              <w:left w:val="nil"/>
              <w:bottom w:val="nil"/>
              <w:right w:val="nil"/>
            </w:tcBorders>
            <w:shd w:val="clear" w:color="auto" w:fill="auto"/>
            <w:vAlign w:val="center"/>
          </w:tcPr>
          <w:p w14:paraId="1CEEB6C5" w14:textId="36B60056"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3</w:t>
            </w:r>
          </w:p>
        </w:tc>
        <w:tc>
          <w:tcPr>
            <w:tcW w:w="2155" w:type="dxa"/>
            <w:tcBorders>
              <w:top w:val="nil"/>
              <w:left w:val="nil"/>
              <w:bottom w:val="nil"/>
              <w:right w:val="nil"/>
            </w:tcBorders>
            <w:vAlign w:val="center"/>
          </w:tcPr>
          <w:p w14:paraId="3461E24E" w14:textId="7F37B07D"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1.1</w:t>
            </w:r>
          </w:p>
        </w:tc>
        <w:tc>
          <w:tcPr>
            <w:tcW w:w="1771" w:type="dxa"/>
            <w:tcBorders>
              <w:top w:val="nil"/>
              <w:left w:val="nil"/>
              <w:bottom w:val="nil"/>
              <w:right w:val="nil"/>
            </w:tcBorders>
            <w:shd w:val="clear" w:color="auto" w:fill="auto"/>
            <w:vAlign w:val="center"/>
          </w:tcPr>
          <w:p w14:paraId="0CE66475" w14:textId="167AB608"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9.0</w:t>
            </w:r>
          </w:p>
        </w:tc>
        <w:tc>
          <w:tcPr>
            <w:tcW w:w="824" w:type="dxa"/>
            <w:tcBorders>
              <w:top w:val="nil"/>
              <w:left w:val="nil"/>
              <w:bottom w:val="nil"/>
              <w:right w:val="nil"/>
            </w:tcBorders>
            <w:shd w:val="clear" w:color="auto" w:fill="auto"/>
            <w:vAlign w:val="center"/>
          </w:tcPr>
          <w:p w14:paraId="7DA89B84" w14:textId="77777777"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7</w:t>
            </w:r>
          </w:p>
        </w:tc>
        <w:tc>
          <w:tcPr>
            <w:tcW w:w="1508" w:type="dxa"/>
            <w:tcBorders>
              <w:top w:val="nil"/>
              <w:left w:val="nil"/>
              <w:bottom w:val="nil"/>
              <w:right w:val="nil"/>
            </w:tcBorders>
            <w:shd w:val="clear" w:color="auto" w:fill="auto"/>
            <w:vAlign w:val="center"/>
          </w:tcPr>
          <w:p w14:paraId="48630DF0" w14:textId="72857981"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675±43</w:t>
            </w:r>
          </w:p>
        </w:tc>
        <w:tc>
          <w:tcPr>
            <w:tcW w:w="1022" w:type="dxa"/>
            <w:tcBorders>
              <w:top w:val="nil"/>
              <w:left w:val="nil"/>
              <w:bottom w:val="nil"/>
              <w:right w:val="nil"/>
            </w:tcBorders>
            <w:shd w:val="clear" w:color="auto" w:fill="auto"/>
            <w:vAlign w:val="center"/>
          </w:tcPr>
          <w:p w14:paraId="1B1A9B1D" w14:textId="77777777"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0.993</w:t>
            </w:r>
          </w:p>
        </w:tc>
        <w:tc>
          <w:tcPr>
            <w:tcW w:w="1208" w:type="dxa"/>
            <w:gridSpan w:val="2"/>
            <w:tcBorders>
              <w:top w:val="nil"/>
              <w:left w:val="nil"/>
              <w:bottom w:val="nil"/>
              <w:right w:val="nil"/>
            </w:tcBorders>
            <w:shd w:val="clear" w:color="auto" w:fill="auto"/>
            <w:vAlign w:val="center"/>
          </w:tcPr>
          <w:p w14:paraId="66BD62BA" w14:textId="1876DAD7"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634±62</w:t>
            </w:r>
          </w:p>
        </w:tc>
        <w:tc>
          <w:tcPr>
            <w:tcW w:w="926" w:type="dxa"/>
            <w:tcBorders>
              <w:top w:val="nil"/>
              <w:left w:val="nil"/>
              <w:bottom w:val="nil"/>
              <w:right w:val="nil"/>
            </w:tcBorders>
            <w:shd w:val="clear" w:color="auto" w:fill="auto"/>
            <w:vAlign w:val="center"/>
          </w:tcPr>
          <w:p w14:paraId="0A816672" w14:textId="77777777"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0.990</w:t>
            </w:r>
          </w:p>
        </w:tc>
      </w:tr>
      <w:tr w:rsidR="0055744E" w:rsidRPr="005F44EF" w14:paraId="732F6D9C" w14:textId="77777777" w:rsidTr="00E94E7E">
        <w:trPr>
          <w:trHeight w:val="243"/>
        </w:trPr>
        <w:tc>
          <w:tcPr>
            <w:tcW w:w="1120" w:type="dxa"/>
            <w:tcBorders>
              <w:top w:val="nil"/>
              <w:left w:val="nil"/>
              <w:right w:val="nil"/>
            </w:tcBorders>
            <w:shd w:val="clear" w:color="auto" w:fill="auto"/>
            <w:vAlign w:val="center"/>
          </w:tcPr>
          <w:p w14:paraId="402BAB73" w14:textId="6106E6A9"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ANY20-08</w:t>
            </w:r>
          </w:p>
        </w:tc>
        <w:tc>
          <w:tcPr>
            <w:tcW w:w="1444" w:type="dxa"/>
            <w:tcBorders>
              <w:top w:val="nil"/>
              <w:left w:val="nil"/>
              <w:right w:val="nil"/>
            </w:tcBorders>
            <w:vAlign w:val="center"/>
          </w:tcPr>
          <w:p w14:paraId="5DA37DE1" w14:textId="0D5CF049"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Twin windows</w:t>
            </w:r>
          </w:p>
        </w:tc>
        <w:tc>
          <w:tcPr>
            <w:tcW w:w="1444" w:type="dxa"/>
            <w:tcBorders>
              <w:top w:val="nil"/>
              <w:left w:val="nil"/>
              <w:right w:val="nil"/>
            </w:tcBorders>
            <w:shd w:val="clear" w:color="auto" w:fill="auto"/>
            <w:vAlign w:val="center"/>
          </w:tcPr>
          <w:p w14:paraId="665D24BB" w14:textId="7CA605E1"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3</w:t>
            </w:r>
          </w:p>
        </w:tc>
        <w:tc>
          <w:tcPr>
            <w:tcW w:w="2155" w:type="dxa"/>
            <w:tcBorders>
              <w:top w:val="nil"/>
              <w:left w:val="nil"/>
              <w:right w:val="nil"/>
            </w:tcBorders>
            <w:vAlign w:val="center"/>
          </w:tcPr>
          <w:p w14:paraId="15DB75D0" w14:textId="083C72B1"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1.1</w:t>
            </w:r>
          </w:p>
        </w:tc>
        <w:tc>
          <w:tcPr>
            <w:tcW w:w="1771" w:type="dxa"/>
            <w:tcBorders>
              <w:top w:val="nil"/>
              <w:left w:val="nil"/>
              <w:right w:val="nil"/>
            </w:tcBorders>
            <w:shd w:val="clear" w:color="auto" w:fill="auto"/>
            <w:vAlign w:val="center"/>
          </w:tcPr>
          <w:p w14:paraId="1E56FE7D" w14:textId="12089DC9"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1.7</w:t>
            </w:r>
          </w:p>
        </w:tc>
        <w:tc>
          <w:tcPr>
            <w:tcW w:w="824" w:type="dxa"/>
            <w:tcBorders>
              <w:top w:val="nil"/>
              <w:left w:val="nil"/>
              <w:right w:val="nil"/>
            </w:tcBorders>
            <w:shd w:val="clear" w:color="auto" w:fill="auto"/>
            <w:vAlign w:val="center"/>
          </w:tcPr>
          <w:p w14:paraId="0A6DD21D" w14:textId="77777777"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8</w:t>
            </w:r>
          </w:p>
        </w:tc>
        <w:tc>
          <w:tcPr>
            <w:tcW w:w="1508" w:type="dxa"/>
            <w:tcBorders>
              <w:top w:val="nil"/>
              <w:left w:val="nil"/>
              <w:right w:val="nil"/>
            </w:tcBorders>
            <w:shd w:val="clear" w:color="auto" w:fill="auto"/>
            <w:vAlign w:val="center"/>
          </w:tcPr>
          <w:p w14:paraId="322247B3" w14:textId="162A5ED9"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1150±105</w:t>
            </w:r>
          </w:p>
        </w:tc>
        <w:tc>
          <w:tcPr>
            <w:tcW w:w="1022" w:type="dxa"/>
            <w:tcBorders>
              <w:top w:val="nil"/>
              <w:left w:val="nil"/>
              <w:right w:val="nil"/>
            </w:tcBorders>
            <w:shd w:val="clear" w:color="auto" w:fill="auto"/>
            <w:vAlign w:val="center"/>
          </w:tcPr>
          <w:p w14:paraId="68257B76" w14:textId="77777777"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0.993</w:t>
            </w:r>
          </w:p>
        </w:tc>
        <w:tc>
          <w:tcPr>
            <w:tcW w:w="1208" w:type="dxa"/>
            <w:gridSpan w:val="2"/>
            <w:tcBorders>
              <w:top w:val="nil"/>
              <w:left w:val="nil"/>
              <w:right w:val="nil"/>
            </w:tcBorders>
            <w:shd w:val="clear" w:color="auto" w:fill="auto"/>
            <w:vAlign w:val="center"/>
          </w:tcPr>
          <w:p w14:paraId="00FE4B1E" w14:textId="40304FEC"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1501±246</w:t>
            </w:r>
          </w:p>
        </w:tc>
        <w:tc>
          <w:tcPr>
            <w:tcW w:w="926" w:type="dxa"/>
            <w:tcBorders>
              <w:top w:val="nil"/>
              <w:left w:val="nil"/>
              <w:right w:val="nil"/>
            </w:tcBorders>
            <w:shd w:val="clear" w:color="auto" w:fill="auto"/>
            <w:vAlign w:val="center"/>
          </w:tcPr>
          <w:p w14:paraId="36946AEE" w14:textId="77777777"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0.980</w:t>
            </w:r>
          </w:p>
        </w:tc>
      </w:tr>
      <w:tr w:rsidR="0055744E" w:rsidRPr="005F44EF" w14:paraId="63303D2D" w14:textId="77777777" w:rsidTr="00E94E7E">
        <w:trPr>
          <w:trHeight w:val="243"/>
        </w:trPr>
        <w:tc>
          <w:tcPr>
            <w:tcW w:w="1120" w:type="dxa"/>
            <w:tcBorders>
              <w:top w:val="nil"/>
              <w:left w:val="nil"/>
              <w:bottom w:val="single" w:sz="4" w:space="0" w:color="000000"/>
              <w:right w:val="nil"/>
            </w:tcBorders>
            <w:shd w:val="clear" w:color="auto" w:fill="auto"/>
            <w:vAlign w:val="center"/>
          </w:tcPr>
          <w:p w14:paraId="7D8CDFF2" w14:textId="07A06782"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ANY20-09</w:t>
            </w:r>
          </w:p>
        </w:tc>
        <w:tc>
          <w:tcPr>
            <w:tcW w:w="1444" w:type="dxa"/>
            <w:tcBorders>
              <w:top w:val="nil"/>
              <w:left w:val="nil"/>
              <w:bottom w:val="single" w:sz="4" w:space="0" w:color="000000"/>
              <w:right w:val="nil"/>
            </w:tcBorders>
            <w:vAlign w:val="center"/>
          </w:tcPr>
          <w:p w14:paraId="61FA3D43" w14:textId="22A1D29A"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Twin windows</w:t>
            </w:r>
          </w:p>
        </w:tc>
        <w:tc>
          <w:tcPr>
            <w:tcW w:w="1444" w:type="dxa"/>
            <w:tcBorders>
              <w:top w:val="nil"/>
              <w:left w:val="nil"/>
              <w:bottom w:val="single" w:sz="4" w:space="0" w:color="000000"/>
              <w:right w:val="nil"/>
            </w:tcBorders>
            <w:shd w:val="clear" w:color="auto" w:fill="auto"/>
            <w:vAlign w:val="center"/>
          </w:tcPr>
          <w:p w14:paraId="207844DF" w14:textId="6F99E54F"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3</w:t>
            </w:r>
          </w:p>
        </w:tc>
        <w:tc>
          <w:tcPr>
            <w:tcW w:w="2155" w:type="dxa"/>
            <w:tcBorders>
              <w:top w:val="nil"/>
              <w:left w:val="nil"/>
              <w:bottom w:val="single" w:sz="4" w:space="0" w:color="000000"/>
              <w:right w:val="nil"/>
            </w:tcBorders>
            <w:vAlign w:val="center"/>
          </w:tcPr>
          <w:p w14:paraId="78C4FA69" w14:textId="7DFEF7DD"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2.7</w:t>
            </w:r>
          </w:p>
        </w:tc>
        <w:tc>
          <w:tcPr>
            <w:tcW w:w="1771" w:type="dxa"/>
            <w:tcBorders>
              <w:top w:val="nil"/>
              <w:left w:val="nil"/>
              <w:bottom w:val="single" w:sz="4" w:space="0" w:color="000000"/>
              <w:right w:val="nil"/>
            </w:tcBorders>
            <w:shd w:val="clear" w:color="auto" w:fill="auto"/>
            <w:vAlign w:val="center"/>
          </w:tcPr>
          <w:p w14:paraId="40F6DF86" w14:textId="3977D657"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4.4</w:t>
            </w:r>
          </w:p>
        </w:tc>
        <w:tc>
          <w:tcPr>
            <w:tcW w:w="824" w:type="dxa"/>
            <w:tcBorders>
              <w:top w:val="nil"/>
              <w:left w:val="nil"/>
              <w:bottom w:val="single" w:sz="4" w:space="0" w:color="000000"/>
              <w:right w:val="nil"/>
            </w:tcBorders>
            <w:shd w:val="clear" w:color="auto" w:fill="auto"/>
            <w:vAlign w:val="center"/>
          </w:tcPr>
          <w:p w14:paraId="59EA0094" w14:textId="77777777"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10</w:t>
            </w:r>
          </w:p>
        </w:tc>
        <w:tc>
          <w:tcPr>
            <w:tcW w:w="1508" w:type="dxa"/>
            <w:tcBorders>
              <w:top w:val="nil"/>
              <w:left w:val="nil"/>
              <w:bottom w:val="single" w:sz="4" w:space="0" w:color="000000"/>
              <w:right w:val="nil"/>
            </w:tcBorders>
            <w:shd w:val="clear" w:color="auto" w:fill="auto"/>
            <w:vAlign w:val="center"/>
          </w:tcPr>
          <w:p w14:paraId="012512FF" w14:textId="7AC11B75"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1166±118</w:t>
            </w:r>
          </w:p>
        </w:tc>
        <w:tc>
          <w:tcPr>
            <w:tcW w:w="1022" w:type="dxa"/>
            <w:tcBorders>
              <w:top w:val="nil"/>
              <w:left w:val="nil"/>
              <w:bottom w:val="single" w:sz="4" w:space="0" w:color="000000"/>
              <w:right w:val="nil"/>
            </w:tcBorders>
            <w:shd w:val="clear" w:color="auto" w:fill="auto"/>
            <w:vAlign w:val="center"/>
          </w:tcPr>
          <w:p w14:paraId="06568354" w14:textId="77777777"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0.982</w:t>
            </w:r>
          </w:p>
        </w:tc>
        <w:tc>
          <w:tcPr>
            <w:tcW w:w="1208" w:type="dxa"/>
            <w:gridSpan w:val="2"/>
            <w:tcBorders>
              <w:top w:val="nil"/>
              <w:left w:val="nil"/>
              <w:bottom w:val="single" w:sz="4" w:space="0" w:color="000000"/>
              <w:right w:val="nil"/>
            </w:tcBorders>
            <w:shd w:val="clear" w:color="auto" w:fill="auto"/>
            <w:vAlign w:val="center"/>
          </w:tcPr>
          <w:p w14:paraId="3FF8D3F5" w14:textId="395028A8"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1116±153</w:t>
            </w:r>
          </w:p>
        </w:tc>
        <w:tc>
          <w:tcPr>
            <w:tcW w:w="926" w:type="dxa"/>
            <w:tcBorders>
              <w:top w:val="nil"/>
              <w:left w:val="nil"/>
              <w:bottom w:val="single" w:sz="4" w:space="0" w:color="000000"/>
              <w:right w:val="nil"/>
            </w:tcBorders>
            <w:shd w:val="clear" w:color="auto" w:fill="auto"/>
            <w:vAlign w:val="center"/>
          </w:tcPr>
          <w:p w14:paraId="47E823F2" w14:textId="77777777" w:rsidR="0055744E" w:rsidRPr="005F44EF" w:rsidRDefault="0055744E" w:rsidP="00E94E7E">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0.983</w:t>
            </w:r>
          </w:p>
        </w:tc>
      </w:tr>
    </w:tbl>
    <w:p w14:paraId="25B35471" w14:textId="77777777" w:rsidR="004E18A5" w:rsidRPr="005F44EF" w:rsidRDefault="004E18A5" w:rsidP="00FD119E">
      <w:pPr>
        <w:shd w:val="clear" w:color="auto" w:fill="FFFFFF" w:themeFill="background1"/>
        <w:jc w:val="both"/>
        <w:rPr>
          <w:rFonts w:ascii="Times New Roman" w:eastAsia="Times New Roman" w:hAnsi="Times New Roman" w:cs="Times New Roman"/>
          <w:b/>
          <w:sz w:val="24"/>
          <w:szCs w:val="24"/>
        </w:rPr>
      </w:pPr>
      <w:bookmarkStart w:id="67" w:name="_35nkun2" w:colFirst="0" w:colLast="0"/>
      <w:bookmarkStart w:id="68" w:name="_Hlk170654592"/>
      <w:bookmarkEnd w:id="67"/>
    </w:p>
    <w:p w14:paraId="67165A5B" w14:textId="77777777" w:rsidR="004E18A5" w:rsidRPr="005F44EF" w:rsidRDefault="004E18A5" w:rsidP="00FD119E">
      <w:pPr>
        <w:shd w:val="clear" w:color="auto" w:fill="FFFFFF" w:themeFill="background1"/>
        <w:jc w:val="both"/>
        <w:rPr>
          <w:rFonts w:ascii="Times New Roman" w:eastAsia="Times New Roman" w:hAnsi="Times New Roman" w:cs="Times New Roman"/>
          <w:b/>
          <w:sz w:val="24"/>
          <w:szCs w:val="24"/>
        </w:rPr>
      </w:pPr>
    </w:p>
    <w:p w14:paraId="2EF4F848" w14:textId="77777777" w:rsidR="004E18A5" w:rsidRPr="005F44EF" w:rsidRDefault="004E18A5" w:rsidP="00FD119E">
      <w:pPr>
        <w:shd w:val="clear" w:color="auto" w:fill="FFFFFF" w:themeFill="background1"/>
        <w:jc w:val="both"/>
        <w:rPr>
          <w:rFonts w:ascii="Times New Roman" w:eastAsia="Times New Roman" w:hAnsi="Times New Roman" w:cs="Times New Roman"/>
          <w:b/>
          <w:sz w:val="24"/>
          <w:szCs w:val="24"/>
        </w:rPr>
      </w:pPr>
    </w:p>
    <w:p w14:paraId="51763F5D" w14:textId="77777777" w:rsidR="00217F21" w:rsidRPr="005F44EF" w:rsidRDefault="00217F21" w:rsidP="00FD119E">
      <w:pPr>
        <w:shd w:val="clear" w:color="auto" w:fill="FFFFFF" w:themeFill="background1"/>
        <w:jc w:val="both"/>
        <w:rPr>
          <w:rFonts w:ascii="Times New Roman" w:eastAsia="Times New Roman" w:hAnsi="Times New Roman" w:cs="Times New Roman"/>
          <w:b/>
          <w:sz w:val="24"/>
          <w:szCs w:val="24"/>
        </w:rPr>
      </w:pPr>
    </w:p>
    <w:p w14:paraId="3DD6CD46" w14:textId="77777777" w:rsidR="004E18A5" w:rsidRPr="005F44EF" w:rsidRDefault="004E18A5" w:rsidP="00FD119E">
      <w:pPr>
        <w:shd w:val="clear" w:color="auto" w:fill="FFFFFF" w:themeFill="background1"/>
        <w:jc w:val="both"/>
        <w:rPr>
          <w:rFonts w:ascii="Times New Roman" w:eastAsia="Times New Roman" w:hAnsi="Times New Roman" w:cs="Times New Roman"/>
          <w:b/>
          <w:sz w:val="24"/>
          <w:szCs w:val="24"/>
        </w:rPr>
      </w:pPr>
    </w:p>
    <w:p w14:paraId="77E78F2C" w14:textId="0A7FC7BE" w:rsidR="0073264C" w:rsidRPr="0036548B" w:rsidRDefault="00B9564D" w:rsidP="003B1308">
      <w:pPr>
        <w:shd w:val="clear" w:color="auto" w:fill="FFFFFF" w:themeFill="background1"/>
        <w:jc w:val="both"/>
        <w:rPr>
          <w:rFonts w:ascii="Times New Roman" w:eastAsia="Times New Roman" w:hAnsi="Times New Roman" w:cs="Times New Roman"/>
          <w:color w:val="404040"/>
          <w:sz w:val="24"/>
          <w:szCs w:val="24"/>
        </w:rPr>
      </w:pPr>
      <w:r w:rsidRPr="0036548B">
        <w:rPr>
          <w:rFonts w:ascii="Times New Roman" w:eastAsia="Times New Roman" w:hAnsi="Times New Roman" w:cs="Times New Roman"/>
          <w:b/>
          <w:sz w:val="24"/>
          <w:szCs w:val="24"/>
        </w:rPr>
        <w:lastRenderedPageBreak/>
        <w:t>Figure S</w:t>
      </w:r>
      <w:r w:rsidR="008A78A0" w:rsidRPr="0036548B">
        <w:rPr>
          <w:rFonts w:ascii="Times New Roman" w:eastAsia="Times New Roman" w:hAnsi="Times New Roman" w:cs="Times New Roman"/>
          <w:b/>
          <w:sz w:val="24"/>
          <w:szCs w:val="24"/>
        </w:rPr>
        <w:t>1</w:t>
      </w:r>
      <w:r w:rsidR="00FD119E" w:rsidRPr="0036548B">
        <w:rPr>
          <w:rFonts w:ascii="Times New Roman" w:eastAsia="Times New Roman" w:hAnsi="Times New Roman" w:cs="Times New Roman"/>
          <w:b/>
          <w:sz w:val="24"/>
          <w:szCs w:val="24"/>
        </w:rPr>
        <w:t>1</w:t>
      </w:r>
      <w:r w:rsidRPr="0036548B">
        <w:rPr>
          <w:rFonts w:ascii="Times New Roman" w:eastAsia="Times New Roman" w:hAnsi="Times New Roman" w:cs="Times New Roman"/>
          <w:b/>
          <w:sz w:val="24"/>
          <w:szCs w:val="24"/>
        </w:rPr>
        <w:t xml:space="preserve">: </w:t>
      </w:r>
      <w:bookmarkEnd w:id="68"/>
      <w:r w:rsidR="0036548B" w:rsidRPr="0036548B">
        <w:rPr>
          <w:rFonts w:ascii="Times New Roman" w:eastAsia="Times New Roman" w:hAnsi="Times New Roman" w:cs="Times New Roman"/>
          <w:sz w:val="24"/>
          <w:szCs w:val="24"/>
        </w:rPr>
        <w:t>Dose Response Curves (DRCs) derived from the ESR signal of the Ti centres measured in the quartz samples from Bété I. Fitting was performed as follows: (see text for further information): a) with the Ti-2 function (data weighting by 1/s</w:t>
      </w:r>
      <w:r w:rsidR="0036548B" w:rsidRPr="0036548B">
        <w:rPr>
          <w:rFonts w:ascii="Times New Roman" w:eastAsia="Times New Roman" w:hAnsi="Times New Roman" w:cs="Times New Roman"/>
          <w:sz w:val="24"/>
          <w:szCs w:val="24"/>
          <w:vertAlign w:val="superscript"/>
        </w:rPr>
        <w:t>2</w:t>
      </w:r>
      <w:r w:rsidR="0036548B" w:rsidRPr="0036548B">
        <w:rPr>
          <w:rFonts w:ascii="Times New Roman" w:eastAsia="Times New Roman" w:hAnsi="Times New Roman" w:cs="Times New Roman"/>
          <w:sz w:val="24"/>
          <w:szCs w:val="24"/>
        </w:rPr>
        <w:t>), b) with the single saturating exponential (SSE) function (data weighting by 1/I</w:t>
      </w:r>
      <w:r w:rsidR="0036548B" w:rsidRPr="0036548B">
        <w:rPr>
          <w:rFonts w:ascii="Times New Roman" w:eastAsia="Times New Roman" w:hAnsi="Times New Roman" w:cs="Times New Roman"/>
          <w:sz w:val="24"/>
          <w:szCs w:val="24"/>
          <w:vertAlign w:val="superscript"/>
        </w:rPr>
        <w:t>2</w:t>
      </w:r>
      <w:r w:rsidR="0036548B" w:rsidRPr="0036548B">
        <w:rPr>
          <w:rFonts w:ascii="Times New Roman" w:eastAsia="Times New Roman" w:hAnsi="Times New Roman" w:cs="Times New Roman"/>
          <w:sz w:val="24"/>
          <w:szCs w:val="24"/>
        </w:rPr>
        <w:t>) with D</w:t>
      </w:r>
      <w:r w:rsidR="0036548B" w:rsidRPr="0036548B">
        <w:rPr>
          <w:rFonts w:ascii="Times New Roman" w:eastAsia="Times New Roman" w:hAnsi="Times New Roman" w:cs="Times New Roman"/>
          <w:sz w:val="24"/>
          <w:szCs w:val="24"/>
          <w:vertAlign w:val="subscript"/>
        </w:rPr>
        <w:t>max</w:t>
      </w:r>
      <w:r w:rsidR="0036548B" w:rsidRPr="0036548B">
        <w:rPr>
          <w:rFonts w:ascii="Times New Roman" w:eastAsia="Times New Roman" w:hAnsi="Times New Roman" w:cs="Times New Roman"/>
          <w:sz w:val="24"/>
          <w:szCs w:val="24"/>
        </w:rPr>
        <w:t xml:space="preserve"> = 4.5 kGy and c) D</w:t>
      </w:r>
      <w:r w:rsidR="0036548B" w:rsidRPr="0036548B">
        <w:rPr>
          <w:rFonts w:ascii="Times New Roman" w:eastAsia="Times New Roman" w:hAnsi="Times New Roman" w:cs="Times New Roman"/>
          <w:sz w:val="24"/>
          <w:szCs w:val="24"/>
          <w:vertAlign w:val="subscript"/>
        </w:rPr>
        <w:t>max</w:t>
      </w:r>
      <w:r w:rsidR="0036548B" w:rsidRPr="0036548B">
        <w:rPr>
          <w:rFonts w:ascii="Times New Roman" w:eastAsia="Times New Roman" w:hAnsi="Times New Roman" w:cs="Times New Roman"/>
          <w:sz w:val="24"/>
          <w:szCs w:val="24"/>
        </w:rPr>
        <w:t xml:space="preserve"> = 2.8 kGy.</w:t>
      </w:r>
      <w:r w:rsidR="0036548B" w:rsidRPr="0036548B">
        <w:rPr>
          <w:rFonts w:ascii="Times New Roman" w:eastAsia="Times New Roman" w:hAnsi="Times New Roman" w:cs="Times New Roman"/>
          <w:b/>
          <w:sz w:val="24"/>
          <w:szCs w:val="24"/>
        </w:rPr>
        <w:t xml:space="preserve"> </w:t>
      </w:r>
      <w:r w:rsidR="0036548B" w:rsidRPr="0036548B">
        <w:rPr>
          <w:rFonts w:ascii="Times New Roman" w:eastAsia="Times New Roman" w:hAnsi="Times New Roman" w:cs="Times New Roman"/>
          <w:sz w:val="24"/>
          <w:szCs w:val="24"/>
        </w:rPr>
        <w:t xml:space="preserve">Vertical </w:t>
      </w:r>
      <w:r w:rsidR="0036548B" w:rsidRPr="0036548B">
        <w:rPr>
          <w:rFonts w:ascii="Times New Roman" w:hAnsi="Times New Roman" w:cs="Times New Roman"/>
          <w:color w:val="000000"/>
          <w:sz w:val="24"/>
          <w:szCs w:val="24"/>
        </w:rPr>
        <w:t>errors bars represent 1 standard deviation derived from the repeated measurements. DRCs display ESR intensities after noise subtraction.</w:t>
      </w:r>
    </w:p>
    <w:p w14:paraId="044493BF" w14:textId="77777777" w:rsidR="00602505" w:rsidRDefault="008F02B5" w:rsidP="003B1308">
      <w:pPr>
        <w:spacing w:after="0" w:line="276" w:lineRule="auto"/>
        <w:jc w:val="both"/>
        <w:rPr>
          <w:rFonts w:ascii="Times New Roman" w:eastAsia="Times New Roman" w:hAnsi="Times New Roman" w:cs="Times New Roman"/>
          <w:b/>
          <w:sz w:val="24"/>
          <w:szCs w:val="24"/>
        </w:rPr>
      </w:pPr>
      <w:r>
        <w:rPr>
          <w:noProof/>
          <w:sz w:val="16"/>
          <w:szCs w:val="16"/>
          <w:lang w:val="en-AU" w:eastAsia="en-AU"/>
        </w:rPr>
        <w:drawing>
          <wp:inline distT="0" distB="0" distL="0" distR="0" wp14:anchorId="44AE04F2" wp14:editId="0ADD49F4">
            <wp:extent cx="7815943" cy="51063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igure S11 revised-0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822340" cy="5110504"/>
                    </a:xfrm>
                    <a:prstGeom prst="rect">
                      <a:avLst/>
                    </a:prstGeom>
                  </pic:spPr>
                </pic:pic>
              </a:graphicData>
            </a:graphic>
          </wp:inline>
        </w:drawing>
      </w:r>
      <w:bookmarkStart w:id="69" w:name="_44sinio" w:colFirst="0" w:colLast="0"/>
      <w:bookmarkStart w:id="70" w:name="_Hlk170654613"/>
      <w:bookmarkEnd w:id="69"/>
    </w:p>
    <w:p w14:paraId="0124E5A4" w14:textId="654E3498" w:rsidR="00BB7AA9" w:rsidRPr="005F44EF" w:rsidRDefault="00B9564D" w:rsidP="003B1308">
      <w:pPr>
        <w:spacing w:after="0" w:line="276" w:lineRule="auto"/>
        <w:jc w:val="both"/>
        <w:rPr>
          <w:rFonts w:ascii="Times New Roman" w:eastAsia="Times New Roman" w:hAnsi="Times New Roman" w:cs="Times New Roman"/>
          <w:sz w:val="28"/>
          <w:szCs w:val="28"/>
        </w:rPr>
      </w:pPr>
      <w:r w:rsidRPr="005F44EF">
        <w:rPr>
          <w:rFonts w:ascii="Times New Roman" w:eastAsia="Times New Roman" w:hAnsi="Times New Roman" w:cs="Times New Roman"/>
          <w:b/>
          <w:sz w:val="24"/>
          <w:szCs w:val="24"/>
        </w:rPr>
        <w:lastRenderedPageBreak/>
        <w:t xml:space="preserve">Table </w:t>
      </w:r>
      <w:r w:rsidR="008A78A0" w:rsidRPr="005F44EF">
        <w:rPr>
          <w:rFonts w:ascii="Times New Roman" w:eastAsia="Times New Roman" w:hAnsi="Times New Roman" w:cs="Times New Roman"/>
          <w:b/>
          <w:sz w:val="24"/>
          <w:szCs w:val="24"/>
        </w:rPr>
        <w:t>S7</w:t>
      </w:r>
      <w:r w:rsidRPr="005F44EF">
        <w:rPr>
          <w:rFonts w:ascii="Times New Roman" w:eastAsia="Times New Roman" w:hAnsi="Times New Roman" w:cs="Times New Roman"/>
          <w:b/>
          <w:sz w:val="24"/>
          <w:szCs w:val="24"/>
        </w:rPr>
        <w:t xml:space="preserve">: </w:t>
      </w:r>
      <w:r w:rsidRPr="005F44EF">
        <w:rPr>
          <w:rFonts w:ascii="Times New Roman" w:eastAsia="Times New Roman" w:hAnsi="Times New Roman" w:cs="Times New Roman"/>
          <w:sz w:val="24"/>
          <w:szCs w:val="24"/>
        </w:rPr>
        <w:t>Comparison of the radioelement contents measured by ICP</w:t>
      </w:r>
      <w:r w:rsidR="00347052" w:rsidRPr="005F44EF">
        <w:rPr>
          <w:rFonts w:ascii="Times New Roman" w:eastAsia="Times New Roman" w:hAnsi="Times New Roman" w:cs="Times New Roman"/>
          <w:sz w:val="24"/>
          <w:szCs w:val="24"/>
        </w:rPr>
        <w:t>-MS</w:t>
      </w:r>
      <w:r w:rsidRPr="005F44EF">
        <w:rPr>
          <w:rFonts w:ascii="Times New Roman" w:eastAsia="Times New Roman" w:hAnsi="Times New Roman" w:cs="Times New Roman"/>
          <w:sz w:val="24"/>
          <w:szCs w:val="24"/>
        </w:rPr>
        <w:t xml:space="preserve"> and HRGS on the 8 sediment </w:t>
      </w:r>
      <w:r w:rsidR="002B2F2A">
        <w:rPr>
          <w:rFonts w:ascii="Times New Roman" w:eastAsia="Times New Roman" w:hAnsi="Times New Roman" w:cs="Times New Roman"/>
          <w:sz w:val="24"/>
          <w:szCs w:val="24"/>
        </w:rPr>
        <w:t xml:space="preserve">samples </w:t>
      </w:r>
      <w:r w:rsidRPr="005F44EF">
        <w:rPr>
          <w:rFonts w:ascii="Times New Roman" w:eastAsia="Times New Roman" w:hAnsi="Times New Roman" w:cs="Times New Roman"/>
          <w:sz w:val="24"/>
          <w:szCs w:val="24"/>
        </w:rPr>
        <w:t>dated in this study</w:t>
      </w:r>
      <w:bookmarkEnd w:id="70"/>
      <w:r w:rsidRPr="005F44EF">
        <w:rPr>
          <w:rFonts w:ascii="Times New Roman" w:eastAsia="Times New Roman" w:hAnsi="Times New Roman" w:cs="Times New Roman"/>
          <w:sz w:val="24"/>
          <w:szCs w:val="24"/>
        </w:rPr>
        <w:t>. a: Corresponds to the pre-</w:t>
      </w:r>
      <w:r w:rsidRPr="005F44EF">
        <w:rPr>
          <w:rFonts w:ascii="Times New Roman" w:eastAsia="Times New Roman" w:hAnsi="Times New Roman" w:cs="Times New Roman"/>
          <w:sz w:val="24"/>
          <w:szCs w:val="24"/>
          <w:vertAlign w:val="superscript"/>
        </w:rPr>
        <w:t>226</w:t>
      </w:r>
      <w:r w:rsidRPr="005F44EF">
        <w:rPr>
          <w:rFonts w:ascii="Times New Roman" w:eastAsia="Times New Roman" w:hAnsi="Times New Roman" w:cs="Times New Roman"/>
          <w:sz w:val="24"/>
          <w:szCs w:val="24"/>
        </w:rPr>
        <w:t xml:space="preserve">Ra and is deduced mainly from the </w:t>
      </w:r>
      <w:r w:rsidRPr="005F44EF">
        <w:rPr>
          <w:rFonts w:ascii="Times New Roman" w:eastAsia="Times New Roman" w:hAnsi="Times New Roman" w:cs="Times New Roman"/>
          <w:sz w:val="24"/>
          <w:szCs w:val="24"/>
          <w:vertAlign w:val="superscript"/>
        </w:rPr>
        <w:t>234</w:t>
      </w:r>
      <w:r w:rsidRPr="005F44EF">
        <w:rPr>
          <w:rFonts w:ascii="Times New Roman" w:eastAsia="Times New Roman" w:hAnsi="Times New Roman" w:cs="Times New Roman"/>
          <w:sz w:val="24"/>
          <w:szCs w:val="24"/>
        </w:rPr>
        <w:t xml:space="preserve">Th and </w:t>
      </w:r>
      <w:r w:rsidRPr="005F44EF">
        <w:rPr>
          <w:rFonts w:ascii="Times New Roman" w:eastAsia="Times New Roman" w:hAnsi="Times New Roman" w:cs="Times New Roman"/>
          <w:sz w:val="24"/>
          <w:szCs w:val="24"/>
          <w:vertAlign w:val="superscript"/>
        </w:rPr>
        <w:t>235</w:t>
      </w:r>
      <w:r w:rsidRPr="005F44EF">
        <w:rPr>
          <w:rFonts w:ascii="Times New Roman" w:eastAsia="Times New Roman" w:hAnsi="Times New Roman" w:cs="Times New Roman"/>
          <w:sz w:val="24"/>
          <w:szCs w:val="24"/>
        </w:rPr>
        <w:t>U peaks; b: Corresponds to the post-</w:t>
      </w:r>
      <w:r w:rsidRPr="005F44EF">
        <w:rPr>
          <w:rFonts w:ascii="Times New Roman" w:eastAsia="Times New Roman" w:hAnsi="Times New Roman" w:cs="Times New Roman"/>
          <w:sz w:val="24"/>
          <w:szCs w:val="24"/>
          <w:vertAlign w:val="superscript"/>
        </w:rPr>
        <w:t>226</w:t>
      </w:r>
      <w:r w:rsidRPr="005F44EF">
        <w:rPr>
          <w:rFonts w:ascii="Times New Roman" w:eastAsia="Times New Roman" w:hAnsi="Times New Roman" w:cs="Times New Roman"/>
          <w:sz w:val="24"/>
          <w:szCs w:val="24"/>
        </w:rPr>
        <w:t xml:space="preserve">Ra, calculated from the </w:t>
      </w:r>
      <w:r w:rsidRPr="005F44EF">
        <w:rPr>
          <w:rFonts w:ascii="Times New Roman" w:eastAsia="Times New Roman" w:hAnsi="Times New Roman" w:cs="Times New Roman"/>
          <w:sz w:val="24"/>
          <w:szCs w:val="24"/>
          <w:vertAlign w:val="superscript"/>
        </w:rPr>
        <w:t>214</w:t>
      </w:r>
      <w:r w:rsidRPr="005F44EF">
        <w:rPr>
          <w:rFonts w:ascii="Times New Roman" w:eastAsia="Times New Roman" w:hAnsi="Times New Roman" w:cs="Times New Roman"/>
          <w:sz w:val="24"/>
          <w:szCs w:val="24"/>
        </w:rPr>
        <w:t xml:space="preserve">Pb and </w:t>
      </w:r>
      <w:r w:rsidRPr="005F44EF">
        <w:rPr>
          <w:rFonts w:ascii="Times New Roman" w:eastAsia="Times New Roman" w:hAnsi="Times New Roman" w:cs="Times New Roman"/>
          <w:sz w:val="24"/>
          <w:szCs w:val="24"/>
          <w:vertAlign w:val="superscript"/>
        </w:rPr>
        <w:t>214</w:t>
      </w:r>
      <w:r w:rsidRPr="005F44EF">
        <w:rPr>
          <w:rFonts w:ascii="Times New Roman" w:eastAsia="Times New Roman" w:hAnsi="Times New Roman" w:cs="Times New Roman"/>
          <w:sz w:val="24"/>
          <w:szCs w:val="24"/>
        </w:rPr>
        <w:t xml:space="preserve">Bi peaks; c: Corresponds to the bottom of the chain, calculated from the </w:t>
      </w:r>
      <w:r w:rsidRPr="005F44EF">
        <w:rPr>
          <w:rFonts w:ascii="Times New Roman" w:eastAsia="Times New Roman" w:hAnsi="Times New Roman" w:cs="Times New Roman"/>
          <w:sz w:val="24"/>
          <w:szCs w:val="24"/>
          <w:vertAlign w:val="superscript"/>
        </w:rPr>
        <w:t>210</w:t>
      </w:r>
      <w:r w:rsidRPr="005F44EF">
        <w:rPr>
          <w:rFonts w:ascii="Times New Roman" w:eastAsia="Times New Roman" w:hAnsi="Times New Roman" w:cs="Times New Roman"/>
          <w:sz w:val="24"/>
          <w:szCs w:val="24"/>
        </w:rPr>
        <w:t xml:space="preserve">Pb peak. Samples with (*) were </w:t>
      </w:r>
      <w:r w:rsidR="002B2F2A">
        <w:rPr>
          <w:rFonts w:ascii="Times New Roman" w:eastAsia="Times New Roman" w:hAnsi="Times New Roman" w:cs="Times New Roman"/>
          <w:sz w:val="24"/>
          <w:szCs w:val="24"/>
        </w:rPr>
        <w:t xml:space="preserve">dated by </w:t>
      </w:r>
      <w:r w:rsidRPr="005F44EF">
        <w:rPr>
          <w:rFonts w:ascii="Times New Roman" w:eastAsia="Times New Roman" w:hAnsi="Times New Roman" w:cs="Times New Roman"/>
          <w:sz w:val="24"/>
          <w:szCs w:val="24"/>
        </w:rPr>
        <w:t>both OSL and ESR</w:t>
      </w:r>
      <w:r w:rsidR="002B2F2A">
        <w:rPr>
          <w:rFonts w:ascii="Times New Roman" w:eastAsia="Times New Roman" w:hAnsi="Times New Roman" w:cs="Times New Roman"/>
          <w:sz w:val="24"/>
          <w:szCs w:val="24"/>
        </w:rPr>
        <w:t xml:space="preserve"> methods</w:t>
      </w:r>
      <w:r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vertAlign w:val="superscript"/>
        </w:rPr>
        <w:t>210</w:t>
      </w:r>
      <w:r w:rsidRPr="005F44EF">
        <w:rPr>
          <w:rFonts w:ascii="Times New Roman" w:eastAsia="Times New Roman" w:hAnsi="Times New Roman" w:cs="Times New Roman"/>
          <w:sz w:val="24"/>
          <w:szCs w:val="24"/>
        </w:rPr>
        <w:t>Pb/</w:t>
      </w:r>
      <w:r w:rsidRPr="005F44EF">
        <w:rPr>
          <w:rFonts w:ascii="Times New Roman" w:eastAsia="Times New Roman" w:hAnsi="Times New Roman" w:cs="Times New Roman"/>
          <w:sz w:val="24"/>
          <w:szCs w:val="24"/>
          <w:vertAlign w:val="superscript"/>
        </w:rPr>
        <w:t>238</w:t>
      </w:r>
      <w:r w:rsidRPr="005F44EF">
        <w:rPr>
          <w:rFonts w:ascii="Times New Roman" w:eastAsia="Times New Roman" w:hAnsi="Times New Roman" w:cs="Times New Roman"/>
          <w:sz w:val="24"/>
          <w:szCs w:val="24"/>
        </w:rPr>
        <w:t xml:space="preserve">U and </w:t>
      </w:r>
      <w:r w:rsidRPr="005F44EF">
        <w:rPr>
          <w:rFonts w:ascii="Times New Roman" w:eastAsia="Times New Roman" w:hAnsi="Times New Roman" w:cs="Times New Roman"/>
          <w:sz w:val="24"/>
          <w:szCs w:val="24"/>
          <w:vertAlign w:val="superscript"/>
        </w:rPr>
        <w:t>226</w:t>
      </w:r>
      <w:r w:rsidRPr="005F44EF">
        <w:rPr>
          <w:rFonts w:ascii="Times New Roman" w:eastAsia="Times New Roman" w:hAnsi="Times New Roman" w:cs="Times New Roman"/>
          <w:sz w:val="24"/>
          <w:szCs w:val="24"/>
        </w:rPr>
        <w:t>Ra/</w:t>
      </w:r>
      <w:r w:rsidRPr="005F44EF">
        <w:rPr>
          <w:rFonts w:ascii="Times New Roman" w:eastAsia="Times New Roman" w:hAnsi="Times New Roman" w:cs="Times New Roman"/>
          <w:sz w:val="24"/>
          <w:szCs w:val="24"/>
          <w:vertAlign w:val="superscript"/>
        </w:rPr>
        <w:t>238</w:t>
      </w:r>
      <w:r w:rsidRPr="005F44EF">
        <w:rPr>
          <w:rFonts w:ascii="Times New Roman" w:eastAsia="Times New Roman" w:hAnsi="Times New Roman" w:cs="Times New Roman"/>
          <w:sz w:val="24"/>
          <w:szCs w:val="24"/>
        </w:rPr>
        <w:t>U are the ratio</w:t>
      </w:r>
      <w:r w:rsidR="002B2F2A">
        <w:rPr>
          <w:rFonts w:ascii="Times New Roman" w:eastAsia="Times New Roman" w:hAnsi="Times New Roman" w:cs="Times New Roman"/>
          <w:sz w:val="24"/>
          <w:szCs w:val="24"/>
        </w:rPr>
        <w:t xml:space="preserve">s </w:t>
      </w:r>
      <w:r w:rsidRPr="005F44EF">
        <w:rPr>
          <w:rFonts w:ascii="Times New Roman" w:eastAsia="Times New Roman" w:hAnsi="Times New Roman" w:cs="Times New Roman"/>
          <w:sz w:val="24"/>
          <w:szCs w:val="24"/>
        </w:rPr>
        <w:t xml:space="preserve">of the specific </w:t>
      </w:r>
      <w:r w:rsidR="0029788E" w:rsidRPr="005F44EF">
        <w:rPr>
          <w:rFonts w:ascii="Times New Roman" w:eastAsia="Times New Roman" w:hAnsi="Times New Roman" w:cs="Times New Roman"/>
          <w:sz w:val="24"/>
          <w:szCs w:val="24"/>
        </w:rPr>
        <w:t>activity</w:t>
      </w:r>
      <w:r w:rsidRPr="005F44EF">
        <w:rPr>
          <w:rFonts w:ascii="Times New Roman" w:eastAsia="Times New Roman" w:hAnsi="Times New Roman" w:cs="Times New Roman"/>
          <w:sz w:val="24"/>
          <w:szCs w:val="24"/>
        </w:rPr>
        <w:t xml:space="preserve"> (</w:t>
      </w:r>
      <w:proofErr w:type="spellStart"/>
      <w:r w:rsidRPr="005F44EF">
        <w:rPr>
          <w:rFonts w:ascii="Times New Roman" w:eastAsia="Times New Roman" w:hAnsi="Times New Roman" w:cs="Times New Roman"/>
          <w:sz w:val="24"/>
          <w:szCs w:val="24"/>
        </w:rPr>
        <w:t>Bq</w:t>
      </w:r>
      <w:proofErr w:type="spellEnd"/>
      <w:r w:rsidRPr="005F44EF">
        <w:rPr>
          <w:rFonts w:ascii="Times New Roman" w:eastAsia="Times New Roman" w:hAnsi="Times New Roman" w:cs="Times New Roman"/>
          <w:sz w:val="24"/>
          <w:szCs w:val="24"/>
        </w:rPr>
        <w:t xml:space="preserve">/kg). </w:t>
      </w:r>
    </w:p>
    <w:tbl>
      <w:tblPr>
        <w:tblStyle w:val="a3"/>
        <w:tblW w:w="14405" w:type="dxa"/>
        <w:tblInd w:w="-10" w:type="dxa"/>
        <w:tblLayout w:type="fixed"/>
        <w:tblLook w:val="0400" w:firstRow="0" w:lastRow="0" w:firstColumn="0" w:lastColumn="0" w:noHBand="0" w:noVBand="1"/>
      </w:tblPr>
      <w:tblGrid>
        <w:gridCol w:w="1164"/>
        <w:gridCol w:w="611"/>
        <w:gridCol w:w="1047"/>
        <w:gridCol w:w="951"/>
        <w:gridCol w:w="1051"/>
        <w:gridCol w:w="1081"/>
        <w:gridCol w:w="1263"/>
        <w:gridCol w:w="1443"/>
        <w:gridCol w:w="1397"/>
        <w:gridCol w:w="1280"/>
        <w:gridCol w:w="1152"/>
        <w:gridCol w:w="975"/>
        <w:gridCol w:w="990"/>
      </w:tblGrid>
      <w:tr w:rsidR="00347052" w:rsidRPr="005F44EF" w14:paraId="4A8316ED" w14:textId="77777777" w:rsidTr="004C70CD">
        <w:trPr>
          <w:trHeight w:val="562"/>
        </w:trPr>
        <w:tc>
          <w:tcPr>
            <w:tcW w:w="1775" w:type="dxa"/>
            <w:gridSpan w:val="2"/>
            <w:tcBorders>
              <w:top w:val="single" w:sz="4" w:space="0" w:color="auto"/>
            </w:tcBorders>
            <w:shd w:val="clear" w:color="auto" w:fill="D9D9D9" w:themeFill="background1" w:themeFillShade="D9"/>
            <w:vAlign w:val="center"/>
          </w:tcPr>
          <w:p w14:paraId="5AB1E26F" w14:textId="77777777" w:rsidR="00347052" w:rsidRPr="005F44EF" w:rsidRDefault="00347052">
            <w:pPr>
              <w:spacing w:after="0" w:line="276" w:lineRule="auto"/>
              <w:rPr>
                <w:rFonts w:ascii="Times New Roman" w:eastAsia="Times New Roman" w:hAnsi="Times New Roman" w:cs="Times New Roman"/>
                <w:b/>
                <w:color w:val="000000"/>
                <w:sz w:val="18"/>
                <w:szCs w:val="16"/>
              </w:rPr>
            </w:pPr>
            <w:bookmarkStart w:id="71" w:name="_2jxsxqh" w:colFirst="0" w:colLast="0"/>
            <w:bookmarkEnd w:id="71"/>
            <w:r w:rsidRPr="005F44EF">
              <w:rPr>
                <w:rFonts w:ascii="Times New Roman" w:eastAsia="Times New Roman" w:hAnsi="Times New Roman" w:cs="Times New Roman"/>
                <w:b/>
                <w:color w:val="000000"/>
                <w:sz w:val="18"/>
                <w:szCs w:val="16"/>
              </w:rPr>
              <w:t> </w:t>
            </w:r>
          </w:p>
          <w:p w14:paraId="7C271A09" w14:textId="0F2D5F68" w:rsidR="00347052" w:rsidRPr="005F44EF" w:rsidRDefault="00347052">
            <w:pPr>
              <w:spacing w:after="0" w:line="276" w:lineRule="auto"/>
              <w:jc w:val="center"/>
              <w:rPr>
                <w:rFonts w:ascii="Times New Roman" w:eastAsia="Times New Roman" w:hAnsi="Times New Roman" w:cs="Times New Roman"/>
                <w:b/>
                <w:color w:val="000000"/>
                <w:sz w:val="18"/>
                <w:szCs w:val="16"/>
              </w:rPr>
            </w:pPr>
            <w:r w:rsidRPr="005F44EF">
              <w:rPr>
                <w:rFonts w:ascii="Times New Roman" w:eastAsia="Times New Roman" w:hAnsi="Times New Roman" w:cs="Times New Roman"/>
                <w:b/>
                <w:color w:val="000000"/>
                <w:sz w:val="18"/>
                <w:szCs w:val="16"/>
              </w:rPr>
              <w:t> </w:t>
            </w:r>
          </w:p>
        </w:tc>
        <w:tc>
          <w:tcPr>
            <w:tcW w:w="4130" w:type="dxa"/>
            <w:gridSpan w:val="4"/>
            <w:tcBorders>
              <w:top w:val="single" w:sz="4" w:space="0" w:color="auto"/>
            </w:tcBorders>
            <w:shd w:val="clear" w:color="auto" w:fill="D9D9D9" w:themeFill="background1" w:themeFillShade="D9"/>
            <w:vAlign w:val="center"/>
          </w:tcPr>
          <w:p w14:paraId="031EBD17" w14:textId="77777777" w:rsidR="00347052" w:rsidRPr="005F44EF" w:rsidRDefault="00347052">
            <w:pPr>
              <w:spacing w:after="0" w:line="276" w:lineRule="auto"/>
              <w:jc w:val="center"/>
              <w:rPr>
                <w:rFonts w:ascii="Times New Roman" w:eastAsia="Times New Roman" w:hAnsi="Times New Roman" w:cs="Times New Roman"/>
                <w:b/>
                <w:color w:val="000000"/>
                <w:sz w:val="18"/>
                <w:szCs w:val="16"/>
              </w:rPr>
            </w:pPr>
            <w:bookmarkStart w:id="72" w:name="z337ya" w:colFirst="0" w:colLast="0"/>
            <w:bookmarkEnd w:id="72"/>
            <w:r w:rsidRPr="005F44EF">
              <w:rPr>
                <w:rFonts w:ascii="Times New Roman" w:eastAsia="Times New Roman" w:hAnsi="Times New Roman" w:cs="Times New Roman"/>
                <w:b/>
                <w:color w:val="000000"/>
                <w:sz w:val="18"/>
                <w:szCs w:val="16"/>
              </w:rPr>
              <w:t>ICP-MS measurements</w:t>
            </w:r>
          </w:p>
        </w:tc>
        <w:tc>
          <w:tcPr>
            <w:tcW w:w="8500" w:type="dxa"/>
            <w:gridSpan w:val="7"/>
            <w:tcBorders>
              <w:top w:val="single" w:sz="4" w:space="0" w:color="auto"/>
            </w:tcBorders>
            <w:shd w:val="clear" w:color="auto" w:fill="D9D9D9" w:themeFill="background1" w:themeFillShade="D9"/>
            <w:vAlign w:val="center"/>
          </w:tcPr>
          <w:p w14:paraId="4D48CB89" w14:textId="77777777" w:rsidR="00347052" w:rsidRPr="005F44EF" w:rsidRDefault="00347052">
            <w:pPr>
              <w:spacing w:after="0" w:line="276" w:lineRule="auto"/>
              <w:jc w:val="center"/>
              <w:rPr>
                <w:rFonts w:ascii="Times New Roman" w:eastAsia="Times New Roman" w:hAnsi="Times New Roman" w:cs="Times New Roman"/>
                <w:b/>
                <w:color w:val="000000"/>
                <w:sz w:val="18"/>
                <w:szCs w:val="16"/>
              </w:rPr>
            </w:pPr>
            <w:r w:rsidRPr="005F44EF">
              <w:rPr>
                <w:rFonts w:ascii="Times New Roman" w:eastAsia="Times New Roman" w:hAnsi="Times New Roman" w:cs="Times New Roman"/>
                <w:b/>
                <w:color w:val="000000"/>
                <w:sz w:val="18"/>
                <w:szCs w:val="16"/>
              </w:rPr>
              <w:t>High Resolution Gamma Spectrometry (HRGS)</w:t>
            </w:r>
          </w:p>
        </w:tc>
      </w:tr>
      <w:tr w:rsidR="00FE007D" w:rsidRPr="005F44EF" w14:paraId="3E0296BB" w14:textId="77777777" w:rsidTr="004C70CD">
        <w:trPr>
          <w:trHeight w:val="332"/>
        </w:trPr>
        <w:tc>
          <w:tcPr>
            <w:tcW w:w="1164" w:type="dxa"/>
            <w:tcBorders>
              <w:top w:val="nil"/>
            </w:tcBorders>
            <w:shd w:val="clear" w:color="auto" w:fill="D9D9D9" w:themeFill="background1" w:themeFillShade="D9"/>
            <w:vAlign w:val="center"/>
          </w:tcPr>
          <w:p w14:paraId="22135D23"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ID Field</w:t>
            </w:r>
          </w:p>
        </w:tc>
        <w:tc>
          <w:tcPr>
            <w:tcW w:w="611" w:type="dxa"/>
            <w:tcBorders>
              <w:top w:val="nil"/>
            </w:tcBorders>
            <w:shd w:val="clear" w:color="auto" w:fill="D9D9D9" w:themeFill="background1" w:themeFillShade="D9"/>
            <w:vAlign w:val="center"/>
          </w:tcPr>
          <w:p w14:paraId="5BE8D5CA"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Unit</w:t>
            </w:r>
          </w:p>
        </w:tc>
        <w:tc>
          <w:tcPr>
            <w:tcW w:w="1047" w:type="dxa"/>
            <w:tcBorders>
              <w:top w:val="nil"/>
            </w:tcBorders>
            <w:shd w:val="clear" w:color="auto" w:fill="D9D9D9" w:themeFill="background1" w:themeFillShade="D9"/>
            <w:vAlign w:val="center"/>
          </w:tcPr>
          <w:p w14:paraId="0E5E8A91"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U (ppm)</w:t>
            </w:r>
          </w:p>
        </w:tc>
        <w:tc>
          <w:tcPr>
            <w:tcW w:w="951" w:type="dxa"/>
            <w:tcBorders>
              <w:top w:val="nil"/>
            </w:tcBorders>
            <w:shd w:val="clear" w:color="auto" w:fill="D9D9D9" w:themeFill="background1" w:themeFillShade="D9"/>
            <w:vAlign w:val="center"/>
          </w:tcPr>
          <w:p w14:paraId="5BF68A88"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Th (ppm)</w:t>
            </w:r>
          </w:p>
        </w:tc>
        <w:tc>
          <w:tcPr>
            <w:tcW w:w="1051" w:type="dxa"/>
            <w:tcBorders>
              <w:top w:val="nil"/>
            </w:tcBorders>
            <w:shd w:val="clear" w:color="auto" w:fill="D9D9D9" w:themeFill="background1" w:themeFillShade="D9"/>
            <w:vAlign w:val="center"/>
          </w:tcPr>
          <w:p w14:paraId="1C2D638B"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K (%)</w:t>
            </w:r>
          </w:p>
        </w:tc>
        <w:tc>
          <w:tcPr>
            <w:tcW w:w="1081" w:type="dxa"/>
            <w:tcBorders>
              <w:top w:val="nil"/>
            </w:tcBorders>
            <w:shd w:val="clear" w:color="auto" w:fill="D9D9D9" w:themeFill="background1" w:themeFillShade="D9"/>
            <w:vAlign w:val="center"/>
          </w:tcPr>
          <w:p w14:paraId="145080B3" w14:textId="77777777" w:rsidR="00347052" w:rsidRPr="005F44EF" w:rsidRDefault="00347052">
            <w:pPr>
              <w:spacing w:after="0" w:line="276" w:lineRule="auto"/>
              <w:rPr>
                <w:rFonts w:ascii="Times New Roman" w:eastAsia="Times New Roman" w:hAnsi="Times New Roman" w:cs="Times New Roman"/>
                <w:color w:val="000000"/>
                <w:sz w:val="18"/>
                <w:szCs w:val="16"/>
              </w:rPr>
            </w:pPr>
            <w:proofErr w:type="spellStart"/>
            <w:r w:rsidRPr="005F44EF">
              <w:rPr>
                <w:rFonts w:ascii="Times New Roman" w:eastAsia="Times New Roman" w:hAnsi="Times New Roman" w:cs="Times New Roman"/>
                <w:color w:val="000000"/>
                <w:sz w:val="18"/>
                <w:szCs w:val="16"/>
              </w:rPr>
              <w:t>Rb</w:t>
            </w:r>
            <w:proofErr w:type="spellEnd"/>
            <w:r w:rsidRPr="005F44EF">
              <w:rPr>
                <w:rFonts w:ascii="Times New Roman" w:eastAsia="Times New Roman" w:hAnsi="Times New Roman" w:cs="Times New Roman"/>
                <w:color w:val="000000"/>
                <w:sz w:val="18"/>
                <w:szCs w:val="16"/>
              </w:rPr>
              <w:t xml:space="preserve"> (%)</w:t>
            </w:r>
          </w:p>
        </w:tc>
        <w:tc>
          <w:tcPr>
            <w:tcW w:w="1263" w:type="dxa"/>
            <w:tcBorders>
              <w:top w:val="nil"/>
            </w:tcBorders>
            <w:shd w:val="clear" w:color="auto" w:fill="D9D9D9" w:themeFill="background1" w:themeFillShade="D9"/>
            <w:vAlign w:val="center"/>
          </w:tcPr>
          <w:p w14:paraId="6F660527"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 xml:space="preserve">U-238 </w:t>
            </w:r>
            <w:proofErr w:type="spellStart"/>
            <w:r w:rsidRPr="005F44EF">
              <w:rPr>
                <w:rFonts w:ascii="Times New Roman" w:eastAsia="Times New Roman" w:hAnsi="Times New Roman" w:cs="Times New Roman"/>
                <w:color w:val="000000"/>
                <w:sz w:val="18"/>
                <w:szCs w:val="16"/>
              </w:rPr>
              <w:t>head</w:t>
            </w:r>
            <w:r w:rsidRPr="005F44EF">
              <w:rPr>
                <w:rFonts w:ascii="Times New Roman" w:eastAsia="Times New Roman" w:hAnsi="Times New Roman" w:cs="Times New Roman"/>
                <w:color w:val="000000"/>
                <w:sz w:val="18"/>
                <w:szCs w:val="16"/>
                <w:vertAlign w:val="superscript"/>
              </w:rPr>
              <w:t>a</w:t>
            </w:r>
            <w:proofErr w:type="spellEnd"/>
          </w:p>
        </w:tc>
        <w:tc>
          <w:tcPr>
            <w:tcW w:w="1443" w:type="dxa"/>
            <w:tcBorders>
              <w:top w:val="nil"/>
            </w:tcBorders>
            <w:shd w:val="clear" w:color="auto" w:fill="D9D9D9" w:themeFill="background1" w:themeFillShade="D9"/>
            <w:vAlign w:val="center"/>
          </w:tcPr>
          <w:p w14:paraId="37E096DD"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 xml:space="preserve">U-238 </w:t>
            </w:r>
            <w:proofErr w:type="spellStart"/>
            <w:r w:rsidRPr="005F44EF">
              <w:rPr>
                <w:rFonts w:ascii="Times New Roman" w:eastAsia="Times New Roman" w:hAnsi="Times New Roman" w:cs="Times New Roman"/>
                <w:color w:val="000000"/>
                <w:sz w:val="18"/>
                <w:szCs w:val="16"/>
              </w:rPr>
              <w:t>middle</w:t>
            </w:r>
            <w:r w:rsidRPr="005F44EF">
              <w:rPr>
                <w:rFonts w:ascii="Times New Roman" w:eastAsia="Times New Roman" w:hAnsi="Times New Roman" w:cs="Times New Roman"/>
                <w:color w:val="000000"/>
                <w:sz w:val="18"/>
                <w:szCs w:val="16"/>
                <w:vertAlign w:val="superscript"/>
              </w:rPr>
              <w:t>b</w:t>
            </w:r>
            <w:proofErr w:type="spellEnd"/>
            <w:r w:rsidRPr="005F44EF">
              <w:rPr>
                <w:rFonts w:ascii="Times New Roman" w:eastAsia="Times New Roman" w:hAnsi="Times New Roman" w:cs="Times New Roman"/>
                <w:color w:val="000000"/>
                <w:sz w:val="18"/>
                <w:szCs w:val="16"/>
              </w:rPr>
              <w:t> </w:t>
            </w:r>
          </w:p>
        </w:tc>
        <w:tc>
          <w:tcPr>
            <w:tcW w:w="1397" w:type="dxa"/>
            <w:tcBorders>
              <w:top w:val="nil"/>
            </w:tcBorders>
            <w:shd w:val="clear" w:color="auto" w:fill="D9D9D9" w:themeFill="background1" w:themeFillShade="D9"/>
            <w:vAlign w:val="center"/>
          </w:tcPr>
          <w:p w14:paraId="3E087321"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 xml:space="preserve">U-238 </w:t>
            </w:r>
            <w:proofErr w:type="spellStart"/>
            <w:r w:rsidRPr="005F44EF">
              <w:rPr>
                <w:rFonts w:ascii="Times New Roman" w:eastAsia="Times New Roman" w:hAnsi="Times New Roman" w:cs="Times New Roman"/>
                <w:color w:val="000000"/>
                <w:sz w:val="18"/>
                <w:szCs w:val="16"/>
              </w:rPr>
              <w:t>end</w:t>
            </w:r>
            <w:r w:rsidRPr="005F44EF">
              <w:rPr>
                <w:rFonts w:ascii="Times New Roman" w:eastAsia="Times New Roman" w:hAnsi="Times New Roman" w:cs="Times New Roman"/>
                <w:color w:val="000000"/>
                <w:sz w:val="18"/>
                <w:szCs w:val="16"/>
                <w:vertAlign w:val="superscript"/>
              </w:rPr>
              <w:t>c</w:t>
            </w:r>
            <w:proofErr w:type="spellEnd"/>
          </w:p>
        </w:tc>
        <w:tc>
          <w:tcPr>
            <w:tcW w:w="1280" w:type="dxa"/>
            <w:tcBorders>
              <w:top w:val="nil"/>
            </w:tcBorders>
            <w:shd w:val="clear" w:color="auto" w:fill="D9D9D9" w:themeFill="background1" w:themeFillShade="D9"/>
            <w:vAlign w:val="center"/>
          </w:tcPr>
          <w:p w14:paraId="65358078"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Th-232</w:t>
            </w:r>
          </w:p>
        </w:tc>
        <w:tc>
          <w:tcPr>
            <w:tcW w:w="1152" w:type="dxa"/>
            <w:tcBorders>
              <w:top w:val="nil"/>
            </w:tcBorders>
            <w:shd w:val="clear" w:color="auto" w:fill="D9D9D9" w:themeFill="background1" w:themeFillShade="D9"/>
            <w:vAlign w:val="center"/>
          </w:tcPr>
          <w:p w14:paraId="508E605F"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K-40 (%)</w:t>
            </w:r>
          </w:p>
        </w:tc>
        <w:tc>
          <w:tcPr>
            <w:tcW w:w="975" w:type="dxa"/>
            <w:tcBorders>
              <w:top w:val="nil"/>
            </w:tcBorders>
            <w:shd w:val="clear" w:color="auto" w:fill="D9D9D9" w:themeFill="background1" w:themeFillShade="D9"/>
            <w:vAlign w:val="center"/>
          </w:tcPr>
          <w:p w14:paraId="0114021E"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vertAlign w:val="superscript"/>
              </w:rPr>
              <w:t>210</w:t>
            </w:r>
            <w:r w:rsidRPr="005F44EF">
              <w:rPr>
                <w:rFonts w:ascii="Times New Roman" w:eastAsia="Times New Roman" w:hAnsi="Times New Roman" w:cs="Times New Roman"/>
                <w:color w:val="000000"/>
                <w:sz w:val="18"/>
                <w:szCs w:val="16"/>
              </w:rPr>
              <w:t>Pb/</w:t>
            </w:r>
            <w:r w:rsidRPr="005F44EF">
              <w:rPr>
                <w:rFonts w:ascii="Times New Roman" w:eastAsia="Times New Roman" w:hAnsi="Times New Roman" w:cs="Times New Roman"/>
                <w:color w:val="000000"/>
                <w:sz w:val="18"/>
                <w:szCs w:val="16"/>
                <w:vertAlign w:val="superscript"/>
              </w:rPr>
              <w:t>238</w:t>
            </w:r>
            <w:r w:rsidRPr="005F44EF">
              <w:rPr>
                <w:rFonts w:ascii="Times New Roman" w:eastAsia="Times New Roman" w:hAnsi="Times New Roman" w:cs="Times New Roman"/>
                <w:color w:val="000000"/>
                <w:sz w:val="18"/>
                <w:szCs w:val="16"/>
              </w:rPr>
              <w:t>U</w:t>
            </w:r>
          </w:p>
        </w:tc>
        <w:tc>
          <w:tcPr>
            <w:tcW w:w="990" w:type="dxa"/>
            <w:tcBorders>
              <w:top w:val="nil"/>
            </w:tcBorders>
            <w:shd w:val="clear" w:color="auto" w:fill="D9D9D9" w:themeFill="background1" w:themeFillShade="D9"/>
            <w:vAlign w:val="center"/>
          </w:tcPr>
          <w:p w14:paraId="77A1F80F"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vertAlign w:val="superscript"/>
              </w:rPr>
              <w:t>226</w:t>
            </w:r>
            <w:r w:rsidRPr="005F44EF">
              <w:rPr>
                <w:rFonts w:ascii="Times New Roman" w:eastAsia="Times New Roman" w:hAnsi="Times New Roman" w:cs="Times New Roman"/>
                <w:color w:val="000000"/>
                <w:sz w:val="18"/>
                <w:szCs w:val="16"/>
              </w:rPr>
              <w:t>Ra/</w:t>
            </w:r>
            <w:r w:rsidRPr="005F44EF">
              <w:rPr>
                <w:rFonts w:ascii="Times New Roman" w:eastAsia="Times New Roman" w:hAnsi="Times New Roman" w:cs="Times New Roman"/>
                <w:color w:val="000000"/>
                <w:sz w:val="18"/>
                <w:szCs w:val="16"/>
                <w:vertAlign w:val="superscript"/>
              </w:rPr>
              <w:t>238</w:t>
            </w:r>
            <w:r w:rsidRPr="005F44EF">
              <w:rPr>
                <w:rFonts w:ascii="Times New Roman" w:eastAsia="Times New Roman" w:hAnsi="Times New Roman" w:cs="Times New Roman"/>
                <w:color w:val="000000"/>
                <w:sz w:val="18"/>
                <w:szCs w:val="16"/>
              </w:rPr>
              <w:t>U</w:t>
            </w:r>
          </w:p>
        </w:tc>
      </w:tr>
      <w:tr w:rsidR="00FE007D" w:rsidRPr="005F44EF" w14:paraId="314A463A" w14:textId="77777777" w:rsidTr="004C70CD">
        <w:trPr>
          <w:trHeight w:val="348"/>
        </w:trPr>
        <w:tc>
          <w:tcPr>
            <w:tcW w:w="1164" w:type="dxa"/>
            <w:tcBorders>
              <w:top w:val="nil"/>
              <w:bottom w:val="single" w:sz="4" w:space="0" w:color="auto"/>
            </w:tcBorders>
            <w:shd w:val="clear" w:color="auto" w:fill="D9D9D9" w:themeFill="background1" w:themeFillShade="D9"/>
            <w:vAlign w:val="center"/>
          </w:tcPr>
          <w:p w14:paraId="045D6532"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 </w:t>
            </w:r>
          </w:p>
        </w:tc>
        <w:tc>
          <w:tcPr>
            <w:tcW w:w="611" w:type="dxa"/>
            <w:tcBorders>
              <w:top w:val="nil"/>
              <w:bottom w:val="single" w:sz="4" w:space="0" w:color="auto"/>
            </w:tcBorders>
            <w:shd w:val="clear" w:color="auto" w:fill="D9D9D9" w:themeFill="background1" w:themeFillShade="D9"/>
            <w:vAlign w:val="center"/>
          </w:tcPr>
          <w:p w14:paraId="0DFFD9CD"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 </w:t>
            </w:r>
          </w:p>
        </w:tc>
        <w:tc>
          <w:tcPr>
            <w:tcW w:w="1047" w:type="dxa"/>
            <w:tcBorders>
              <w:top w:val="nil"/>
              <w:bottom w:val="single" w:sz="4" w:space="0" w:color="auto"/>
            </w:tcBorders>
            <w:shd w:val="clear" w:color="auto" w:fill="D9D9D9" w:themeFill="background1" w:themeFillShade="D9"/>
            <w:vAlign w:val="center"/>
          </w:tcPr>
          <w:p w14:paraId="2B534E83"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 </w:t>
            </w:r>
          </w:p>
        </w:tc>
        <w:tc>
          <w:tcPr>
            <w:tcW w:w="951" w:type="dxa"/>
            <w:tcBorders>
              <w:top w:val="nil"/>
              <w:bottom w:val="single" w:sz="4" w:space="0" w:color="auto"/>
            </w:tcBorders>
            <w:shd w:val="clear" w:color="auto" w:fill="D9D9D9" w:themeFill="background1" w:themeFillShade="D9"/>
            <w:vAlign w:val="center"/>
          </w:tcPr>
          <w:p w14:paraId="35F7C48B"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 </w:t>
            </w:r>
          </w:p>
        </w:tc>
        <w:tc>
          <w:tcPr>
            <w:tcW w:w="1051" w:type="dxa"/>
            <w:tcBorders>
              <w:top w:val="nil"/>
              <w:bottom w:val="single" w:sz="4" w:space="0" w:color="auto"/>
            </w:tcBorders>
            <w:shd w:val="clear" w:color="auto" w:fill="D9D9D9" w:themeFill="background1" w:themeFillShade="D9"/>
            <w:vAlign w:val="center"/>
          </w:tcPr>
          <w:p w14:paraId="7D3BD0E0"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 </w:t>
            </w:r>
          </w:p>
        </w:tc>
        <w:tc>
          <w:tcPr>
            <w:tcW w:w="1081" w:type="dxa"/>
            <w:tcBorders>
              <w:top w:val="nil"/>
              <w:bottom w:val="single" w:sz="4" w:space="0" w:color="auto"/>
            </w:tcBorders>
            <w:shd w:val="clear" w:color="auto" w:fill="D9D9D9" w:themeFill="background1" w:themeFillShade="D9"/>
            <w:vAlign w:val="center"/>
          </w:tcPr>
          <w:p w14:paraId="7AC90D0B"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 </w:t>
            </w:r>
          </w:p>
        </w:tc>
        <w:tc>
          <w:tcPr>
            <w:tcW w:w="5383" w:type="dxa"/>
            <w:gridSpan w:val="4"/>
            <w:tcBorders>
              <w:top w:val="nil"/>
              <w:bottom w:val="single" w:sz="4" w:space="0" w:color="auto"/>
            </w:tcBorders>
            <w:shd w:val="clear" w:color="auto" w:fill="D9D9D9" w:themeFill="background1" w:themeFillShade="D9"/>
            <w:vAlign w:val="center"/>
          </w:tcPr>
          <w:p w14:paraId="0E065FF3"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(ppm) </w:t>
            </w:r>
          </w:p>
        </w:tc>
        <w:tc>
          <w:tcPr>
            <w:tcW w:w="1152" w:type="dxa"/>
            <w:tcBorders>
              <w:top w:val="nil"/>
              <w:bottom w:val="single" w:sz="4" w:space="0" w:color="auto"/>
            </w:tcBorders>
            <w:shd w:val="clear" w:color="auto" w:fill="D9D9D9" w:themeFill="background1" w:themeFillShade="D9"/>
            <w:vAlign w:val="center"/>
          </w:tcPr>
          <w:p w14:paraId="259BB7FC"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 </w:t>
            </w:r>
          </w:p>
        </w:tc>
        <w:tc>
          <w:tcPr>
            <w:tcW w:w="1965" w:type="dxa"/>
            <w:gridSpan w:val="2"/>
            <w:tcBorders>
              <w:top w:val="nil"/>
              <w:bottom w:val="single" w:sz="4" w:space="0" w:color="auto"/>
            </w:tcBorders>
            <w:shd w:val="clear" w:color="auto" w:fill="D9D9D9" w:themeFill="background1" w:themeFillShade="D9"/>
            <w:vAlign w:val="center"/>
          </w:tcPr>
          <w:p w14:paraId="61EDF5B1" w14:textId="0B8B4837" w:rsidR="00347052" w:rsidRPr="005F44EF" w:rsidRDefault="00347052">
            <w:pPr>
              <w:spacing w:after="0" w:line="276" w:lineRule="auto"/>
              <w:jc w:val="center"/>
              <w:rPr>
                <w:rFonts w:ascii="Times New Roman" w:eastAsia="Times New Roman" w:hAnsi="Times New Roman" w:cs="Times New Roman"/>
                <w:color w:val="000000"/>
                <w:sz w:val="18"/>
                <w:szCs w:val="16"/>
              </w:rPr>
            </w:pPr>
          </w:p>
        </w:tc>
      </w:tr>
      <w:tr w:rsidR="00FE007D" w:rsidRPr="005F44EF" w14:paraId="2204500A" w14:textId="77777777" w:rsidTr="004C70CD">
        <w:trPr>
          <w:trHeight w:val="187"/>
        </w:trPr>
        <w:tc>
          <w:tcPr>
            <w:tcW w:w="1164" w:type="dxa"/>
            <w:tcBorders>
              <w:top w:val="single" w:sz="4" w:space="0" w:color="auto"/>
              <w:bottom w:val="nil"/>
            </w:tcBorders>
            <w:shd w:val="clear" w:color="auto" w:fill="auto"/>
            <w:vAlign w:val="center"/>
          </w:tcPr>
          <w:p w14:paraId="0974FFA8" w14:textId="77777777" w:rsidR="00347052" w:rsidRPr="005F44EF" w:rsidRDefault="00347052" w:rsidP="00653CDD">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ANY20-02</w:t>
            </w:r>
          </w:p>
        </w:tc>
        <w:tc>
          <w:tcPr>
            <w:tcW w:w="611" w:type="dxa"/>
            <w:tcBorders>
              <w:top w:val="single" w:sz="4" w:space="0" w:color="auto"/>
              <w:bottom w:val="nil"/>
            </w:tcBorders>
            <w:shd w:val="clear" w:color="auto" w:fill="auto"/>
            <w:vAlign w:val="center"/>
          </w:tcPr>
          <w:p w14:paraId="6880942D"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C</w:t>
            </w:r>
          </w:p>
        </w:tc>
        <w:tc>
          <w:tcPr>
            <w:tcW w:w="1047" w:type="dxa"/>
            <w:tcBorders>
              <w:top w:val="single" w:sz="4" w:space="0" w:color="auto"/>
              <w:bottom w:val="nil"/>
            </w:tcBorders>
            <w:shd w:val="clear" w:color="auto" w:fill="auto"/>
            <w:vAlign w:val="center"/>
          </w:tcPr>
          <w:p w14:paraId="27C17720"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1.20±0.12</w:t>
            </w:r>
          </w:p>
        </w:tc>
        <w:tc>
          <w:tcPr>
            <w:tcW w:w="951" w:type="dxa"/>
            <w:tcBorders>
              <w:top w:val="single" w:sz="4" w:space="0" w:color="auto"/>
              <w:bottom w:val="nil"/>
            </w:tcBorders>
            <w:shd w:val="clear" w:color="auto" w:fill="auto"/>
            <w:vAlign w:val="center"/>
          </w:tcPr>
          <w:p w14:paraId="4403D0A7"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6.3±0.63</w:t>
            </w:r>
          </w:p>
        </w:tc>
        <w:tc>
          <w:tcPr>
            <w:tcW w:w="1051" w:type="dxa"/>
            <w:tcBorders>
              <w:top w:val="single" w:sz="4" w:space="0" w:color="auto"/>
              <w:bottom w:val="nil"/>
            </w:tcBorders>
            <w:shd w:val="clear" w:color="auto" w:fill="auto"/>
            <w:vAlign w:val="center"/>
          </w:tcPr>
          <w:p w14:paraId="61688230"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0.1± 0.01</w:t>
            </w:r>
          </w:p>
        </w:tc>
        <w:tc>
          <w:tcPr>
            <w:tcW w:w="1081" w:type="dxa"/>
            <w:tcBorders>
              <w:top w:val="single" w:sz="4" w:space="0" w:color="auto"/>
              <w:bottom w:val="nil"/>
            </w:tcBorders>
            <w:shd w:val="clear" w:color="auto" w:fill="auto"/>
            <w:vAlign w:val="center"/>
          </w:tcPr>
          <w:p w14:paraId="01575E62"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6.2±0.62</w:t>
            </w:r>
          </w:p>
        </w:tc>
        <w:tc>
          <w:tcPr>
            <w:tcW w:w="1263" w:type="dxa"/>
            <w:tcBorders>
              <w:top w:val="single" w:sz="4" w:space="0" w:color="auto"/>
              <w:bottom w:val="nil"/>
            </w:tcBorders>
            <w:shd w:val="clear" w:color="auto" w:fill="auto"/>
            <w:vAlign w:val="center"/>
          </w:tcPr>
          <w:p w14:paraId="0FCC7B25"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1.24±0.09</w:t>
            </w:r>
          </w:p>
        </w:tc>
        <w:tc>
          <w:tcPr>
            <w:tcW w:w="1443" w:type="dxa"/>
            <w:tcBorders>
              <w:top w:val="single" w:sz="4" w:space="0" w:color="auto"/>
              <w:bottom w:val="nil"/>
            </w:tcBorders>
            <w:shd w:val="clear" w:color="auto" w:fill="auto"/>
            <w:vAlign w:val="center"/>
          </w:tcPr>
          <w:p w14:paraId="329CEDFF"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0.99±0.02</w:t>
            </w:r>
          </w:p>
        </w:tc>
        <w:tc>
          <w:tcPr>
            <w:tcW w:w="1397" w:type="dxa"/>
            <w:tcBorders>
              <w:top w:val="single" w:sz="4" w:space="0" w:color="auto"/>
              <w:bottom w:val="nil"/>
            </w:tcBorders>
            <w:shd w:val="clear" w:color="auto" w:fill="auto"/>
            <w:vAlign w:val="center"/>
          </w:tcPr>
          <w:p w14:paraId="49630D6A"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1.30±0.11</w:t>
            </w:r>
          </w:p>
        </w:tc>
        <w:tc>
          <w:tcPr>
            <w:tcW w:w="1280" w:type="dxa"/>
            <w:tcBorders>
              <w:top w:val="single" w:sz="4" w:space="0" w:color="auto"/>
              <w:bottom w:val="nil"/>
            </w:tcBorders>
            <w:shd w:val="clear" w:color="auto" w:fill="auto"/>
            <w:vAlign w:val="center"/>
          </w:tcPr>
          <w:p w14:paraId="78067F6C"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6.4±0.07</w:t>
            </w:r>
          </w:p>
        </w:tc>
        <w:tc>
          <w:tcPr>
            <w:tcW w:w="1152" w:type="dxa"/>
            <w:tcBorders>
              <w:top w:val="single" w:sz="4" w:space="0" w:color="auto"/>
              <w:bottom w:val="nil"/>
            </w:tcBorders>
            <w:shd w:val="clear" w:color="auto" w:fill="auto"/>
            <w:vAlign w:val="center"/>
          </w:tcPr>
          <w:p w14:paraId="2C534793"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0.07±0.01</w:t>
            </w:r>
          </w:p>
        </w:tc>
        <w:tc>
          <w:tcPr>
            <w:tcW w:w="975" w:type="dxa"/>
            <w:tcBorders>
              <w:top w:val="single" w:sz="4" w:space="0" w:color="auto"/>
              <w:bottom w:val="nil"/>
            </w:tcBorders>
            <w:shd w:val="clear" w:color="auto" w:fill="auto"/>
            <w:vAlign w:val="center"/>
          </w:tcPr>
          <w:p w14:paraId="11ED9744"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1.04</w:t>
            </w:r>
          </w:p>
        </w:tc>
        <w:tc>
          <w:tcPr>
            <w:tcW w:w="990" w:type="dxa"/>
            <w:tcBorders>
              <w:top w:val="single" w:sz="4" w:space="0" w:color="auto"/>
              <w:bottom w:val="nil"/>
            </w:tcBorders>
            <w:shd w:val="clear" w:color="auto" w:fill="auto"/>
            <w:vAlign w:val="center"/>
          </w:tcPr>
          <w:p w14:paraId="62D0BC68" w14:textId="7F43A51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0.80</w:t>
            </w:r>
          </w:p>
        </w:tc>
      </w:tr>
      <w:tr w:rsidR="00FE007D" w:rsidRPr="005F44EF" w14:paraId="7F7C0CFD" w14:textId="77777777" w:rsidTr="007E2142">
        <w:trPr>
          <w:trHeight w:val="187"/>
        </w:trPr>
        <w:tc>
          <w:tcPr>
            <w:tcW w:w="1164" w:type="dxa"/>
            <w:tcBorders>
              <w:top w:val="nil"/>
              <w:bottom w:val="nil"/>
            </w:tcBorders>
            <w:shd w:val="clear" w:color="auto" w:fill="auto"/>
            <w:vAlign w:val="center"/>
          </w:tcPr>
          <w:p w14:paraId="1A7F5000" w14:textId="77777777" w:rsidR="00347052" w:rsidRPr="005F44EF" w:rsidRDefault="00347052" w:rsidP="00653CDD">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ANY20-03*</w:t>
            </w:r>
          </w:p>
        </w:tc>
        <w:tc>
          <w:tcPr>
            <w:tcW w:w="611" w:type="dxa"/>
            <w:tcBorders>
              <w:top w:val="nil"/>
              <w:bottom w:val="nil"/>
            </w:tcBorders>
            <w:shd w:val="clear" w:color="auto" w:fill="auto"/>
            <w:vAlign w:val="center"/>
          </w:tcPr>
          <w:p w14:paraId="212CC49A"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C</w:t>
            </w:r>
          </w:p>
        </w:tc>
        <w:tc>
          <w:tcPr>
            <w:tcW w:w="1047" w:type="dxa"/>
            <w:tcBorders>
              <w:top w:val="nil"/>
              <w:bottom w:val="nil"/>
            </w:tcBorders>
            <w:shd w:val="clear" w:color="auto" w:fill="auto"/>
            <w:vAlign w:val="center"/>
          </w:tcPr>
          <w:p w14:paraId="4D7F0F0D"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1.28±0.13</w:t>
            </w:r>
          </w:p>
        </w:tc>
        <w:tc>
          <w:tcPr>
            <w:tcW w:w="951" w:type="dxa"/>
            <w:tcBorders>
              <w:top w:val="nil"/>
              <w:bottom w:val="nil"/>
            </w:tcBorders>
            <w:shd w:val="clear" w:color="auto" w:fill="auto"/>
            <w:vAlign w:val="center"/>
          </w:tcPr>
          <w:p w14:paraId="1E714E06"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6.8±0.70</w:t>
            </w:r>
          </w:p>
        </w:tc>
        <w:tc>
          <w:tcPr>
            <w:tcW w:w="1051" w:type="dxa"/>
            <w:tcBorders>
              <w:top w:val="nil"/>
              <w:bottom w:val="nil"/>
            </w:tcBorders>
            <w:shd w:val="clear" w:color="auto" w:fill="auto"/>
            <w:vAlign w:val="center"/>
          </w:tcPr>
          <w:p w14:paraId="7BCB1005"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0.1±0.01</w:t>
            </w:r>
          </w:p>
        </w:tc>
        <w:tc>
          <w:tcPr>
            <w:tcW w:w="1081" w:type="dxa"/>
            <w:tcBorders>
              <w:top w:val="nil"/>
              <w:bottom w:val="nil"/>
            </w:tcBorders>
            <w:shd w:val="clear" w:color="auto" w:fill="auto"/>
            <w:vAlign w:val="center"/>
          </w:tcPr>
          <w:p w14:paraId="383299D6"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7.1±0.71</w:t>
            </w:r>
          </w:p>
        </w:tc>
        <w:tc>
          <w:tcPr>
            <w:tcW w:w="1263" w:type="dxa"/>
            <w:tcBorders>
              <w:top w:val="nil"/>
              <w:bottom w:val="nil"/>
            </w:tcBorders>
            <w:shd w:val="clear" w:color="auto" w:fill="auto"/>
            <w:vAlign w:val="center"/>
          </w:tcPr>
          <w:p w14:paraId="084470B3"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1.46±0.08</w:t>
            </w:r>
          </w:p>
        </w:tc>
        <w:tc>
          <w:tcPr>
            <w:tcW w:w="1443" w:type="dxa"/>
            <w:tcBorders>
              <w:top w:val="nil"/>
              <w:bottom w:val="nil"/>
            </w:tcBorders>
            <w:shd w:val="clear" w:color="auto" w:fill="auto"/>
            <w:vAlign w:val="center"/>
          </w:tcPr>
          <w:p w14:paraId="44A44138"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1.11±0.02</w:t>
            </w:r>
          </w:p>
        </w:tc>
        <w:tc>
          <w:tcPr>
            <w:tcW w:w="1397" w:type="dxa"/>
            <w:tcBorders>
              <w:top w:val="nil"/>
              <w:bottom w:val="nil"/>
            </w:tcBorders>
            <w:shd w:val="clear" w:color="auto" w:fill="auto"/>
            <w:vAlign w:val="center"/>
          </w:tcPr>
          <w:p w14:paraId="6C66D20A"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1.50±0.10</w:t>
            </w:r>
          </w:p>
        </w:tc>
        <w:tc>
          <w:tcPr>
            <w:tcW w:w="1280" w:type="dxa"/>
            <w:tcBorders>
              <w:top w:val="nil"/>
              <w:bottom w:val="nil"/>
            </w:tcBorders>
            <w:shd w:val="clear" w:color="auto" w:fill="auto"/>
            <w:vAlign w:val="center"/>
          </w:tcPr>
          <w:p w14:paraId="3F94BB86"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6.9±0.07</w:t>
            </w:r>
          </w:p>
        </w:tc>
        <w:tc>
          <w:tcPr>
            <w:tcW w:w="1152" w:type="dxa"/>
            <w:tcBorders>
              <w:top w:val="nil"/>
              <w:bottom w:val="nil"/>
            </w:tcBorders>
            <w:shd w:val="clear" w:color="auto" w:fill="auto"/>
            <w:vAlign w:val="center"/>
          </w:tcPr>
          <w:p w14:paraId="47EAE11D"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0.05±0.01</w:t>
            </w:r>
          </w:p>
        </w:tc>
        <w:tc>
          <w:tcPr>
            <w:tcW w:w="975" w:type="dxa"/>
            <w:tcBorders>
              <w:top w:val="nil"/>
              <w:bottom w:val="nil"/>
            </w:tcBorders>
            <w:shd w:val="clear" w:color="auto" w:fill="auto"/>
            <w:vAlign w:val="center"/>
          </w:tcPr>
          <w:p w14:paraId="18CB02C9"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1.03</w:t>
            </w:r>
          </w:p>
        </w:tc>
        <w:tc>
          <w:tcPr>
            <w:tcW w:w="990" w:type="dxa"/>
            <w:tcBorders>
              <w:top w:val="nil"/>
              <w:bottom w:val="nil"/>
            </w:tcBorders>
            <w:shd w:val="clear" w:color="auto" w:fill="auto"/>
            <w:vAlign w:val="center"/>
          </w:tcPr>
          <w:p w14:paraId="3F36860D"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0.76</w:t>
            </w:r>
          </w:p>
        </w:tc>
      </w:tr>
      <w:tr w:rsidR="00FE007D" w:rsidRPr="005F44EF" w14:paraId="79EB360C" w14:textId="77777777" w:rsidTr="007E2142">
        <w:trPr>
          <w:trHeight w:val="187"/>
        </w:trPr>
        <w:tc>
          <w:tcPr>
            <w:tcW w:w="1164" w:type="dxa"/>
            <w:tcBorders>
              <w:top w:val="nil"/>
              <w:bottom w:val="nil"/>
            </w:tcBorders>
            <w:shd w:val="clear" w:color="auto" w:fill="auto"/>
            <w:vAlign w:val="center"/>
          </w:tcPr>
          <w:p w14:paraId="550B40A4" w14:textId="77777777" w:rsidR="00347052" w:rsidRPr="005F44EF" w:rsidRDefault="00347052" w:rsidP="00653CDD">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ANY20-04*</w:t>
            </w:r>
          </w:p>
        </w:tc>
        <w:tc>
          <w:tcPr>
            <w:tcW w:w="611" w:type="dxa"/>
            <w:tcBorders>
              <w:top w:val="nil"/>
              <w:bottom w:val="nil"/>
            </w:tcBorders>
            <w:shd w:val="clear" w:color="auto" w:fill="auto"/>
            <w:vAlign w:val="center"/>
          </w:tcPr>
          <w:p w14:paraId="2BBBC1CD"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C/D</w:t>
            </w:r>
          </w:p>
        </w:tc>
        <w:tc>
          <w:tcPr>
            <w:tcW w:w="1047" w:type="dxa"/>
            <w:tcBorders>
              <w:top w:val="nil"/>
              <w:bottom w:val="nil"/>
            </w:tcBorders>
            <w:shd w:val="clear" w:color="auto" w:fill="auto"/>
            <w:vAlign w:val="center"/>
          </w:tcPr>
          <w:p w14:paraId="5D06905D"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1.59±0.16</w:t>
            </w:r>
          </w:p>
        </w:tc>
        <w:tc>
          <w:tcPr>
            <w:tcW w:w="951" w:type="dxa"/>
            <w:tcBorders>
              <w:top w:val="nil"/>
              <w:bottom w:val="nil"/>
            </w:tcBorders>
            <w:shd w:val="clear" w:color="auto" w:fill="auto"/>
            <w:vAlign w:val="center"/>
          </w:tcPr>
          <w:p w14:paraId="5FDD3725"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10.0±1.0</w:t>
            </w:r>
          </w:p>
        </w:tc>
        <w:tc>
          <w:tcPr>
            <w:tcW w:w="1051" w:type="dxa"/>
            <w:tcBorders>
              <w:top w:val="nil"/>
              <w:bottom w:val="nil"/>
            </w:tcBorders>
            <w:shd w:val="clear" w:color="auto" w:fill="auto"/>
            <w:vAlign w:val="center"/>
          </w:tcPr>
          <w:p w14:paraId="44996DD8"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0.2±0.02</w:t>
            </w:r>
          </w:p>
        </w:tc>
        <w:tc>
          <w:tcPr>
            <w:tcW w:w="1081" w:type="dxa"/>
            <w:tcBorders>
              <w:top w:val="nil"/>
              <w:bottom w:val="nil"/>
            </w:tcBorders>
            <w:shd w:val="clear" w:color="auto" w:fill="auto"/>
            <w:vAlign w:val="center"/>
          </w:tcPr>
          <w:p w14:paraId="4D17C46B"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10.0±1.0</w:t>
            </w:r>
          </w:p>
        </w:tc>
        <w:tc>
          <w:tcPr>
            <w:tcW w:w="1263" w:type="dxa"/>
            <w:tcBorders>
              <w:top w:val="nil"/>
              <w:bottom w:val="nil"/>
            </w:tcBorders>
            <w:shd w:val="clear" w:color="auto" w:fill="auto"/>
            <w:vAlign w:val="center"/>
          </w:tcPr>
          <w:p w14:paraId="23D72B9E"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1.76±0.11</w:t>
            </w:r>
          </w:p>
        </w:tc>
        <w:tc>
          <w:tcPr>
            <w:tcW w:w="1443" w:type="dxa"/>
            <w:tcBorders>
              <w:top w:val="nil"/>
              <w:bottom w:val="nil"/>
            </w:tcBorders>
            <w:shd w:val="clear" w:color="auto" w:fill="auto"/>
            <w:vAlign w:val="center"/>
          </w:tcPr>
          <w:p w14:paraId="10B111B6"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1.51±0.03</w:t>
            </w:r>
          </w:p>
        </w:tc>
        <w:tc>
          <w:tcPr>
            <w:tcW w:w="1397" w:type="dxa"/>
            <w:tcBorders>
              <w:top w:val="nil"/>
              <w:bottom w:val="nil"/>
            </w:tcBorders>
            <w:shd w:val="clear" w:color="auto" w:fill="auto"/>
            <w:vAlign w:val="center"/>
          </w:tcPr>
          <w:p w14:paraId="74012744"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2.02±0.13</w:t>
            </w:r>
          </w:p>
        </w:tc>
        <w:tc>
          <w:tcPr>
            <w:tcW w:w="1280" w:type="dxa"/>
            <w:tcBorders>
              <w:top w:val="nil"/>
              <w:bottom w:val="nil"/>
            </w:tcBorders>
            <w:shd w:val="clear" w:color="auto" w:fill="auto"/>
            <w:vAlign w:val="center"/>
          </w:tcPr>
          <w:p w14:paraId="6B4C45B9"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9.9±0.11</w:t>
            </w:r>
          </w:p>
        </w:tc>
        <w:tc>
          <w:tcPr>
            <w:tcW w:w="1152" w:type="dxa"/>
            <w:tcBorders>
              <w:top w:val="nil"/>
              <w:bottom w:val="nil"/>
            </w:tcBorders>
            <w:shd w:val="clear" w:color="auto" w:fill="auto"/>
            <w:vAlign w:val="center"/>
          </w:tcPr>
          <w:p w14:paraId="681BCB4E"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0.09±0.01</w:t>
            </w:r>
          </w:p>
        </w:tc>
        <w:tc>
          <w:tcPr>
            <w:tcW w:w="975" w:type="dxa"/>
            <w:tcBorders>
              <w:top w:val="nil"/>
              <w:bottom w:val="nil"/>
            </w:tcBorders>
            <w:shd w:val="clear" w:color="auto" w:fill="auto"/>
            <w:vAlign w:val="center"/>
          </w:tcPr>
          <w:p w14:paraId="0D536E58"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1.15</w:t>
            </w:r>
          </w:p>
        </w:tc>
        <w:tc>
          <w:tcPr>
            <w:tcW w:w="990" w:type="dxa"/>
            <w:tcBorders>
              <w:top w:val="nil"/>
              <w:bottom w:val="nil"/>
            </w:tcBorders>
            <w:shd w:val="clear" w:color="auto" w:fill="auto"/>
            <w:vAlign w:val="center"/>
          </w:tcPr>
          <w:p w14:paraId="54BCD4DF"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0.86</w:t>
            </w:r>
          </w:p>
        </w:tc>
      </w:tr>
      <w:tr w:rsidR="00FE007D" w:rsidRPr="005F44EF" w14:paraId="1F45D542" w14:textId="77777777" w:rsidTr="007E2142">
        <w:trPr>
          <w:trHeight w:val="187"/>
        </w:trPr>
        <w:tc>
          <w:tcPr>
            <w:tcW w:w="1164" w:type="dxa"/>
            <w:tcBorders>
              <w:top w:val="nil"/>
              <w:bottom w:val="nil"/>
            </w:tcBorders>
            <w:shd w:val="clear" w:color="auto" w:fill="auto"/>
            <w:vAlign w:val="center"/>
          </w:tcPr>
          <w:p w14:paraId="4F856E75" w14:textId="77777777" w:rsidR="00347052" w:rsidRPr="005F44EF" w:rsidRDefault="00347052" w:rsidP="00653CDD">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ANY20-05*</w:t>
            </w:r>
          </w:p>
        </w:tc>
        <w:tc>
          <w:tcPr>
            <w:tcW w:w="611" w:type="dxa"/>
            <w:tcBorders>
              <w:top w:val="nil"/>
              <w:bottom w:val="nil"/>
            </w:tcBorders>
            <w:shd w:val="clear" w:color="auto" w:fill="auto"/>
            <w:vAlign w:val="center"/>
          </w:tcPr>
          <w:p w14:paraId="4CEB6155"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D1</w:t>
            </w:r>
          </w:p>
        </w:tc>
        <w:tc>
          <w:tcPr>
            <w:tcW w:w="1047" w:type="dxa"/>
            <w:tcBorders>
              <w:top w:val="nil"/>
              <w:bottom w:val="nil"/>
            </w:tcBorders>
            <w:shd w:val="clear" w:color="auto" w:fill="auto"/>
            <w:vAlign w:val="center"/>
          </w:tcPr>
          <w:p w14:paraId="7D01EA1E"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1.93±0.20</w:t>
            </w:r>
          </w:p>
        </w:tc>
        <w:tc>
          <w:tcPr>
            <w:tcW w:w="951" w:type="dxa"/>
            <w:tcBorders>
              <w:top w:val="nil"/>
              <w:bottom w:val="nil"/>
            </w:tcBorders>
            <w:shd w:val="clear" w:color="auto" w:fill="auto"/>
            <w:vAlign w:val="center"/>
          </w:tcPr>
          <w:p w14:paraId="4D7F84D9"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12.1±1.2</w:t>
            </w:r>
          </w:p>
        </w:tc>
        <w:tc>
          <w:tcPr>
            <w:tcW w:w="1051" w:type="dxa"/>
            <w:tcBorders>
              <w:top w:val="nil"/>
              <w:bottom w:val="nil"/>
            </w:tcBorders>
            <w:shd w:val="clear" w:color="auto" w:fill="auto"/>
            <w:vAlign w:val="center"/>
          </w:tcPr>
          <w:p w14:paraId="30184DBA"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0.2±0.02</w:t>
            </w:r>
          </w:p>
        </w:tc>
        <w:tc>
          <w:tcPr>
            <w:tcW w:w="1081" w:type="dxa"/>
            <w:tcBorders>
              <w:top w:val="nil"/>
              <w:bottom w:val="nil"/>
            </w:tcBorders>
            <w:shd w:val="clear" w:color="auto" w:fill="auto"/>
            <w:vAlign w:val="center"/>
          </w:tcPr>
          <w:p w14:paraId="2F6AAAB1"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12.0±1.2</w:t>
            </w:r>
          </w:p>
        </w:tc>
        <w:tc>
          <w:tcPr>
            <w:tcW w:w="1263" w:type="dxa"/>
            <w:tcBorders>
              <w:top w:val="nil"/>
              <w:bottom w:val="nil"/>
            </w:tcBorders>
            <w:shd w:val="clear" w:color="auto" w:fill="auto"/>
            <w:vAlign w:val="center"/>
          </w:tcPr>
          <w:p w14:paraId="2A232523"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1.89±0.12</w:t>
            </w:r>
          </w:p>
        </w:tc>
        <w:tc>
          <w:tcPr>
            <w:tcW w:w="1443" w:type="dxa"/>
            <w:tcBorders>
              <w:top w:val="nil"/>
              <w:bottom w:val="nil"/>
            </w:tcBorders>
            <w:shd w:val="clear" w:color="auto" w:fill="auto"/>
            <w:vAlign w:val="center"/>
          </w:tcPr>
          <w:p w14:paraId="21548B94"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1.60±0.03</w:t>
            </w:r>
          </w:p>
        </w:tc>
        <w:tc>
          <w:tcPr>
            <w:tcW w:w="1397" w:type="dxa"/>
            <w:tcBorders>
              <w:top w:val="nil"/>
              <w:bottom w:val="nil"/>
            </w:tcBorders>
            <w:shd w:val="clear" w:color="auto" w:fill="auto"/>
            <w:vAlign w:val="center"/>
          </w:tcPr>
          <w:p w14:paraId="437B7AC4"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2.13±0.14</w:t>
            </w:r>
          </w:p>
        </w:tc>
        <w:tc>
          <w:tcPr>
            <w:tcW w:w="1280" w:type="dxa"/>
            <w:tcBorders>
              <w:top w:val="nil"/>
              <w:bottom w:val="nil"/>
            </w:tcBorders>
            <w:shd w:val="clear" w:color="auto" w:fill="auto"/>
            <w:vAlign w:val="center"/>
          </w:tcPr>
          <w:p w14:paraId="73218E69"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11.45±0.12</w:t>
            </w:r>
          </w:p>
        </w:tc>
        <w:tc>
          <w:tcPr>
            <w:tcW w:w="1152" w:type="dxa"/>
            <w:tcBorders>
              <w:top w:val="nil"/>
              <w:bottom w:val="nil"/>
            </w:tcBorders>
            <w:shd w:val="clear" w:color="auto" w:fill="auto"/>
            <w:vAlign w:val="center"/>
          </w:tcPr>
          <w:p w14:paraId="696150D9"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0.1</w:t>
            </w:r>
            <w:r w:rsidRPr="005F44EF">
              <w:rPr>
                <w:rFonts w:ascii="Times New Roman" w:eastAsia="Times New Roman" w:hAnsi="Times New Roman" w:cs="Times New Roman"/>
                <w:sz w:val="18"/>
                <w:szCs w:val="16"/>
              </w:rPr>
              <w:t>1</w:t>
            </w:r>
            <w:r w:rsidRPr="005F44EF">
              <w:rPr>
                <w:rFonts w:ascii="Times New Roman" w:eastAsia="Times New Roman" w:hAnsi="Times New Roman" w:cs="Times New Roman"/>
                <w:color w:val="000000"/>
                <w:sz w:val="18"/>
                <w:szCs w:val="16"/>
              </w:rPr>
              <w:t>±0.01</w:t>
            </w:r>
          </w:p>
        </w:tc>
        <w:tc>
          <w:tcPr>
            <w:tcW w:w="975" w:type="dxa"/>
            <w:tcBorders>
              <w:top w:val="nil"/>
              <w:bottom w:val="nil"/>
            </w:tcBorders>
            <w:shd w:val="clear" w:color="auto" w:fill="auto"/>
            <w:vAlign w:val="center"/>
          </w:tcPr>
          <w:p w14:paraId="556774AA"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1.13</w:t>
            </w:r>
          </w:p>
        </w:tc>
        <w:tc>
          <w:tcPr>
            <w:tcW w:w="990" w:type="dxa"/>
            <w:tcBorders>
              <w:top w:val="nil"/>
              <w:bottom w:val="nil"/>
            </w:tcBorders>
            <w:shd w:val="clear" w:color="auto" w:fill="auto"/>
            <w:vAlign w:val="center"/>
          </w:tcPr>
          <w:p w14:paraId="7CF383CF"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0.84</w:t>
            </w:r>
          </w:p>
        </w:tc>
      </w:tr>
      <w:tr w:rsidR="00FE007D" w:rsidRPr="005F44EF" w14:paraId="3E2591A7" w14:textId="77777777" w:rsidTr="007E2142">
        <w:trPr>
          <w:trHeight w:val="187"/>
        </w:trPr>
        <w:tc>
          <w:tcPr>
            <w:tcW w:w="1164" w:type="dxa"/>
            <w:tcBorders>
              <w:top w:val="nil"/>
              <w:bottom w:val="nil"/>
            </w:tcBorders>
            <w:shd w:val="clear" w:color="auto" w:fill="auto"/>
            <w:vAlign w:val="center"/>
          </w:tcPr>
          <w:p w14:paraId="55130A82" w14:textId="77777777" w:rsidR="00347052" w:rsidRPr="005F44EF" w:rsidRDefault="00347052" w:rsidP="00653CDD">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ANY20-06</w:t>
            </w:r>
          </w:p>
        </w:tc>
        <w:tc>
          <w:tcPr>
            <w:tcW w:w="611" w:type="dxa"/>
            <w:tcBorders>
              <w:top w:val="nil"/>
              <w:bottom w:val="nil"/>
            </w:tcBorders>
            <w:shd w:val="clear" w:color="auto" w:fill="auto"/>
            <w:vAlign w:val="center"/>
          </w:tcPr>
          <w:p w14:paraId="56870CA5"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D2</w:t>
            </w:r>
          </w:p>
        </w:tc>
        <w:tc>
          <w:tcPr>
            <w:tcW w:w="1047" w:type="dxa"/>
            <w:tcBorders>
              <w:top w:val="nil"/>
              <w:bottom w:val="nil"/>
            </w:tcBorders>
            <w:shd w:val="clear" w:color="auto" w:fill="auto"/>
            <w:vAlign w:val="center"/>
          </w:tcPr>
          <w:p w14:paraId="15FCF39B"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1.57±0.16</w:t>
            </w:r>
          </w:p>
        </w:tc>
        <w:tc>
          <w:tcPr>
            <w:tcW w:w="951" w:type="dxa"/>
            <w:tcBorders>
              <w:top w:val="nil"/>
              <w:bottom w:val="nil"/>
            </w:tcBorders>
            <w:shd w:val="clear" w:color="auto" w:fill="auto"/>
            <w:vAlign w:val="center"/>
          </w:tcPr>
          <w:p w14:paraId="241A36BC"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10.9±1.1</w:t>
            </w:r>
          </w:p>
        </w:tc>
        <w:tc>
          <w:tcPr>
            <w:tcW w:w="1051" w:type="dxa"/>
            <w:tcBorders>
              <w:top w:val="nil"/>
              <w:bottom w:val="nil"/>
            </w:tcBorders>
            <w:shd w:val="clear" w:color="auto" w:fill="auto"/>
            <w:vAlign w:val="center"/>
          </w:tcPr>
          <w:p w14:paraId="1CB29155"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0.2±0.02</w:t>
            </w:r>
          </w:p>
        </w:tc>
        <w:tc>
          <w:tcPr>
            <w:tcW w:w="1081" w:type="dxa"/>
            <w:tcBorders>
              <w:top w:val="nil"/>
              <w:bottom w:val="nil"/>
            </w:tcBorders>
            <w:shd w:val="clear" w:color="auto" w:fill="auto"/>
            <w:vAlign w:val="center"/>
          </w:tcPr>
          <w:p w14:paraId="097E24DA"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10.2±1.0</w:t>
            </w:r>
          </w:p>
        </w:tc>
        <w:tc>
          <w:tcPr>
            <w:tcW w:w="1263" w:type="dxa"/>
            <w:tcBorders>
              <w:top w:val="nil"/>
              <w:bottom w:val="nil"/>
            </w:tcBorders>
            <w:shd w:val="clear" w:color="auto" w:fill="auto"/>
            <w:vAlign w:val="center"/>
          </w:tcPr>
          <w:p w14:paraId="475870CC"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1.61±0.12</w:t>
            </w:r>
          </w:p>
        </w:tc>
        <w:tc>
          <w:tcPr>
            <w:tcW w:w="1443" w:type="dxa"/>
            <w:tcBorders>
              <w:top w:val="nil"/>
              <w:bottom w:val="nil"/>
            </w:tcBorders>
            <w:shd w:val="clear" w:color="auto" w:fill="auto"/>
            <w:vAlign w:val="center"/>
          </w:tcPr>
          <w:p w14:paraId="26EC2564"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1.37±0.03</w:t>
            </w:r>
          </w:p>
        </w:tc>
        <w:tc>
          <w:tcPr>
            <w:tcW w:w="1397" w:type="dxa"/>
            <w:tcBorders>
              <w:top w:val="nil"/>
              <w:bottom w:val="nil"/>
            </w:tcBorders>
            <w:shd w:val="clear" w:color="auto" w:fill="auto"/>
            <w:vAlign w:val="center"/>
          </w:tcPr>
          <w:p w14:paraId="4C633AA7"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1.65±0.14</w:t>
            </w:r>
          </w:p>
        </w:tc>
        <w:tc>
          <w:tcPr>
            <w:tcW w:w="1280" w:type="dxa"/>
            <w:tcBorders>
              <w:top w:val="nil"/>
              <w:bottom w:val="nil"/>
            </w:tcBorders>
            <w:shd w:val="clear" w:color="auto" w:fill="auto"/>
            <w:vAlign w:val="center"/>
          </w:tcPr>
          <w:p w14:paraId="15CE03E5"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10.52±0.12</w:t>
            </w:r>
          </w:p>
        </w:tc>
        <w:tc>
          <w:tcPr>
            <w:tcW w:w="1152" w:type="dxa"/>
            <w:tcBorders>
              <w:top w:val="nil"/>
              <w:bottom w:val="nil"/>
            </w:tcBorders>
            <w:shd w:val="clear" w:color="auto" w:fill="auto"/>
            <w:vAlign w:val="center"/>
          </w:tcPr>
          <w:p w14:paraId="1B7818E6"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0.13±0.01</w:t>
            </w:r>
          </w:p>
        </w:tc>
        <w:tc>
          <w:tcPr>
            <w:tcW w:w="975" w:type="dxa"/>
            <w:tcBorders>
              <w:top w:val="nil"/>
              <w:bottom w:val="nil"/>
            </w:tcBorders>
            <w:shd w:val="clear" w:color="auto" w:fill="auto"/>
            <w:vAlign w:val="center"/>
          </w:tcPr>
          <w:p w14:paraId="695FE593"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1.02</w:t>
            </w:r>
          </w:p>
        </w:tc>
        <w:tc>
          <w:tcPr>
            <w:tcW w:w="990" w:type="dxa"/>
            <w:tcBorders>
              <w:top w:val="nil"/>
              <w:bottom w:val="nil"/>
            </w:tcBorders>
            <w:shd w:val="clear" w:color="auto" w:fill="auto"/>
            <w:vAlign w:val="center"/>
          </w:tcPr>
          <w:p w14:paraId="1EF7372F"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0.85</w:t>
            </w:r>
          </w:p>
        </w:tc>
      </w:tr>
      <w:tr w:rsidR="00FE007D" w:rsidRPr="005F44EF" w14:paraId="1C196754" w14:textId="77777777" w:rsidTr="007E2142">
        <w:trPr>
          <w:trHeight w:val="187"/>
        </w:trPr>
        <w:tc>
          <w:tcPr>
            <w:tcW w:w="1164" w:type="dxa"/>
            <w:tcBorders>
              <w:top w:val="nil"/>
              <w:bottom w:val="nil"/>
            </w:tcBorders>
            <w:shd w:val="clear" w:color="auto" w:fill="auto"/>
            <w:vAlign w:val="center"/>
          </w:tcPr>
          <w:p w14:paraId="42517AC6" w14:textId="77777777" w:rsidR="00347052" w:rsidRPr="005F44EF" w:rsidRDefault="00347052" w:rsidP="00653CDD">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ANY20-07</w:t>
            </w:r>
          </w:p>
        </w:tc>
        <w:tc>
          <w:tcPr>
            <w:tcW w:w="611" w:type="dxa"/>
            <w:tcBorders>
              <w:top w:val="nil"/>
              <w:bottom w:val="nil"/>
            </w:tcBorders>
            <w:shd w:val="clear" w:color="auto" w:fill="auto"/>
            <w:vAlign w:val="center"/>
          </w:tcPr>
          <w:p w14:paraId="4ADFE63B"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D2</w:t>
            </w:r>
          </w:p>
        </w:tc>
        <w:tc>
          <w:tcPr>
            <w:tcW w:w="1047" w:type="dxa"/>
            <w:tcBorders>
              <w:top w:val="nil"/>
              <w:bottom w:val="nil"/>
            </w:tcBorders>
            <w:shd w:val="clear" w:color="auto" w:fill="auto"/>
            <w:vAlign w:val="center"/>
          </w:tcPr>
          <w:p w14:paraId="0A903948"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1.59±0.16</w:t>
            </w:r>
          </w:p>
        </w:tc>
        <w:tc>
          <w:tcPr>
            <w:tcW w:w="951" w:type="dxa"/>
            <w:tcBorders>
              <w:top w:val="nil"/>
              <w:bottom w:val="nil"/>
            </w:tcBorders>
            <w:shd w:val="clear" w:color="auto" w:fill="auto"/>
            <w:vAlign w:val="center"/>
          </w:tcPr>
          <w:p w14:paraId="59F23C72"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10.6±1.1</w:t>
            </w:r>
          </w:p>
        </w:tc>
        <w:tc>
          <w:tcPr>
            <w:tcW w:w="1051" w:type="dxa"/>
            <w:tcBorders>
              <w:top w:val="nil"/>
              <w:bottom w:val="nil"/>
            </w:tcBorders>
            <w:shd w:val="clear" w:color="auto" w:fill="auto"/>
            <w:vAlign w:val="center"/>
          </w:tcPr>
          <w:p w14:paraId="3D05D195"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0.2±0.02</w:t>
            </w:r>
          </w:p>
        </w:tc>
        <w:tc>
          <w:tcPr>
            <w:tcW w:w="1081" w:type="dxa"/>
            <w:tcBorders>
              <w:top w:val="nil"/>
              <w:bottom w:val="nil"/>
            </w:tcBorders>
            <w:shd w:val="clear" w:color="auto" w:fill="auto"/>
            <w:vAlign w:val="center"/>
          </w:tcPr>
          <w:p w14:paraId="234617C0"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9.6±1.0</w:t>
            </w:r>
          </w:p>
        </w:tc>
        <w:tc>
          <w:tcPr>
            <w:tcW w:w="1263" w:type="dxa"/>
            <w:tcBorders>
              <w:top w:val="nil"/>
              <w:bottom w:val="nil"/>
            </w:tcBorders>
            <w:shd w:val="clear" w:color="auto" w:fill="auto"/>
            <w:vAlign w:val="center"/>
          </w:tcPr>
          <w:p w14:paraId="5309D353"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1.60±0.11</w:t>
            </w:r>
          </w:p>
        </w:tc>
        <w:tc>
          <w:tcPr>
            <w:tcW w:w="1443" w:type="dxa"/>
            <w:tcBorders>
              <w:top w:val="nil"/>
              <w:bottom w:val="nil"/>
            </w:tcBorders>
            <w:shd w:val="clear" w:color="auto" w:fill="auto"/>
            <w:vAlign w:val="center"/>
          </w:tcPr>
          <w:p w14:paraId="3AFD084B"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1.34±0.03</w:t>
            </w:r>
          </w:p>
        </w:tc>
        <w:tc>
          <w:tcPr>
            <w:tcW w:w="1397" w:type="dxa"/>
            <w:tcBorders>
              <w:top w:val="nil"/>
              <w:bottom w:val="nil"/>
            </w:tcBorders>
            <w:shd w:val="clear" w:color="auto" w:fill="auto"/>
            <w:vAlign w:val="center"/>
          </w:tcPr>
          <w:p w14:paraId="183409BA"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1.78±0.13</w:t>
            </w:r>
          </w:p>
        </w:tc>
        <w:tc>
          <w:tcPr>
            <w:tcW w:w="1280" w:type="dxa"/>
            <w:tcBorders>
              <w:top w:val="nil"/>
              <w:bottom w:val="nil"/>
            </w:tcBorders>
            <w:shd w:val="clear" w:color="auto" w:fill="auto"/>
            <w:vAlign w:val="center"/>
          </w:tcPr>
          <w:p w14:paraId="1F65EE4D"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10.04±0.11</w:t>
            </w:r>
          </w:p>
        </w:tc>
        <w:tc>
          <w:tcPr>
            <w:tcW w:w="1152" w:type="dxa"/>
            <w:tcBorders>
              <w:top w:val="nil"/>
              <w:bottom w:val="nil"/>
            </w:tcBorders>
            <w:shd w:val="clear" w:color="auto" w:fill="auto"/>
            <w:vAlign w:val="center"/>
          </w:tcPr>
          <w:p w14:paraId="2473CFA0"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0.08±0.01</w:t>
            </w:r>
          </w:p>
        </w:tc>
        <w:tc>
          <w:tcPr>
            <w:tcW w:w="975" w:type="dxa"/>
            <w:tcBorders>
              <w:top w:val="nil"/>
              <w:bottom w:val="nil"/>
            </w:tcBorders>
            <w:shd w:val="clear" w:color="auto" w:fill="auto"/>
            <w:vAlign w:val="center"/>
          </w:tcPr>
          <w:p w14:paraId="09F0E3D4"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1.11</w:t>
            </w:r>
          </w:p>
        </w:tc>
        <w:tc>
          <w:tcPr>
            <w:tcW w:w="990" w:type="dxa"/>
            <w:tcBorders>
              <w:top w:val="nil"/>
              <w:bottom w:val="nil"/>
            </w:tcBorders>
            <w:shd w:val="clear" w:color="auto" w:fill="auto"/>
            <w:vAlign w:val="center"/>
          </w:tcPr>
          <w:p w14:paraId="7960E00E"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0.84</w:t>
            </w:r>
          </w:p>
        </w:tc>
      </w:tr>
      <w:tr w:rsidR="00FE007D" w:rsidRPr="005F44EF" w14:paraId="7A309E45" w14:textId="77777777" w:rsidTr="007E2142">
        <w:trPr>
          <w:trHeight w:val="187"/>
        </w:trPr>
        <w:tc>
          <w:tcPr>
            <w:tcW w:w="1164" w:type="dxa"/>
            <w:tcBorders>
              <w:top w:val="nil"/>
              <w:bottom w:val="nil"/>
            </w:tcBorders>
            <w:shd w:val="clear" w:color="auto" w:fill="auto"/>
            <w:vAlign w:val="center"/>
          </w:tcPr>
          <w:p w14:paraId="159DCF4B" w14:textId="77777777" w:rsidR="00347052" w:rsidRPr="005F44EF" w:rsidRDefault="00347052" w:rsidP="00653CDD">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ANY20-08*</w:t>
            </w:r>
          </w:p>
        </w:tc>
        <w:tc>
          <w:tcPr>
            <w:tcW w:w="611" w:type="dxa"/>
            <w:tcBorders>
              <w:top w:val="nil"/>
              <w:bottom w:val="nil"/>
            </w:tcBorders>
            <w:shd w:val="clear" w:color="auto" w:fill="auto"/>
            <w:vAlign w:val="center"/>
          </w:tcPr>
          <w:p w14:paraId="6226388D"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D3</w:t>
            </w:r>
          </w:p>
        </w:tc>
        <w:tc>
          <w:tcPr>
            <w:tcW w:w="1047" w:type="dxa"/>
            <w:tcBorders>
              <w:top w:val="nil"/>
              <w:bottom w:val="nil"/>
            </w:tcBorders>
            <w:shd w:val="clear" w:color="auto" w:fill="auto"/>
            <w:vAlign w:val="center"/>
          </w:tcPr>
          <w:p w14:paraId="6F545DEC"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1.55±0.16</w:t>
            </w:r>
          </w:p>
        </w:tc>
        <w:tc>
          <w:tcPr>
            <w:tcW w:w="951" w:type="dxa"/>
            <w:tcBorders>
              <w:top w:val="nil"/>
              <w:bottom w:val="nil"/>
            </w:tcBorders>
            <w:shd w:val="clear" w:color="auto" w:fill="auto"/>
            <w:vAlign w:val="center"/>
          </w:tcPr>
          <w:p w14:paraId="12A42BBC"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10.6±1.1</w:t>
            </w:r>
          </w:p>
        </w:tc>
        <w:tc>
          <w:tcPr>
            <w:tcW w:w="1051" w:type="dxa"/>
            <w:tcBorders>
              <w:top w:val="nil"/>
              <w:bottom w:val="nil"/>
            </w:tcBorders>
            <w:shd w:val="clear" w:color="auto" w:fill="auto"/>
            <w:vAlign w:val="center"/>
          </w:tcPr>
          <w:p w14:paraId="3F2E8EA8"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0.2±0.02</w:t>
            </w:r>
          </w:p>
        </w:tc>
        <w:tc>
          <w:tcPr>
            <w:tcW w:w="1081" w:type="dxa"/>
            <w:tcBorders>
              <w:top w:val="nil"/>
              <w:bottom w:val="nil"/>
            </w:tcBorders>
            <w:shd w:val="clear" w:color="auto" w:fill="auto"/>
            <w:vAlign w:val="center"/>
          </w:tcPr>
          <w:p w14:paraId="7823A82E"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9.3±0.93</w:t>
            </w:r>
          </w:p>
        </w:tc>
        <w:tc>
          <w:tcPr>
            <w:tcW w:w="1263" w:type="dxa"/>
            <w:tcBorders>
              <w:top w:val="nil"/>
              <w:bottom w:val="nil"/>
            </w:tcBorders>
            <w:shd w:val="clear" w:color="auto" w:fill="auto"/>
            <w:vAlign w:val="center"/>
          </w:tcPr>
          <w:p w14:paraId="0AF7F529"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1.67±0.11</w:t>
            </w:r>
          </w:p>
        </w:tc>
        <w:tc>
          <w:tcPr>
            <w:tcW w:w="1443" w:type="dxa"/>
            <w:tcBorders>
              <w:top w:val="nil"/>
              <w:bottom w:val="nil"/>
            </w:tcBorders>
            <w:shd w:val="clear" w:color="auto" w:fill="auto"/>
            <w:vAlign w:val="center"/>
          </w:tcPr>
          <w:p w14:paraId="6584D087"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1.43±0.03</w:t>
            </w:r>
          </w:p>
        </w:tc>
        <w:tc>
          <w:tcPr>
            <w:tcW w:w="1397" w:type="dxa"/>
            <w:tcBorders>
              <w:top w:val="nil"/>
              <w:bottom w:val="nil"/>
            </w:tcBorders>
            <w:shd w:val="clear" w:color="auto" w:fill="auto"/>
            <w:vAlign w:val="center"/>
          </w:tcPr>
          <w:p w14:paraId="3340B272"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1.60±0.13</w:t>
            </w:r>
          </w:p>
        </w:tc>
        <w:tc>
          <w:tcPr>
            <w:tcW w:w="1280" w:type="dxa"/>
            <w:tcBorders>
              <w:top w:val="nil"/>
              <w:bottom w:val="nil"/>
            </w:tcBorders>
            <w:shd w:val="clear" w:color="auto" w:fill="auto"/>
            <w:vAlign w:val="center"/>
          </w:tcPr>
          <w:p w14:paraId="540A8C5D"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10.48±0.11</w:t>
            </w:r>
          </w:p>
        </w:tc>
        <w:tc>
          <w:tcPr>
            <w:tcW w:w="1152" w:type="dxa"/>
            <w:tcBorders>
              <w:top w:val="nil"/>
              <w:bottom w:val="nil"/>
            </w:tcBorders>
            <w:shd w:val="clear" w:color="auto" w:fill="auto"/>
            <w:vAlign w:val="center"/>
          </w:tcPr>
          <w:p w14:paraId="33B7BA88"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0.10±0.01</w:t>
            </w:r>
          </w:p>
        </w:tc>
        <w:tc>
          <w:tcPr>
            <w:tcW w:w="975" w:type="dxa"/>
            <w:tcBorders>
              <w:top w:val="nil"/>
              <w:bottom w:val="nil"/>
            </w:tcBorders>
            <w:shd w:val="clear" w:color="auto" w:fill="auto"/>
            <w:vAlign w:val="center"/>
          </w:tcPr>
          <w:p w14:paraId="2A7BB8B7"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0.96</w:t>
            </w:r>
          </w:p>
        </w:tc>
        <w:tc>
          <w:tcPr>
            <w:tcW w:w="990" w:type="dxa"/>
            <w:tcBorders>
              <w:top w:val="nil"/>
              <w:bottom w:val="nil"/>
            </w:tcBorders>
            <w:shd w:val="clear" w:color="auto" w:fill="auto"/>
            <w:vAlign w:val="center"/>
          </w:tcPr>
          <w:p w14:paraId="676A1EFE"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0.86</w:t>
            </w:r>
          </w:p>
        </w:tc>
      </w:tr>
      <w:tr w:rsidR="00FE007D" w:rsidRPr="005F44EF" w14:paraId="7DC1099B" w14:textId="77777777" w:rsidTr="007E2142">
        <w:trPr>
          <w:trHeight w:val="194"/>
        </w:trPr>
        <w:tc>
          <w:tcPr>
            <w:tcW w:w="1164" w:type="dxa"/>
            <w:tcBorders>
              <w:top w:val="nil"/>
            </w:tcBorders>
            <w:shd w:val="clear" w:color="auto" w:fill="auto"/>
            <w:vAlign w:val="center"/>
          </w:tcPr>
          <w:p w14:paraId="3634B52D" w14:textId="77777777" w:rsidR="00347052" w:rsidRPr="005F44EF" w:rsidRDefault="00347052" w:rsidP="00653CDD">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ANY20-09*</w:t>
            </w:r>
          </w:p>
        </w:tc>
        <w:tc>
          <w:tcPr>
            <w:tcW w:w="611" w:type="dxa"/>
            <w:tcBorders>
              <w:top w:val="nil"/>
            </w:tcBorders>
            <w:shd w:val="clear" w:color="auto" w:fill="auto"/>
            <w:vAlign w:val="center"/>
          </w:tcPr>
          <w:p w14:paraId="1F175FC8"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D3</w:t>
            </w:r>
          </w:p>
        </w:tc>
        <w:tc>
          <w:tcPr>
            <w:tcW w:w="1047" w:type="dxa"/>
            <w:tcBorders>
              <w:top w:val="nil"/>
            </w:tcBorders>
            <w:shd w:val="clear" w:color="auto" w:fill="auto"/>
            <w:vAlign w:val="center"/>
          </w:tcPr>
          <w:p w14:paraId="5EC24CBA"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1.49±0.15</w:t>
            </w:r>
          </w:p>
        </w:tc>
        <w:tc>
          <w:tcPr>
            <w:tcW w:w="951" w:type="dxa"/>
            <w:tcBorders>
              <w:top w:val="nil"/>
            </w:tcBorders>
            <w:shd w:val="clear" w:color="auto" w:fill="auto"/>
            <w:vAlign w:val="center"/>
          </w:tcPr>
          <w:p w14:paraId="5F0669F0"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10.2±1.0</w:t>
            </w:r>
          </w:p>
        </w:tc>
        <w:tc>
          <w:tcPr>
            <w:tcW w:w="1051" w:type="dxa"/>
            <w:tcBorders>
              <w:top w:val="nil"/>
            </w:tcBorders>
            <w:shd w:val="clear" w:color="auto" w:fill="auto"/>
            <w:vAlign w:val="center"/>
          </w:tcPr>
          <w:p w14:paraId="141B0B62"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0.2±0.02</w:t>
            </w:r>
          </w:p>
        </w:tc>
        <w:tc>
          <w:tcPr>
            <w:tcW w:w="1081" w:type="dxa"/>
            <w:tcBorders>
              <w:top w:val="nil"/>
            </w:tcBorders>
            <w:shd w:val="clear" w:color="auto" w:fill="auto"/>
            <w:vAlign w:val="center"/>
          </w:tcPr>
          <w:p w14:paraId="6C90775B" w14:textId="77777777" w:rsidR="00347052" w:rsidRPr="005F44EF" w:rsidRDefault="00347052">
            <w:pPr>
              <w:spacing w:after="0" w:line="276" w:lineRule="auto"/>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8.3±0.83</w:t>
            </w:r>
          </w:p>
        </w:tc>
        <w:tc>
          <w:tcPr>
            <w:tcW w:w="1263" w:type="dxa"/>
            <w:tcBorders>
              <w:top w:val="nil"/>
            </w:tcBorders>
            <w:shd w:val="clear" w:color="auto" w:fill="auto"/>
            <w:vAlign w:val="center"/>
          </w:tcPr>
          <w:p w14:paraId="7D3FC635"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1.50±0.11</w:t>
            </w:r>
          </w:p>
        </w:tc>
        <w:tc>
          <w:tcPr>
            <w:tcW w:w="1443" w:type="dxa"/>
            <w:tcBorders>
              <w:top w:val="nil"/>
            </w:tcBorders>
            <w:shd w:val="clear" w:color="auto" w:fill="auto"/>
            <w:vAlign w:val="center"/>
          </w:tcPr>
          <w:p w14:paraId="12A3CBAE"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1.34±0.03</w:t>
            </w:r>
          </w:p>
        </w:tc>
        <w:tc>
          <w:tcPr>
            <w:tcW w:w="1397" w:type="dxa"/>
            <w:tcBorders>
              <w:top w:val="nil"/>
            </w:tcBorders>
            <w:shd w:val="clear" w:color="auto" w:fill="auto"/>
            <w:vAlign w:val="center"/>
          </w:tcPr>
          <w:p w14:paraId="30C97F65"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1.60±0.12</w:t>
            </w:r>
          </w:p>
        </w:tc>
        <w:tc>
          <w:tcPr>
            <w:tcW w:w="1280" w:type="dxa"/>
            <w:tcBorders>
              <w:top w:val="nil"/>
            </w:tcBorders>
            <w:shd w:val="clear" w:color="auto" w:fill="auto"/>
            <w:vAlign w:val="center"/>
          </w:tcPr>
          <w:p w14:paraId="3D290D79"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10.28±0.11</w:t>
            </w:r>
          </w:p>
        </w:tc>
        <w:tc>
          <w:tcPr>
            <w:tcW w:w="1152" w:type="dxa"/>
            <w:tcBorders>
              <w:top w:val="nil"/>
            </w:tcBorders>
            <w:shd w:val="clear" w:color="auto" w:fill="auto"/>
            <w:vAlign w:val="center"/>
          </w:tcPr>
          <w:p w14:paraId="6AF6B53E"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0.11±0.01 </w:t>
            </w:r>
          </w:p>
        </w:tc>
        <w:tc>
          <w:tcPr>
            <w:tcW w:w="975" w:type="dxa"/>
            <w:tcBorders>
              <w:top w:val="nil"/>
            </w:tcBorders>
            <w:shd w:val="clear" w:color="auto" w:fill="auto"/>
            <w:vAlign w:val="center"/>
          </w:tcPr>
          <w:p w14:paraId="15940702"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1.07</w:t>
            </w:r>
          </w:p>
        </w:tc>
        <w:tc>
          <w:tcPr>
            <w:tcW w:w="990" w:type="dxa"/>
            <w:tcBorders>
              <w:top w:val="nil"/>
            </w:tcBorders>
            <w:shd w:val="clear" w:color="auto" w:fill="auto"/>
            <w:vAlign w:val="center"/>
          </w:tcPr>
          <w:p w14:paraId="6ADD9863" w14:textId="77777777" w:rsidR="00347052" w:rsidRPr="005F44EF" w:rsidRDefault="00347052">
            <w:pPr>
              <w:spacing w:after="0" w:line="276" w:lineRule="auto"/>
              <w:jc w:val="center"/>
              <w:rPr>
                <w:rFonts w:ascii="Times New Roman" w:eastAsia="Times New Roman" w:hAnsi="Times New Roman" w:cs="Times New Roman"/>
                <w:color w:val="000000"/>
                <w:sz w:val="18"/>
                <w:szCs w:val="16"/>
              </w:rPr>
            </w:pPr>
            <w:r w:rsidRPr="005F44EF">
              <w:rPr>
                <w:rFonts w:ascii="Times New Roman" w:eastAsia="Times New Roman" w:hAnsi="Times New Roman" w:cs="Times New Roman"/>
                <w:color w:val="000000"/>
                <w:sz w:val="18"/>
                <w:szCs w:val="16"/>
              </w:rPr>
              <w:t>0.89</w:t>
            </w:r>
          </w:p>
        </w:tc>
      </w:tr>
    </w:tbl>
    <w:p w14:paraId="719A770B" w14:textId="77777777" w:rsidR="00BB7AA9" w:rsidRPr="005F44EF" w:rsidRDefault="00BB7AA9">
      <w:pPr>
        <w:spacing w:after="0" w:line="276" w:lineRule="auto"/>
        <w:jc w:val="both"/>
        <w:rPr>
          <w:rFonts w:ascii="Times New Roman" w:eastAsia="Times New Roman" w:hAnsi="Times New Roman" w:cs="Times New Roman"/>
          <w:color w:val="000000"/>
          <w:sz w:val="24"/>
          <w:szCs w:val="24"/>
        </w:rPr>
        <w:sectPr w:rsidR="00BB7AA9" w:rsidRPr="005F44EF">
          <w:pgSz w:w="15840" w:h="12240" w:orient="landscape"/>
          <w:pgMar w:top="1417" w:right="1417" w:bottom="1417" w:left="1134" w:header="720" w:footer="720" w:gutter="0"/>
          <w:lnNumType w:countBy="1" w:restart="continuous"/>
          <w:cols w:space="720"/>
        </w:sectPr>
      </w:pPr>
    </w:p>
    <w:p w14:paraId="0EE59859" w14:textId="72E5BD7E" w:rsidR="00BB7AA9" w:rsidRPr="005F44EF" w:rsidRDefault="00B9564D" w:rsidP="00FD119E">
      <w:pPr>
        <w:pStyle w:val="Heading3"/>
        <w:rPr>
          <w:rFonts w:cs="Times New Roman"/>
        </w:rPr>
      </w:pPr>
      <w:bookmarkStart w:id="73" w:name="_Toc178429934"/>
      <w:r w:rsidRPr="005F44EF">
        <w:rPr>
          <w:rFonts w:cs="Times New Roman"/>
        </w:rPr>
        <w:lastRenderedPageBreak/>
        <w:t>3.5.</w:t>
      </w:r>
      <w:r w:rsidR="00AF21DC" w:rsidRPr="005F44EF">
        <w:rPr>
          <w:rFonts w:cs="Times New Roman"/>
        </w:rPr>
        <w:t>5</w:t>
      </w:r>
      <w:r w:rsidRPr="005F44EF">
        <w:rPr>
          <w:rFonts w:cs="Times New Roman"/>
        </w:rPr>
        <w:t xml:space="preserve"> OSL equivalent dose evaluation</w:t>
      </w:r>
      <w:bookmarkEnd w:id="73"/>
      <w:r w:rsidRPr="005F44EF">
        <w:rPr>
          <w:rFonts w:cs="Times New Roman"/>
        </w:rPr>
        <w:t xml:space="preserve"> </w:t>
      </w:r>
    </w:p>
    <w:p w14:paraId="64B5063E" w14:textId="77777777" w:rsidR="006E00AE" w:rsidRPr="005F44EF" w:rsidRDefault="006E00AE">
      <w:pPr>
        <w:spacing w:after="0" w:line="276" w:lineRule="auto"/>
        <w:jc w:val="both"/>
        <w:rPr>
          <w:rFonts w:ascii="Times New Roman" w:eastAsia="Times New Roman" w:hAnsi="Times New Roman" w:cs="Times New Roman"/>
          <w:sz w:val="24"/>
          <w:szCs w:val="24"/>
        </w:rPr>
      </w:pPr>
    </w:p>
    <w:p w14:paraId="0FFC0C58" w14:textId="1579C28F" w:rsidR="00954E30" w:rsidRPr="005F44EF" w:rsidRDefault="00954E30">
      <w:pPr>
        <w:spacing w:after="0" w:line="276" w:lineRule="auto"/>
        <w:jc w:val="both"/>
        <w:rPr>
          <w:rFonts w:ascii="Times New Roman" w:eastAsia="Times New Roman" w:hAnsi="Times New Roman" w:cs="Times New Roman"/>
          <w:i/>
          <w:sz w:val="24"/>
          <w:szCs w:val="24"/>
          <w:u w:val="single"/>
        </w:rPr>
      </w:pPr>
      <w:bookmarkStart w:id="74" w:name="_Hlk170818690"/>
      <w:r w:rsidRPr="005F44EF">
        <w:rPr>
          <w:rFonts w:ascii="Times New Roman" w:eastAsia="Times New Roman" w:hAnsi="Times New Roman" w:cs="Times New Roman"/>
          <w:i/>
          <w:sz w:val="24"/>
          <w:szCs w:val="24"/>
          <w:u w:val="single"/>
        </w:rPr>
        <w:t xml:space="preserve">Single Aliquot (SA-OSL) data </w:t>
      </w:r>
    </w:p>
    <w:bookmarkEnd w:id="74"/>
    <w:p w14:paraId="7B29A8FC" w14:textId="77777777" w:rsidR="001A2980" w:rsidRPr="005F44EF" w:rsidRDefault="001A2980">
      <w:pPr>
        <w:spacing w:after="0" w:line="276" w:lineRule="auto"/>
        <w:jc w:val="both"/>
        <w:rPr>
          <w:rFonts w:ascii="Times New Roman" w:eastAsia="Times New Roman" w:hAnsi="Times New Roman" w:cs="Times New Roman"/>
          <w:i/>
          <w:sz w:val="24"/>
          <w:szCs w:val="24"/>
          <w:u w:val="single"/>
        </w:rPr>
      </w:pPr>
    </w:p>
    <w:p w14:paraId="2133DDEB" w14:textId="7E3A8CD1" w:rsidR="00734D8F" w:rsidRPr="005F44EF" w:rsidRDefault="00B9564D" w:rsidP="00734D8F">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Analysis of the replicate</w:t>
      </w:r>
      <w:r w:rsidR="00734D8F" w:rsidRPr="005F44EF">
        <w:rPr>
          <w:rFonts w:ascii="Times New Roman" w:eastAsia="Times New Roman" w:hAnsi="Times New Roman" w:cs="Times New Roman"/>
          <w:sz w:val="24"/>
          <w:szCs w:val="24"/>
        </w:rPr>
        <w:t>s</w:t>
      </w:r>
      <w:r w:rsidRPr="005F44EF">
        <w:rPr>
          <w:rFonts w:ascii="Times New Roman" w:eastAsia="Times New Roman" w:hAnsi="Times New Roman" w:cs="Times New Roman"/>
          <w:sz w:val="24"/>
          <w:szCs w:val="24"/>
        </w:rPr>
        <w:t xml:space="preserve"> aliquots from </w:t>
      </w:r>
      <w:r w:rsidR="00734D8F" w:rsidRPr="005F44EF">
        <w:rPr>
          <w:rFonts w:ascii="Times New Roman" w:eastAsia="Times New Roman" w:hAnsi="Times New Roman" w:cs="Times New Roman"/>
          <w:sz w:val="24"/>
          <w:szCs w:val="24"/>
        </w:rPr>
        <w:t xml:space="preserve">the single aliquot (SA) measurements from </w:t>
      </w:r>
      <w:r w:rsidRPr="005F44EF">
        <w:rPr>
          <w:rFonts w:ascii="Times New Roman" w:eastAsia="Times New Roman" w:hAnsi="Times New Roman" w:cs="Times New Roman"/>
          <w:sz w:val="24"/>
          <w:szCs w:val="24"/>
        </w:rPr>
        <w:t xml:space="preserve">each sample showed samples ANY20-03 and ANY20-04 (Shfd20131-132) and samples ANY20-06 and ANY20-09 (Shfd20134-137) had unimodal </w:t>
      </w:r>
      <w:r w:rsidR="00B07D3A" w:rsidRPr="005F44EF">
        <w:rPr>
          <w:rFonts w:ascii="Times New Roman" w:eastAsia="Times New Roman" w:hAnsi="Times New Roman" w:cs="Times New Roman"/>
          <w:sz w:val="24"/>
          <w:szCs w:val="24"/>
        </w:rPr>
        <w:t>an</w:t>
      </w:r>
      <w:r w:rsidR="00E41089" w:rsidRPr="005F44EF">
        <w:rPr>
          <w:rFonts w:ascii="Times New Roman" w:eastAsia="Times New Roman" w:hAnsi="Times New Roman" w:cs="Times New Roman"/>
          <w:sz w:val="24"/>
          <w:szCs w:val="24"/>
        </w:rPr>
        <w:t>d</w:t>
      </w:r>
      <w:r w:rsidR="00B07D3A" w:rsidRPr="005F44EF">
        <w:rPr>
          <w:rFonts w:ascii="Times New Roman" w:eastAsia="Times New Roman" w:hAnsi="Times New Roman" w:cs="Times New Roman"/>
          <w:sz w:val="24"/>
          <w:szCs w:val="24"/>
        </w:rPr>
        <w:t xml:space="preserve"> </w:t>
      </w:r>
      <w:proofErr w:type="spellStart"/>
      <w:r w:rsidR="00B07D3A" w:rsidRPr="005F44EF">
        <w:rPr>
          <w:rFonts w:ascii="Times New Roman" w:eastAsia="Times New Roman" w:hAnsi="Times New Roman" w:cs="Times New Roman"/>
          <w:sz w:val="24"/>
          <w:szCs w:val="24"/>
        </w:rPr>
        <w:t>unskewed</w:t>
      </w:r>
      <w:proofErr w:type="spellEnd"/>
      <w:r w:rsidR="00FD119E"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distributions (some with a few aliquots with very low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values) and low overdispersion (</w:t>
      </w:r>
      <w:r w:rsidR="003A436E" w:rsidRPr="005F44EF">
        <w:rPr>
          <w:rFonts w:ascii="Times New Roman" w:eastAsia="Times New Roman" w:hAnsi="Times New Roman" w:cs="Times New Roman"/>
          <w:sz w:val="24"/>
          <w:szCs w:val="24"/>
        </w:rPr>
        <w:t xml:space="preserve">OD; </w:t>
      </w:r>
      <w:r w:rsidR="00B07D3A" w:rsidRPr="005F44EF">
        <w:rPr>
          <w:rFonts w:ascii="Times New Roman" w:eastAsia="Times New Roman" w:hAnsi="Times New Roman" w:cs="Times New Roman"/>
          <w:sz w:val="24"/>
          <w:szCs w:val="24"/>
        </w:rPr>
        <w:t xml:space="preserve">OD &lt; 20%) once outliers were removed </w:t>
      </w:r>
      <w:r w:rsidR="003A436E" w:rsidRPr="005F44EF">
        <w:rPr>
          <w:rFonts w:ascii="Times New Roman" w:eastAsia="Times New Roman" w:hAnsi="Times New Roman" w:cs="Times New Roman"/>
          <w:b/>
          <w:sz w:val="24"/>
          <w:szCs w:val="24"/>
        </w:rPr>
        <w:t>Figure</w:t>
      </w:r>
      <w:r w:rsidRPr="005F44EF">
        <w:rPr>
          <w:rFonts w:ascii="Times New Roman" w:eastAsia="Times New Roman" w:hAnsi="Times New Roman" w:cs="Times New Roman"/>
          <w:b/>
          <w:sz w:val="24"/>
          <w:szCs w:val="24"/>
        </w:rPr>
        <w:t xml:space="preserve"> S</w:t>
      </w:r>
      <w:r w:rsidR="009A20F9">
        <w:rPr>
          <w:rFonts w:ascii="Times New Roman" w:eastAsia="Times New Roman" w:hAnsi="Times New Roman" w:cs="Times New Roman"/>
          <w:b/>
          <w:sz w:val="24"/>
          <w:szCs w:val="24"/>
        </w:rPr>
        <w:t>12</w:t>
      </w:r>
      <w:r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b/>
          <w:sz w:val="24"/>
          <w:szCs w:val="24"/>
        </w:rPr>
        <w:t>Table S</w:t>
      </w:r>
      <w:r w:rsidR="009A20F9">
        <w:rPr>
          <w:rFonts w:ascii="Times New Roman" w:eastAsia="Times New Roman" w:hAnsi="Times New Roman" w:cs="Times New Roman"/>
          <w:b/>
          <w:sz w:val="24"/>
          <w:szCs w:val="24"/>
        </w:rPr>
        <w:t>8</w:t>
      </w:r>
      <w:r w:rsidRPr="005F44EF">
        <w:rPr>
          <w:rFonts w:ascii="Times New Roman" w:eastAsia="Times New Roman" w:hAnsi="Times New Roman" w:cs="Times New Roman"/>
          <w:sz w:val="24"/>
          <w:szCs w:val="24"/>
        </w:rPr>
        <w:t xml:space="preserve">). </w:t>
      </w:r>
      <w:r w:rsidR="009A20F9">
        <w:rPr>
          <w:rFonts w:ascii="Times New Roman" w:eastAsia="Times New Roman" w:hAnsi="Times New Roman" w:cs="Times New Roman"/>
          <w:sz w:val="24"/>
          <w:szCs w:val="24"/>
        </w:rPr>
        <w:t>Outliers were defined where D</w:t>
      </w:r>
      <w:r w:rsidR="009A20F9" w:rsidRPr="000940C7">
        <w:rPr>
          <w:rFonts w:ascii="Times New Roman" w:eastAsia="Times New Roman" w:hAnsi="Times New Roman" w:cs="Times New Roman"/>
          <w:sz w:val="24"/>
          <w:szCs w:val="24"/>
          <w:vertAlign w:val="subscript"/>
        </w:rPr>
        <w:t>e</w:t>
      </w:r>
      <w:r w:rsidR="009A20F9">
        <w:rPr>
          <w:rFonts w:ascii="Times New Roman" w:eastAsia="Times New Roman" w:hAnsi="Times New Roman" w:cs="Times New Roman"/>
          <w:sz w:val="24"/>
          <w:szCs w:val="24"/>
        </w:rPr>
        <w:t xml:space="preserve"> values fell outside t</w:t>
      </w:r>
      <w:r w:rsidR="009A20F9" w:rsidRPr="00CF6BD4">
        <w:rPr>
          <w:rFonts w:ascii="Times New Roman" w:eastAsia="Times New Roman" w:hAnsi="Times New Roman" w:cs="Times New Roman"/>
          <w:sz w:val="24"/>
          <w:szCs w:val="24"/>
        </w:rPr>
        <w:t>he inter-quartile range</w:t>
      </w:r>
      <w:r w:rsidR="009A20F9">
        <w:rPr>
          <w:rFonts w:ascii="Times New Roman" w:eastAsia="Times New Roman" w:hAnsi="Times New Roman" w:cs="Times New Roman"/>
          <w:sz w:val="24"/>
          <w:szCs w:val="24"/>
        </w:rPr>
        <w:t>. The latter wa</w:t>
      </w:r>
      <w:r w:rsidR="009A20F9" w:rsidRPr="00CF6BD4">
        <w:rPr>
          <w:rFonts w:ascii="Times New Roman" w:eastAsia="Times New Roman" w:hAnsi="Times New Roman" w:cs="Times New Roman"/>
          <w:sz w:val="24"/>
          <w:szCs w:val="24"/>
        </w:rPr>
        <w:t xml:space="preserve">s calculated </w:t>
      </w:r>
      <w:r w:rsidR="009A20F9">
        <w:rPr>
          <w:rFonts w:ascii="Times New Roman" w:eastAsia="Times New Roman" w:hAnsi="Times New Roman" w:cs="Times New Roman"/>
          <w:sz w:val="24"/>
          <w:szCs w:val="24"/>
        </w:rPr>
        <w:t xml:space="preserve">as per </w:t>
      </w:r>
      <w:r w:rsidR="009A20F9"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{"citationItems":[{"id":"ITEM-1","itemData":{"ISBN":"978-0-471-38491-5","abstract":"Textbook on robust and exploratory data analysis and related statistical methods - covers stem-and-leaf displays, letter values, boxplots and batch graphic displays, resistant lines, analysis of two- way tables by medians, examining residuals, mathematical aspects of transformation, scale estimators, comparison of location estimators, confidence intervals for location, etc. References. 1. Stem-and-leaf displays / John D. Emerson and David C. Hoaglin -- 2. Letter values: a set of selected order statistics / David C. Hoaglin -- 3. Boxplots and batch comparison / John D. Emerson and Judith Strenio -- 4. Transforming data / John D. Emerson and Michael A. Stoto -- 5. Resistant lines for y versus x / John D. Emerson and David C. Hoaglin -- 6. Analysis of two-way tables by medians / John D. Emerson and David C. Hoaglin -- 7. Examining residuals / Colin Goodall -- 8. Mathematical aspects of transformation / John D. Emerson -- 9. Introduction to more refined estimators / David C. Hoaglin, Frederick Mosteller, and John W. Tukey -- 10. Comparing location estimators: trimmed means, medians, and trimean / James L. Rosenberger and Mariam Gasko -- 11. M-estimators of location: an outline of the theory / Colin Goodall -- 12. Robust scales estimators and confidence intervals for location / Boris Iglewicz.","author":[{"dropping-particle":"","family":"Hoaglin","given":"David C.","non-dropping-particle":"","parse-names":false,"suffix":""},{"dropping-particle":"","family":"Mosteller","given":"Frederick","non-dropping-particle":"","parse-names":false,"suffix":""},{"dropping-particle":"","family":"Tukey","given":"John W.","non-dropping-particle":"","parse-names":false,"suffix":""}],"id":"ITEM-1","issued":{"date-parts":[["1983"]]},"number-of-pages":"447","publisher":"Wiley","title":"Understanding robust and exploratory data analysis","type":"book"},"uris":["http://www.mendeley.com/documents/?uuid=10677a27-8153-38a3-897e-6e79c53a7d0f"]},{"id":"ITEM-2","itemData":{"DOI":"10.1002/JQS.1365","ISSN":"1099-1417","abstract":"Understanding the impact of past climatic changes on landscape stability is crucial in order to predict and mitigate the effects of future changes. However, in arid and semi-arid environments, reconstructions are often hampered by a poor understanding of the relationship between sediment deposition and climate. We present here data from central Texas, a region that is sensitive to environmental change but has received relatively little attention. The study integrates a chronology of 29 optically stimulated luminescence (OSL) ages from six sedimentary sites in a range of depositional contexts with a 19 000 a climate record derived from pollen extracted from the adjacent Boriack Bog. By comparing the two records, we aimed to assess the relationship between climate change and geomorphic activity. Data show that extensive aeolian and colluvial deposition occurred during the mid to late Holocene, with sedimentation generally increasing during more arid phases. However, a number of depositional events on slopes were associated with moister episodes, and sediment was also deposited in a summit setting immediately after phases of increased precipitation. Linkages between climate change and geomorphic response were therefore complex, being controlled by both sediment supply and transport energy. The climatic fluctuations identified in the Boriack Bog record highlight the sensitivity of central Texas to environmental change, while disparities in conditions recorded between it and other palaeoenvironmental sites in the southern USA emphasise the need for further work in order to enhance understanding of landscape sedimentary response to climate. Copyright © 2010 John Wiley &amp; Sons, Ltd.","author":[{"dropping-particle":"","family":"Boulter","given":"Claire","non-dropping-particle":"","parse-names":false,"suffix":""},{"dropping-particle":"","family":"Bateman","given":"Mark D.","non-dropping-particle":"","parse-names":false,"suffix":""},{"dropping-particle":"","family":"Frederick","given":"Charles D.","non-dropping-particle":"","parse-names":false,"suffix":""}],"container-title":"Journal of Quaternary Science","id":"ITEM-2","issue":"6","issued":{"date-parts":[["2010","9","1"]]},"page":"889-902","publisher":"John Wiley &amp; Sons, Ltd","title":"Understanding geomorphic responses to environmental change: a 19 000-year case study from semi-arid central Texas, USA","type":"article-journal","volume":"25"},"uris":["http://www.mendeley.com/documents/?uuid=0338d8ca-29fb-3989-8bc1-832bd00a6388"]}],"mendeley":{"formattedCitation":"&lt;sup&gt;110,111&lt;/sup&gt;","plainTextFormattedCitation":"110,111","previouslyFormattedCitation":"&lt;sup&gt;110,111&lt;/sup&gt;"},"properties":{"noteIndex":0},"schema":"https://github.com/citation-style-language/schema/raw/master/csl-citation.json"}</w:instrText>
      </w:r>
      <w:r w:rsidR="009A20F9"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110,111</w:t>
      </w:r>
      <w:r w:rsidR="009A20F9" w:rsidRPr="005F44EF">
        <w:rPr>
          <w:rFonts w:ascii="Times New Roman" w:eastAsia="Times New Roman" w:hAnsi="Times New Roman" w:cs="Times New Roman"/>
          <w:sz w:val="24"/>
          <w:szCs w:val="24"/>
        </w:rPr>
        <w:fldChar w:fldCharType="end"/>
      </w:r>
      <w:r w:rsidR="009A20F9">
        <w:rPr>
          <w:rFonts w:ascii="Times New Roman" w:eastAsia="Times New Roman" w:hAnsi="Times New Roman" w:cs="Times New Roman"/>
          <w:sz w:val="24"/>
          <w:szCs w:val="24"/>
        </w:rPr>
        <w:t xml:space="preserve"> using the difference of the</w:t>
      </w:r>
      <w:r w:rsidR="009A20F9" w:rsidRPr="00CF6BD4">
        <w:rPr>
          <w:rFonts w:ascii="Times New Roman" w:eastAsia="Times New Roman" w:hAnsi="Times New Roman" w:cs="Times New Roman"/>
          <w:sz w:val="24"/>
          <w:szCs w:val="24"/>
        </w:rPr>
        <w:t xml:space="preserve"> 25</w:t>
      </w:r>
      <w:r w:rsidR="009A20F9" w:rsidRPr="000940C7">
        <w:rPr>
          <w:rFonts w:ascii="Times New Roman" w:eastAsia="Times New Roman" w:hAnsi="Times New Roman" w:cs="Times New Roman"/>
          <w:sz w:val="24"/>
          <w:szCs w:val="24"/>
          <w:vertAlign w:val="superscript"/>
        </w:rPr>
        <w:t>th</w:t>
      </w:r>
      <w:r w:rsidR="009A20F9" w:rsidRPr="00CF6BD4">
        <w:rPr>
          <w:rFonts w:ascii="Times New Roman" w:eastAsia="Times New Roman" w:hAnsi="Times New Roman" w:cs="Times New Roman"/>
          <w:sz w:val="24"/>
          <w:szCs w:val="24"/>
        </w:rPr>
        <w:t xml:space="preserve"> from the 75</w:t>
      </w:r>
      <w:r w:rsidR="009A20F9" w:rsidRPr="000940C7">
        <w:rPr>
          <w:rFonts w:ascii="Times New Roman" w:eastAsia="Times New Roman" w:hAnsi="Times New Roman" w:cs="Times New Roman"/>
          <w:sz w:val="24"/>
          <w:szCs w:val="24"/>
          <w:vertAlign w:val="superscript"/>
        </w:rPr>
        <w:t>th</w:t>
      </w:r>
      <w:r w:rsidR="009A20F9">
        <w:rPr>
          <w:rFonts w:ascii="Times New Roman" w:eastAsia="Times New Roman" w:hAnsi="Times New Roman" w:cs="Times New Roman"/>
          <w:sz w:val="24"/>
          <w:szCs w:val="24"/>
        </w:rPr>
        <w:t xml:space="preserve"> </w:t>
      </w:r>
      <w:r w:rsidR="009A20F9" w:rsidRPr="00CF6BD4">
        <w:rPr>
          <w:rFonts w:ascii="Times New Roman" w:eastAsia="Times New Roman" w:hAnsi="Times New Roman" w:cs="Times New Roman"/>
          <w:sz w:val="24"/>
          <w:szCs w:val="24"/>
        </w:rPr>
        <w:t>percentile</w:t>
      </w:r>
      <w:r w:rsidR="009A20F9">
        <w:rPr>
          <w:rFonts w:ascii="Times New Roman" w:eastAsia="Times New Roman" w:hAnsi="Times New Roman" w:cs="Times New Roman"/>
          <w:sz w:val="24"/>
          <w:szCs w:val="24"/>
        </w:rPr>
        <w:t xml:space="preserve"> of the full D</w:t>
      </w:r>
      <w:r w:rsidR="009A20F9" w:rsidRPr="000940C7">
        <w:rPr>
          <w:rFonts w:ascii="Times New Roman" w:eastAsia="Times New Roman" w:hAnsi="Times New Roman" w:cs="Times New Roman"/>
          <w:sz w:val="24"/>
          <w:szCs w:val="24"/>
          <w:vertAlign w:val="subscript"/>
        </w:rPr>
        <w:t>e</w:t>
      </w:r>
      <w:r w:rsidR="009A20F9">
        <w:rPr>
          <w:rFonts w:ascii="Times New Roman" w:eastAsia="Times New Roman" w:hAnsi="Times New Roman" w:cs="Times New Roman"/>
          <w:sz w:val="24"/>
          <w:szCs w:val="24"/>
        </w:rPr>
        <w:t xml:space="preserve"> dataset</w:t>
      </w:r>
      <w:r w:rsidR="009A20F9" w:rsidRPr="00CF6BD4">
        <w:rPr>
          <w:rFonts w:ascii="Times New Roman" w:eastAsia="Times New Roman" w:hAnsi="Times New Roman" w:cs="Times New Roman"/>
          <w:sz w:val="24"/>
          <w:szCs w:val="24"/>
        </w:rPr>
        <w:t xml:space="preserve"> </w:t>
      </w:r>
      <w:r w:rsidR="009A20F9">
        <w:rPr>
          <w:rFonts w:ascii="Times New Roman" w:eastAsia="Times New Roman" w:hAnsi="Times New Roman" w:cs="Times New Roman"/>
          <w:sz w:val="24"/>
          <w:szCs w:val="24"/>
        </w:rPr>
        <w:t xml:space="preserve">multiplied </w:t>
      </w:r>
      <w:r w:rsidR="009A20F9" w:rsidRPr="00CF6BD4">
        <w:rPr>
          <w:rFonts w:ascii="Times New Roman" w:eastAsia="Times New Roman" w:hAnsi="Times New Roman" w:cs="Times New Roman"/>
          <w:sz w:val="24"/>
          <w:szCs w:val="24"/>
        </w:rPr>
        <w:t xml:space="preserve">by 1.5 to give the fourth spread. This </w:t>
      </w:r>
      <w:r w:rsidR="009A20F9">
        <w:rPr>
          <w:rFonts w:ascii="Times New Roman" w:eastAsia="Times New Roman" w:hAnsi="Times New Roman" w:cs="Times New Roman"/>
          <w:sz w:val="24"/>
          <w:szCs w:val="24"/>
        </w:rPr>
        <w:t xml:space="preserve">fourth spread </w:t>
      </w:r>
      <w:r w:rsidR="009A20F9" w:rsidRPr="00CF6BD4">
        <w:rPr>
          <w:rFonts w:ascii="Times New Roman" w:eastAsia="Times New Roman" w:hAnsi="Times New Roman" w:cs="Times New Roman"/>
          <w:sz w:val="24"/>
          <w:szCs w:val="24"/>
        </w:rPr>
        <w:t>value was added to or</w:t>
      </w:r>
      <w:r w:rsidR="009A20F9">
        <w:rPr>
          <w:rFonts w:ascii="Times New Roman" w:eastAsia="Times New Roman" w:hAnsi="Times New Roman" w:cs="Times New Roman"/>
          <w:sz w:val="24"/>
          <w:szCs w:val="24"/>
        </w:rPr>
        <w:t xml:space="preserve"> </w:t>
      </w:r>
      <w:r w:rsidR="009A20F9" w:rsidRPr="00CF6BD4">
        <w:rPr>
          <w:rFonts w:ascii="Times New Roman" w:eastAsia="Times New Roman" w:hAnsi="Times New Roman" w:cs="Times New Roman"/>
          <w:sz w:val="24"/>
          <w:szCs w:val="24"/>
        </w:rPr>
        <w:t xml:space="preserve">subtracted from the median </w:t>
      </w:r>
      <w:proofErr w:type="spellStart"/>
      <w:r w:rsidR="009A20F9">
        <w:rPr>
          <w:rFonts w:ascii="Times New Roman" w:eastAsia="Times New Roman" w:hAnsi="Times New Roman" w:cs="Times New Roman"/>
          <w:sz w:val="24"/>
          <w:szCs w:val="24"/>
        </w:rPr>
        <w:t>D</w:t>
      </w:r>
      <w:r w:rsidR="009A20F9" w:rsidRPr="000940C7">
        <w:rPr>
          <w:rFonts w:ascii="Times New Roman" w:eastAsia="Times New Roman" w:hAnsi="Times New Roman" w:cs="Times New Roman"/>
          <w:sz w:val="24"/>
          <w:szCs w:val="24"/>
          <w:vertAlign w:val="subscript"/>
        </w:rPr>
        <w:t>e</w:t>
      </w:r>
      <w:proofErr w:type="spellEnd"/>
      <w:r w:rsidR="009A20F9">
        <w:rPr>
          <w:rFonts w:ascii="Times New Roman" w:eastAsia="Times New Roman" w:hAnsi="Times New Roman" w:cs="Times New Roman"/>
          <w:sz w:val="24"/>
          <w:szCs w:val="24"/>
        </w:rPr>
        <w:t xml:space="preserve"> </w:t>
      </w:r>
      <w:r w:rsidR="009A20F9" w:rsidRPr="00CF6BD4">
        <w:rPr>
          <w:rFonts w:ascii="Times New Roman" w:eastAsia="Times New Roman" w:hAnsi="Times New Roman" w:cs="Times New Roman"/>
          <w:sz w:val="24"/>
          <w:szCs w:val="24"/>
        </w:rPr>
        <w:t xml:space="preserve">to give upper and lower </w:t>
      </w:r>
      <w:r w:rsidR="009A20F9">
        <w:rPr>
          <w:rFonts w:ascii="Times New Roman" w:eastAsia="Times New Roman" w:hAnsi="Times New Roman" w:cs="Times New Roman"/>
          <w:sz w:val="24"/>
          <w:szCs w:val="24"/>
        </w:rPr>
        <w:t xml:space="preserve">interquartile </w:t>
      </w:r>
      <w:r w:rsidR="009A20F9" w:rsidRPr="00CF6BD4">
        <w:rPr>
          <w:rFonts w:ascii="Times New Roman" w:eastAsia="Times New Roman" w:hAnsi="Times New Roman" w:cs="Times New Roman"/>
          <w:sz w:val="24"/>
          <w:szCs w:val="24"/>
        </w:rPr>
        <w:t>boundaries</w:t>
      </w:r>
      <w:r w:rsidR="009A20F9">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These samples are assumed to have been well bleached prior to burial with some very limited post-depositional disturbance or beta heterogeneity</w:t>
      </w:r>
      <w:r w:rsidR="003A436E"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{"citationItems":[{"id":"ITEM-1","itemData":{"DOI":"10.1016/S0277-3791(03)00019-2","ISSN":"02773791","abstract":"Much effort has been focussed on understanding the luminescence properties of natural minerals to achieve a reliable, accurate and precise dating technique. However, some field related aspects, such as the influence or effect of post-depositional disturbance on luminescence dates, are as yet underexplored. In the case of pedoturbation, depending on its intensity, the rate of sedimentation and unit thicknesses, potentially the whole sedimentary record at a site can be affected. This may lead to distorted OSL chronologies and erroneous sediment burial ages. Pedoturbation can result in sediment mixing and/or exhumation that affect luminescence both at the bulk and single grain level. Effects of these two principle processes on luminescence ages are examined using standard multigrain and single grain protocols. High resolution sampling of surface gopher mounds was used to determine the efficiency of bio-exhumation in resetting luminescence signal. Results show this is an inefficient mechanism for onsite sediment bleaching. The effects on luminescence signal of bio-mixing were explored by comparing a sample collected from within a krotovina (infilled burrow) to an adjacent undisturbed sample. Results show the difficulties in identifying pedoturbated samples at the single aliquot level and the possible inaccuracies in using the lowest palaeodose values to calculate OSL ages. Where pedoturbation of samples is suspected, use of probability plots of palaeodoses data is recommended. From these plots it is proposed that only data falling within a normal distribution centred on the peak probability be used to calculated OSL ages and to mitigate problems arising from pedoturbation. © 2003 Elsevier Science Ltd. All rights reserved.","author":[{"dropping-particle":"","family":"Bateman","given":"Mark D.","non-dropping-particle":"","parse-names":false,"suffix":""},{"dropping-particle":"","family":"Frederick","given":"Charles D.","non-dropping-particle":"","parse-names":false,"suffix":""},{"dropping-particle":"","family":"Jaiswal","given":"Manoj K.","non-dropping-particle":"","parse-names":false,"suffix":""},{"dropping-particle":"","family":"Singhvi","given":"Ashok K.","non-dropping-particle":"","parse-names":false,"suffix":""}],"container-title":"Quaternary Science Reviews","id":"ITEM-1","issue":"10-13","issued":{"date-parts":[["2003"]]},"page":"1169-1176","publisher":"Elsevier Ltd","title":"Investigations into the potential effects of pedoturbation on luminescence dating","type":"article-journal","volume":"22"},"uris":["http://www.mendeley.com/documents/?uuid=2d819696-6049-3db1-822e-794dca07716e"]}],"mendeley":{"formattedCitation":"&lt;sup&gt;73&lt;/sup&gt;","plainTextFormattedCitation":"73","previouslyFormattedCitation":"&lt;sup&gt;73&lt;/sup&gt;"},"properties":{"noteIndex":0},"schema":"https://github.com/citation-style-language/schema/raw/master/csl-citation.json"}</w:instrText>
      </w:r>
      <w:r w:rsidR="003A436E"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73</w:t>
      </w:r>
      <w:r w:rsidR="003A436E"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On this basis, once outliers were excluded,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values for age calculation purposes were extracted using the Central Age Model (CAM)</w:t>
      </w:r>
      <w:r w:rsidR="003A436E"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10.1111/j.1475-4754.1999.tb00987.x","ISSN":"0003-813X","author":[{"dropping-particle":"","family":"Galbraith","given":"R.F.","non-dropping-particle":"","parse-names":false,"suffix":""},{"dropping-particle":"","family":"Roberts","given":"R.G.","non-dropping-particle":"","parse-names":false,"suffix":""},{"dropping-particle":"","family":"Laslett","given":"G. M.","non-dropping-particle":"","parse-names":false,"suffix":""},{"dropping-particle":"","family":"Yoshida","given":"H.","non-dropping-particle":"","parse-names":false,"suffix":""},{"dropping-particle":"","family":"Olley","given":"J. M.","non-dropping-particle":"","parse-names":false,"suffix":""}],"container-title":"Archaeometry","id":"ITEM-1","issue":"2","issued":{"date-parts":[["1999","8","1"]]},"page":"339-364","publisher":"Wiley/Blackwell (10.1111)","title":"Optical dating of single and multiple grains of quartz from Jinmuim rockshelter, northern Australia : Part I, experimental design and statistical models","type":"article-journal","volume":"41"},"uris":["http://www.mendeley.com/documents/?uuid=418b436c-d35c-3805-915e-fb115bab1f4d"]}],"mendeley":{"formattedCitation":"&lt;sup&gt;112&lt;/sup&gt;","plainTextFormattedCitation":"112","previouslyFormattedCitation":"&lt;sup&gt;112&lt;/sup&gt;"},"properties":{"noteIndex":0},"schema":"https://github.com/citation-style-language/schema/raw/master/csl-citation.json"}</w:instrText>
      </w:r>
      <w:r w:rsidR="003A436E"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112</w:t>
      </w:r>
      <w:r w:rsidR="003A436E"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w:t>
      </w:r>
      <w:r w:rsidR="00734D8F" w:rsidRPr="005F44EF">
        <w:rPr>
          <w:rFonts w:ascii="Times New Roman" w:eastAsia="Times New Roman" w:hAnsi="Times New Roman" w:cs="Times New Roman"/>
          <w:sz w:val="24"/>
          <w:szCs w:val="24"/>
        </w:rPr>
        <w:t>The SA data for s</w:t>
      </w:r>
      <w:r w:rsidRPr="005F44EF">
        <w:rPr>
          <w:rFonts w:ascii="Times New Roman" w:eastAsia="Times New Roman" w:hAnsi="Times New Roman" w:cs="Times New Roman"/>
          <w:sz w:val="24"/>
          <w:szCs w:val="24"/>
        </w:rPr>
        <w:t>amples ANY20-02 (Shfd20130) and ANY20-05 (Shfd20133)</w:t>
      </w:r>
      <w:r w:rsidR="00E41089" w:rsidRPr="005F44EF">
        <w:rPr>
          <w:rFonts w:ascii="Times New Roman" w:eastAsia="Times New Roman" w:hAnsi="Times New Roman" w:cs="Times New Roman"/>
          <w:sz w:val="24"/>
          <w:szCs w:val="24"/>
        </w:rPr>
        <w:t>,</w:t>
      </w:r>
      <w:r w:rsidRPr="005F44EF">
        <w:rPr>
          <w:rFonts w:ascii="Times New Roman" w:eastAsia="Times New Roman" w:hAnsi="Times New Roman" w:cs="Times New Roman"/>
          <w:sz w:val="24"/>
          <w:szCs w:val="24"/>
        </w:rPr>
        <w:t xml:space="preserve"> </w:t>
      </w:r>
      <w:r w:rsidR="00B07D3A" w:rsidRPr="005F44EF">
        <w:rPr>
          <w:rFonts w:ascii="Times New Roman" w:eastAsia="Times New Roman" w:hAnsi="Times New Roman" w:cs="Times New Roman"/>
          <w:sz w:val="24"/>
          <w:szCs w:val="24"/>
        </w:rPr>
        <w:t xml:space="preserve">whilst also unimodal, </w:t>
      </w:r>
      <w:r w:rsidRPr="005F44EF">
        <w:rPr>
          <w:rFonts w:ascii="Times New Roman" w:eastAsia="Times New Roman" w:hAnsi="Times New Roman" w:cs="Times New Roman"/>
          <w:sz w:val="24"/>
          <w:szCs w:val="24"/>
        </w:rPr>
        <w:t xml:space="preserve">had high OD values </w:t>
      </w:r>
      <w:r w:rsidR="00B07D3A" w:rsidRPr="005F44EF">
        <w:rPr>
          <w:rFonts w:ascii="Times New Roman" w:eastAsia="Times New Roman" w:hAnsi="Times New Roman" w:cs="Times New Roman"/>
          <w:sz w:val="24"/>
          <w:szCs w:val="24"/>
        </w:rPr>
        <w:t xml:space="preserve">(&gt;30% after outliers removed) </w:t>
      </w:r>
      <w:r w:rsidRPr="005F44EF">
        <w:rPr>
          <w:rFonts w:ascii="Times New Roman" w:eastAsia="Times New Roman" w:hAnsi="Times New Roman" w:cs="Times New Roman"/>
          <w:sz w:val="24"/>
          <w:szCs w:val="24"/>
        </w:rPr>
        <w:t xml:space="preserve">and </w:t>
      </w:r>
      <w:r w:rsidR="00B07D3A" w:rsidRPr="005F44EF">
        <w:rPr>
          <w:rFonts w:ascii="Times New Roman" w:eastAsia="Times New Roman" w:hAnsi="Times New Roman" w:cs="Times New Roman"/>
          <w:sz w:val="24"/>
          <w:szCs w:val="24"/>
        </w:rPr>
        <w:t xml:space="preserve">broader </w:t>
      </w:r>
      <w:r w:rsidRPr="005F44EF">
        <w:rPr>
          <w:rFonts w:ascii="Times New Roman" w:eastAsia="Times New Roman" w:hAnsi="Times New Roman" w:cs="Times New Roman"/>
          <w:sz w:val="24"/>
          <w:szCs w:val="24"/>
        </w:rPr>
        <w:t>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distributions</w:t>
      </w:r>
      <w:r w:rsidR="00B07D3A" w:rsidRPr="005F44EF">
        <w:rPr>
          <w:rFonts w:ascii="Times New Roman" w:eastAsia="Times New Roman" w:hAnsi="Times New Roman" w:cs="Times New Roman"/>
          <w:sz w:val="24"/>
          <w:szCs w:val="24"/>
        </w:rPr>
        <w:t xml:space="preserve"> with the latter sample also containing saturated aliquots</w:t>
      </w:r>
      <w:r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b/>
          <w:sz w:val="24"/>
          <w:szCs w:val="24"/>
        </w:rPr>
        <w:t>Figure S</w:t>
      </w:r>
      <w:r w:rsidR="00772A8A" w:rsidRPr="005F44EF">
        <w:rPr>
          <w:rFonts w:ascii="Times New Roman" w:eastAsia="Times New Roman" w:hAnsi="Times New Roman" w:cs="Times New Roman"/>
          <w:b/>
          <w:sz w:val="24"/>
          <w:szCs w:val="24"/>
        </w:rPr>
        <w:t>1</w:t>
      </w:r>
      <w:r w:rsidR="00520789">
        <w:rPr>
          <w:rFonts w:ascii="Times New Roman" w:eastAsia="Times New Roman" w:hAnsi="Times New Roman" w:cs="Times New Roman"/>
          <w:b/>
          <w:sz w:val="24"/>
          <w:szCs w:val="24"/>
        </w:rPr>
        <w:t>2</w:t>
      </w:r>
      <w:r w:rsidRPr="005F44EF">
        <w:rPr>
          <w:rFonts w:ascii="Times New Roman" w:eastAsia="Times New Roman" w:hAnsi="Times New Roman" w:cs="Times New Roman"/>
          <w:sz w:val="24"/>
          <w:szCs w:val="24"/>
        </w:rPr>
        <w:t xml:space="preserve">). </w:t>
      </w:r>
      <w:r w:rsidR="008F5AA5" w:rsidRPr="005F44EF">
        <w:rPr>
          <w:rFonts w:ascii="Times New Roman" w:eastAsia="Times New Roman" w:hAnsi="Times New Roman" w:cs="Times New Roman"/>
          <w:sz w:val="24"/>
          <w:szCs w:val="24"/>
        </w:rPr>
        <w:t>These samples are assumed not to have been fully bleached prior to burial. Therefore, D</w:t>
      </w:r>
      <w:r w:rsidR="008F5AA5" w:rsidRPr="005F44EF">
        <w:rPr>
          <w:rFonts w:ascii="Times New Roman" w:eastAsia="Times New Roman" w:hAnsi="Times New Roman" w:cs="Times New Roman"/>
          <w:sz w:val="24"/>
          <w:szCs w:val="24"/>
          <w:vertAlign w:val="subscript"/>
        </w:rPr>
        <w:t>e</w:t>
      </w:r>
      <w:r w:rsidR="008F5AA5" w:rsidRPr="005F44EF">
        <w:rPr>
          <w:rFonts w:ascii="Times New Roman" w:eastAsia="Times New Roman" w:hAnsi="Times New Roman" w:cs="Times New Roman"/>
          <w:sz w:val="24"/>
          <w:szCs w:val="24"/>
        </w:rPr>
        <w:t xml:space="preserve"> values for age calculation purposes were extracted from these two samples using the Minimum Age Model (MAM</w:t>
      </w:r>
      <w:r w:rsidR="008A78A0"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10.1111/j.1475-4754.1999.tb00987.x","ISSN":"0003-813X","author":[{"dropping-particle":"","family":"Galbraith","given":"R.F.","non-dropping-particle":"","parse-names":false,"suffix":""},{"dropping-particle":"","family":"Roberts","given":"R.G.","non-dropping-particle":"","parse-names":false,"suffix":""},{"dropping-particle":"","family":"Laslett","given":"G. M.","non-dropping-particle":"","parse-names":false,"suffix":""},{"dropping-particle":"","family":"Yoshida","given":"H.","non-dropping-particle":"","parse-names":false,"suffix":""},{"dropping-particle":"","family":"Olley","given":"J. M.","non-dropping-particle":"","parse-names":false,"suffix":""}],"container-title":"Archaeometry","id":"ITEM-1","issue":"2","issued":{"date-parts":[["1999","8","1"]]},"page":"339-364","publisher":"Wiley/Blackwell (10.1111)","title":"Optical dating of single and multiple grains of quartz from Jinmuim rockshelter, northern Australia : Part I, experimental design and statistical models","type":"article-journal","volume":"41"},"uris":["http://www.mendeley.com/documents/?uuid=418b436c-d35c-3805-915e-fb115bab1f4d"]}],"mendeley":{"formattedCitation":"&lt;sup&gt;112&lt;/sup&gt;","plainTextFormattedCitation":"112","previouslyFormattedCitation":"&lt;sup&gt;112&lt;/sup&gt;"},"properties":{"noteIndex":0},"schema":"https://github.com/citation-style-language/schema/raw/master/csl-citation.json"}</w:instrText>
      </w:r>
      <w:r w:rsidR="008A78A0"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112</w:t>
      </w:r>
      <w:r w:rsidR="008A78A0" w:rsidRPr="005F44EF">
        <w:rPr>
          <w:rFonts w:ascii="Times New Roman" w:eastAsia="Times New Roman" w:hAnsi="Times New Roman" w:cs="Times New Roman"/>
          <w:sz w:val="24"/>
          <w:szCs w:val="24"/>
        </w:rPr>
        <w:fldChar w:fldCharType="end"/>
      </w:r>
      <w:r w:rsidR="008F5AA5" w:rsidRPr="005F44EF">
        <w:rPr>
          <w:rFonts w:ascii="Times New Roman" w:eastAsia="Times New Roman" w:hAnsi="Times New Roman" w:cs="Times New Roman"/>
          <w:sz w:val="24"/>
          <w:szCs w:val="24"/>
        </w:rPr>
        <w:t>)</w:t>
      </w:r>
      <w:r w:rsidR="00734D8F" w:rsidRPr="005F44EF">
        <w:rPr>
          <w:rFonts w:ascii="Times New Roman" w:eastAsia="Times New Roman" w:hAnsi="Times New Roman" w:cs="Times New Roman"/>
          <w:sz w:val="24"/>
          <w:szCs w:val="24"/>
        </w:rPr>
        <w:t xml:space="preserve"> </w:t>
      </w:r>
      <w:bookmarkStart w:id="75" w:name="_Hlk171425171"/>
      <w:r w:rsidR="00E41089" w:rsidRPr="005F44EF">
        <w:rPr>
          <w:rFonts w:ascii="Times New Roman" w:eastAsia="Times New Roman" w:hAnsi="Times New Roman" w:cs="Times New Roman"/>
          <w:sz w:val="24"/>
          <w:szCs w:val="24"/>
        </w:rPr>
        <w:t>with a sigma-b of 0.2 based on the OD from dose recovery tests. Application of the MAM to exclude aliquots with higher D</w:t>
      </w:r>
      <w:r w:rsidR="00E41089" w:rsidRPr="005F44EF">
        <w:rPr>
          <w:rFonts w:ascii="Times New Roman" w:eastAsia="Times New Roman" w:hAnsi="Times New Roman" w:cs="Times New Roman"/>
          <w:sz w:val="24"/>
          <w:szCs w:val="24"/>
          <w:vertAlign w:val="subscript"/>
        </w:rPr>
        <w:t>e</w:t>
      </w:r>
      <w:r w:rsidR="00E41089" w:rsidRPr="005F44EF">
        <w:rPr>
          <w:rFonts w:ascii="Times New Roman" w:eastAsia="Times New Roman" w:hAnsi="Times New Roman" w:cs="Times New Roman"/>
          <w:sz w:val="24"/>
          <w:szCs w:val="24"/>
        </w:rPr>
        <w:t xml:space="preserve"> values meant that the exclusion of aliquots with D</w:t>
      </w:r>
      <w:r w:rsidR="00E41089" w:rsidRPr="005F44EF">
        <w:rPr>
          <w:rFonts w:ascii="Times New Roman" w:eastAsia="Times New Roman" w:hAnsi="Times New Roman" w:cs="Times New Roman"/>
          <w:sz w:val="24"/>
          <w:szCs w:val="24"/>
          <w:vertAlign w:val="subscript"/>
        </w:rPr>
        <w:t>e</w:t>
      </w:r>
      <w:r w:rsidR="00E41089" w:rsidRPr="005F44EF">
        <w:rPr>
          <w:rFonts w:ascii="Times New Roman" w:eastAsia="Times New Roman" w:hAnsi="Times New Roman" w:cs="Times New Roman"/>
          <w:sz w:val="24"/>
          <w:szCs w:val="24"/>
        </w:rPr>
        <w:t xml:space="preserve"> values in saturation in this sample also did not impact on the calculated age. </w:t>
      </w:r>
      <w:bookmarkEnd w:id="75"/>
      <w:r w:rsidR="00734D8F" w:rsidRPr="005F44EF">
        <w:rPr>
          <w:rFonts w:ascii="Times New Roman" w:eastAsia="Times New Roman" w:hAnsi="Times New Roman" w:cs="Times New Roman"/>
          <w:sz w:val="24"/>
          <w:szCs w:val="24"/>
        </w:rPr>
        <w:t>SA data for s</w:t>
      </w:r>
      <w:r w:rsidR="00734D8F" w:rsidRPr="005F44EF">
        <w:rPr>
          <w:rFonts w:ascii="Times New Roman" w:hAnsi="Times New Roman" w:cs="Times New Roman"/>
          <w:bCs/>
          <w:color w:val="000000"/>
          <w:sz w:val="24"/>
          <w:szCs w:val="24"/>
          <w:shd w:val="clear" w:color="auto" w:fill="FFFFFF"/>
        </w:rPr>
        <w:t>amples ANY20-</w:t>
      </w:r>
      <w:r w:rsidR="00D6482F" w:rsidRPr="005F44EF">
        <w:rPr>
          <w:rFonts w:ascii="Times New Roman" w:hAnsi="Times New Roman" w:cs="Times New Roman"/>
          <w:bCs/>
          <w:color w:val="000000"/>
          <w:sz w:val="24"/>
          <w:szCs w:val="24"/>
          <w:shd w:val="clear" w:color="auto" w:fill="FFFFFF"/>
        </w:rPr>
        <w:t>0</w:t>
      </w:r>
      <w:r w:rsidR="00734D8F" w:rsidRPr="005F44EF">
        <w:rPr>
          <w:rFonts w:ascii="Times New Roman" w:hAnsi="Times New Roman" w:cs="Times New Roman"/>
          <w:bCs/>
          <w:color w:val="000000"/>
          <w:sz w:val="24"/>
          <w:szCs w:val="24"/>
          <w:shd w:val="clear" w:color="auto" w:fill="FFFFFF"/>
        </w:rPr>
        <w:t>7 (Shfd20135) and ANY20-</w:t>
      </w:r>
      <w:r w:rsidR="00D6482F" w:rsidRPr="005F44EF">
        <w:rPr>
          <w:rFonts w:ascii="Times New Roman" w:hAnsi="Times New Roman" w:cs="Times New Roman"/>
          <w:bCs/>
          <w:color w:val="000000"/>
          <w:sz w:val="24"/>
          <w:szCs w:val="24"/>
          <w:shd w:val="clear" w:color="auto" w:fill="FFFFFF"/>
        </w:rPr>
        <w:t>0</w:t>
      </w:r>
      <w:r w:rsidR="00734D8F" w:rsidRPr="005F44EF">
        <w:rPr>
          <w:rFonts w:ascii="Times New Roman" w:hAnsi="Times New Roman" w:cs="Times New Roman"/>
          <w:bCs/>
          <w:color w:val="000000"/>
          <w:sz w:val="24"/>
          <w:szCs w:val="24"/>
          <w:shd w:val="clear" w:color="auto" w:fill="FFFFFF"/>
        </w:rPr>
        <w:t xml:space="preserve">9 (Shfd20137) both had 4 saturated aliquots out of the 24 aliquots </w:t>
      </w:r>
      <w:r w:rsidR="00A42247" w:rsidRPr="005F44EF">
        <w:rPr>
          <w:rFonts w:ascii="Times New Roman" w:hAnsi="Times New Roman" w:cs="Times New Roman"/>
          <w:bCs/>
          <w:color w:val="000000"/>
          <w:sz w:val="24"/>
          <w:szCs w:val="24"/>
          <w:shd w:val="clear" w:color="auto" w:fill="FFFFFF"/>
        </w:rPr>
        <w:t xml:space="preserve">initially </w:t>
      </w:r>
      <w:r w:rsidR="00734D8F" w:rsidRPr="005F44EF">
        <w:rPr>
          <w:rFonts w:ascii="Times New Roman" w:hAnsi="Times New Roman" w:cs="Times New Roman"/>
          <w:bCs/>
          <w:color w:val="000000"/>
          <w:sz w:val="24"/>
          <w:szCs w:val="24"/>
          <w:shd w:val="clear" w:color="auto" w:fill="FFFFFF"/>
        </w:rPr>
        <w:t>measured. As discussed above</w:t>
      </w:r>
      <w:r w:rsidR="002E1AC5" w:rsidRPr="005F44EF">
        <w:rPr>
          <w:rFonts w:ascii="Times New Roman" w:hAnsi="Times New Roman" w:cs="Times New Roman"/>
          <w:bCs/>
          <w:color w:val="000000"/>
          <w:sz w:val="24"/>
          <w:szCs w:val="24"/>
          <w:shd w:val="clear" w:color="auto" w:fill="FFFFFF"/>
        </w:rPr>
        <w:t>,</w:t>
      </w:r>
      <w:r w:rsidR="00734D8F" w:rsidRPr="005F44EF">
        <w:rPr>
          <w:rFonts w:ascii="Times New Roman" w:hAnsi="Times New Roman" w:cs="Times New Roman"/>
          <w:bCs/>
          <w:color w:val="000000"/>
          <w:sz w:val="24"/>
          <w:szCs w:val="24"/>
          <w:shd w:val="clear" w:color="auto" w:fill="FFFFFF"/>
        </w:rPr>
        <w:t xml:space="preserve"> the D</w:t>
      </w:r>
      <w:r w:rsidR="00734D8F" w:rsidRPr="005F44EF">
        <w:rPr>
          <w:rFonts w:ascii="Times New Roman" w:hAnsi="Times New Roman" w:cs="Times New Roman"/>
          <w:bCs/>
          <w:color w:val="000000"/>
          <w:sz w:val="24"/>
          <w:szCs w:val="24"/>
          <w:shd w:val="clear" w:color="auto" w:fill="FFFFFF"/>
          <w:vertAlign w:val="subscript"/>
        </w:rPr>
        <w:t>e</w:t>
      </w:r>
      <w:r w:rsidR="00734D8F" w:rsidRPr="005F44EF">
        <w:rPr>
          <w:rFonts w:ascii="Times New Roman" w:hAnsi="Times New Roman" w:cs="Times New Roman"/>
          <w:bCs/>
          <w:color w:val="000000"/>
          <w:sz w:val="24"/>
          <w:szCs w:val="24"/>
          <w:shd w:val="clear" w:color="auto" w:fill="FFFFFF"/>
        </w:rPr>
        <w:t xml:space="preserve"> distributions for these samples did not warrant application of the Finite Mixture Model (FMM</w:t>
      </w:r>
      <w:r w:rsidR="00C015CF" w:rsidRPr="005F44EF">
        <w:rPr>
          <w:rFonts w:ascii="Times New Roman" w:hAnsi="Times New Roman" w:cs="Times New Roman"/>
          <w:bCs/>
          <w:color w:val="000000"/>
          <w:sz w:val="24"/>
          <w:szCs w:val="24"/>
          <w:shd w:val="clear" w:color="auto" w:fill="FFFFFF"/>
        </w:rPr>
        <w:fldChar w:fldCharType="begin" w:fldLock="1"/>
      </w:r>
      <w:r w:rsidR="00614E13">
        <w:rPr>
          <w:rFonts w:ascii="Times New Roman" w:hAnsi="Times New Roman" w:cs="Times New Roman"/>
          <w:bCs/>
          <w:color w:val="000000"/>
          <w:sz w:val="24"/>
          <w:szCs w:val="24"/>
          <w:shd w:val="clear" w:color="auto" w:fill="FFFFFF"/>
        </w:rPr>
        <w:instrText>ADDIN CSL_CITATION {"citationItems":[{"id":"ITEM-1","itemData":{"DOI":"10.1016/S1350-4487(00)00104-9","ISSN":"13504487","abstract":"Many natural deposits contain grains that have different burial histories, but reliable procedures to extract the component doses from mixed-dose samples have not been developed in optical dating. Here we present results for synthetic two- and three-component mixtures of data derived from laboratory-dosed sedimentary quartz using a single-aliquot regenerative-dose protocol and statistical models for finite mixtures. Composite sets of data were created from the doses measured for individual grains that had been bleached by sunlight and then given a beta dose of 5, 10 or 20 Gy. We found that the correct number of dose components, corresponding doses, and relative proportions of each component may be estimated if the within-component dispersion is small or is known. We also found, however, that recuperation of the OSL signal in sun-bleached quartz may produce artificially high dose estimates for some grains, an effect that should be taken into account when modelling natural mixtures.","author":[{"dropping-particle":"","family":"Roberts","given":"R. G.","non-dropping-particle":"","parse-names":false,"suffix":""},{"dropping-particle":"","family":"Galbraith","given":"R. F.","non-dropping-particle":"","parse-names":false,"suffix":""},{"dropping-particle":"","family":"Yoshida","given":"H.","non-dropping-particle":"","parse-names":false,"suffix":""},{"dropping-particle":"","family":"Laslett","given":"G. M.","non-dropping-particle":"","parse-names":false,"suffix":""},{"dropping-particle":"","family":"Olley","given":"J. M.","non-dropping-particle":"","parse-names":false,"suffix":""}],"container-title":"Radiation Measurements","id":"ITEM-1","issue":"5","issued":{"date-parts":[["2000","12","15"]]},"page":"459-465","publisher":"Elsevier Science Ltd","title":"Distinguishing dose populations in sediment mixtures: A test of single-grain optical dating procedures using mixtures of laboratory-dosed quartz","type":"article-journal","volume":"32"},"uris":["http://www.mendeley.com/documents/?uuid=ffd35a94-335a-34f6-80ba-d0e893f426a9"]}],"mendeley":{"formattedCitation":"&lt;sup&gt;113&lt;/sup&gt;","plainTextFormattedCitation":"113","previouslyFormattedCitation":"&lt;sup&gt;113&lt;/sup&gt;"},"properties":{"noteIndex":0},"schema":"https://github.com/citation-style-language/schema/raw/master/csl-citation.json"}</w:instrText>
      </w:r>
      <w:r w:rsidR="00C015CF" w:rsidRPr="005F44EF">
        <w:rPr>
          <w:rFonts w:ascii="Times New Roman" w:hAnsi="Times New Roman" w:cs="Times New Roman"/>
          <w:bCs/>
          <w:color w:val="000000"/>
          <w:sz w:val="24"/>
          <w:szCs w:val="24"/>
          <w:shd w:val="clear" w:color="auto" w:fill="FFFFFF"/>
        </w:rPr>
        <w:fldChar w:fldCharType="separate"/>
      </w:r>
      <w:r w:rsidR="00C212A1" w:rsidRPr="00C212A1">
        <w:rPr>
          <w:rFonts w:ascii="Times New Roman" w:hAnsi="Times New Roman" w:cs="Times New Roman"/>
          <w:bCs/>
          <w:noProof/>
          <w:color w:val="000000"/>
          <w:sz w:val="24"/>
          <w:szCs w:val="24"/>
          <w:shd w:val="clear" w:color="auto" w:fill="FFFFFF"/>
          <w:vertAlign w:val="superscript"/>
          <w:lang w:val="en-US"/>
        </w:rPr>
        <w:t>113</w:t>
      </w:r>
      <w:r w:rsidR="00C015CF" w:rsidRPr="005F44EF">
        <w:rPr>
          <w:rFonts w:ascii="Times New Roman" w:hAnsi="Times New Roman" w:cs="Times New Roman"/>
          <w:bCs/>
          <w:color w:val="000000"/>
          <w:sz w:val="24"/>
          <w:szCs w:val="24"/>
          <w:shd w:val="clear" w:color="auto" w:fill="FFFFFF"/>
        </w:rPr>
        <w:fldChar w:fldCharType="end"/>
      </w:r>
      <w:r w:rsidR="00C015CF" w:rsidRPr="005F44EF">
        <w:rPr>
          <w:rFonts w:ascii="Times New Roman" w:hAnsi="Times New Roman" w:cs="Times New Roman"/>
          <w:bCs/>
          <w:color w:val="000000"/>
          <w:sz w:val="24"/>
          <w:szCs w:val="24"/>
          <w:shd w:val="clear" w:color="auto" w:fill="FFFFFF"/>
        </w:rPr>
        <w:t xml:space="preserve">) </w:t>
      </w:r>
      <w:r w:rsidR="002E1AC5" w:rsidRPr="005F44EF">
        <w:rPr>
          <w:rFonts w:ascii="Times New Roman" w:hAnsi="Times New Roman" w:cs="Times New Roman"/>
          <w:bCs/>
          <w:color w:val="000000"/>
          <w:sz w:val="24"/>
          <w:szCs w:val="24"/>
          <w:shd w:val="clear" w:color="auto" w:fill="FFFFFF"/>
        </w:rPr>
        <w:t xml:space="preserve">as </w:t>
      </w:r>
      <w:r w:rsidR="00734D8F" w:rsidRPr="005F44EF">
        <w:rPr>
          <w:rFonts w:ascii="Times New Roman" w:hAnsi="Times New Roman" w:cs="Times New Roman"/>
          <w:bCs/>
          <w:color w:val="000000"/>
          <w:sz w:val="24"/>
          <w:szCs w:val="24"/>
          <w:shd w:val="clear" w:color="auto" w:fill="FFFFFF"/>
          <w:lang w:val="en-US"/>
        </w:rPr>
        <w:t xml:space="preserve">they </w:t>
      </w:r>
      <w:r w:rsidR="00734D8F" w:rsidRPr="005F44EF">
        <w:rPr>
          <w:rFonts w:ascii="Times New Roman" w:hAnsi="Times New Roman" w:cs="Times New Roman"/>
          <w:bCs/>
          <w:color w:val="000000"/>
          <w:sz w:val="24"/>
          <w:szCs w:val="24"/>
          <w:shd w:val="clear" w:color="auto" w:fill="FFFFFF"/>
        </w:rPr>
        <w:t>are normally distributed</w:t>
      </w:r>
      <w:r w:rsidR="002E1AC5" w:rsidRPr="005F44EF">
        <w:rPr>
          <w:rFonts w:ascii="Times New Roman" w:hAnsi="Times New Roman" w:cs="Times New Roman"/>
          <w:bCs/>
          <w:color w:val="000000"/>
          <w:sz w:val="24"/>
          <w:szCs w:val="24"/>
          <w:shd w:val="clear" w:color="auto" w:fill="FFFFFF"/>
        </w:rPr>
        <w:t>.</w:t>
      </w:r>
      <w:r w:rsidR="00734D8F" w:rsidRPr="005F44EF">
        <w:rPr>
          <w:rFonts w:ascii="Times New Roman" w:hAnsi="Times New Roman" w:cs="Times New Roman"/>
          <w:bCs/>
          <w:color w:val="000000"/>
          <w:sz w:val="24"/>
          <w:szCs w:val="24"/>
          <w:shd w:val="clear" w:color="auto" w:fill="FFFFFF"/>
        </w:rPr>
        <w:t xml:space="preserve"> </w:t>
      </w:r>
      <w:r w:rsidR="001877A5" w:rsidRPr="005F44EF">
        <w:rPr>
          <w:rFonts w:ascii="Times New Roman" w:hAnsi="Times New Roman" w:cs="Times New Roman"/>
          <w:bCs/>
          <w:color w:val="000000"/>
          <w:sz w:val="24"/>
          <w:szCs w:val="24"/>
          <w:shd w:val="clear" w:color="auto" w:fill="FFFFFF"/>
        </w:rPr>
        <w:t>Therefore,</w:t>
      </w:r>
      <w:r w:rsidR="00734D8F" w:rsidRPr="005F44EF">
        <w:rPr>
          <w:rFonts w:ascii="Times New Roman" w:hAnsi="Times New Roman" w:cs="Times New Roman"/>
          <w:bCs/>
          <w:color w:val="000000"/>
          <w:sz w:val="24"/>
          <w:szCs w:val="24"/>
          <w:shd w:val="clear" w:color="auto" w:fill="FFFFFF"/>
        </w:rPr>
        <w:t xml:space="preserve"> the CAM was applied for age calculation purposes. However, as the CAM D</w:t>
      </w:r>
      <w:r w:rsidR="00734D8F" w:rsidRPr="005F44EF">
        <w:rPr>
          <w:rFonts w:ascii="Times New Roman" w:hAnsi="Times New Roman" w:cs="Times New Roman"/>
          <w:bCs/>
          <w:color w:val="000000"/>
          <w:sz w:val="24"/>
          <w:szCs w:val="24"/>
          <w:shd w:val="clear" w:color="auto" w:fill="FFFFFF"/>
          <w:vertAlign w:val="subscript"/>
        </w:rPr>
        <w:t>e</w:t>
      </w:r>
      <w:r w:rsidR="00734D8F" w:rsidRPr="005F44EF">
        <w:rPr>
          <w:rFonts w:ascii="Times New Roman" w:hAnsi="Times New Roman" w:cs="Times New Roman"/>
          <w:bCs/>
          <w:color w:val="000000"/>
          <w:sz w:val="24"/>
          <w:szCs w:val="24"/>
          <w:shd w:val="clear" w:color="auto" w:fill="FFFFFF"/>
        </w:rPr>
        <w:t xml:space="preserve"> values are below but close to the saturation value (as defined by 2D</w:t>
      </w:r>
      <w:r w:rsidR="00734D8F" w:rsidRPr="005F44EF">
        <w:rPr>
          <w:rFonts w:ascii="Times New Roman" w:hAnsi="Times New Roman" w:cs="Times New Roman"/>
          <w:bCs/>
          <w:color w:val="000000"/>
          <w:sz w:val="24"/>
          <w:szCs w:val="24"/>
          <w:shd w:val="clear" w:color="auto" w:fill="FFFFFF"/>
          <w:vertAlign w:val="subscript"/>
        </w:rPr>
        <w:t>0</w:t>
      </w:r>
      <w:r w:rsidR="00734D8F" w:rsidRPr="005F44EF">
        <w:rPr>
          <w:rFonts w:ascii="Times New Roman" w:hAnsi="Times New Roman" w:cs="Times New Roman"/>
          <w:bCs/>
          <w:color w:val="000000"/>
          <w:sz w:val="24"/>
          <w:szCs w:val="24"/>
          <w:shd w:val="clear" w:color="auto" w:fill="FFFFFF"/>
        </w:rPr>
        <w:t>), exclusion of saturated aliquots could lead to the computed average D</w:t>
      </w:r>
      <w:r w:rsidR="00734D8F" w:rsidRPr="005F44EF">
        <w:rPr>
          <w:rFonts w:ascii="Times New Roman" w:hAnsi="Times New Roman" w:cs="Times New Roman"/>
          <w:bCs/>
          <w:color w:val="000000"/>
          <w:sz w:val="24"/>
          <w:szCs w:val="24"/>
          <w:shd w:val="clear" w:color="auto" w:fill="FFFFFF"/>
          <w:vertAlign w:val="subscript"/>
        </w:rPr>
        <w:t>e</w:t>
      </w:r>
      <w:r w:rsidR="00734D8F" w:rsidRPr="005F44EF">
        <w:rPr>
          <w:rFonts w:ascii="Times New Roman" w:hAnsi="Times New Roman" w:cs="Times New Roman"/>
          <w:bCs/>
          <w:color w:val="000000"/>
          <w:sz w:val="24"/>
          <w:szCs w:val="24"/>
          <w:shd w:val="clear" w:color="auto" w:fill="FFFFFF"/>
        </w:rPr>
        <w:t xml:space="preserve"> being biased towards lower D</w:t>
      </w:r>
      <w:r w:rsidR="00734D8F" w:rsidRPr="005F44EF">
        <w:rPr>
          <w:rFonts w:ascii="Times New Roman" w:hAnsi="Times New Roman" w:cs="Times New Roman"/>
          <w:bCs/>
          <w:color w:val="000000"/>
          <w:sz w:val="24"/>
          <w:szCs w:val="24"/>
          <w:shd w:val="clear" w:color="auto" w:fill="FFFFFF"/>
          <w:vertAlign w:val="subscript"/>
        </w:rPr>
        <w:t>e</w:t>
      </w:r>
      <w:r w:rsidR="00734D8F" w:rsidRPr="005F44EF">
        <w:rPr>
          <w:rFonts w:ascii="Times New Roman" w:hAnsi="Times New Roman" w:cs="Times New Roman"/>
          <w:bCs/>
          <w:color w:val="000000"/>
          <w:sz w:val="24"/>
          <w:szCs w:val="24"/>
          <w:shd w:val="clear" w:color="auto" w:fill="FFFFFF"/>
        </w:rPr>
        <w:t xml:space="preserve"> values. The ages for these two samples may therefore be minimums. </w:t>
      </w:r>
      <w:r w:rsidR="00734D8F" w:rsidRPr="005F44EF">
        <w:rPr>
          <w:rFonts w:ascii="Times New Roman" w:eastAsia="Times New Roman" w:hAnsi="Times New Roman" w:cs="Times New Roman"/>
          <w:sz w:val="24"/>
          <w:szCs w:val="24"/>
        </w:rPr>
        <w:t xml:space="preserve">Final OSL ages are provided in </w:t>
      </w:r>
      <w:r w:rsidR="00734D8F" w:rsidRPr="005F44EF">
        <w:rPr>
          <w:rFonts w:ascii="Times New Roman" w:eastAsia="Times New Roman" w:hAnsi="Times New Roman" w:cs="Times New Roman"/>
          <w:b/>
          <w:sz w:val="24"/>
          <w:szCs w:val="24"/>
        </w:rPr>
        <w:t>Table S</w:t>
      </w:r>
      <w:r w:rsidR="00C02C57" w:rsidRPr="005F44EF">
        <w:rPr>
          <w:rFonts w:ascii="Times New Roman" w:eastAsia="Times New Roman" w:hAnsi="Times New Roman" w:cs="Times New Roman"/>
          <w:b/>
          <w:sz w:val="24"/>
          <w:szCs w:val="24"/>
        </w:rPr>
        <w:t>8</w:t>
      </w:r>
      <w:r w:rsidR="00734D8F" w:rsidRPr="005F44EF">
        <w:rPr>
          <w:rFonts w:ascii="Times New Roman" w:eastAsia="Times New Roman" w:hAnsi="Times New Roman" w:cs="Times New Roman"/>
          <w:b/>
          <w:sz w:val="24"/>
          <w:szCs w:val="24"/>
        </w:rPr>
        <w:t xml:space="preserve"> </w:t>
      </w:r>
      <w:r w:rsidR="00734D8F" w:rsidRPr="005F44EF">
        <w:rPr>
          <w:rFonts w:ascii="Times New Roman" w:eastAsia="Times New Roman" w:hAnsi="Times New Roman" w:cs="Times New Roman"/>
          <w:sz w:val="24"/>
          <w:szCs w:val="24"/>
        </w:rPr>
        <w:t xml:space="preserve">with 1 sigma uncertainties. </w:t>
      </w:r>
    </w:p>
    <w:p w14:paraId="3795C03C" w14:textId="77777777" w:rsidR="00954E30" w:rsidRPr="005F44EF" w:rsidRDefault="00954E30" w:rsidP="00734D8F">
      <w:pPr>
        <w:spacing w:after="0" w:line="276" w:lineRule="auto"/>
        <w:jc w:val="both"/>
        <w:rPr>
          <w:rFonts w:ascii="Times New Roman" w:eastAsia="Times New Roman" w:hAnsi="Times New Roman" w:cs="Times New Roman"/>
          <w:sz w:val="24"/>
          <w:szCs w:val="24"/>
        </w:rPr>
      </w:pPr>
    </w:p>
    <w:p w14:paraId="0AA1A065" w14:textId="1517A330" w:rsidR="00954E30" w:rsidRPr="005F44EF" w:rsidRDefault="00954E30" w:rsidP="00954E30">
      <w:pPr>
        <w:spacing w:after="0" w:line="276" w:lineRule="auto"/>
        <w:jc w:val="both"/>
        <w:rPr>
          <w:rFonts w:ascii="Times New Roman" w:eastAsia="Times New Roman" w:hAnsi="Times New Roman" w:cs="Times New Roman"/>
          <w:i/>
          <w:sz w:val="24"/>
          <w:szCs w:val="24"/>
          <w:u w:val="single"/>
        </w:rPr>
      </w:pPr>
      <w:bookmarkStart w:id="76" w:name="_Hlk170818678"/>
      <w:r w:rsidRPr="005F44EF">
        <w:rPr>
          <w:rFonts w:ascii="Times New Roman" w:eastAsia="Times New Roman" w:hAnsi="Times New Roman" w:cs="Times New Roman"/>
          <w:i/>
          <w:sz w:val="24"/>
          <w:szCs w:val="24"/>
          <w:u w:val="single"/>
        </w:rPr>
        <w:t xml:space="preserve">Single grain (SG-OSL) data </w:t>
      </w:r>
    </w:p>
    <w:bookmarkEnd w:id="76"/>
    <w:p w14:paraId="46DC27FA" w14:textId="77777777" w:rsidR="001A2980" w:rsidRPr="005F44EF" w:rsidRDefault="001A2980" w:rsidP="00954E30">
      <w:pPr>
        <w:spacing w:after="0" w:line="276" w:lineRule="auto"/>
        <w:jc w:val="both"/>
        <w:rPr>
          <w:rFonts w:ascii="Times New Roman" w:eastAsia="Times New Roman" w:hAnsi="Times New Roman" w:cs="Times New Roman"/>
          <w:i/>
          <w:sz w:val="24"/>
          <w:szCs w:val="24"/>
          <w:u w:val="single"/>
        </w:rPr>
      </w:pPr>
    </w:p>
    <w:p w14:paraId="4112D074" w14:textId="6D89D369" w:rsidR="00734D8F" w:rsidRPr="005F44EF" w:rsidRDefault="00734D8F" w:rsidP="00734D8F">
      <w:pPr>
        <w:spacing w:after="0" w:line="276" w:lineRule="auto"/>
        <w:jc w:val="both"/>
        <w:rPr>
          <w:rFonts w:ascii="Times New Roman" w:hAnsi="Times New Roman" w:cs="Times New Roman"/>
          <w:bCs/>
          <w:color w:val="000000"/>
          <w:sz w:val="24"/>
          <w:szCs w:val="24"/>
          <w:shd w:val="clear" w:color="auto" w:fill="FFFFFF"/>
        </w:rPr>
      </w:pPr>
      <w:r w:rsidRPr="005F44EF">
        <w:rPr>
          <w:rFonts w:ascii="Times New Roman" w:eastAsia="Times New Roman" w:hAnsi="Times New Roman" w:cs="Times New Roman"/>
          <w:sz w:val="24"/>
          <w:szCs w:val="24"/>
        </w:rPr>
        <w:t>Analysis of the replicates from the single grain (SG) measurements showed all samples had broad unimodal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distributions and OD values between 48%-12% once outliers </w:t>
      </w:r>
      <w:r w:rsidR="009A20F9">
        <w:rPr>
          <w:rFonts w:ascii="Times New Roman" w:eastAsia="Times New Roman" w:hAnsi="Times New Roman" w:cs="Times New Roman"/>
          <w:sz w:val="24"/>
          <w:szCs w:val="24"/>
        </w:rPr>
        <w:t xml:space="preserve">(as defined above) </w:t>
      </w:r>
      <w:r w:rsidRPr="005F44EF">
        <w:rPr>
          <w:rFonts w:ascii="Times New Roman" w:eastAsia="Times New Roman" w:hAnsi="Times New Roman" w:cs="Times New Roman"/>
          <w:sz w:val="24"/>
          <w:szCs w:val="24"/>
        </w:rPr>
        <w:t>were removed</w:t>
      </w:r>
      <w:r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{"citationItems":[{"id":"ITEM-1","itemData":{"author":[{"dropping-particle":"","family":"Boulter","given":"C. H.","non-dropping-particle":"","parse-names":false,"suffix":""}],"id":"ITEM-1","issued":{"date-parts":[["2007"]]},"publisher":"University of Sheffield","title":"Reconstructing the palaeoenvironmental dynamics of East Central Texas since the Last Glacial Maximum. Unpublished PhD Thesis.","type":"thesis"},"uris":["http://www.mendeley.com/documents/?uuid=299cbde9-abde-4952-ba15-3c0ec7bf6b61"]}],"mendeley":{"formattedCitation":"&lt;sup&gt;114&lt;/sup&gt;","plainTextFormattedCitation":"114","previouslyFormattedCitation":"&lt;sup&gt;114&lt;/sup&gt;"},"properties":{"noteIndex":0},"schema":"https://github.com/citation-style-language/schema/raw/master/csl-citation.json"}</w:instrText>
      </w:r>
      <w:r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114</w:t>
      </w:r>
      <w:r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(Figure</w:t>
      </w:r>
      <w:r w:rsidRPr="005F44EF">
        <w:rPr>
          <w:rFonts w:ascii="Times New Roman" w:eastAsia="Times New Roman" w:hAnsi="Times New Roman" w:cs="Times New Roman"/>
          <w:b/>
          <w:sz w:val="24"/>
          <w:szCs w:val="24"/>
        </w:rPr>
        <w:t xml:space="preserve"> S</w:t>
      </w:r>
      <w:r w:rsidR="009A20F9">
        <w:rPr>
          <w:rFonts w:ascii="Times New Roman" w:eastAsia="Times New Roman" w:hAnsi="Times New Roman" w:cs="Times New Roman"/>
          <w:b/>
          <w:sz w:val="24"/>
          <w:szCs w:val="24"/>
        </w:rPr>
        <w:t>13</w:t>
      </w:r>
      <w:r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b/>
          <w:sz w:val="24"/>
          <w:szCs w:val="24"/>
        </w:rPr>
        <w:t>Table S</w:t>
      </w:r>
      <w:r w:rsidR="009A20F9">
        <w:rPr>
          <w:rFonts w:ascii="Times New Roman" w:eastAsia="Times New Roman" w:hAnsi="Times New Roman" w:cs="Times New Roman"/>
          <w:b/>
          <w:sz w:val="24"/>
          <w:szCs w:val="24"/>
        </w:rPr>
        <w:t>8</w:t>
      </w:r>
      <w:r w:rsidRPr="005F44EF">
        <w:rPr>
          <w:rFonts w:ascii="Times New Roman" w:eastAsia="Times New Roman" w:hAnsi="Times New Roman" w:cs="Times New Roman"/>
          <w:b/>
          <w:sz w:val="24"/>
          <w:szCs w:val="24"/>
        </w:rPr>
        <w:t>)</w:t>
      </w:r>
      <w:r w:rsidRPr="005F44EF">
        <w:rPr>
          <w:rFonts w:ascii="Times New Roman" w:eastAsia="Times New Roman" w:hAnsi="Times New Roman" w:cs="Times New Roman"/>
          <w:sz w:val="24"/>
          <w:szCs w:val="24"/>
        </w:rPr>
        <w:t>. It was observed that the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distributions of most samples also contained a few grains with very low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values.</w:t>
      </w:r>
      <w:r w:rsidR="00C02C57"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The presence of a similar numbers of low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values were also observed in the two dose recovery tests undertaken thereby ruling out that the low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values in the samples with burial age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s are due to post-depositional disturbance or beta heterogeneity</w:t>
      </w:r>
      <w:r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{"citationItems":[{"id":"ITEM-1","itemData":{"DOI":"10.1016/S0277-3791(03)00019-2","ISSN":"02773791","abstract":"Much effort has been focussed on understanding the luminescence properties of natural minerals to achieve a reliable, accurate and precise dating technique. However, some field related aspects, such as the influence or effect of post-depositional disturbance on luminescence dates, are as yet underexplored. In the case of pedoturbation, depending on its intensity, the rate of sedimentation and unit thicknesses, potentially the whole sedimentary record at a site can be affected. This may lead to distorted OSL chronologies and erroneous sediment burial ages. Pedoturbation can result in sediment mixing and/or exhumation that affect luminescence both at the bulk and single grain level. Effects of these two principle processes on luminescence ages are examined using standard multigrain and single grain protocols. High resolution sampling of surface gopher mounds was used to determine the efficiency of bio-exhumation in resetting luminescence signal. Results show this is an inefficient mechanism for onsite sediment bleaching. The effects on luminescence signal of bio-mixing were explored by comparing a sample collected from within a krotovina (infilled burrow) to an adjacent undisturbed sample. Results show the difficulties in identifying pedoturbated samples at the single aliquot level and the possible inaccuracies in using the lowest palaeodose values to calculate OSL ages. Where pedoturbation of samples is suspected, use of probability plots of palaeodoses data is recommended. From these plots it is proposed that only data falling within a normal distribution centred on the peak probability be used to calculated OSL ages and to mitigate problems arising from pedoturbation. © 2003 Elsevier Science Ltd. All rights reserved.","author":[{"dropping-particle":"","family":"Bateman","given":"Mark D.","non-dropping-particle":"","parse-names":false,"suffix":""},{"dropping-particle":"","family":"Frederick","given":"Charles D.","non-dropping-particle":"","parse-names":false,"suffix":""},{"dropping-particle":"","family":"Jaiswal","given":"Manoj K.","non-dropping-particle":"","parse-names":false,"suffix":""},{"dropping-particle":"","family":"Singhvi","given":"Ashok K.","non-dropping-particle":"","parse-names":false,"suffix":""}],"container-title":"Quaternary Science Reviews","id":"ITEM-1","issue":"10-13","issued":{"date-parts":[["2003"]]},"page":"1169-1176","publisher":"Elsevier Ltd","title":"Investigations into the potential effects of pedoturbation on luminescence dating","type":"article-journal","volume":"22"},"uris":["http://www.mendeley.com/documents/?uuid=2d819696-6049-3db1-822e-794dca07716e"]}],"mendeley":{"formattedCitation":"&lt;sup&gt;73&lt;/sup&gt;","plainTextFormattedCitation":"73","previouslyFormattedCitation":"&lt;sup&gt;73&lt;/sup&gt;"},"properties":{"noteIndex":0},"schema":"https://github.com/citation-style-language/schema/raw/master/csl-citation.json"}</w:instrText>
      </w:r>
      <w:r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73</w:t>
      </w:r>
      <w:r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xml:space="preserve">. Instead it is taken to indicate that a limited number of grains, whilst meeting the </w:t>
      </w:r>
      <w:r w:rsidRPr="005F44EF">
        <w:rPr>
          <w:rFonts w:ascii="Times New Roman" w:eastAsia="Times New Roman" w:hAnsi="Times New Roman" w:cs="Times New Roman"/>
          <w:sz w:val="24"/>
          <w:szCs w:val="24"/>
        </w:rPr>
        <w:lastRenderedPageBreak/>
        <w:t>quality assurance criteria outline in section 3.2, had other (</w:t>
      </w:r>
      <w:proofErr w:type="spellStart"/>
      <w:r w:rsidRPr="005F44EF">
        <w:rPr>
          <w:rFonts w:ascii="Times New Roman" w:eastAsia="Times New Roman" w:hAnsi="Times New Roman" w:cs="Times New Roman"/>
          <w:sz w:val="24"/>
          <w:szCs w:val="24"/>
        </w:rPr>
        <w:t>uninvestigated</w:t>
      </w:r>
      <w:proofErr w:type="spellEnd"/>
      <w:r w:rsidRPr="005F44EF">
        <w:rPr>
          <w:rFonts w:ascii="Times New Roman" w:eastAsia="Times New Roman" w:hAnsi="Times New Roman" w:cs="Times New Roman"/>
          <w:sz w:val="24"/>
          <w:szCs w:val="24"/>
        </w:rPr>
        <w:t xml:space="preserve">) poor behavioural characteristics resulting in them not reflecting the true burial dose. Dose recovery experiments also encountered many saturated grains indicating that some grain in these samples had much lower than average saturation limits. Saturation is interpreted therefore as being due to </w:t>
      </w:r>
      <w:r w:rsidR="009A20F9">
        <w:rPr>
          <w:rFonts w:ascii="Times New Roman" w:eastAsia="Times New Roman" w:hAnsi="Times New Roman" w:cs="Times New Roman"/>
          <w:sz w:val="24"/>
          <w:szCs w:val="24"/>
        </w:rPr>
        <w:t xml:space="preserve">grains being buried for sufficient </w:t>
      </w:r>
      <w:r w:rsidRPr="005F44EF">
        <w:rPr>
          <w:rFonts w:ascii="Times New Roman" w:eastAsia="Times New Roman" w:hAnsi="Times New Roman" w:cs="Times New Roman"/>
          <w:sz w:val="24"/>
          <w:szCs w:val="24"/>
        </w:rPr>
        <w:t xml:space="preserve">antiquity </w:t>
      </w:r>
      <w:r w:rsidR="009A20F9">
        <w:rPr>
          <w:rFonts w:ascii="Times New Roman" w:eastAsia="Times New Roman" w:hAnsi="Times New Roman" w:cs="Times New Roman"/>
          <w:sz w:val="24"/>
          <w:szCs w:val="24"/>
        </w:rPr>
        <w:t>to reach their saturation limits</w:t>
      </w:r>
      <w:r w:rsidR="009A20F9"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rather than indicating grains which had not be reset at all at burial</w:t>
      </w:r>
      <w:r w:rsidR="009A20F9">
        <w:rPr>
          <w:rFonts w:ascii="Times New Roman" w:eastAsia="Times New Roman" w:hAnsi="Times New Roman" w:cs="Times New Roman"/>
          <w:sz w:val="24"/>
          <w:szCs w:val="24"/>
        </w:rPr>
        <w:t xml:space="preserve"> and only buried for a shorter time</w:t>
      </w:r>
      <w:r w:rsidRPr="005F44EF">
        <w:rPr>
          <w:rFonts w:ascii="Times New Roman" w:eastAsia="Times New Roman" w:hAnsi="Times New Roman" w:cs="Times New Roman"/>
          <w:sz w:val="24"/>
          <w:szCs w:val="24"/>
        </w:rPr>
        <w:t>. Due to the low D</w:t>
      </w:r>
      <w:r w:rsidRPr="005F44EF">
        <w:rPr>
          <w:rFonts w:ascii="Times New Roman" w:eastAsia="Times New Roman" w:hAnsi="Times New Roman" w:cs="Times New Roman"/>
          <w:sz w:val="24"/>
          <w:szCs w:val="24"/>
          <w:vertAlign w:val="subscript"/>
        </w:rPr>
        <w:t xml:space="preserve">e </w:t>
      </w:r>
      <w:r w:rsidRPr="005F44EF">
        <w:rPr>
          <w:rFonts w:ascii="Times New Roman" w:eastAsia="Times New Roman" w:hAnsi="Times New Roman" w:cs="Times New Roman"/>
          <w:sz w:val="24"/>
          <w:szCs w:val="24"/>
        </w:rPr>
        <w:t xml:space="preserve">grains MAM was not applied to the SG data for age calculation purposes. Instead, based on the lack of evidence for partial bleaching, </w:t>
      </w:r>
      <w:bookmarkStart w:id="77" w:name="_Hlk171425251"/>
      <w:r w:rsidR="00150291" w:rsidRPr="005F44EF">
        <w:rPr>
          <w:rFonts w:ascii="Times New Roman" w:hAnsi="Times New Roman" w:cs="Times New Roman"/>
          <w:bCs/>
          <w:color w:val="000000"/>
          <w:sz w:val="24"/>
          <w:szCs w:val="24"/>
        </w:rPr>
        <w:t>after outlier removal</w:t>
      </w:r>
      <w:bookmarkEnd w:id="77"/>
      <w:r w:rsidR="00520789"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{"citationItems":[{"id":"ITEM-1","itemData":{"ISBN":"978-0-471-38491-5","abstract":"Textbook on robust and exploratory data analysis and related statistical methods - covers stem-and-leaf displays, letter values, boxplots and batch graphic displays, resistant lines, analysis of two- way tables by medians, examining residuals, mathematical aspects of transformation, scale estimators, comparison of location estimators, confidence intervals for location, etc. References. 1. Stem-and-leaf displays / John D. Emerson and David C. Hoaglin -- 2. Letter values: a set of selected order statistics / David C. Hoaglin -- 3. Boxplots and batch comparison / John D. Emerson and Judith Strenio -- 4. Transforming data / John D. Emerson and Michael A. Stoto -- 5. Resistant lines for y versus x / John D. Emerson and David C. Hoaglin -- 6. Analysis of two-way tables by medians / John D. Emerson and David C. Hoaglin -- 7. Examining residuals / Colin Goodall -- 8. Mathematical aspects of transformation / John D. Emerson -- 9. Introduction to more refined estimators / David C. Hoaglin, Frederick Mosteller, and John W. Tukey -- 10. Comparing location estimators: trimmed means, medians, and trimean / James L. Rosenberger and Mariam Gasko -- 11. M-estimators of location: an outline of the theory / Colin Goodall -- 12. Robust scales estimators and confidence intervals for location / Boris Iglewicz.","author":[{"dropping-particle":"","family":"Hoaglin","given":"David C.","non-dropping-particle":"","parse-names":false,"suffix":""},{"dropping-particle":"","family":"Mosteller","given":"Frederick","non-dropping-particle":"","parse-names":false,"suffix":""},{"dropping-particle":"","family":"Tukey","given":"John W.","non-dropping-particle":"","parse-names":false,"suffix":""}],"id":"ITEM-1","issued":{"date-parts":[["1983"]]},"number-of-pages":"447","publisher":"Wiley","title":"Understanding robust and exploratory data analysis","type":"book"},"uris":["http://www.mendeley.com/documents/?uuid=10677a27-8153-38a3-897e-6e79c53a7d0f"]},{"id":"ITEM-2","itemData":{"DOI":"10.1002/JQS.1365","ISSN":"1099-1417","abstract":"Understanding the impact of past climatic changes on landscape stability is crucial in order to predict and mitigate the effects of future changes. However, in arid and semi-arid environments, reconstructions are often hampered by a poor understanding of the relationship between sediment deposition and climate. We present here data from central Texas, a region that is sensitive to environmental change but has received relatively little attention. The study integrates a chronology of 29 optically stimulated luminescence (OSL) ages from six sedimentary sites in a range of depositional contexts with a 19 000 a climate record derived from pollen extracted from the adjacent Boriack Bog. By comparing the two records, we aimed to assess the relationship between climate change and geomorphic activity. Data show that extensive aeolian and colluvial deposition occurred during the mid to late Holocene, with sedimentation generally increasing during more arid phases. However, a number of depositional events on slopes were associated with moister episodes, and sediment was also deposited in a summit setting immediately after phases of increased precipitation. Linkages between climate change and geomorphic response were therefore complex, being controlled by both sediment supply and transport energy. The climatic fluctuations identified in the Boriack Bog record highlight the sensitivity of central Texas to environmental change, while disparities in conditions recorded between it and other palaeoenvironmental sites in the southern USA emphasise the need for further work in order to enhance understanding of landscape sedimentary response to climate. Copyright © 2010 John Wiley &amp; Sons, Ltd.","author":[{"dropping-particle":"","family":"Boulter","given":"Claire","non-dropping-particle":"","parse-names":false,"suffix":""},{"dropping-particle":"","family":"Bateman","given":"Mark D.","non-dropping-particle":"","parse-names":false,"suffix":""},{"dropping-particle":"","family":"Frederick","given":"Charles D.","non-dropping-particle":"","parse-names":false,"suffix":""}],"container-title":"Journal of Quaternary Science","id":"ITEM-2","issue":"6","issued":{"date-parts":[["2010","9","1"]]},"page":"889-902","publisher":"John Wiley &amp; Sons, Ltd","title":"Understanding geomorphic responses to environmental change: a 19 000-year case study from semi-arid central Texas, USA","type":"article-journal","volume":"25"},"uris":["http://www.mendeley.com/documents/?uuid=0338d8ca-29fb-3989-8bc1-832bd00a6388"]}],"mendeley":{"formattedCitation":"&lt;sup&gt;110,111&lt;/sup&gt;","plainTextFormattedCitation":"110,111","previouslyFormattedCitation":"&lt;sup&gt;110,111&lt;/sup&gt;"},"properties":{"noteIndex":0},"schema":"https://github.com/citation-style-language/schema/raw/master/csl-citation.json"}</w:instrText>
      </w:r>
      <w:r w:rsidR="00520789"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110,111</w:t>
      </w:r>
      <w:r w:rsidR="00520789" w:rsidRPr="005F44EF">
        <w:rPr>
          <w:rFonts w:ascii="Times New Roman" w:eastAsia="Times New Roman" w:hAnsi="Times New Roman" w:cs="Times New Roman"/>
          <w:sz w:val="24"/>
          <w:szCs w:val="24"/>
        </w:rPr>
        <w:fldChar w:fldCharType="end"/>
      </w:r>
      <w:r w:rsidR="003B1308">
        <w:rPr>
          <w:rFonts w:ascii="Times New Roman" w:hAnsi="Times New Roman" w:cs="Times New Roman"/>
          <w:bCs/>
          <w:color w:val="000000"/>
          <w:sz w:val="24"/>
          <w:szCs w:val="24"/>
        </w:rPr>
        <w:t xml:space="preserve">, </w:t>
      </w:r>
      <w:r w:rsidRPr="005F44EF">
        <w:rPr>
          <w:rFonts w:ascii="Times New Roman" w:hAnsi="Times New Roman" w:cs="Times New Roman"/>
          <w:bCs/>
          <w:color w:val="000000"/>
          <w:sz w:val="24"/>
          <w:szCs w:val="24"/>
        </w:rPr>
        <w:t>CAM was applied to all samples for age calculation purposes.</w:t>
      </w:r>
      <w:r w:rsidR="00445AE2" w:rsidRPr="005F44EF">
        <w:rPr>
          <w:rFonts w:ascii="Times New Roman" w:hAnsi="Times New Roman" w:cs="Times New Roman"/>
          <w:bCs/>
          <w:color w:val="000000"/>
          <w:sz w:val="24"/>
          <w:szCs w:val="24"/>
        </w:rPr>
        <w:t xml:space="preserve"> </w:t>
      </w:r>
    </w:p>
    <w:p w14:paraId="21EB22F3" w14:textId="3EE16F38" w:rsidR="00502BE8" w:rsidRPr="005F44EF" w:rsidRDefault="00502BE8" w:rsidP="00734D8F">
      <w:pPr>
        <w:spacing w:after="0" w:line="276" w:lineRule="auto"/>
        <w:jc w:val="both"/>
        <w:rPr>
          <w:rFonts w:ascii="Times New Roman" w:hAnsi="Times New Roman" w:cs="Times New Roman"/>
          <w:bCs/>
          <w:i/>
          <w:color w:val="000000"/>
          <w:sz w:val="24"/>
          <w:szCs w:val="24"/>
          <w:u w:val="single"/>
          <w:shd w:val="clear" w:color="auto" w:fill="FFFFFF"/>
        </w:rPr>
      </w:pPr>
    </w:p>
    <w:p w14:paraId="696BF426" w14:textId="77777777" w:rsidR="00502BE8" w:rsidRPr="005F44EF" w:rsidRDefault="00502BE8" w:rsidP="00734D8F">
      <w:pPr>
        <w:spacing w:after="0" w:line="276" w:lineRule="auto"/>
        <w:jc w:val="both"/>
        <w:rPr>
          <w:rFonts w:ascii="Times New Roman" w:hAnsi="Times New Roman" w:cs="Times New Roman"/>
          <w:bCs/>
          <w:i/>
          <w:color w:val="000000"/>
          <w:sz w:val="24"/>
          <w:szCs w:val="24"/>
          <w:u w:val="single"/>
          <w:shd w:val="clear" w:color="auto" w:fill="FFFFFF"/>
        </w:rPr>
      </w:pPr>
    </w:p>
    <w:p w14:paraId="50D0FA2D" w14:textId="187E4C38" w:rsidR="00651103" w:rsidRDefault="00651103" w:rsidP="00734D8F">
      <w:pPr>
        <w:spacing w:after="0" w:line="276" w:lineRule="auto"/>
        <w:jc w:val="both"/>
        <w:rPr>
          <w:rFonts w:ascii="Times New Roman" w:hAnsi="Times New Roman" w:cs="Times New Roman"/>
          <w:bCs/>
          <w:color w:val="000000"/>
          <w:sz w:val="24"/>
          <w:szCs w:val="24"/>
          <w:shd w:val="clear" w:color="auto" w:fill="FFFFFF"/>
        </w:rPr>
      </w:pPr>
      <w:bookmarkStart w:id="78" w:name="_Hlk171425335"/>
    </w:p>
    <w:p w14:paraId="403ED1CB" w14:textId="102A1D9D" w:rsidR="003B1308" w:rsidRDefault="003B1308" w:rsidP="00734D8F">
      <w:pPr>
        <w:spacing w:after="0" w:line="276" w:lineRule="auto"/>
        <w:jc w:val="both"/>
        <w:rPr>
          <w:rFonts w:ascii="Times New Roman" w:hAnsi="Times New Roman" w:cs="Times New Roman"/>
          <w:bCs/>
          <w:color w:val="000000"/>
          <w:sz w:val="24"/>
          <w:szCs w:val="24"/>
          <w:shd w:val="clear" w:color="auto" w:fill="FFFFFF"/>
        </w:rPr>
      </w:pPr>
    </w:p>
    <w:p w14:paraId="3ABEBEA4" w14:textId="682F3BB3" w:rsidR="003B1308" w:rsidRDefault="003B1308" w:rsidP="00734D8F">
      <w:pPr>
        <w:spacing w:after="0" w:line="276" w:lineRule="auto"/>
        <w:jc w:val="both"/>
        <w:rPr>
          <w:rFonts w:ascii="Times New Roman" w:hAnsi="Times New Roman" w:cs="Times New Roman"/>
          <w:bCs/>
          <w:color w:val="000000"/>
          <w:sz w:val="24"/>
          <w:szCs w:val="24"/>
          <w:shd w:val="clear" w:color="auto" w:fill="FFFFFF"/>
        </w:rPr>
      </w:pPr>
    </w:p>
    <w:p w14:paraId="77123903" w14:textId="74B158D4" w:rsidR="003B1308" w:rsidRDefault="003B1308" w:rsidP="00734D8F">
      <w:pPr>
        <w:spacing w:after="0" w:line="276" w:lineRule="auto"/>
        <w:jc w:val="both"/>
        <w:rPr>
          <w:rFonts w:ascii="Times New Roman" w:hAnsi="Times New Roman" w:cs="Times New Roman"/>
          <w:bCs/>
          <w:color w:val="000000"/>
          <w:sz w:val="24"/>
          <w:szCs w:val="24"/>
          <w:shd w:val="clear" w:color="auto" w:fill="FFFFFF"/>
        </w:rPr>
      </w:pPr>
    </w:p>
    <w:p w14:paraId="52A9AD8F" w14:textId="22EFFAA1" w:rsidR="003B1308" w:rsidRDefault="003B1308" w:rsidP="00734D8F">
      <w:pPr>
        <w:spacing w:after="0" w:line="276" w:lineRule="auto"/>
        <w:jc w:val="both"/>
        <w:rPr>
          <w:rFonts w:ascii="Times New Roman" w:hAnsi="Times New Roman" w:cs="Times New Roman"/>
          <w:bCs/>
          <w:color w:val="000000"/>
          <w:sz w:val="24"/>
          <w:szCs w:val="24"/>
          <w:shd w:val="clear" w:color="auto" w:fill="FFFFFF"/>
        </w:rPr>
      </w:pPr>
    </w:p>
    <w:p w14:paraId="6B6EB373" w14:textId="6841B790" w:rsidR="003B1308" w:rsidRDefault="003B1308" w:rsidP="00734D8F">
      <w:pPr>
        <w:spacing w:after="0" w:line="276" w:lineRule="auto"/>
        <w:jc w:val="both"/>
        <w:rPr>
          <w:rFonts w:ascii="Times New Roman" w:hAnsi="Times New Roman" w:cs="Times New Roman"/>
          <w:bCs/>
          <w:color w:val="000000"/>
          <w:sz w:val="24"/>
          <w:szCs w:val="24"/>
          <w:shd w:val="clear" w:color="auto" w:fill="FFFFFF"/>
        </w:rPr>
      </w:pPr>
    </w:p>
    <w:p w14:paraId="3C2BF9B6" w14:textId="26FC5FE0" w:rsidR="003B1308" w:rsidRDefault="003B1308" w:rsidP="00734D8F">
      <w:pPr>
        <w:spacing w:after="0" w:line="276" w:lineRule="auto"/>
        <w:jc w:val="both"/>
        <w:rPr>
          <w:rFonts w:ascii="Times New Roman" w:hAnsi="Times New Roman" w:cs="Times New Roman"/>
          <w:bCs/>
          <w:color w:val="000000"/>
          <w:sz w:val="24"/>
          <w:szCs w:val="24"/>
          <w:shd w:val="clear" w:color="auto" w:fill="FFFFFF"/>
        </w:rPr>
      </w:pPr>
    </w:p>
    <w:p w14:paraId="3AF6DEDB" w14:textId="2BC31FEC" w:rsidR="003B1308" w:rsidRDefault="003B1308" w:rsidP="00734D8F">
      <w:pPr>
        <w:spacing w:after="0" w:line="276" w:lineRule="auto"/>
        <w:jc w:val="both"/>
        <w:rPr>
          <w:rFonts w:ascii="Times New Roman" w:hAnsi="Times New Roman" w:cs="Times New Roman"/>
          <w:bCs/>
          <w:color w:val="000000"/>
          <w:sz w:val="24"/>
          <w:szCs w:val="24"/>
          <w:shd w:val="clear" w:color="auto" w:fill="FFFFFF"/>
        </w:rPr>
      </w:pPr>
    </w:p>
    <w:p w14:paraId="77AC5E06" w14:textId="01F14F8D" w:rsidR="003B1308" w:rsidRDefault="003B1308" w:rsidP="00734D8F">
      <w:pPr>
        <w:spacing w:after="0" w:line="276" w:lineRule="auto"/>
        <w:jc w:val="both"/>
        <w:rPr>
          <w:rFonts w:ascii="Times New Roman" w:hAnsi="Times New Roman" w:cs="Times New Roman"/>
          <w:bCs/>
          <w:color w:val="000000"/>
          <w:sz w:val="24"/>
          <w:szCs w:val="24"/>
          <w:shd w:val="clear" w:color="auto" w:fill="FFFFFF"/>
        </w:rPr>
      </w:pPr>
    </w:p>
    <w:p w14:paraId="2185982F" w14:textId="48D34221" w:rsidR="003B1308" w:rsidRDefault="003B1308" w:rsidP="00734D8F">
      <w:pPr>
        <w:spacing w:after="0" w:line="276" w:lineRule="auto"/>
        <w:jc w:val="both"/>
        <w:rPr>
          <w:rFonts w:ascii="Times New Roman" w:hAnsi="Times New Roman" w:cs="Times New Roman"/>
          <w:bCs/>
          <w:color w:val="000000"/>
          <w:sz w:val="24"/>
          <w:szCs w:val="24"/>
          <w:shd w:val="clear" w:color="auto" w:fill="FFFFFF"/>
        </w:rPr>
      </w:pPr>
    </w:p>
    <w:p w14:paraId="6B9CC560" w14:textId="38B4BA7A" w:rsidR="003B1308" w:rsidRDefault="003B1308" w:rsidP="00734D8F">
      <w:pPr>
        <w:spacing w:after="0" w:line="276" w:lineRule="auto"/>
        <w:jc w:val="both"/>
        <w:rPr>
          <w:rFonts w:ascii="Times New Roman" w:hAnsi="Times New Roman" w:cs="Times New Roman"/>
          <w:bCs/>
          <w:color w:val="000000"/>
          <w:sz w:val="24"/>
          <w:szCs w:val="24"/>
          <w:shd w:val="clear" w:color="auto" w:fill="FFFFFF"/>
        </w:rPr>
      </w:pPr>
    </w:p>
    <w:p w14:paraId="0862ADA5" w14:textId="4AADB75A" w:rsidR="003B1308" w:rsidRDefault="003B1308" w:rsidP="00734D8F">
      <w:pPr>
        <w:spacing w:after="0" w:line="276" w:lineRule="auto"/>
        <w:jc w:val="both"/>
        <w:rPr>
          <w:rFonts w:ascii="Times New Roman" w:hAnsi="Times New Roman" w:cs="Times New Roman"/>
          <w:bCs/>
          <w:color w:val="000000"/>
          <w:sz w:val="24"/>
          <w:szCs w:val="24"/>
          <w:shd w:val="clear" w:color="auto" w:fill="FFFFFF"/>
        </w:rPr>
      </w:pPr>
    </w:p>
    <w:p w14:paraId="055FD8CE" w14:textId="73962F35" w:rsidR="003B1308" w:rsidRDefault="003B1308" w:rsidP="00734D8F">
      <w:pPr>
        <w:spacing w:after="0" w:line="276" w:lineRule="auto"/>
        <w:jc w:val="both"/>
        <w:rPr>
          <w:rFonts w:ascii="Times New Roman" w:hAnsi="Times New Roman" w:cs="Times New Roman"/>
          <w:bCs/>
          <w:color w:val="000000"/>
          <w:sz w:val="24"/>
          <w:szCs w:val="24"/>
          <w:shd w:val="clear" w:color="auto" w:fill="FFFFFF"/>
        </w:rPr>
      </w:pPr>
    </w:p>
    <w:p w14:paraId="639DF3F8" w14:textId="69ACA462" w:rsidR="003B1308" w:rsidRDefault="003B1308" w:rsidP="00734D8F">
      <w:pPr>
        <w:spacing w:after="0" w:line="276" w:lineRule="auto"/>
        <w:jc w:val="both"/>
        <w:rPr>
          <w:rFonts w:ascii="Times New Roman" w:hAnsi="Times New Roman" w:cs="Times New Roman"/>
          <w:bCs/>
          <w:color w:val="000000"/>
          <w:sz w:val="24"/>
          <w:szCs w:val="24"/>
          <w:shd w:val="clear" w:color="auto" w:fill="FFFFFF"/>
        </w:rPr>
      </w:pPr>
    </w:p>
    <w:p w14:paraId="1F2B2935" w14:textId="2096EEA6" w:rsidR="003B1308" w:rsidRDefault="003B1308" w:rsidP="00734D8F">
      <w:pPr>
        <w:spacing w:after="0" w:line="276" w:lineRule="auto"/>
        <w:jc w:val="both"/>
        <w:rPr>
          <w:rFonts w:ascii="Times New Roman" w:hAnsi="Times New Roman" w:cs="Times New Roman"/>
          <w:bCs/>
          <w:color w:val="000000"/>
          <w:sz w:val="24"/>
          <w:szCs w:val="24"/>
          <w:shd w:val="clear" w:color="auto" w:fill="FFFFFF"/>
        </w:rPr>
      </w:pPr>
    </w:p>
    <w:p w14:paraId="594E1984" w14:textId="253DC1BD" w:rsidR="003B1308" w:rsidRDefault="003B1308" w:rsidP="00734D8F">
      <w:pPr>
        <w:spacing w:after="0" w:line="276" w:lineRule="auto"/>
        <w:jc w:val="both"/>
        <w:rPr>
          <w:rFonts w:ascii="Times New Roman" w:hAnsi="Times New Roman" w:cs="Times New Roman"/>
          <w:bCs/>
          <w:color w:val="000000"/>
          <w:sz w:val="24"/>
          <w:szCs w:val="24"/>
          <w:shd w:val="clear" w:color="auto" w:fill="FFFFFF"/>
        </w:rPr>
      </w:pPr>
    </w:p>
    <w:p w14:paraId="4D3E3305" w14:textId="4FA3BAFF" w:rsidR="003B1308" w:rsidRDefault="003B1308" w:rsidP="00734D8F">
      <w:pPr>
        <w:spacing w:after="0" w:line="276" w:lineRule="auto"/>
        <w:jc w:val="both"/>
        <w:rPr>
          <w:rFonts w:ascii="Times New Roman" w:hAnsi="Times New Roman" w:cs="Times New Roman"/>
          <w:bCs/>
          <w:color w:val="000000"/>
          <w:sz w:val="24"/>
          <w:szCs w:val="24"/>
          <w:shd w:val="clear" w:color="auto" w:fill="FFFFFF"/>
        </w:rPr>
      </w:pPr>
    </w:p>
    <w:p w14:paraId="5749B761" w14:textId="69D641D3" w:rsidR="003B1308" w:rsidRDefault="003B1308" w:rsidP="00734D8F">
      <w:pPr>
        <w:spacing w:after="0" w:line="276" w:lineRule="auto"/>
        <w:jc w:val="both"/>
        <w:rPr>
          <w:rFonts w:ascii="Times New Roman" w:hAnsi="Times New Roman" w:cs="Times New Roman"/>
          <w:bCs/>
          <w:color w:val="000000"/>
          <w:sz w:val="24"/>
          <w:szCs w:val="24"/>
          <w:shd w:val="clear" w:color="auto" w:fill="FFFFFF"/>
        </w:rPr>
      </w:pPr>
    </w:p>
    <w:p w14:paraId="5BA827FF" w14:textId="4CDC71F3" w:rsidR="003B1308" w:rsidRDefault="003B1308" w:rsidP="00734D8F">
      <w:pPr>
        <w:spacing w:after="0" w:line="276" w:lineRule="auto"/>
        <w:jc w:val="both"/>
        <w:rPr>
          <w:rFonts w:ascii="Times New Roman" w:hAnsi="Times New Roman" w:cs="Times New Roman"/>
          <w:bCs/>
          <w:color w:val="000000"/>
          <w:sz w:val="24"/>
          <w:szCs w:val="24"/>
          <w:shd w:val="clear" w:color="auto" w:fill="FFFFFF"/>
        </w:rPr>
      </w:pPr>
    </w:p>
    <w:p w14:paraId="400C6400" w14:textId="52F213D2" w:rsidR="003B1308" w:rsidRDefault="003B1308" w:rsidP="00734D8F">
      <w:pPr>
        <w:spacing w:after="0" w:line="276" w:lineRule="auto"/>
        <w:jc w:val="both"/>
        <w:rPr>
          <w:rFonts w:ascii="Times New Roman" w:hAnsi="Times New Roman" w:cs="Times New Roman"/>
          <w:bCs/>
          <w:color w:val="000000"/>
          <w:sz w:val="24"/>
          <w:szCs w:val="24"/>
          <w:shd w:val="clear" w:color="auto" w:fill="FFFFFF"/>
        </w:rPr>
      </w:pPr>
    </w:p>
    <w:p w14:paraId="2BEF3E4D" w14:textId="2334ACB6" w:rsidR="003B1308" w:rsidRDefault="003B1308" w:rsidP="00734D8F">
      <w:pPr>
        <w:spacing w:after="0" w:line="276" w:lineRule="auto"/>
        <w:jc w:val="both"/>
        <w:rPr>
          <w:rFonts w:ascii="Times New Roman" w:hAnsi="Times New Roman" w:cs="Times New Roman"/>
          <w:bCs/>
          <w:color w:val="000000"/>
          <w:sz w:val="24"/>
          <w:szCs w:val="24"/>
          <w:shd w:val="clear" w:color="auto" w:fill="FFFFFF"/>
        </w:rPr>
      </w:pPr>
    </w:p>
    <w:p w14:paraId="36D27FA2" w14:textId="75D6948D" w:rsidR="003B1308" w:rsidRDefault="003B1308" w:rsidP="00734D8F">
      <w:pPr>
        <w:spacing w:after="0" w:line="276" w:lineRule="auto"/>
        <w:jc w:val="both"/>
        <w:rPr>
          <w:rFonts w:ascii="Times New Roman" w:hAnsi="Times New Roman" w:cs="Times New Roman"/>
          <w:bCs/>
          <w:color w:val="000000"/>
          <w:sz w:val="24"/>
          <w:szCs w:val="24"/>
          <w:shd w:val="clear" w:color="auto" w:fill="FFFFFF"/>
        </w:rPr>
      </w:pPr>
    </w:p>
    <w:p w14:paraId="440DE9FF" w14:textId="00B8BCD8" w:rsidR="003B1308" w:rsidRDefault="003B1308" w:rsidP="00734D8F">
      <w:pPr>
        <w:spacing w:after="0" w:line="276" w:lineRule="auto"/>
        <w:jc w:val="both"/>
        <w:rPr>
          <w:rFonts w:ascii="Times New Roman" w:hAnsi="Times New Roman" w:cs="Times New Roman"/>
          <w:bCs/>
          <w:color w:val="000000"/>
          <w:sz w:val="24"/>
          <w:szCs w:val="24"/>
          <w:shd w:val="clear" w:color="auto" w:fill="FFFFFF"/>
        </w:rPr>
      </w:pPr>
    </w:p>
    <w:p w14:paraId="4A3156FA" w14:textId="7EC3F344" w:rsidR="003B1308" w:rsidRDefault="003B1308" w:rsidP="00734D8F">
      <w:pPr>
        <w:spacing w:after="0" w:line="276" w:lineRule="auto"/>
        <w:jc w:val="both"/>
        <w:rPr>
          <w:rFonts w:ascii="Times New Roman" w:hAnsi="Times New Roman" w:cs="Times New Roman"/>
          <w:bCs/>
          <w:color w:val="000000"/>
          <w:sz w:val="24"/>
          <w:szCs w:val="24"/>
          <w:shd w:val="clear" w:color="auto" w:fill="FFFFFF"/>
        </w:rPr>
      </w:pPr>
    </w:p>
    <w:p w14:paraId="3E587B34" w14:textId="1D20F7CC" w:rsidR="003B1308" w:rsidRDefault="003B1308" w:rsidP="00734D8F">
      <w:pPr>
        <w:spacing w:after="0" w:line="276" w:lineRule="auto"/>
        <w:jc w:val="both"/>
        <w:rPr>
          <w:rFonts w:ascii="Times New Roman" w:hAnsi="Times New Roman" w:cs="Times New Roman"/>
          <w:bCs/>
          <w:color w:val="000000"/>
          <w:sz w:val="24"/>
          <w:szCs w:val="24"/>
          <w:shd w:val="clear" w:color="auto" w:fill="FFFFFF"/>
        </w:rPr>
      </w:pPr>
    </w:p>
    <w:p w14:paraId="14CF19B0" w14:textId="25258CC1" w:rsidR="003B1308" w:rsidRDefault="003B1308" w:rsidP="00734D8F">
      <w:pPr>
        <w:spacing w:after="0" w:line="276" w:lineRule="auto"/>
        <w:jc w:val="both"/>
        <w:rPr>
          <w:rFonts w:ascii="Times New Roman" w:hAnsi="Times New Roman" w:cs="Times New Roman"/>
          <w:bCs/>
          <w:color w:val="000000"/>
          <w:sz w:val="24"/>
          <w:szCs w:val="24"/>
          <w:shd w:val="clear" w:color="auto" w:fill="FFFFFF"/>
        </w:rPr>
      </w:pPr>
    </w:p>
    <w:p w14:paraId="2C957BBE" w14:textId="68462F13" w:rsidR="003B1308" w:rsidRDefault="003B1308" w:rsidP="00734D8F">
      <w:pPr>
        <w:spacing w:after="0" w:line="276" w:lineRule="auto"/>
        <w:jc w:val="both"/>
        <w:rPr>
          <w:rFonts w:ascii="Times New Roman" w:hAnsi="Times New Roman" w:cs="Times New Roman"/>
          <w:bCs/>
          <w:color w:val="000000"/>
          <w:sz w:val="24"/>
          <w:szCs w:val="24"/>
          <w:shd w:val="clear" w:color="auto" w:fill="FFFFFF"/>
        </w:rPr>
      </w:pPr>
    </w:p>
    <w:p w14:paraId="6788C909" w14:textId="7681C0FC" w:rsidR="00291CF1" w:rsidRDefault="00291CF1" w:rsidP="00734D8F">
      <w:pPr>
        <w:spacing w:after="0" w:line="276" w:lineRule="auto"/>
        <w:jc w:val="both"/>
        <w:rPr>
          <w:rFonts w:ascii="Times New Roman" w:hAnsi="Times New Roman" w:cs="Times New Roman"/>
          <w:bCs/>
          <w:color w:val="000000"/>
          <w:sz w:val="24"/>
          <w:szCs w:val="24"/>
          <w:shd w:val="clear" w:color="auto" w:fill="FFFFFF"/>
        </w:rPr>
      </w:pPr>
    </w:p>
    <w:p w14:paraId="6AD57D61" w14:textId="77777777" w:rsidR="00291CF1" w:rsidRDefault="00291CF1" w:rsidP="00734D8F">
      <w:pPr>
        <w:spacing w:after="0" w:line="276" w:lineRule="auto"/>
        <w:jc w:val="both"/>
        <w:rPr>
          <w:rFonts w:ascii="Times New Roman" w:hAnsi="Times New Roman" w:cs="Times New Roman"/>
          <w:bCs/>
          <w:color w:val="000000"/>
          <w:sz w:val="24"/>
          <w:szCs w:val="24"/>
          <w:shd w:val="clear" w:color="auto" w:fill="FFFFFF"/>
        </w:rPr>
      </w:pPr>
    </w:p>
    <w:p w14:paraId="60DA63F3" w14:textId="72A93347" w:rsidR="009A20F9" w:rsidRDefault="00772A8A" w:rsidP="009A20F9">
      <w:pPr>
        <w:spacing w:line="276" w:lineRule="auto"/>
        <w:jc w:val="both"/>
        <w:rPr>
          <w:rFonts w:ascii="Times New Roman" w:eastAsia="Times New Roman" w:hAnsi="Times New Roman" w:cs="Times New Roman"/>
          <w:sz w:val="24"/>
          <w:szCs w:val="24"/>
        </w:rPr>
      </w:pPr>
      <w:bookmarkStart w:id="79" w:name="_Hlk170654664"/>
      <w:bookmarkEnd w:id="78"/>
      <w:r w:rsidRPr="005F44EF">
        <w:rPr>
          <w:rFonts w:ascii="Times New Roman" w:eastAsia="Times New Roman" w:hAnsi="Times New Roman" w:cs="Times New Roman"/>
          <w:b/>
          <w:sz w:val="24"/>
          <w:szCs w:val="24"/>
        </w:rPr>
        <w:lastRenderedPageBreak/>
        <w:t>Figure S1</w:t>
      </w:r>
      <w:r w:rsidR="00811824" w:rsidRPr="005F44EF">
        <w:rPr>
          <w:rFonts w:ascii="Times New Roman" w:eastAsia="Times New Roman" w:hAnsi="Times New Roman" w:cs="Times New Roman"/>
          <w:b/>
          <w:sz w:val="24"/>
          <w:szCs w:val="24"/>
        </w:rPr>
        <w:t>2</w:t>
      </w:r>
      <w:r w:rsidRPr="005F44EF">
        <w:rPr>
          <w:rFonts w:ascii="Times New Roman" w:eastAsia="Times New Roman" w:hAnsi="Times New Roman" w:cs="Times New Roman"/>
          <w:b/>
          <w:sz w:val="24"/>
          <w:szCs w:val="24"/>
        </w:rPr>
        <w:t xml:space="preserve">: </w:t>
      </w:r>
      <w:proofErr w:type="spellStart"/>
      <w:r w:rsidRPr="005F44EF">
        <w:rPr>
          <w:rFonts w:ascii="Times New Roman" w:eastAsia="Times New Roman" w:hAnsi="Times New Roman" w:cs="Times New Roman"/>
          <w:sz w:val="24"/>
          <w:szCs w:val="24"/>
        </w:rPr>
        <w:t>Abanico</w:t>
      </w:r>
      <w:proofErr w:type="spellEnd"/>
      <w:r w:rsidRPr="005F44EF">
        <w:rPr>
          <w:rFonts w:ascii="Times New Roman" w:eastAsia="Times New Roman" w:hAnsi="Times New Roman" w:cs="Times New Roman"/>
          <w:sz w:val="24"/>
          <w:szCs w:val="24"/>
        </w:rPr>
        <w:t xml:space="preserve"> plots of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replicate small Single Aliquot (SA) OSL data </w:t>
      </w:r>
      <w:bookmarkEnd w:id="79"/>
      <w:proofErr w:type="spellStart"/>
      <w:r w:rsidRPr="005F44EF">
        <w:rPr>
          <w:rFonts w:ascii="Times New Roman" w:eastAsia="Times New Roman" w:hAnsi="Times New Roman" w:cs="Times New Roman"/>
          <w:sz w:val="24"/>
          <w:szCs w:val="24"/>
        </w:rPr>
        <w:t>centered</w:t>
      </w:r>
      <w:proofErr w:type="spellEnd"/>
      <w:r w:rsidRPr="005F44EF">
        <w:rPr>
          <w:rFonts w:ascii="Times New Roman" w:eastAsia="Times New Roman" w:hAnsi="Times New Roman" w:cs="Times New Roman"/>
          <w:sz w:val="24"/>
          <w:szCs w:val="24"/>
        </w:rPr>
        <w:t xml:space="preserve"> on the Central Age Model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with the grey bar showing the selected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used for age calculation purposes. Open circles indicate aliquots considered as outliers</w:t>
      </w:r>
      <w:r w:rsidR="00F134CE"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{"citationItems":[{"id":"ITEM-1","itemData":{"ISBN":"978-0-471-38491-5","abstract":"Textbook on robust and exploratory data analysis and related statistical methods - covers stem-and-leaf displays, letter values, boxplots and batch graphic displays, resistant lines, analysis of two- way tables by medians, examining residuals, mathematical aspects of transformation, scale estimators, comparison of location estimators, confidence intervals for location, etc. References. 1. Stem-and-leaf displays / John D. Emerson and David C. Hoaglin -- 2. Letter values: a set of selected order statistics / David C. Hoaglin -- 3. Boxplots and batch comparison / John D. Emerson and Judith Strenio -- 4. Transforming data / John D. Emerson and Michael A. Stoto -- 5. Resistant lines for y versus x / John D. Emerson and David C. Hoaglin -- 6. Analysis of two-way tables by medians / John D. Emerson and David C. Hoaglin -- 7. Examining residuals / Colin Goodall -- 8. Mathematical aspects of transformation / John D. Emerson -- 9. Introduction to more refined estimators / David C. Hoaglin, Frederick Mosteller, and John W. Tukey -- 10. Comparing location estimators: trimmed means, medians, and trimean / James L. Rosenberger and Mariam Gasko -- 11. M-estimators of location: an outline of the theory / Colin Goodall -- 12. Robust scales estimators and confidence intervals for location / Boris Iglewicz.","author":[{"dropping-particle":"","family":"Hoaglin","given":"David C.","non-dropping-particle":"","parse-names":false,"suffix":""},{"dropping-particle":"","family":"Mosteller","given":"Frederick","non-dropping-particle":"","parse-names":false,"suffix":""},{"dropping-particle":"","family":"Tukey","given":"John W.","non-dropping-particle":"","parse-names":false,"suffix":""}],"id":"ITEM-1","issued":{"date-parts":[["1983"]]},"number-of-pages":"447","publisher":"Wiley","title":"Understanding robust and exploratory data analysis","type":"book"},"uris":["http://www.mendeley.com/documents/?uuid=10677a27-8153-38a3-897e-6e79c53a7d0f"]}],"mendeley":{"formattedCitation":"&lt;sup&gt;110&lt;/sup&gt;","plainTextFormattedCitation":"110","previouslyFormattedCitation":"&lt;sup&gt;110&lt;/sup&gt;"},"properties":{"noteIndex":0},"schema":"https://github.com/citation-style-language/schema/raw/master/csl-citation.json"}</w:instrText>
      </w:r>
      <w:r w:rsidR="00F134CE"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110</w:t>
      </w:r>
      <w:r w:rsidR="00F134CE" w:rsidRPr="005F44EF">
        <w:rPr>
          <w:rFonts w:ascii="Times New Roman" w:eastAsia="Times New Roman" w:hAnsi="Times New Roman" w:cs="Times New Roman"/>
          <w:sz w:val="24"/>
          <w:szCs w:val="24"/>
        </w:rPr>
        <w:fldChar w:fldCharType="end"/>
      </w:r>
      <w:r w:rsidR="00445AE2"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 xml:space="preserve">(see text for details). </w:t>
      </w:r>
      <w:r w:rsidR="009A20F9">
        <w:rPr>
          <w:rFonts w:ascii="Times New Roman" w:eastAsia="Times New Roman" w:hAnsi="Times New Roman" w:cs="Times New Roman"/>
          <w:sz w:val="24"/>
          <w:szCs w:val="24"/>
        </w:rPr>
        <w:t>Overdispersion (OD) as shown is prior to outlier removal</w:t>
      </w:r>
      <w:r w:rsidR="000017BF">
        <w:rPr>
          <w:rFonts w:ascii="Times New Roman" w:eastAsia="Times New Roman" w:hAnsi="Times New Roman" w:cs="Times New Roman"/>
          <w:sz w:val="24"/>
          <w:szCs w:val="24"/>
        </w:rPr>
        <w:t xml:space="preserve"> </w:t>
      </w:r>
      <w:r w:rsidR="000017BF" w:rsidRPr="000017BF">
        <w:rPr>
          <w:rFonts w:ascii="Times New Roman" w:eastAsia="Times New Roman" w:hAnsi="Times New Roman" w:cs="Times New Roman"/>
          <w:sz w:val="24"/>
          <w:szCs w:val="24"/>
        </w:rPr>
        <w:t xml:space="preserve">and grey bar shows the 2 standard error </w:t>
      </w:r>
      <w:proofErr w:type="gramStart"/>
      <w:r w:rsidR="000017BF" w:rsidRPr="000017BF">
        <w:rPr>
          <w:rFonts w:ascii="Times New Roman" w:eastAsia="Times New Roman" w:hAnsi="Times New Roman" w:cs="Times New Roman"/>
          <w:sz w:val="24"/>
          <w:szCs w:val="24"/>
        </w:rPr>
        <w:t>estimate</w:t>
      </w:r>
      <w:proofErr w:type="gramEnd"/>
      <w:r w:rsidR="000017BF" w:rsidRPr="000017BF">
        <w:rPr>
          <w:rFonts w:ascii="Times New Roman" w:eastAsia="Times New Roman" w:hAnsi="Times New Roman" w:cs="Times New Roman"/>
          <w:sz w:val="24"/>
          <w:szCs w:val="24"/>
        </w:rPr>
        <w:t xml:space="preserve"> on the Central Age</w:t>
      </w:r>
      <w:r w:rsidR="00EE4116">
        <w:rPr>
          <w:rFonts w:ascii="Times New Roman" w:eastAsia="Times New Roman" w:hAnsi="Times New Roman" w:cs="Times New Roman"/>
          <w:sz w:val="24"/>
          <w:szCs w:val="24"/>
        </w:rPr>
        <w:t xml:space="preserve"> </w:t>
      </w:r>
      <w:r w:rsidR="000017BF" w:rsidRPr="000017BF">
        <w:rPr>
          <w:rFonts w:ascii="Times New Roman" w:eastAsia="Times New Roman" w:hAnsi="Times New Roman" w:cs="Times New Roman"/>
          <w:sz w:val="24"/>
          <w:szCs w:val="24"/>
        </w:rPr>
        <w:t>D</w:t>
      </w:r>
      <w:r w:rsidR="000017BF" w:rsidRPr="00C753AF">
        <w:rPr>
          <w:rFonts w:ascii="Times New Roman" w:eastAsia="Times New Roman" w:hAnsi="Times New Roman" w:cs="Times New Roman"/>
          <w:sz w:val="24"/>
          <w:szCs w:val="24"/>
          <w:vertAlign w:val="subscript"/>
        </w:rPr>
        <w:t>e</w:t>
      </w:r>
      <w:r w:rsidR="000017BF" w:rsidRPr="000017BF">
        <w:rPr>
          <w:rFonts w:ascii="Times New Roman" w:eastAsia="Times New Roman" w:hAnsi="Times New Roman" w:cs="Times New Roman"/>
          <w:sz w:val="24"/>
          <w:szCs w:val="24"/>
        </w:rPr>
        <w:t>.</w:t>
      </w:r>
    </w:p>
    <w:p w14:paraId="79124526" w14:textId="0568BBC0" w:rsidR="009A20F9" w:rsidRPr="005F44EF" w:rsidRDefault="009A20F9" w:rsidP="003B1308">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AU" w:eastAsia="en-AU"/>
        </w:rPr>
        <w:drawing>
          <wp:inline distT="0" distB="0" distL="0" distR="0" wp14:anchorId="1DF75E1D" wp14:editId="6D7B37C0">
            <wp:extent cx="4665024" cy="7110979"/>
            <wp:effectExtent l="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nyama Fig S1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676888" cy="7129063"/>
                    </a:xfrm>
                    <a:prstGeom prst="rect">
                      <a:avLst/>
                    </a:prstGeom>
                  </pic:spPr>
                </pic:pic>
              </a:graphicData>
            </a:graphic>
          </wp:inline>
        </w:drawing>
      </w:r>
    </w:p>
    <w:p w14:paraId="3D381BA4" w14:textId="6DFC3A74" w:rsidR="000017BF" w:rsidRPr="000017BF" w:rsidRDefault="00772A8A" w:rsidP="00C753AF">
      <w:pPr>
        <w:spacing w:line="276" w:lineRule="auto"/>
        <w:jc w:val="both"/>
        <w:rPr>
          <w:rFonts w:ascii="Times New Roman" w:eastAsia="Times New Roman" w:hAnsi="Times New Roman" w:cs="Times New Roman"/>
          <w:sz w:val="24"/>
          <w:szCs w:val="24"/>
        </w:rPr>
      </w:pPr>
      <w:bookmarkStart w:id="80" w:name="_Hlk170654673"/>
      <w:r w:rsidRPr="005F44EF">
        <w:rPr>
          <w:rFonts w:ascii="Times New Roman" w:eastAsia="Times New Roman" w:hAnsi="Times New Roman" w:cs="Times New Roman"/>
          <w:b/>
          <w:sz w:val="24"/>
          <w:szCs w:val="24"/>
        </w:rPr>
        <w:lastRenderedPageBreak/>
        <w:t>Figure S</w:t>
      </w:r>
      <w:r w:rsidR="00811824" w:rsidRPr="005F44EF">
        <w:rPr>
          <w:rFonts w:ascii="Times New Roman" w:eastAsia="Times New Roman" w:hAnsi="Times New Roman" w:cs="Times New Roman"/>
          <w:b/>
          <w:sz w:val="24"/>
          <w:szCs w:val="24"/>
        </w:rPr>
        <w:t>13</w:t>
      </w:r>
      <w:r w:rsidRPr="005F44EF">
        <w:rPr>
          <w:rFonts w:ascii="Times New Roman" w:eastAsia="Times New Roman" w:hAnsi="Times New Roman" w:cs="Times New Roman"/>
          <w:b/>
          <w:sz w:val="24"/>
          <w:szCs w:val="24"/>
        </w:rPr>
        <w:t xml:space="preserve">: </w:t>
      </w:r>
      <w:proofErr w:type="spellStart"/>
      <w:r w:rsidRPr="005F44EF">
        <w:rPr>
          <w:rFonts w:ascii="Times New Roman" w:eastAsia="Times New Roman" w:hAnsi="Times New Roman" w:cs="Times New Roman"/>
          <w:sz w:val="24"/>
          <w:szCs w:val="24"/>
        </w:rPr>
        <w:t>Abanico</w:t>
      </w:r>
      <w:proofErr w:type="spellEnd"/>
      <w:r w:rsidRPr="005F44EF">
        <w:rPr>
          <w:rFonts w:ascii="Times New Roman" w:eastAsia="Times New Roman" w:hAnsi="Times New Roman" w:cs="Times New Roman"/>
          <w:sz w:val="24"/>
          <w:szCs w:val="24"/>
        </w:rPr>
        <w:t xml:space="preserve"> plots of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replicate Single Grain (SG) OSL data </w:t>
      </w:r>
      <w:bookmarkEnd w:id="80"/>
      <w:proofErr w:type="spellStart"/>
      <w:r w:rsidRPr="005F44EF">
        <w:rPr>
          <w:rFonts w:ascii="Times New Roman" w:eastAsia="Times New Roman" w:hAnsi="Times New Roman" w:cs="Times New Roman"/>
          <w:sz w:val="24"/>
          <w:szCs w:val="24"/>
        </w:rPr>
        <w:t>centered</w:t>
      </w:r>
      <w:proofErr w:type="spellEnd"/>
      <w:r w:rsidRPr="005F44EF">
        <w:rPr>
          <w:rFonts w:ascii="Times New Roman" w:eastAsia="Times New Roman" w:hAnsi="Times New Roman" w:cs="Times New Roman"/>
          <w:sz w:val="24"/>
          <w:szCs w:val="24"/>
        </w:rPr>
        <w:t xml:space="preserve"> on the Central Age Model D</w:t>
      </w:r>
      <w:r w:rsidRPr="005F44EF">
        <w:rPr>
          <w:rFonts w:ascii="Times New Roman" w:eastAsia="Times New Roman" w:hAnsi="Times New Roman" w:cs="Times New Roman"/>
          <w:sz w:val="24"/>
          <w:szCs w:val="24"/>
          <w:vertAlign w:val="subscript"/>
        </w:rPr>
        <w:t>e</w:t>
      </w:r>
      <w:r w:rsidRPr="005F44EF">
        <w:rPr>
          <w:rFonts w:ascii="Times New Roman" w:eastAsia="Times New Roman" w:hAnsi="Times New Roman" w:cs="Times New Roman"/>
          <w:sz w:val="24"/>
          <w:szCs w:val="24"/>
        </w:rPr>
        <w:t xml:space="preserve"> also used for age calculation purposes. Open circles indicate aliquots considered as outliers</w:t>
      </w:r>
      <w:r w:rsidR="00F134CE"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{"citationItems":[{"id":"ITEM-1","itemData":{"ISBN":"978-0-471-38491-5","abstract":"Textbook on robust and exploratory data analysis and related statistical methods - covers stem-and-leaf displays, letter values, boxplots and batch graphic displays, resistant lines, analysis of two- way tables by medians, examining residuals, mathematical aspects of transformation, scale estimators, comparison of location estimators, confidence intervals for location, etc. References. 1. Stem-and-leaf displays / John D. Emerson and David C. Hoaglin -- 2. Letter values: a set of selected order statistics / David C. Hoaglin -- 3. Boxplots and batch comparison / John D. Emerson and Judith Strenio -- 4. Transforming data / John D. Emerson and Michael A. Stoto -- 5. Resistant lines for y versus x / John D. Emerson and David C. Hoaglin -- 6. Analysis of two-way tables by medians / John D. Emerson and David C. Hoaglin -- 7. Examining residuals / Colin Goodall -- 8. Mathematical aspects of transformation / John D. Emerson -- 9. Introduction to more refined estimators / David C. Hoaglin, Frederick Mosteller, and John W. Tukey -- 10. Comparing location estimators: trimmed means, medians, and trimean / James L. Rosenberger and Mariam Gasko -- 11. M-estimators of location: an outline of the theory / Colin Goodall -- 12. Robust scales estimators and confidence intervals for location / Boris Iglewicz.","author":[{"dropping-particle":"","family":"Hoaglin","given":"David C.","non-dropping-particle":"","parse-names":false,"suffix":""},{"dropping-particle":"","family":"Mosteller","given":"Frederick","non-dropping-particle":"","parse-names":false,"suffix":""},{"dropping-particle":"","family":"Tukey","given":"John W.","non-dropping-particle":"","parse-names":false,"suffix":""}],"id":"ITEM-1","issued":{"date-parts":[["1983"]]},"number-of-pages":"447","publisher":"Wiley","title":"Understanding robust and exploratory data analysis","type":"book"},"uris":["http://www.mendeley.com/documents/?uuid=10677a27-8153-38a3-897e-6e79c53a7d0f"]}],"mendeley":{"formattedCitation":"&lt;sup&gt;110&lt;/sup&gt;","plainTextFormattedCitation":"110","previouslyFormattedCitation":"&lt;sup&gt;110&lt;/sup&gt;"},"properties":{"noteIndex":0},"schema":"https://github.com/citation-style-language/schema/raw/master/csl-citation.json"}</w:instrText>
      </w:r>
      <w:r w:rsidR="00F134CE"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110</w:t>
      </w:r>
      <w:r w:rsidR="00F134CE" w:rsidRPr="005F44EF">
        <w:rPr>
          <w:rFonts w:ascii="Times New Roman" w:eastAsia="Times New Roman" w:hAnsi="Times New Roman" w:cs="Times New Roman"/>
          <w:sz w:val="24"/>
          <w:szCs w:val="24"/>
        </w:rPr>
        <w:fldChar w:fldCharType="end"/>
      </w:r>
      <w:r w:rsidR="00F134CE"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(see text for details).</w:t>
      </w:r>
      <w:r w:rsidR="009A20F9" w:rsidRPr="009A20F9">
        <w:rPr>
          <w:rFonts w:ascii="Times New Roman" w:eastAsia="Times New Roman" w:hAnsi="Times New Roman" w:cs="Times New Roman"/>
          <w:sz w:val="24"/>
          <w:szCs w:val="24"/>
        </w:rPr>
        <w:t xml:space="preserve"> </w:t>
      </w:r>
      <w:r w:rsidR="009A20F9">
        <w:rPr>
          <w:rFonts w:ascii="Times New Roman" w:eastAsia="Times New Roman" w:hAnsi="Times New Roman" w:cs="Times New Roman"/>
          <w:sz w:val="24"/>
          <w:szCs w:val="24"/>
        </w:rPr>
        <w:t>Overdispersion (OD) as shown is prior to outlier removal</w:t>
      </w:r>
      <w:r w:rsidR="000017BF">
        <w:rPr>
          <w:rFonts w:ascii="Times New Roman" w:eastAsia="Times New Roman" w:hAnsi="Times New Roman" w:cs="Times New Roman"/>
          <w:sz w:val="24"/>
          <w:szCs w:val="24"/>
        </w:rPr>
        <w:t xml:space="preserve"> </w:t>
      </w:r>
      <w:r w:rsidR="000017BF" w:rsidRPr="00C753AF">
        <w:rPr>
          <w:rFonts w:ascii="Times New Roman" w:hAnsi="Times New Roman" w:cs="Times New Roman"/>
          <w:sz w:val="24"/>
          <w:szCs w:val="24"/>
        </w:rPr>
        <w:t>and grey bar shows the 2 standard error estimate on the Central Age</w:t>
      </w:r>
      <w:r w:rsidR="00EE4116">
        <w:rPr>
          <w:rFonts w:ascii="Times New Roman" w:hAnsi="Times New Roman" w:cs="Times New Roman"/>
          <w:sz w:val="24"/>
          <w:szCs w:val="24"/>
        </w:rPr>
        <w:t xml:space="preserve"> </w:t>
      </w:r>
      <w:proofErr w:type="gramStart"/>
      <w:r w:rsidR="000017BF" w:rsidRPr="00C753AF">
        <w:rPr>
          <w:rFonts w:ascii="Times New Roman" w:hAnsi="Times New Roman" w:cs="Times New Roman"/>
          <w:sz w:val="24"/>
          <w:szCs w:val="24"/>
        </w:rPr>
        <w:t>D</w:t>
      </w:r>
      <w:r w:rsidR="000017BF" w:rsidRPr="00C753AF">
        <w:rPr>
          <w:rFonts w:ascii="Times New Roman" w:hAnsi="Times New Roman" w:cs="Times New Roman"/>
          <w:sz w:val="24"/>
          <w:szCs w:val="24"/>
          <w:vertAlign w:val="subscript"/>
        </w:rPr>
        <w:t>e.</w:t>
      </w:r>
      <w:r w:rsidR="009A20F9" w:rsidRPr="000017BF">
        <w:rPr>
          <w:rFonts w:ascii="Times New Roman" w:eastAsia="Times New Roman" w:hAnsi="Times New Roman" w:cs="Times New Roman"/>
          <w:sz w:val="24"/>
          <w:szCs w:val="24"/>
        </w:rPr>
        <w:t>.</w:t>
      </w:r>
      <w:proofErr w:type="gramEnd"/>
    </w:p>
    <w:p w14:paraId="1417B9AD" w14:textId="63D9FFD3" w:rsidR="009A20F9" w:rsidRPr="005F44EF" w:rsidRDefault="009A20F9" w:rsidP="003B1308">
      <w:pPr>
        <w:spacing w:line="276" w:lineRule="auto"/>
        <w:jc w:val="center"/>
        <w:rPr>
          <w:rFonts w:ascii="Times New Roman" w:eastAsia="Times New Roman" w:hAnsi="Times New Roman" w:cs="Times New Roman"/>
          <w:sz w:val="24"/>
          <w:szCs w:val="24"/>
        </w:rPr>
        <w:sectPr w:rsidR="009A20F9" w:rsidRPr="005F44EF">
          <w:pgSz w:w="12240" w:h="15840"/>
          <w:pgMar w:top="1417" w:right="1417" w:bottom="1134" w:left="1417" w:header="720" w:footer="720" w:gutter="0"/>
          <w:lnNumType w:countBy="1" w:restart="continuous"/>
          <w:cols w:space="720"/>
        </w:sectPr>
      </w:pPr>
      <w:r>
        <w:rPr>
          <w:rFonts w:ascii="Times New Roman" w:eastAsia="Times New Roman" w:hAnsi="Times New Roman" w:cs="Times New Roman"/>
          <w:noProof/>
          <w:sz w:val="24"/>
          <w:szCs w:val="24"/>
          <w:lang w:val="en-AU" w:eastAsia="en-AU"/>
        </w:rPr>
        <w:drawing>
          <wp:inline distT="0" distB="0" distL="0" distR="0" wp14:anchorId="24AC2D0F" wp14:editId="3C21886B">
            <wp:extent cx="4613186" cy="743769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nyama Fig S13(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628893" cy="7463019"/>
                    </a:xfrm>
                    <a:prstGeom prst="rect">
                      <a:avLst/>
                    </a:prstGeom>
                  </pic:spPr>
                </pic:pic>
              </a:graphicData>
            </a:graphic>
          </wp:inline>
        </w:drawing>
      </w:r>
    </w:p>
    <w:p w14:paraId="3B2C0E8C" w14:textId="3C4F4AB4" w:rsidR="00651103" w:rsidRPr="005F44EF" w:rsidRDefault="00651103" w:rsidP="00651103">
      <w:pPr>
        <w:pStyle w:val="ListParagraph"/>
        <w:numPr>
          <w:ilvl w:val="2"/>
          <w:numId w:val="10"/>
        </w:numPr>
        <w:spacing w:after="0" w:line="276" w:lineRule="auto"/>
        <w:jc w:val="both"/>
        <w:rPr>
          <w:rFonts w:ascii="Times New Roman" w:eastAsia="Times New Roman" w:hAnsi="Times New Roman" w:cs="Times New Roman"/>
          <w:color w:val="000000"/>
          <w:sz w:val="24"/>
          <w:szCs w:val="24"/>
          <w:lang w:val="en-US"/>
        </w:rPr>
      </w:pPr>
      <w:bookmarkStart w:id="81" w:name="_Hlk171617589"/>
      <w:r w:rsidRPr="005F44EF">
        <w:rPr>
          <w:rFonts w:ascii="Times New Roman" w:eastAsia="Times New Roman" w:hAnsi="Times New Roman" w:cs="Times New Roman"/>
          <w:color w:val="000000"/>
          <w:sz w:val="24"/>
          <w:szCs w:val="24"/>
          <w:lang w:val="en-US"/>
        </w:rPr>
        <w:lastRenderedPageBreak/>
        <w:t>Comparison between SA-OSL, SG-OSL and ESR chronologies for Bété I sequence</w:t>
      </w:r>
    </w:p>
    <w:bookmarkEnd w:id="81"/>
    <w:p w14:paraId="4F90B9C5" w14:textId="77777777" w:rsidR="00651103" w:rsidRPr="005F44EF" w:rsidRDefault="00651103" w:rsidP="00651103">
      <w:pPr>
        <w:spacing w:after="0" w:line="276" w:lineRule="auto"/>
        <w:jc w:val="both"/>
        <w:rPr>
          <w:rFonts w:ascii="Times New Roman" w:eastAsia="Times New Roman" w:hAnsi="Times New Roman" w:cs="Times New Roman"/>
          <w:sz w:val="24"/>
          <w:szCs w:val="24"/>
        </w:rPr>
      </w:pPr>
    </w:p>
    <w:p w14:paraId="57B0483C" w14:textId="5FE30AEE" w:rsidR="00445AE2" w:rsidRPr="005F44EF" w:rsidRDefault="00445AE2" w:rsidP="00771C04">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SA-OSL</w:t>
      </w:r>
      <w:r w:rsidR="00A1325D"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 xml:space="preserve">SG-OSL and </w:t>
      </w:r>
      <w:r w:rsidR="0026651E" w:rsidRPr="005F44EF">
        <w:rPr>
          <w:rFonts w:ascii="Times New Roman" w:eastAsia="Times New Roman" w:hAnsi="Times New Roman" w:cs="Times New Roman"/>
          <w:sz w:val="24"/>
          <w:szCs w:val="24"/>
        </w:rPr>
        <w:t>Multi-grain (MG)-MC-</w:t>
      </w:r>
      <w:r w:rsidR="00651103" w:rsidRPr="005F44EF">
        <w:rPr>
          <w:rFonts w:ascii="Times New Roman" w:eastAsia="Times New Roman" w:hAnsi="Times New Roman" w:cs="Times New Roman"/>
          <w:sz w:val="24"/>
          <w:szCs w:val="24"/>
        </w:rPr>
        <w:t xml:space="preserve">ESR age estimates presented in </w:t>
      </w:r>
      <w:r w:rsidR="00651103" w:rsidRPr="005F44EF">
        <w:rPr>
          <w:rFonts w:ascii="Times New Roman" w:eastAsia="Times New Roman" w:hAnsi="Times New Roman" w:cs="Times New Roman"/>
          <w:b/>
          <w:sz w:val="24"/>
          <w:szCs w:val="24"/>
        </w:rPr>
        <w:t>Table S</w:t>
      </w:r>
      <w:r w:rsidRPr="005F44EF">
        <w:rPr>
          <w:rFonts w:ascii="Times New Roman" w:eastAsia="Times New Roman" w:hAnsi="Times New Roman" w:cs="Times New Roman"/>
          <w:b/>
          <w:sz w:val="24"/>
          <w:szCs w:val="24"/>
        </w:rPr>
        <w:t>8</w:t>
      </w:r>
      <w:r w:rsidR="00651103" w:rsidRPr="005F44EF">
        <w:rPr>
          <w:rFonts w:ascii="Times New Roman" w:eastAsia="Times New Roman" w:hAnsi="Times New Roman" w:cs="Times New Roman"/>
          <w:b/>
          <w:sz w:val="24"/>
          <w:szCs w:val="24"/>
        </w:rPr>
        <w:t xml:space="preserve"> </w:t>
      </w:r>
      <w:r w:rsidRPr="005F44EF">
        <w:rPr>
          <w:rFonts w:ascii="Times New Roman" w:eastAsia="Times New Roman" w:hAnsi="Times New Roman" w:cs="Times New Roman"/>
          <w:sz w:val="24"/>
          <w:szCs w:val="24"/>
        </w:rPr>
        <w:t>and</w:t>
      </w:r>
      <w:r w:rsidRPr="005F44EF">
        <w:rPr>
          <w:rFonts w:ascii="Times New Roman" w:eastAsia="Times New Roman" w:hAnsi="Times New Roman" w:cs="Times New Roman"/>
          <w:b/>
          <w:sz w:val="24"/>
          <w:szCs w:val="24"/>
        </w:rPr>
        <w:t xml:space="preserve"> Table S9 </w:t>
      </w:r>
      <w:r w:rsidR="00651103" w:rsidRPr="005F44EF">
        <w:rPr>
          <w:rFonts w:ascii="Times New Roman" w:eastAsia="Times New Roman" w:hAnsi="Times New Roman" w:cs="Times New Roman"/>
          <w:sz w:val="24"/>
          <w:szCs w:val="24"/>
        </w:rPr>
        <w:t>were calculated using the D</w:t>
      </w:r>
      <w:r w:rsidR="00651103" w:rsidRPr="005F44EF">
        <w:rPr>
          <w:rFonts w:ascii="Times New Roman" w:eastAsia="Times New Roman" w:hAnsi="Times New Roman" w:cs="Times New Roman"/>
          <w:sz w:val="24"/>
          <w:szCs w:val="24"/>
          <w:vertAlign w:val="subscript"/>
        </w:rPr>
        <w:t>e</w:t>
      </w:r>
      <w:r w:rsidR="00651103" w:rsidRPr="005F44EF">
        <w:rPr>
          <w:rFonts w:ascii="Times New Roman" w:eastAsia="Times New Roman" w:hAnsi="Times New Roman" w:cs="Times New Roman"/>
          <w:sz w:val="24"/>
          <w:szCs w:val="24"/>
        </w:rPr>
        <w:t xml:space="preserve"> values derived from </w:t>
      </w:r>
      <w:r w:rsidR="00A1325D" w:rsidRPr="005F44EF">
        <w:rPr>
          <w:rFonts w:ascii="Times New Roman" w:eastAsia="Times New Roman" w:hAnsi="Times New Roman" w:cs="Times New Roman"/>
          <w:sz w:val="24"/>
          <w:szCs w:val="24"/>
        </w:rPr>
        <w:t xml:space="preserve">SA and SG measurements and from </w:t>
      </w:r>
      <w:r w:rsidR="00651103" w:rsidRPr="005F44EF">
        <w:rPr>
          <w:rFonts w:ascii="Times New Roman" w:eastAsia="Times New Roman" w:hAnsi="Times New Roman" w:cs="Times New Roman"/>
          <w:sz w:val="24"/>
          <w:szCs w:val="24"/>
        </w:rPr>
        <w:t xml:space="preserve">both the Al and Ti-H </w:t>
      </w:r>
      <w:r w:rsidR="00F325DB">
        <w:rPr>
          <w:rFonts w:ascii="Times New Roman" w:eastAsia="Times New Roman" w:hAnsi="Times New Roman" w:cs="Times New Roman"/>
          <w:sz w:val="24"/>
          <w:szCs w:val="24"/>
        </w:rPr>
        <w:t>signals</w:t>
      </w:r>
      <w:r w:rsidR="002E1AC5" w:rsidRPr="005F44EF">
        <w:rPr>
          <w:rFonts w:ascii="Times New Roman" w:eastAsia="Times New Roman" w:hAnsi="Times New Roman" w:cs="Times New Roman"/>
          <w:sz w:val="24"/>
          <w:szCs w:val="24"/>
        </w:rPr>
        <w:t>.</w:t>
      </w:r>
      <w:r w:rsidR="00F24010">
        <w:rPr>
          <w:rFonts w:ascii="Times New Roman" w:eastAsia="Times New Roman" w:hAnsi="Times New Roman" w:cs="Times New Roman"/>
          <w:sz w:val="24"/>
          <w:szCs w:val="24"/>
        </w:rPr>
        <w:t xml:space="preserve"> </w:t>
      </w:r>
      <w:r w:rsidR="002E1AC5" w:rsidRPr="005F44EF">
        <w:rPr>
          <w:rFonts w:ascii="Times New Roman" w:eastAsia="Times New Roman" w:hAnsi="Times New Roman" w:cs="Times New Roman"/>
          <w:sz w:val="24"/>
          <w:szCs w:val="24"/>
        </w:rPr>
        <w:t>G</w:t>
      </w:r>
      <w:r w:rsidR="00651103" w:rsidRPr="005F44EF">
        <w:rPr>
          <w:rFonts w:ascii="Times New Roman" w:eastAsia="Times New Roman" w:hAnsi="Times New Roman" w:cs="Times New Roman"/>
          <w:sz w:val="24"/>
          <w:szCs w:val="24"/>
        </w:rPr>
        <w:t>amma, beta and alpha dose rate</w:t>
      </w:r>
      <w:r w:rsidR="002E1AC5" w:rsidRPr="005F44EF">
        <w:rPr>
          <w:rFonts w:ascii="Times New Roman" w:eastAsia="Times New Roman" w:hAnsi="Times New Roman" w:cs="Times New Roman"/>
          <w:sz w:val="24"/>
          <w:szCs w:val="24"/>
        </w:rPr>
        <w:t>s</w:t>
      </w:r>
      <w:r w:rsidR="00651103" w:rsidRPr="005F44EF">
        <w:rPr>
          <w:rFonts w:ascii="Times New Roman" w:eastAsia="Times New Roman" w:hAnsi="Times New Roman" w:cs="Times New Roman"/>
          <w:sz w:val="24"/>
          <w:szCs w:val="24"/>
        </w:rPr>
        <w:t xml:space="preserve"> derived from ICP-MS and </w:t>
      </w:r>
      <w:r w:rsidR="00651103" w:rsidRPr="005F44EF">
        <w:rPr>
          <w:rFonts w:ascii="Times New Roman" w:eastAsia="Times New Roman" w:hAnsi="Times New Roman" w:cs="Times New Roman"/>
          <w:sz w:val="24"/>
          <w:szCs w:val="24"/>
          <w:highlight w:val="white"/>
        </w:rPr>
        <w:t>HRGS data</w:t>
      </w:r>
      <w:r w:rsidR="00651103" w:rsidRPr="005F44EF">
        <w:rPr>
          <w:rFonts w:ascii="Times New Roman" w:eastAsia="Times New Roman" w:hAnsi="Times New Roman" w:cs="Times New Roman"/>
          <w:sz w:val="24"/>
          <w:szCs w:val="24"/>
        </w:rPr>
        <w:t>. The calculated dose rates rang</w:t>
      </w:r>
      <w:r w:rsidR="002E1AC5" w:rsidRPr="005F44EF">
        <w:rPr>
          <w:rFonts w:ascii="Times New Roman" w:eastAsia="Times New Roman" w:hAnsi="Times New Roman" w:cs="Times New Roman"/>
          <w:sz w:val="24"/>
          <w:szCs w:val="24"/>
        </w:rPr>
        <w:t>e</w:t>
      </w:r>
      <w:r w:rsidR="00651103" w:rsidRPr="005F44EF">
        <w:rPr>
          <w:rFonts w:ascii="Times New Roman" w:eastAsia="Times New Roman" w:hAnsi="Times New Roman" w:cs="Times New Roman"/>
          <w:sz w:val="24"/>
          <w:szCs w:val="24"/>
        </w:rPr>
        <w:t xml:space="preserve"> from 917±48 and 1385±53 μGy/ka. </w:t>
      </w:r>
    </w:p>
    <w:p w14:paraId="4962CFB8" w14:textId="7D007F10" w:rsidR="00651103" w:rsidRPr="005F44EF" w:rsidRDefault="00651103" w:rsidP="00771C04">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The Al ESR ages range from 684±218 ka to 1242±232 ka and are systematically older than the corresponding Ti-</w:t>
      </w:r>
      <w:r w:rsidR="006752E6">
        <w:rPr>
          <w:rFonts w:ascii="Times New Roman" w:eastAsia="Times New Roman" w:hAnsi="Times New Roman" w:cs="Times New Roman"/>
          <w:sz w:val="24"/>
          <w:szCs w:val="24"/>
        </w:rPr>
        <w:t>mix</w:t>
      </w:r>
      <w:r w:rsidRPr="005F44EF">
        <w:rPr>
          <w:rFonts w:ascii="Times New Roman" w:eastAsia="Times New Roman" w:hAnsi="Times New Roman" w:cs="Times New Roman"/>
          <w:sz w:val="24"/>
          <w:szCs w:val="24"/>
        </w:rPr>
        <w:t xml:space="preserve"> ESR ages (from 458±30 ka to 1033±111 ka) and older than the Ti-H ESR ages, from 44±19 ka to 227±68 ka. The ages obtained from the more rapidly and completely bleached Ti-H signal are considered to </w:t>
      </w:r>
      <w:r w:rsidR="0026651E" w:rsidRPr="005F44EF">
        <w:rPr>
          <w:rFonts w:ascii="Times New Roman" w:eastAsia="Times New Roman" w:hAnsi="Times New Roman" w:cs="Times New Roman"/>
          <w:sz w:val="24"/>
          <w:szCs w:val="24"/>
        </w:rPr>
        <w:t xml:space="preserve">yield </w:t>
      </w:r>
      <w:r w:rsidRPr="005F44EF">
        <w:rPr>
          <w:rFonts w:ascii="Times New Roman" w:eastAsia="Times New Roman" w:hAnsi="Times New Roman" w:cs="Times New Roman"/>
          <w:sz w:val="24"/>
          <w:szCs w:val="24"/>
        </w:rPr>
        <w:t>the closest estimate of the true burial age for the deposits</w:t>
      </w:r>
      <w:r w:rsidR="00520789">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{"citationItems":[{"id":"ITEM-1","itemData":{"DOI":"10.1016/j.quageo.2016.09.006","ISSN":"18711014","abstract":"Electron spin resonance (ESR) dating of optically bleached quartz grains was performed on three sediment samples collected from the Middle Palaeolithic site of Cuesta de la Bajada (Spain). A standard multiple grain and multiple aliquot additive dose procedure was employed, and both the Al and Ti centres were measured as part of the multiple centres approach. ESR age estimates obtained for the three samples indicate that the Al centre provides a maximum possible chronology, as the Ti centres show that the Al signal was likely not systematically reset to its residual level during sediment transport. A direct comparison between ESR ages based on the Ti centres and single grain optically stimulated luminescence (OSL) ages from samples collected nearby shows broadly consistent results. The Ti-H centre also appears to provide suitable chronologies for at least two of the three Middle Pleistocene samples studied here. Surprisingly, the only sample showing consistent ESR ages between the Al and Ti centres appears to be overestimated in comparison with the Ti-centre and OSL ages derived from the other two samples. This indicates either incomplete bleaching of both the Al and Ti centres for this sample, or unexpected impacts of other sources of De uncertainty, such as multi-grain averaging effects. The ESR dating results overall indicate that the archaeological sequence of Cuesta de la Bajada CB-3 is most likely correlated to either MIS 7 or 9.","author":[{"dropping-particle":"","family":"Duval","given":"M.","non-dropping-particle":"","parse-names":false,"suffix":""},{"dropping-particle":"","family":"Arnold","given":"L. J.","non-dropping-particle":"","parse-names":false,"suffix":""},{"dropping-particle":"","family":"Guilarte","given":"V.","non-dropping-particle":"","parse-names":false,"suffix":""},{"dropping-particle":"","family":"Demuro","given":"M.","non-dropping-particle":"","parse-names":false,"suffix":""},{"dropping-particle":"","family":"Santonja","given":"M.","non-dropping-particle":"","parse-names":false,"suffix":""},{"dropping-particle":"","family":"Pérez-González","given":"A.","non-dropping-particle":"","parse-names":false,"suffix":""}],"container-title":"Quaternary Geochronology","id":"ITEM-1","issued":{"date-parts":[["2017","2","1"]]},"page":"82-96","publisher":"Elsevier B.V.","title":"Electron spin resonance dating of optically bleached quartz grains from the Middle Palaeolithic site of Cuesta de la Bajada (Spain) using the multiple centres approach","type":"article-journal","volume":"37"},"uris":["http://www.mendeley.com/documents/?uuid=05080a91-02f2-367f-b73d-7ba53628d02c"]}],"mendeley":{"formattedCitation":"&lt;sup&gt;108&lt;/sup&gt;","plainTextFormattedCitation":"108","previouslyFormattedCitation":"&lt;sup&gt;108&lt;/sup&gt;"},"properties":{"noteIndex":0},"schema":"https://github.com/citation-style-language/schema/raw/master/csl-citation.json"}</w:instrText>
      </w:r>
      <w:r w:rsidR="00520789">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108</w:t>
      </w:r>
      <w:r w:rsidR="00520789">
        <w:rPr>
          <w:rFonts w:ascii="Times New Roman" w:eastAsia="Times New Roman" w:hAnsi="Times New Roman" w:cs="Times New Roman"/>
          <w:sz w:val="24"/>
          <w:szCs w:val="24"/>
        </w:rPr>
        <w:fldChar w:fldCharType="end"/>
      </w:r>
      <w:r w:rsidR="0026651E" w:rsidRPr="005F44EF">
        <w:rPr>
          <w:rFonts w:ascii="Times New Roman" w:eastAsia="Times New Roman" w:hAnsi="Times New Roman" w:cs="Times New Roman"/>
          <w:sz w:val="24"/>
          <w:szCs w:val="24"/>
        </w:rPr>
        <w:t>. Consequently,</w:t>
      </w:r>
      <w:r w:rsidR="00FC79AC" w:rsidRPr="005F44EF">
        <w:rPr>
          <w:rFonts w:ascii="Times New Roman" w:eastAsia="Times New Roman" w:hAnsi="Times New Roman" w:cs="Times New Roman"/>
          <w:sz w:val="24"/>
          <w:szCs w:val="24"/>
        </w:rPr>
        <w:t xml:space="preserve"> </w:t>
      </w:r>
      <w:r w:rsidR="0026651E" w:rsidRPr="005F44EF">
        <w:rPr>
          <w:rFonts w:ascii="Times New Roman" w:eastAsia="Times New Roman" w:hAnsi="Times New Roman" w:cs="Times New Roman"/>
          <w:sz w:val="24"/>
          <w:szCs w:val="24"/>
        </w:rPr>
        <w:t>and in accordance with previous works focused on the last 300 ka</w:t>
      </w:r>
      <w:r w:rsidR="00520789">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{"citationItems":[{"id":"ITEM-1","itemData":{"DOI":"10.1016/j.quaint.2020.03.037","ISSN":"10406182","abstract":"Coastal alluvial fans (CAF) are important geo-archives due to their sensitivity to both tectonic activity and climatic changes. Thus, they can give key insights for geomorphic and sedimentary processes. In this study we test the potential of K-feldspar post infrared-infrared stimulated luminescence (pIR-IRSL) and quartz electron spin resonance (ESR) methods for dating alluvial fan complexes in arid environments. The existing chronological data from marine terraces that interact with CAF make the Atacama Desert in northern Chile an excellent setting for this research. Samples have been collected from alluvial, marine and aeolian sediments embedded in the CAF complexes, allowing evaluation of the different signal properties and bleaching characteristics of the pIR-IRSL and ESR signals over Late Pleistocene time scales. pIR-IRSL dose distributions of clast-rich alluvial fan samples are characterised by higher scatter and demonstrate heterogeneous bleaching, while matrix-rich alluvial fan deposits show rather homogeneous poor bleaching in the dose dispersion as indicated by a modern analogue sample. In contrast, marine and aeolian deposits are homogeneously well bleached, supported by a modern littoral sample. Following the quartz multiple centre (MC) ESR dating approach (Al and Ti centres), bleaching of the different centres prior to deposition has been achieved. While the Ti–H centre provides mostly lower doses than the Ti–Li centre, in most cases the Al centre provides the highest dose values. This pattern is consistent with their respective bleaching kinetics and suggests that the Ti centre signals most likely provide the closest estimate to the true burial dose for samples with doses &gt;200 Gy. ESR and pIR-IRSL ages are consistent at 2σ for the marine, aeolian and clast-rich debris-flow deposits, which is in agreement with existing chronological data in this area. It appears that the mode of sediment transport on alluvial fans, either as matrix- or clast-rich flows, plays an important role in sediment bleaching. While clast-rich alluvial fan deposits are likely better bleached, we cannot exclude insufficient bleaching during matrix-rich alluvial fan flows; our dating results suggest that both pIR-IRSL and ESR dating overestimate the true burial age. The combination of pIR-IRSL and MC ESR dating can be considered as a promising tool for deciphering alluvial fan formation over (Late) Pleistocene time scales.","author":[{"dropping-particle":"","family":"Bartz","given":"Melanie","non-dropping-particle":"","parse-names":false,"suffix":""},{"dropping-particle":"","family":"Duval","given":"Mathieu","non-dropping-particle":"","parse-names":false,"suffix":""},{"dropping-particle":"","family":"Brill","given":"Dominik","non-dropping-particle":"","parse-names":false,"suffix":""},{"dropping-particle":"","family":"Zander","given":"Anja","non-dropping-particle":"","parse-names":false,"suffix":""},{"dropping-particle":"","family":"King","given":"Georgina E.","non-dropping-particle":"","parse-names":false,"suffix":""},{"dropping-particle":"","family":"Rhein","given":"Alexander","non-dropping-particle":"","parse-names":false,"suffix":""},{"dropping-particle":"","family":"Walk","given":"Janek","non-dropping-particle":"","parse-names":false,"suffix":""},{"dropping-particle":"","family":"Stauch","given":"Georg","non-dropping-particle":"","parse-names":false,"suffix":""},{"dropping-particle":"","family":"Lehmkuhl","given":"Frank","non-dropping-particle":"","parse-names":false,"suffix":""},{"dropping-particle":"","family":"Brückner","given":"Helmut","non-dropping-particle":"","parse-names":false,"suffix":""}],"container-title":"Quaternary International","id":"ITEM-1","issue":"April","issued":{"date-parts":[["2020"]]},"page":"124-143","publisher":"Elsevier","title":"Testing the potential of K-feldspar pIR-IRSL and quartz ESR for dating coastal alluvial fan complexes in arid environments","type":"article-journal","volume":"556"},"uris":["http://www.mendeley.com/documents/?uuid=5786b7be-6362-4629-9f74-e75e9b4f62ab"]},{"id":"ITEM-2","itemData":{"DOI":"10.1016/j.quageo.2022.101293","ISSN":"18711014","author":[{"dropping-particle":"","family":"Arous","given":"E.","non-dropping-particle":"Ben","parse-names":false,"suffix":""},{"dropping-particle":"","family":"Duval","given":"M.","non-dropping-particle":"","parse-names":false,"suffix":""},{"dropping-particle":"","family":"Bateman","given":"M.D.","non-dropping-particle":"","parse-names":false,"suffix":""}],"container-title":"Quaternary Geochronology","id":"ITEM-2","issued":{"date-parts":[["2022","4"]]},"page":"101293","title":"ESR dating of optically bleached quartz grains from Plio-Pleistocene to Holocene coastal dune deposits (Wilderness-Knysna area, South Africa): a comparison with luminescence","type":"article-journal"},"uris":["http://www.mendeley.com/documents/?uuid=6238101d-eed2-3279-be56-0e804259f50f"]},{"id":"ITEM-3","itemData":{"DOI":"10.1016/J.QUAGEO.2024.101580","ISSN":"1871-1014","author":[{"dropping-particle":"","family":"Arous","given":"E.","non-dropping-particle":"Ben","parse-names":false,"suffix":""},{"dropping-particle":"","family":"Bateman","given":"M.D.","non-dropping-particle":"","parse-names":false,"suffix":""},{"dropping-particle":"","family":"Duval","given":"M.","non-dropping-particle":"","parse-names":false,"suffix":""}],"container-title":"Quaternary Geochronology","id":"ITEM-3","issued":{"date-parts":[["2024","6","29"]]},"page":"101580","publisher":"Elsevier","title":"Extending the ESR and OSL dating comparison on coastal dune deposits from the Wilderness-Knysna area (South Africa)","type":"article-journal"},"uris":["http://www.mendeley.com/documents/?uuid=00af5db3-e886-3903-9259-f8e81e19c5ea"]},{"id":"ITEM-4","itemData":{"DOI":"10.1016/j.quaint.2020.07.044","ISSN":"10406182","author":[{"dropping-particle":"","family":"Duval","given":"Mathieu","non-dropping-particle":"","parse-names":false,"suffix":""},{"dropping-particle":"","family":"Arnold","given":"Lee J.","non-dropping-particle":"","parse-names":false,"suffix":""},{"dropping-particle":"","family":"Rixhon","given":"Gilles","non-dropping-particle":"","parse-names":false,"suffix":""}],"container-title":"Quaternary International","id":"ITEM-4","issued":{"date-parts":[["2020","8","10"]]},"page":"1-10","publisher":"Elsevier Ltd","title":"Electron spin resonance (ESR) dating in Quaternary studies: evolution, recent advances and applications","type":"article","volume":"556"},"uris":["http://www.mendeley.com/documents/?uuid=258e0414-8ac6-3e4a-b690-46494b64819b"]}],"mendeley":{"formattedCitation":"&lt;sup&gt;88,104,107,109&lt;/sup&gt;","plainTextFormattedCitation":"88,104,107,109","previouslyFormattedCitation":"&lt;sup&gt;88,104,107,109&lt;/sup&gt;"},"properties":{"noteIndex":0},"schema":"https://github.com/citation-style-language/schema/raw/master/csl-citation.json"}</w:instrText>
      </w:r>
      <w:r w:rsidR="00520789">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88,104,107,109</w:t>
      </w:r>
      <w:r w:rsidR="00520789">
        <w:rPr>
          <w:rFonts w:ascii="Times New Roman" w:eastAsia="Times New Roman" w:hAnsi="Times New Roman" w:cs="Times New Roman"/>
          <w:sz w:val="24"/>
          <w:szCs w:val="24"/>
        </w:rPr>
        <w:fldChar w:fldCharType="end"/>
      </w:r>
      <w:r w:rsidR="00213C3A" w:rsidRPr="005F44EF">
        <w:rPr>
          <w:rFonts w:ascii="Times New Roman" w:eastAsia="Times New Roman" w:hAnsi="Times New Roman" w:cs="Times New Roman"/>
          <w:sz w:val="24"/>
          <w:szCs w:val="24"/>
        </w:rPr>
        <w:t>,</w:t>
      </w:r>
      <w:r w:rsidR="0026651E" w:rsidRPr="005F44EF">
        <w:rPr>
          <w:rFonts w:ascii="Times New Roman" w:eastAsia="Times New Roman" w:hAnsi="Times New Roman" w:cs="Times New Roman"/>
          <w:sz w:val="24"/>
          <w:szCs w:val="24"/>
        </w:rPr>
        <w:t xml:space="preserve"> </w:t>
      </w:r>
      <w:r w:rsidR="00FC79AC" w:rsidRPr="005F44EF">
        <w:rPr>
          <w:rFonts w:ascii="Times New Roman" w:eastAsia="Times New Roman" w:hAnsi="Times New Roman" w:cs="Times New Roman"/>
          <w:sz w:val="24"/>
          <w:szCs w:val="24"/>
        </w:rPr>
        <w:t>w</w:t>
      </w:r>
      <w:r w:rsidRPr="005F44EF">
        <w:rPr>
          <w:rFonts w:ascii="Times New Roman" w:eastAsia="Times New Roman" w:hAnsi="Times New Roman" w:cs="Times New Roman"/>
          <w:sz w:val="24"/>
          <w:szCs w:val="24"/>
        </w:rPr>
        <w:t>e consider the Ti-H signal</w:t>
      </w:r>
      <w:r w:rsidR="0026651E" w:rsidRPr="005F44EF">
        <w:rPr>
          <w:rFonts w:ascii="Times New Roman" w:eastAsia="Times New Roman" w:hAnsi="Times New Roman" w:cs="Times New Roman"/>
          <w:sz w:val="24"/>
          <w:szCs w:val="24"/>
        </w:rPr>
        <w:t xml:space="preserve"> to provide the most reliable</w:t>
      </w:r>
      <w:r w:rsidRPr="005F44EF">
        <w:rPr>
          <w:rFonts w:ascii="Times New Roman" w:eastAsia="Times New Roman" w:hAnsi="Times New Roman" w:cs="Times New Roman"/>
          <w:sz w:val="24"/>
          <w:szCs w:val="24"/>
        </w:rPr>
        <w:t xml:space="preserve"> estimates to constrain the chronology of the deposits at Bété I</w:t>
      </w:r>
      <w:r w:rsidR="00213C3A" w:rsidRPr="005F44EF">
        <w:rPr>
          <w:rFonts w:ascii="Times New Roman" w:eastAsia="Times New Roman" w:hAnsi="Times New Roman" w:cs="Times New Roman"/>
          <w:sz w:val="24"/>
          <w:szCs w:val="24"/>
        </w:rPr>
        <w:t>.</w:t>
      </w:r>
    </w:p>
    <w:p w14:paraId="2C0F8195" w14:textId="113445C2" w:rsidR="00651103" w:rsidRPr="005F44EF" w:rsidRDefault="007544F1" w:rsidP="00771C04">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SA-OSL results show coherence with depth, with ages bracketing the Unit C between 27±3 and 12±2 ka. The transition from Unit C and D </w:t>
      </w:r>
      <w:r w:rsidR="00771C04" w:rsidRPr="005F44EF">
        <w:rPr>
          <w:rFonts w:ascii="Times New Roman" w:eastAsia="Times New Roman" w:hAnsi="Times New Roman" w:cs="Times New Roman"/>
          <w:sz w:val="24"/>
          <w:szCs w:val="24"/>
        </w:rPr>
        <w:t>appeared</w:t>
      </w:r>
      <w:r w:rsidRPr="005F44EF">
        <w:rPr>
          <w:rFonts w:ascii="Times New Roman" w:eastAsia="Times New Roman" w:hAnsi="Times New Roman" w:cs="Times New Roman"/>
          <w:sz w:val="24"/>
          <w:szCs w:val="24"/>
        </w:rPr>
        <w:t xml:space="preserve"> to be at 55±4 ka and the ages are bracketing th</w:t>
      </w:r>
      <w:r w:rsidR="00771C04" w:rsidRPr="005F44EF">
        <w:rPr>
          <w:rFonts w:ascii="Times New Roman" w:eastAsia="Times New Roman" w:hAnsi="Times New Roman" w:cs="Times New Roman"/>
          <w:sz w:val="24"/>
          <w:szCs w:val="24"/>
        </w:rPr>
        <w:t xml:space="preserve">e </w:t>
      </w:r>
      <w:r w:rsidRPr="005F44EF">
        <w:rPr>
          <w:rFonts w:ascii="Times New Roman" w:eastAsia="Times New Roman" w:hAnsi="Times New Roman" w:cs="Times New Roman"/>
          <w:sz w:val="24"/>
          <w:szCs w:val="24"/>
        </w:rPr>
        <w:t xml:space="preserve">Unit D deposits between 54±8 and 165±11 ka. Two of the SA-OSL ages (134±7 ka from sample ANY20-07 and 165±11 ka from sample ANY20-09) are minimum ages and explained by the presence of saturated aliquots. </w:t>
      </w:r>
      <w:r w:rsidR="00FC79AC" w:rsidRPr="005F44EF">
        <w:rPr>
          <w:rFonts w:ascii="Times New Roman" w:eastAsia="Times New Roman" w:hAnsi="Times New Roman" w:cs="Times New Roman"/>
          <w:sz w:val="24"/>
          <w:szCs w:val="24"/>
        </w:rPr>
        <w:t>T</w:t>
      </w:r>
      <w:r w:rsidR="00651103" w:rsidRPr="005F44EF">
        <w:rPr>
          <w:rFonts w:ascii="Times New Roman" w:eastAsia="Times New Roman" w:hAnsi="Times New Roman" w:cs="Times New Roman"/>
          <w:color w:val="000000"/>
          <w:sz w:val="24"/>
          <w:szCs w:val="24"/>
          <w:lang w:val="en-US"/>
        </w:rPr>
        <w:t xml:space="preserve">he comparisons between the </w:t>
      </w:r>
      <w:r w:rsidR="0026651E" w:rsidRPr="005F44EF">
        <w:rPr>
          <w:rFonts w:ascii="Times New Roman" w:eastAsia="Times New Roman" w:hAnsi="Times New Roman" w:cs="Times New Roman"/>
          <w:color w:val="000000"/>
          <w:sz w:val="24"/>
          <w:szCs w:val="24"/>
          <w:lang w:val="en-US"/>
        </w:rPr>
        <w:t xml:space="preserve">multi-grain (MG) </w:t>
      </w:r>
      <w:r w:rsidR="00651103" w:rsidRPr="005F44EF">
        <w:rPr>
          <w:rFonts w:ascii="Times New Roman" w:eastAsia="Times New Roman" w:hAnsi="Times New Roman" w:cs="Times New Roman"/>
          <w:color w:val="000000"/>
          <w:sz w:val="24"/>
          <w:szCs w:val="24"/>
          <w:lang w:val="en-US"/>
        </w:rPr>
        <w:t xml:space="preserve">SA-OSL and Ti-H ESR ages of samples from the base </w:t>
      </w:r>
      <w:r w:rsidR="00445AE2" w:rsidRPr="005F44EF">
        <w:rPr>
          <w:rFonts w:ascii="Times New Roman" w:eastAsia="Times New Roman" w:hAnsi="Times New Roman" w:cs="Times New Roman"/>
          <w:color w:val="000000"/>
          <w:sz w:val="24"/>
          <w:szCs w:val="24"/>
          <w:lang w:val="en-US"/>
        </w:rPr>
        <w:t xml:space="preserve">and top of the Unit D </w:t>
      </w:r>
      <w:r w:rsidR="00651103" w:rsidRPr="005F44EF">
        <w:rPr>
          <w:rFonts w:ascii="Times New Roman" w:eastAsia="Times New Roman" w:hAnsi="Times New Roman" w:cs="Times New Roman"/>
          <w:color w:val="000000"/>
          <w:sz w:val="24"/>
          <w:szCs w:val="24"/>
          <w:lang w:val="en-US"/>
        </w:rPr>
        <w:t xml:space="preserve">(ANY20-09, ANY20-08 and ANY20-05) show </w:t>
      </w:r>
      <w:r w:rsidR="0026651E" w:rsidRPr="005F44EF">
        <w:rPr>
          <w:rFonts w:ascii="Times New Roman" w:eastAsia="Times New Roman" w:hAnsi="Times New Roman" w:cs="Times New Roman"/>
          <w:color w:val="000000"/>
          <w:sz w:val="24"/>
          <w:szCs w:val="24"/>
          <w:lang w:val="en-US"/>
        </w:rPr>
        <w:t xml:space="preserve">results that are systematically in agreement at 1σ (&gt;165 ± 11 ka vs 227 ± 68 ka; 162 ± 9 ka vs 207 ± 75 ka; 54 ± 8 ka vs 77 ± 18 ka). We nevertheless acknowledge the relatively large errors associated to </w:t>
      </w:r>
      <w:r w:rsidR="00651103" w:rsidRPr="005F44EF">
        <w:rPr>
          <w:rFonts w:ascii="Times New Roman" w:eastAsia="Times New Roman" w:hAnsi="Times New Roman" w:cs="Times New Roman"/>
          <w:color w:val="000000"/>
          <w:sz w:val="24"/>
          <w:szCs w:val="24"/>
          <w:lang w:val="en-US"/>
        </w:rPr>
        <w:t xml:space="preserve">the Ti-H ESR </w:t>
      </w:r>
      <w:r w:rsidR="0026651E" w:rsidRPr="005F44EF">
        <w:rPr>
          <w:rFonts w:ascii="Times New Roman" w:eastAsia="Times New Roman" w:hAnsi="Times New Roman" w:cs="Times New Roman"/>
          <w:color w:val="000000"/>
          <w:sz w:val="24"/>
          <w:szCs w:val="24"/>
          <w:lang w:val="en-US"/>
        </w:rPr>
        <w:t>estimates</w:t>
      </w:r>
      <w:r w:rsidR="00651103" w:rsidRPr="005F44EF">
        <w:rPr>
          <w:rFonts w:ascii="Times New Roman" w:eastAsia="Times New Roman" w:hAnsi="Times New Roman" w:cs="Times New Roman"/>
          <w:color w:val="000000"/>
          <w:sz w:val="24"/>
          <w:szCs w:val="24"/>
          <w:lang w:val="en-US"/>
        </w:rPr>
        <w:t xml:space="preserve"> (between 23 and 36</w:t>
      </w:r>
      <w:r w:rsidR="0026651E" w:rsidRPr="005F44EF">
        <w:rPr>
          <w:rFonts w:ascii="Times New Roman" w:eastAsia="Times New Roman" w:hAnsi="Times New Roman" w:cs="Times New Roman"/>
          <w:color w:val="000000"/>
          <w:sz w:val="24"/>
          <w:szCs w:val="24"/>
          <w:lang w:val="en-US"/>
        </w:rPr>
        <w:t xml:space="preserve">%), which mostly result from the relatively low goodness-of-fit of the ESR DRCs (section </w:t>
      </w:r>
      <w:r w:rsidR="00771C04" w:rsidRPr="005F44EF">
        <w:rPr>
          <w:rFonts w:ascii="Times New Roman" w:eastAsia="Times New Roman" w:hAnsi="Times New Roman" w:cs="Times New Roman"/>
          <w:color w:val="000000"/>
          <w:sz w:val="24"/>
          <w:szCs w:val="24"/>
          <w:lang w:val="en-US"/>
        </w:rPr>
        <w:t>3.5.2.1</w:t>
      </w:r>
      <w:r w:rsidR="0026651E" w:rsidRPr="005F44EF">
        <w:rPr>
          <w:rFonts w:ascii="Times New Roman" w:eastAsia="Times New Roman" w:hAnsi="Times New Roman" w:cs="Times New Roman"/>
          <w:color w:val="000000"/>
          <w:sz w:val="24"/>
          <w:szCs w:val="24"/>
          <w:lang w:val="en-US"/>
        </w:rPr>
        <w:t xml:space="preserve">). </w:t>
      </w:r>
      <w:r w:rsidR="008E501B" w:rsidRPr="005F44EF">
        <w:rPr>
          <w:rFonts w:ascii="Times New Roman" w:eastAsia="Times New Roman" w:hAnsi="Times New Roman" w:cs="Times New Roman"/>
          <w:color w:val="000000"/>
          <w:sz w:val="24"/>
          <w:szCs w:val="24"/>
          <w:lang w:val="en-US"/>
        </w:rPr>
        <w:t xml:space="preserve">This </w:t>
      </w:r>
      <w:r w:rsidR="0026651E" w:rsidRPr="005F44EF">
        <w:rPr>
          <w:rFonts w:ascii="Times New Roman" w:eastAsia="Times New Roman" w:hAnsi="Times New Roman" w:cs="Times New Roman"/>
          <w:color w:val="000000"/>
          <w:sz w:val="24"/>
          <w:szCs w:val="24"/>
          <w:lang w:val="en-US"/>
        </w:rPr>
        <w:t>good consistency between the two semi-</w:t>
      </w:r>
      <w:r w:rsidR="00213C3A" w:rsidRPr="005F44EF">
        <w:rPr>
          <w:rFonts w:ascii="Times New Roman" w:eastAsia="Times New Roman" w:hAnsi="Times New Roman" w:cs="Times New Roman"/>
          <w:color w:val="000000"/>
          <w:sz w:val="24"/>
          <w:szCs w:val="24"/>
          <w:lang w:val="en-US"/>
        </w:rPr>
        <w:t>independent</w:t>
      </w:r>
      <w:r w:rsidR="0026651E" w:rsidRPr="005F44EF">
        <w:rPr>
          <w:rFonts w:ascii="Times New Roman" w:eastAsia="Times New Roman" w:hAnsi="Times New Roman" w:cs="Times New Roman"/>
          <w:color w:val="000000"/>
          <w:sz w:val="24"/>
          <w:szCs w:val="24"/>
          <w:lang w:val="en-US"/>
        </w:rPr>
        <w:t xml:space="preserve"> methods </w:t>
      </w:r>
      <w:r w:rsidR="008E501B" w:rsidRPr="005F44EF">
        <w:rPr>
          <w:rFonts w:ascii="Times New Roman" w:eastAsia="Times New Roman" w:hAnsi="Times New Roman" w:cs="Times New Roman"/>
          <w:color w:val="000000"/>
          <w:sz w:val="24"/>
          <w:szCs w:val="24"/>
          <w:lang w:val="en-US"/>
        </w:rPr>
        <w:t>is significant as the bleaching times for the ESR signal measurements are</w:t>
      </w:r>
      <w:r w:rsidR="005D7339" w:rsidRPr="005F44EF">
        <w:rPr>
          <w:rFonts w:ascii="Times New Roman" w:eastAsia="Times New Roman" w:hAnsi="Times New Roman" w:cs="Times New Roman"/>
          <w:color w:val="000000"/>
          <w:sz w:val="24"/>
          <w:szCs w:val="24"/>
          <w:lang w:val="en-US"/>
        </w:rPr>
        <w:t xml:space="preserve"> much longer than for OSL</w:t>
      </w:r>
      <w:r w:rsidR="00520789">
        <w:rPr>
          <w:rFonts w:ascii="Times New Roman" w:eastAsia="Times New Roman" w:hAnsi="Times New Roman" w:cs="Times New Roman"/>
          <w:color w:val="000000"/>
          <w:sz w:val="24"/>
          <w:szCs w:val="24"/>
          <w:lang w:val="en-US"/>
        </w:rPr>
        <w:fldChar w:fldCharType="begin" w:fldLock="1"/>
      </w:r>
      <w:r w:rsidR="00614E13">
        <w:rPr>
          <w:rFonts w:ascii="Times New Roman" w:eastAsia="Times New Roman" w:hAnsi="Times New Roman" w:cs="Times New Roman"/>
          <w:color w:val="000000"/>
          <w:sz w:val="24"/>
          <w:szCs w:val="24"/>
          <w:lang w:val="en-US"/>
        </w:rPr>
        <w:instrText>ADDIN CSL_CITATION {"citationItems":[{"id":"ITEM-1","itemData":{"DOI":"10.1016/j.quageo.2016.09.006","ISSN":"18711014","abstract":"Electron spin resonance (ESR) dating of optically bleached quartz grains was performed on three sediment samples collected from the Middle Palaeolithic site of Cuesta de la Bajada (Spain). A standard multiple grain and multiple aliquot additive dose procedure was employed, and both the Al and Ti centres were measured as part of the multiple centres approach. ESR age estimates obtained for the three samples indicate that the Al centre provides a maximum possible chronology, as the Ti centres show that the Al signal was likely not systematically reset to its residual level during sediment transport. A direct comparison between ESR ages based on the Ti centres and single grain optically stimulated luminescence (OSL) ages from samples collected nearby shows broadly consistent results. The Ti-H centre also appears to provide suitable chronologies for at least two of the three Middle Pleistocene samples studied here. Surprisingly, the only sample showing consistent ESR ages between the Al and Ti centres appears to be overestimated in comparison with the Ti-centre and OSL ages derived from the other two samples. This indicates either incomplete bleaching of both the Al and Ti centres for this sample, or unexpected impacts of other sources of De uncertainty, such as multi-grain averaging effects. The ESR dating results overall indicate that the archaeological sequence of Cuesta de la Bajada CB-3 is most likely correlated to either MIS 7 or 9.","author":[{"dropping-particle":"","family":"Duval","given":"M.","non-dropping-particle":"","parse-names":false,"suffix":""},{"dropping-particle":"","family":"Arnold","given":"L. J.","non-dropping-particle":"","parse-names":false,"suffix":""},{"dropping-particle":"","family":"Guilarte","given":"V.","non-dropping-particle":"","parse-names":false,"suffix":""},{"dropping-particle":"","family":"Demuro","given":"M.","non-dropping-particle":"","parse-names":false,"suffix":""},{"dropping-particle":"","family":"Santonja","given":"M.","non-dropping-particle":"","parse-names":false,"suffix":""},{"dropping-particle":"","family":"Pérez-González","given":"A.","non-dropping-particle":"","parse-names":false,"suffix":""}],"container-title":"Quaternary Geochronology","id":"ITEM-1","issued":{"date-parts":[["2017","2","1"]]},"page":"82-96","publisher":"Elsevier B.V.","title":"Electron spin resonance dating of optically bleached quartz grains from the Middle Palaeolithic site of Cuesta de la Bajada (Spain) using the multiple centres approach","type":"article-journal","volume":"37"},"uris":["http://www.mendeley.com/documents/?uuid=05080a91-02f2-367f-b73d-7ba53628d02c"]}],"mendeley":{"formattedCitation":"&lt;sup&gt;108&lt;/sup&gt;","plainTextFormattedCitation":"108","previouslyFormattedCitation":"&lt;sup&gt;108&lt;/sup&gt;"},"properties":{"noteIndex":0},"schema":"https://github.com/citation-style-language/schema/raw/master/csl-citation.json"}</w:instrText>
      </w:r>
      <w:r w:rsidR="00520789">
        <w:rPr>
          <w:rFonts w:ascii="Times New Roman" w:eastAsia="Times New Roman" w:hAnsi="Times New Roman" w:cs="Times New Roman"/>
          <w:color w:val="000000"/>
          <w:sz w:val="24"/>
          <w:szCs w:val="24"/>
          <w:lang w:val="en-US"/>
        </w:rPr>
        <w:fldChar w:fldCharType="separate"/>
      </w:r>
      <w:r w:rsidR="00C212A1" w:rsidRPr="00C212A1">
        <w:rPr>
          <w:rFonts w:ascii="Times New Roman" w:eastAsia="Times New Roman" w:hAnsi="Times New Roman" w:cs="Times New Roman"/>
          <w:noProof/>
          <w:color w:val="000000"/>
          <w:sz w:val="24"/>
          <w:szCs w:val="24"/>
          <w:vertAlign w:val="superscript"/>
          <w:lang w:val="en-US"/>
        </w:rPr>
        <w:t>108</w:t>
      </w:r>
      <w:r w:rsidR="00520789">
        <w:rPr>
          <w:rFonts w:ascii="Times New Roman" w:eastAsia="Times New Roman" w:hAnsi="Times New Roman" w:cs="Times New Roman"/>
          <w:color w:val="000000"/>
          <w:sz w:val="24"/>
          <w:szCs w:val="24"/>
          <w:lang w:val="en-US"/>
        </w:rPr>
        <w:fldChar w:fldCharType="end"/>
      </w:r>
      <w:r w:rsidR="00213C3A" w:rsidRPr="005F44EF">
        <w:rPr>
          <w:rFonts w:ascii="Times New Roman" w:eastAsia="Times New Roman" w:hAnsi="Times New Roman" w:cs="Times New Roman"/>
          <w:color w:val="000000"/>
          <w:sz w:val="24"/>
          <w:szCs w:val="24"/>
          <w:lang w:val="en-US"/>
        </w:rPr>
        <w:t xml:space="preserve">, which </w:t>
      </w:r>
      <w:r w:rsidR="008E501B" w:rsidRPr="005F44EF">
        <w:rPr>
          <w:rFonts w:ascii="Times New Roman" w:eastAsia="Times New Roman" w:hAnsi="Times New Roman" w:cs="Times New Roman"/>
          <w:color w:val="000000"/>
          <w:sz w:val="24"/>
          <w:szCs w:val="24"/>
          <w:lang w:val="en-US"/>
        </w:rPr>
        <w:t xml:space="preserve">could have led to significant age over-estimated compared to the OSL if bleaching of the sediments prior to burial was an issue. </w:t>
      </w:r>
      <w:r w:rsidR="00D51C78" w:rsidRPr="005F44EF">
        <w:rPr>
          <w:rFonts w:ascii="Times New Roman" w:eastAsia="Times New Roman" w:hAnsi="Times New Roman" w:cs="Times New Roman"/>
          <w:color w:val="000000"/>
          <w:sz w:val="24"/>
          <w:szCs w:val="24"/>
          <w:lang w:val="en-US"/>
        </w:rPr>
        <w:t>On the contrary, t</w:t>
      </w:r>
      <w:r w:rsidR="00651103" w:rsidRPr="005F44EF">
        <w:rPr>
          <w:rFonts w:ascii="Times New Roman" w:eastAsia="Times New Roman" w:hAnsi="Times New Roman" w:cs="Times New Roman"/>
          <w:color w:val="000000"/>
          <w:sz w:val="24"/>
          <w:szCs w:val="24"/>
          <w:lang w:val="en-US"/>
        </w:rPr>
        <w:t xml:space="preserve">he </w:t>
      </w:r>
      <w:r w:rsidR="00D51C78" w:rsidRPr="005F44EF">
        <w:rPr>
          <w:rFonts w:ascii="Times New Roman" w:eastAsia="Times New Roman" w:hAnsi="Times New Roman" w:cs="Times New Roman"/>
          <w:color w:val="000000"/>
          <w:sz w:val="24"/>
          <w:szCs w:val="24"/>
          <w:lang w:val="en-US"/>
        </w:rPr>
        <w:t xml:space="preserve">SA-OSL and ESR </w:t>
      </w:r>
      <w:r w:rsidR="00651103" w:rsidRPr="005F44EF">
        <w:rPr>
          <w:rFonts w:ascii="Times New Roman" w:eastAsia="Times New Roman" w:hAnsi="Times New Roman" w:cs="Times New Roman"/>
          <w:color w:val="000000"/>
          <w:sz w:val="24"/>
          <w:szCs w:val="24"/>
          <w:lang w:val="en-US"/>
        </w:rPr>
        <w:t>ages at the top of the sequence (ANY20-04 and ANY20-03) differ and are not consistent at a 1</w:t>
      </w:r>
      <w:r w:rsidR="00213C3A" w:rsidRPr="005F44EF">
        <w:rPr>
          <w:rFonts w:ascii="Times New Roman" w:eastAsia="Times New Roman" w:hAnsi="Times New Roman" w:cs="Times New Roman"/>
          <w:color w:val="000000"/>
          <w:sz w:val="24"/>
          <w:szCs w:val="24"/>
          <w:lang w:val="en-US"/>
        </w:rPr>
        <w:t>σ confidence level</w:t>
      </w:r>
      <w:r w:rsidR="00D51C78" w:rsidRPr="005F44EF">
        <w:rPr>
          <w:rFonts w:ascii="Times New Roman" w:eastAsia="Times New Roman" w:hAnsi="Times New Roman" w:cs="Times New Roman"/>
          <w:color w:val="000000"/>
          <w:sz w:val="24"/>
          <w:szCs w:val="24"/>
          <w:lang w:val="en-US"/>
        </w:rPr>
        <w:t xml:space="preserve">. </w:t>
      </w:r>
      <w:bookmarkStart w:id="82" w:name="_Hlk171675373"/>
      <w:r w:rsidR="00D51C78" w:rsidRPr="005F44EF">
        <w:rPr>
          <w:rFonts w:ascii="Times New Roman" w:eastAsia="Times New Roman" w:hAnsi="Times New Roman" w:cs="Times New Roman"/>
          <w:color w:val="000000"/>
          <w:sz w:val="24"/>
          <w:szCs w:val="24"/>
          <w:lang w:val="en-US"/>
        </w:rPr>
        <w:t>T</w:t>
      </w:r>
      <w:r w:rsidR="00651103" w:rsidRPr="005F44EF">
        <w:rPr>
          <w:rFonts w:ascii="Times New Roman" w:eastAsia="Times New Roman" w:hAnsi="Times New Roman" w:cs="Times New Roman"/>
          <w:color w:val="000000"/>
          <w:sz w:val="24"/>
          <w:szCs w:val="24"/>
          <w:lang w:val="en-US"/>
        </w:rPr>
        <w:t xml:space="preserve">he </w:t>
      </w:r>
      <w:r w:rsidR="00213C3A" w:rsidRPr="005F44EF">
        <w:rPr>
          <w:rFonts w:ascii="Times New Roman" w:eastAsia="Times New Roman" w:hAnsi="Times New Roman" w:cs="Times New Roman"/>
          <w:color w:val="000000"/>
          <w:sz w:val="24"/>
          <w:szCs w:val="24"/>
          <w:lang w:val="en-US"/>
        </w:rPr>
        <w:t xml:space="preserve">older </w:t>
      </w:r>
      <w:r w:rsidR="00651103" w:rsidRPr="005F44EF">
        <w:rPr>
          <w:rFonts w:ascii="Times New Roman" w:eastAsia="Times New Roman" w:hAnsi="Times New Roman" w:cs="Times New Roman"/>
          <w:color w:val="000000"/>
          <w:sz w:val="24"/>
          <w:szCs w:val="24"/>
          <w:lang w:val="en-US"/>
        </w:rPr>
        <w:t>ESR results at the top of the sequence</w:t>
      </w:r>
      <w:r w:rsidR="005D7339" w:rsidRPr="005F44EF">
        <w:rPr>
          <w:rFonts w:ascii="Times New Roman" w:eastAsia="Times New Roman" w:hAnsi="Times New Roman" w:cs="Times New Roman"/>
          <w:color w:val="000000"/>
          <w:sz w:val="24"/>
          <w:szCs w:val="24"/>
          <w:lang w:val="en-US"/>
        </w:rPr>
        <w:t xml:space="preserve"> </w:t>
      </w:r>
      <w:r w:rsidR="00213C3A" w:rsidRPr="005F44EF">
        <w:rPr>
          <w:rFonts w:ascii="Times New Roman" w:eastAsia="Times New Roman" w:hAnsi="Times New Roman" w:cs="Times New Roman"/>
          <w:color w:val="000000"/>
          <w:sz w:val="24"/>
          <w:szCs w:val="24"/>
          <w:lang w:val="en-US"/>
        </w:rPr>
        <w:t xml:space="preserve">may be equally resulting from an incomplete reset of the Ti-H signal during transport, and/or simply illustrating the </w:t>
      </w:r>
      <w:r w:rsidR="00651103" w:rsidRPr="005F44EF">
        <w:rPr>
          <w:rFonts w:ascii="Times New Roman" w:eastAsia="Times New Roman" w:hAnsi="Times New Roman" w:cs="Times New Roman"/>
          <w:color w:val="000000"/>
          <w:sz w:val="24"/>
          <w:szCs w:val="24"/>
          <w:lang w:val="en-US"/>
        </w:rPr>
        <w:t>limit</w:t>
      </w:r>
      <w:r w:rsidR="00213C3A" w:rsidRPr="005F44EF">
        <w:rPr>
          <w:rFonts w:ascii="Times New Roman" w:eastAsia="Times New Roman" w:hAnsi="Times New Roman" w:cs="Times New Roman"/>
          <w:color w:val="000000"/>
          <w:sz w:val="24"/>
          <w:szCs w:val="24"/>
          <w:lang w:val="en-US"/>
        </w:rPr>
        <w:t>s</w:t>
      </w:r>
      <w:r w:rsidR="00651103" w:rsidRPr="005F44EF">
        <w:rPr>
          <w:rFonts w:ascii="Times New Roman" w:eastAsia="Times New Roman" w:hAnsi="Times New Roman" w:cs="Times New Roman"/>
          <w:color w:val="000000"/>
          <w:sz w:val="24"/>
          <w:szCs w:val="24"/>
          <w:lang w:val="en-US"/>
        </w:rPr>
        <w:t xml:space="preserve"> of the </w:t>
      </w:r>
      <w:r w:rsidR="002A214B" w:rsidRPr="005F44EF">
        <w:rPr>
          <w:rFonts w:ascii="Times New Roman" w:eastAsia="Times New Roman" w:hAnsi="Times New Roman" w:cs="Times New Roman"/>
          <w:color w:val="000000"/>
          <w:sz w:val="24"/>
          <w:szCs w:val="24"/>
          <w:lang w:val="en-US"/>
        </w:rPr>
        <w:t xml:space="preserve">ESR </w:t>
      </w:r>
      <w:r w:rsidR="00651103" w:rsidRPr="005F44EF">
        <w:rPr>
          <w:rFonts w:ascii="Times New Roman" w:eastAsia="Times New Roman" w:hAnsi="Times New Roman" w:cs="Times New Roman"/>
          <w:color w:val="000000"/>
          <w:sz w:val="24"/>
          <w:szCs w:val="24"/>
          <w:lang w:val="en-US"/>
        </w:rPr>
        <w:t xml:space="preserve">method </w:t>
      </w:r>
      <w:r w:rsidR="006771D2" w:rsidRPr="005F44EF">
        <w:rPr>
          <w:rFonts w:ascii="Times New Roman" w:eastAsia="Times New Roman" w:hAnsi="Times New Roman" w:cs="Times New Roman"/>
          <w:color w:val="000000"/>
          <w:sz w:val="24"/>
          <w:szCs w:val="24"/>
          <w:lang w:val="en-US"/>
        </w:rPr>
        <w:t xml:space="preserve">and </w:t>
      </w:r>
      <w:r w:rsidR="006771D2" w:rsidRPr="005F44EF">
        <w:rPr>
          <w:rFonts w:ascii="Times New Roman" w:eastAsia="Times New Roman" w:hAnsi="Times New Roman" w:cs="Times New Roman"/>
          <w:sz w:val="24"/>
          <w:szCs w:val="24"/>
        </w:rPr>
        <w:t xml:space="preserve">reflecting the difficulty to get reliable ESR dating results for sediments </w:t>
      </w:r>
      <w:r w:rsidR="00213C3A" w:rsidRPr="005F44EF">
        <w:rPr>
          <w:rFonts w:ascii="Times New Roman" w:eastAsia="Times New Roman" w:hAnsi="Times New Roman" w:cs="Times New Roman"/>
          <w:color w:val="000000"/>
          <w:sz w:val="24"/>
          <w:szCs w:val="24"/>
          <w:lang w:val="en-US"/>
        </w:rPr>
        <w:t>with very low D</w:t>
      </w:r>
      <w:r w:rsidR="00213C3A" w:rsidRPr="005F44EF">
        <w:rPr>
          <w:rFonts w:ascii="Times New Roman" w:eastAsia="Times New Roman" w:hAnsi="Times New Roman" w:cs="Times New Roman"/>
          <w:color w:val="000000"/>
          <w:sz w:val="24"/>
          <w:szCs w:val="24"/>
          <w:vertAlign w:val="subscript"/>
          <w:lang w:val="en-US"/>
        </w:rPr>
        <w:t>e</w:t>
      </w:r>
      <w:r w:rsidR="00213C3A" w:rsidRPr="005F44EF">
        <w:rPr>
          <w:rFonts w:ascii="Times New Roman" w:eastAsia="Times New Roman" w:hAnsi="Times New Roman" w:cs="Times New Roman"/>
          <w:color w:val="000000"/>
          <w:sz w:val="24"/>
          <w:szCs w:val="24"/>
          <w:lang w:val="en-US"/>
        </w:rPr>
        <w:t xml:space="preserve"> values (&lt;100 Gy), </w:t>
      </w:r>
      <w:r w:rsidR="00651103" w:rsidRPr="005F44EF">
        <w:rPr>
          <w:rFonts w:ascii="Times New Roman" w:eastAsia="Times New Roman" w:hAnsi="Times New Roman" w:cs="Times New Roman"/>
          <w:color w:val="000000"/>
          <w:sz w:val="24"/>
          <w:szCs w:val="24"/>
          <w:lang w:val="en-US"/>
        </w:rPr>
        <w:t xml:space="preserve">as shown </w:t>
      </w:r>
      <w:r w:rsidR="00213C3A" w:rsidRPr="005F44EF">
        <w:rPr>
          <w:rFonts w:ascii="Times New Roman" w:eastAsia="Times New Roman" w:hAnsi="Times New Roman" w:cs="Times New Roman"/>
          <w:color w:val="000000"/>
          <w:sz w:val="24"/>
          <w:szCs w:val="24"/>
          <w:lang w:val="en-US"/>
        </w:rPr>
        <w:t xml:space="preserve">previously </w:t>
      </w:r>
      <w:r w:rsidR="00651103" w:rsidRPr="005F44EF">
        <w:rPr>
          <w:rFonts w:ascii="Times New Roman" w:eastAsia="Times New Roman" w:hAnsi="Times New Roman" w:cs="Times New Roman"/>
          <w:color w:val="000000"/>
          <w:sz w:val="24"/>
          <w:szCs w:val="24"/>
          <w:lang w:val="en-US"/>
        </w:rPr>
        <w:t xml:space="preserve">for other south </w:t>
      </w:r>
      <w:r w:rsidR="000831E9" w:rsidRPr="005F44EF">
        <w:rPr>
          <w:rFonts w:ascii="Times New Roman" w:eastAsia="Times New Roman" w:hAnsi="Times New Roman" w:cs="Times New Roman"/>
          <w:color w:val="000000"/>
          <w:sz w:val="24"/>
          <w:szCs w:val="24"/>
          <w:lang w:val="en-US"/>
        </w:rPr>
        <w:t>African</w:t>
      </w:r>
      <w:r w:rsidR="00651103" w:rsidRPr="005F44EF">
        <w:rPr>
          <w:rFonts w:ascii="Times New Roman" w:eastAsia="Times New Roman" w:hAnsi="Times New Roman" w:cs="Times New Roman"/>
          <w:color w:val="000000"/>
          <w:sz w:val="24"/>
          <w:szCs w:val="24"/>
          <w:lang w:val="en-US"/>
        </w:rPr>
        <w:t xml:space="preserve"> samples of the same time range</w:t>
      </w:r>
      <w:r w:rsidR="006771D2" w:rsidRPr="005F44EF">
        <w:rPr>
          <w:rFonts w:ascii="Times New Roman" w:eastAsia="Times New Roman" w:hAnsi="Times New Roman" w:cs="Times New Roman"/>
          <w:color w:val="000000"/>
          <w:sz w:val="24"/>
          <w:szCs w:val="24"/>
          <w:lang w:val="en-US"/>
        </w:rPr>
        <w:t xml:space="preserve"> (&lt;50 ka)</w:t>
      </w:r>
      <w:r w:rsidR="00651103" w:rsidRPr="005F44EF">
        <w:rPr>
          <w:rFonts w:ascii="Times New Roman" w:eastAsia="Times New Roman" w:hAnsi="Times New Roman" w:cs="Times New Roman"/>
          <w:color w:val="000000"/>
          <w:sz w:val="24"/>
          <w:szCs w:val="24"/>
          <w:lang w:val="en-US"/>
        </w:rPr>
        <w:fldChar w:fldCharType="begin" w:fldLock="1"/>
      </w:r>
      <w:r w:rsidR="00614E13">
        <w:rPr>
          <w:rFonts w:ascii="Times New Roman" w:eastAsia="Times New Roman" w:hAnsi="Times New Roman" w:cs="Times New Roman"/>
          <w:color w:val="000000"/>
          <w:sz w:val="24"/>
          <w:szCs w:val="24"/>
          <w:lang w:val="en-US"/>
        </w:rPr>
        <w:instrText>ADDIN CSL_CITATION {"citationItems":[{"id":"ITEM-1","itemData":{"DOI":"10.1016/j.quageo.2022.101293","ISSN":"18711014","author":[{"dropping-particle":"","family":"Arous","given":"E.","non-dropping-particle":"Ben","parse-names":false,"suffix":""},{"dropping-particle":"","family":"Duval","given":"M.","non-dropping-particle":"","parse-names":false,"suffix":""},{"dropping-particle":"","family":"Bateman","given":"M.D.","non-dropping-particle":"","parse-names":false,"suffix":""}],"container-title":"Quaternary Geochronology","id":"ITEM-1","issued":{"date-parts":[["2022","4"]]},"page":"101293","title":"ESR dating of optically bleached quartz grains from Plio-Pleistocene to Holocene coastal dune deposits (Wilderness-Knysna area, South Africa): a comparison with luminescence","type":"article-journal"},"uris":["http://www.mendeley.com/documents/?uuid=6238101d-eed2-3279-be56-0e804259f50f"]},{"id":"ITEM-2","itemData":{"DOI":"10.1016/J.QUAGEO.2024.101580","ISSN":"1871-1014","author":[{"dropping-particle":"","family":"Arous","given":"E.","non-dropping-particle":"Ben","parse-names":false,"suffix":""},{"dropping-particle":"","family":"Bateman","given":"M.D.","non-dropping-particle":"","parse-names":false,"suffix":""},{"dropping-particle":"","family":"Duval","given":"M.","non-dropping-particle":"","parse-names":false,"suffix":""}],"container-title":"Quaternary Geochronology","id":"ITEM-2","issued":{"date-parts":[["2024","6","29"]]},"page":"101580","publisher":"Elsevier","title":"Extending the ESR and OSL dating comparison on coastal dune deposits from the Wilderness-Knysna area (South Africa)","type":"article-journal"},"uris":["http://www.mendeley.com/documents/?uuid=00af5db3-e886-3903-9259-f8e81e19c5ea"]}],"mendeley":{"formattedCitation":"&lt;sup&gt;88,107&lt;/sup&gt;","plainTextFormattedCitation":"88,107","previouslyFormattedCitation":"&lt;sup&gt;88,107&lt;/sup&gt;"},"properties":{"noteIndex":0},"schema":"https://github.com/citation-style-language/schema/raw/master/csl-citation.json"}</w:instrText>
      </w:r>
      <w:r w:rsidR="00651103" w:rsidRPr="005F44EF">
        <w:rPr>
          <w:rFonts w:ascii="Times New Roman" w:eastAsia="Times New Roman" w:hAnsi="Times New Roman" w:cs="Times New Roman"/>
          <w:color w:val="000000"/>
          <w:sz w:val="24"/>
          <w:szCs w:val="24"/>
          <w:lang w:val="en-US"/>
        </w:rPr>
        <w:fldChar w:fldCharType="separate"/>
      </w:r>
      <w:r w:rsidR="00C212A1" w:rsidRPr="00C212A1">
        <w:rPr>
          <w:rFonts w:ascii="Times New Roman" w:eastAsia="Times New Roman" w:hAnsi="Times New Roman" w:cs="Times New Roman"/>
          <w:noProof/>
          <w:color w:val="000000"/>
          <w:sz w:val="24"/>
          <w:szCs w:val="24"/>
          <w:vertAlign w:val="superscript"/>
          <w:lang w:val="en-US"/>
        </w:rPr>
        <w:t>88,107</w:t>
      </w:r>
      <w:r w:rsidR="00651103" w:rsidRPr="005F44EF">
        <w:rPr>
          <w:rFonts w:ascii="Times New Roman" w:eastAsia="Times New Roman" w:hAnsi="Times New Roman" w:cs="Times New Roman"/>
          <w:color w:val="000000"/>
          <w:sz w:val="24"/>
          <w:szCs w:val="24"/>
          <w:lang w:val="en-US"/>
        </w:rPr>
        <w:fldChar w:fldCharType="end"/>
      </w:r>
      <w:r w:rsidR="00651103" w:rsidRPr="005F44EF">
        <w:rPr>
          <w:rFonts w:ascii="Times New Roman" w:eastAsia="Times New Roman" w:hAnsi="Times New Roman" w:cs="Times New Roman"/>
          <w:color w:val="000000"/>
          <w:sz w:val="24"/>
          <w:szCs w:val="24"/>
          <w:lang w:val="en-US"/>
        </w:rPr>
        <w:t xml:space="preserve">. </w:t>
      </w:r>
      <w:bookmarkEnd w:id="82"/>
    </w:p>
    <w:p w14:paraId="4F13F4ED" w14:textId="77777777" w:rsidR="006771D2" w:rsidRPr="005F44EF" w:rsidRDefault="006771D2" w:rsidP="00771C04">
      <w:pPr>
        <w:spacing w:after="0" w:line="276" w:lineRule="auto"/>
        <w:jc w:val="both"/>
        <w:rPr>
          <w:rFonts w:ascii="Times New Roman" w:eastAsia="Times New Roman" w:hAnsi="Times New Roman" w:cs="Times New Roman"/>
          <w:color w:val="000000"/>
          <w:sz w:val="24"/>
          <w:szCs w:val="24"/>
        </w:rPr>
      </w:pPr>
    </w:p>
    <w:p w14:paraId="01664CCB" w14:textId="0BE6B359" w:rsidR="007A7009" w:rsidRPr="005F44EF" w:rsidRDefault="00213C3A" w:rsidP="00771C04">
      <w:pPr>
        <w:spacing w:after="0" w:line="276" w:lineRule="auto"/>
        <w:jc w:val="both"/>
        <w:rPr>
          <w:rFonts w:ascii="Times New Roman" w:hAnsi="Times New Roman" w:cs="Times New Roman"/>
          <w:bCs/>
          <w:color w:val="000000"/>
          <w:sz w:val="24"/>
          <w:szCs w:val="24"/>
          <w:shd w:val="clear" w:color="auto" w:fill="FBD4B4" w:themeFill="accent6" w:themeFillTint="66"/>
        </w:rPr>
      </w:pPr>
      <w:r w:rsidRPr="005F44EF">
        <w:rPr>
          <w:rFonts w:ascii="Times New Roman" w:hAnsi="Times New Roman" w:cs="Times New Roman"/>
          <w:bCs/>
          <w:color w:val="000000"/>
          <w:sz w:val="24"/>
          <w:szCs w:val="24"/>
          <w:shd w:val="clear" w:color="auto" w:fill="FFFFFF"/>
        </w:rPr>
        <w:t>In order to refine the S</w:t>
      </w:r>
      <w:r w:rsidR="009A20F9">
        <w:rPr>
          <w:rFonts w:ascii="Times New Roman" w:hAnsi="Times New Roman" w:cs="Times New Roman"/>
          <w:bCs/>
          <w:color w:val="000000"/>
          <w:sz w:val="24"/>
          <w:szCs w:val="24"/>
          <w:shd w:val="clear" w:color="auto" w:fill="FFFFFF"/>
        </w:rPr>
        <w:t>A</w:t>
      </w:r>
      <w:r w:rsidRPr="005F44EF">
        <w:rPr>
          <w:rFonts w:ascii="Times New Roman" w:hAnsi="Times New Roman" w:cs="Times New Roman"/>
          <w:bCs/>
          <w:color w:val="000000"/>
          <w:sz w:val="24"/>
          <w:szCs w:val="24"/>
          <w:shd w:val="clear" w:color="auto" w:fill="FFFFFF"/>
        </w:rPr>
        <w:t>-OSL chronology, and especially the minimum age estimates obtained for some of the sa</w:t>
      </w:r>
      <w:r w:rsidR="007544F1" w:rsidRPr="005F44EF">
        <w:rPr>
          <w:rFonts w:ascii="Times New Roman" w:hAnsi="Times New Roman" w:cs="Times New Roman"/>
          <w:bCs/>
          <w:color w:val="000000"/>
          <w:sz w:val="24"/>
          <w:szCs w:val="24"/>
          <w:shd w:val="clear" w:color="auto" w:fill="FFFFFF"/>
        </w:rPr>
        <w:t>m</w:t>
      </w:r>
      <w:r w:rsidRPr="005F44EF">
        <w:rPr>
          <w:rFonts w:ascii="Times New Roman" w:hAnsi="Times New Roman" w:cs="Times New Roman"/>
          <w:bCs/>
          <w:color w:val="000000"/>
          <w:sz w:val="24"/>
          <w:szCs w:val="24"/>
          <w:shd w:val="clear" w:color="auto" w:fill="FFFFFF"/>
        </w:rPr>
        <w:t xml:space="preserve">ples, we </w:t>
      </w:r>
      <w:r w:rsidR="00047A17" w:rsidRPr="005F44EF">
        <w:rPr>
          <w:rFonts w:ascii="Times New Roman" w:hAnsi="Times New Roman" w:cs="Times New Roman"/>
          <w:bCs/>
          <w:color w:val="000000"/>
          <w:sz w:val="24"/>
          <w:szCs w:val="24"/>
          <w:shd w:val="clear" w:color="auto" w:fill="FFFFFF"/>
        </w:rPr>
        <w:t xml:space="preserve">performed </w:t>
      </w:r>
      <w:r w:rsidRPr="005F44EF">
        <w:rPr>
          <w:rFonts w:ascii="Times New Roman" w:hAnsi="Times New Roman" w:cs="Times New Roman"/>
          <w:bCs/>
          <w:color w:val="000000"/>
          <w:sz w:val="24"/>
          <w:szCs w:val="24"/>
          <w:shd w:val="clear" w:color="auto" w:fill="FFFFFF"/>
        </w:rPr>
        <w:t xml:space="preserve">additionally </w:t>
      </w:r>
      <w:r w:rsidR="00047A17" w:rsidRPr="005F44EF">
        <w:rPr>
          <w:rFonts w:ascii="Times New Roman" w:hAnsi="Times New Roman" w:cs="Times New Roman"/>
          <w:bCs/>
          <w:color w:val="000000"/>
          <w:sz w:val="24"/>
          <w:szCs w:val="24"/>
          <w:shd w:val="clear" w:color="auto" w:fill="FFFFFF"/>
        </w:rPr>
        <w:t xml:space="preserve">SG-OSL. </w:t>
      </w:r>
      <w:r w:rsidR="002E1AC5" w:rsidRPr="005F44EF">
        <w:rPr>
          <w:rFonts w:ascii="Times New Roman" w:hAnsi="Times New Roman" w:cs="Times New Roman"/>
          <w:bCs/>
          <w:color w:val="000000"/>
          <w:sz w:val="24"/>
          <w:szCs w:val="24"/>
          <w:shd w:val="clear" w:color="auto" w:fill="FFFFFF"/>
        </w:rPr>
        <w:t>Overall, the SG D</w:t>
      </w:r>
      <w:r w:rsidR="002E1AC5" w:rsidRPr="005F44EF">
        <w:rPr>
          <w:rFonts w:ascii="Times New Roman" w:hAnsi="Times New Roman" w:cs="Times New Roman"/>
          <w:bCs/>
          <w:color w:val="000000"/>
          <w:sz w:val="24"/>
          <w:szCs w:val="24"/>
          <w:shd w:val="clear" w:color="auto" w:fill="FFFFFF"/>
          <w:vertAlign w:val="subscript"/>
        </w:rPr>
        <w:t>e</w:t>
      </w:r>
      <w:r w:rsidR="002E1AC5" w:rsidRPr="005F44EF">
        <w:rPr>
          <w:rFonts w:ascii="Times New Roman" w:hAnsi="Times New Roman" w:cs="Times New Roman"/>
          <w:bCs/>
          <w:color w:val="000000"/>
          <w:sz w:val="24"/>
          <w:szCs w:val="24"/>
          <w:shd w:val="clear" w:color="auto" w:fill="FFFFFF"/>
        </w:rPr>
        <w:t xml:space="preserve"> values are slightly</w:t>
      </w:r>
      <w:r w:rsidRPr="005F44EF">
        <w:rPr>
          <w:rFonts w:ascii="Times New Roman" w:hAnsi="Times New Roman" w:cs="Times New Roman"/>
          <w:bCs/>
          <w:color w:val="000000"/>
          <w:sz w:val="24"/>
          <w:szCs w:val="24"/>
          <w:shd w:val="clear" w:color="auto" w:fill="FFFFFF"/>
        </w:rPr>
        <w:t>, but</w:t>
      </w:r>
      <w:r w:rsidR="002E1AC5" w:rsidRPr="005F44EF">
        <w:rPr>
          <w:rFonts w:ascii="Times New Roman" w:hAnsi="Times New Roman" w:cs="Times New Roman"/>
          <w:bCs/>
          <w:color w:val="000000"/>
          <w:sz w:val="24"/>
          <w:szCs w:val="24"/>
          <w:shd w:val="clear" w:color="auto" w:fill="FFFFFF"/>
        </w:rPr>
        <w:t xml:space="preserve"> systematically</w:t>
      </w:r>
      <w:r w:rsidRPr="005F44EF">
        <w:rPr>
          <w:rFonts w:ascii="Times New Roman" w:hAnsi="Times New Roman" w:cs="Times New Roman"/>
          <w:bCs/>
          <w:color w:val="000000"/>
          <w:sz w:val="24"/>
          <w:szCs w:val="24"/>
          <w:shd w:val="clear" w:color="auto" w:fill="FFFFFF"/>
        </w:rPr>
        <w:t>,</w:t>
      </w:r>
      <w:r w:rsidR="002E1AC5" w:rsidRPr="005F44EF">
        <w:rPr>
          <w:rFonts w:ascii="Times New Roman" w:hAnsi="Times New Roman" w:cs="Times New Roman"/>
          <w:bCs/>
          <w:color w:val="000000"/>
          <w:sz w:val="24"/>
          <w:szCs w:val="24"/>
          <w:shd w:val="clear" w:color="auto" w:fill="FFFFFF"/>
        </w:rPr>
        <w:t xml:space="preserve"> younger than their single aliquot counterparts for all samples reflecting the </w:t>
      </w:r>
      <w:r w:rsidRPr="005F44EF">
        <w:rPr>
          <w:rFonts w:ascii="Times New Roman" w:hAnsi="Times New Roman" w:cs="Times New Roman"/>
          <w:bCs/>
          <w:color w:val="000000"/>
          <w:sz w:val="24"/>
          <w:szCs w:val="24"/>
          <w:shd w:val="clear" w:color="auto" w:fill="FFFFFF"/>
        </w:rPr>
        <w:t xml:space="preserve">overall </w:t>
      </w:r>
      <w:r w:rsidR="002E1AC5" w:rsidRPr="005F44EF">
        <w:rPr>
          <w:rFonts w:ascii="Times New Roman" w:hAnsi="Times New Roman" w:cs="Times New Roman"/>
          <w:bCs/>
          <w:color w:val="000000"/>
          <w:sz w:val="24"/>
          <w:szCs w:val="24"/>
          <w:shd w:val="clear" w:color="auto" w:fill="FFFFFF"/>
        </w:rPr>
        <w:t>lack of grain averaging and better exclusion of saturated grains compared to the small SA data (</w:t>
      </w:r>
      <w:r w:rsidR="002E1AC5" w:rsidRPr="005F44EF">
        <w:rPr>
          <w:rFonts w:ascii="Times New Roman" w:hAnsi="Times New Roman" w:cs="Times New Roman"/>
          <w:b/>
          <w:bCs/>
          <w:color w:val="000000"/>
          <w:sz w:val="24"/>
          <w:szCs w:val="24"/>
          <w:shd w:val="clear" w:color="auto" w:fill="FFFFFF"/>
        </w:rPr>
        <w:t xml:space="preserve">Figures </w:t>
      </w:r>
      <w:r w:rsidR="002E1AC5" w:rsidRPr="005F44EF">
        <w:rPr>
          <w:rFonts w:ascii="Times New Roman" w:hAnsi="Times New Roman" w:cs="Times New Roman"/>
          <w:b/>
          <w:color w:val="000000"/>
          <w:sz w:val="24"/>
          <w:szCs w:val="24"/>
          <w:shd w:val="clear" w:color="auto" w:fill="FFFFFF"/>
        </w:rPr>
        <w:t xml:space="preserve">S12-13, </w:t>
      </w:r>
      <w:r w:rsidR="002E1AC5" w:rsidRPr="005F44EF">
        <w:rPr>
          <w:rFonts w:ascii="Times New Roman" w:hAnsi="Times New Roman" w:cs="Times New Roman"/>
          <w:b/>
          <w:bCs/>
          <w:color w:val="000000"/>
          <w:sz w:val="24"/>
          <w:szCs w:val="24"/>
          <w:shd w:val="clear" w:color="auto" w:fill="FFFFFF"/>
        </w:rPr>
        <w:t xml:space="preserve">Table </w:t>
      </w:r>
      <w:r w:rsidR="002E1AC5" w:rsidRPr="005F44EF">
        <w:rPr>
          <w:rFonts w:ascii="Times New Roman" w:hAnsi="Times New Roman" w:cs="Times New Roman"/>
          <w:b/>
          <w:color w:val="000000"/>
          <w:sz w:val="24"/>
          <w:szCs w:val="24"/>
          <w:shd w:val="clear" w:color="auto" w:fill="FFFFFF"/>
        </w:rPr>
        <w:t>S8</w:t>
      </w:r>
      <w:r w:rsidR="002E1AC5" w:rsidRPr="005F44EF">
        <w:rPr>
          <w:rFonts w:ascii="Times New Roman" w:hAnsi="Times New Roman" w:cs="Times New Roman"/>
          <w:bCs/>
          <w:color w:val="000000"/>
          <w:sz w:val="24"/>
          <w:szCs w:val="24"/>
          <w:shd w:val="clear" w:color="auto" w:fill="FFFFFF"/>
        </w:rPr>
        <w:t xml:space="preserve">). </w:t>
      </w:r>
      <w:r w:rsidR="00FC79AC" w:rsidRPr="005F44EF">
        <w:rPr>
          <w:rFonts w:ascii="Times New Roman" w:hAnsi="Times New Roman" w:cs="Times New Roman"/>
          <w:bCs/>
          <w:color w:val="000000"/>
          <w:sz w:val="24"/>
          <w:szCs w:val="24"/>
          <w:shd w:val="clear" w:color="auto" w:fill="FFFFFF"/>
        </w:rPr>
        <w:t>Comparison of SA and SG</w:t>
      </w:r>
      <w:r w:rsidR="00047A17" w:rsidRPr="005F44EF">
        <w:rPr>
          <w:rFonts w:ascii="Times New Roman" w:hAnsi="Times New Roman" w:cs="Times New Roman"/>
          <w:bCs/>
          <w:color w:val="000000"/>
          <w:sz w:val="24"/>
          <w:szCs w:val="24"/>
          <w:shd w:val="clear" w:color="auto" w:fill="FFFFFF"/>
        </w:rPr>
        <w:t xml:space="preserve">-OSL </w:t>
      </w:r>
      <w:r w:rsidR="00FC79AC" w:rsidRPr="005F44EF">
        <w:rPr>
          <w:rFonts w:ascii="Times New Roman" w:hAnsi="Times New Roman" w:cs="Times New Roman"/>
          <w:bCs/>
          <w:color w:val="000000"/>
          <w:sz w:val="24"/>
          <w:szCs w:val="24"/>
          <w:shd w:val="clear" w:color="auto" w:fill="FFFFFF"/>
        </w:rPr>
        <w:t xml:space="preserve">data show that these are within </w:t>
      </w:r>
      <w:r w:rsidRPr="005F44EF">
        <w:rPr>
          <w:rFonts w:ascii="Times New Roman" w:hAnsi="Times New Roman" w:cs="Times New Roman"/>
          <w:bCs/>
          <w:color w:val="000000"/>
          <w:sz w:val="24"/>
          <w:szCs w:val="24"/>
          <w:shd w:val="clear" w:color="auto" w:fill="FFFFFF"/>
        </w:rPr>
        <w:t xml:space="preserve">1σ </w:t>
      </w:r>
      <w:r w:rsidR="00FC79AC" w:rsidRPr="005F44EF">
        <w:rPr>
          <w:rFonts w:ascii="Times New Roman" w:hAnsi="Times New Roman" w:cs="Times New Roman"/>
          <w:bCs/>
          <w:color w:val="000000"/>
          <w:sz w:val="24"/>
          <w:szCs w:val="24"/>
          <w:shd w:val="clear" w:color="auto" w:fill="FFFFFF"/>
        </w:rPr>
        <w:t xml:space="preserve">errors for </w:t>
      </w:r>
      <w:r w:rsidR="003F0F4A" w:rsidRPr="005F44EF">
        <w:rPr>
          <w:rFonts w:ascii="Times New Roman" w:hAnsi="Times New Roman" w:cs="Times New Roman"/>
          <w:bCs/>
          <w:color w:val="000000"/>
          <w:sz w:val="24"/>
          <w:szCs w:val="24"/>
          <w:shd w:val="clear" w:color="auto" w:fill="FFFFFF"/>
        </w:rPr>
        <w:t>4</w:t>
      </w:r>
      <w:r w:rsidR="00047A17" w:rsidRPr="005F44EF">
        <w:rPr>
          <w:rFonts w:ascii="Times New Roman" w:hAnsi="Times New Roman" w:cs="Times New Roman"/>
          <w:bCs/>
          <w:color w:val="000000"/>
          <w:sz w:val="24"/>
          <w:szCs w:val="24"/>
          <w:shd w:val="clear" w:color="auto" w:fill="FFFFFF"/>
        </w:rPr>
        <w:t xml:space="preserve"> of the 8 </w:t>
      </w:r>
      <w:r w:rsidR="00FC79AC" w:rsidRPr="005F44EF">
        <w:rPr>
          <w:rFonts w:ascii="Times New Roman" w:hAnsi="Times New Roman" w:cs="Times New Roman"/>
          <w:bCs/>
          <w:color w:val="000000"/>
          <w:sz w:val="24"/>
          <w:szCs w:val="24"/>
          <w:shd w:val="clear" w:color="auto" w:fill="FFFFFF"/>
        </w:rPr>
        <w:t xml:space="preserve">samples </w:t>
      </w:r>
      <w:r w:rsidR="00047A17" w:rsidRPr="005F44EF">
        <w:rPr>
          <w:rFonts w:ascii="Times New Roman" w:hAnsi="Times New Roman" w:cs="Times New Roman"/>
          <w:bCs/>
          <w:color w:val="000000"/>
          <w:sz w:val="24"/>
          <w:szCs w:val="24"/>
          <w:shd w:val="clear" w:color="auto" w:fill="FFFFFF"/>
        </w:rPr>
        <w:t>(</w:t>
      </w:r>
      <w:r w:rsidR="00FC79AC" w:rsidRPr="005F44EF">
        <w:rPr>
          <w:rFonts w:ascii="Times New Roman" w:hAnsi="Times New Roman" w:cs="Times New Roman"/>
          <w:bCs/>
          <w:color w:val="000000"/>
          <w:sz w:val="24"/>
          <w:szCs w:val="24"/>
          <w:shd w:val="clear" w:color="auto" w:fill="FFFFFF"/>
        </w:rPr>
        <w:t>ANY20-02, ANY20-05</w:t>
      </w:r>
      <w:r w:rsidR="003F0F4A" w:rsidRPr="005F44EF">
        <w:rPr>
          <w:rFonts w:ascii="Times New Roman" w:hAnsi="Times New Roman" w:cs="Times New Roman"/>
          <w:bCs/>
          <w:color w:val="000000"/>
          <w:sz w:val="24"/>
          <w:szCs w:val="24"/>
          <w:shd w:val="clear" w:color="auto" w:fill="FFFFFF"/>
        </w:rPr>
        <w:t xml:space="preserve">, ANY20-08 and </w:t>
      </w:r>
      <w:r w:rsidR="00FC79AC" w:rsidRPr="005F44EF">
        <w:rPr>
          <w:rFonts w:ascii="Times New Roman" w:hAnsi="Times New Roman" w:cs="Times New Roman"/>
          <w:bCs/>
          <w:color w:val="000000"/>
          <w:sz w:val="24"/>
          <w:szCs w:val="24"/>
          <w:shd w:val="clear" w:color="auto" w:fill="FFFFFF"/>
        </w:rPr>
        <w:t>ANY20-0</w:t>
      </w:r>
      <w:r w:rsidR="003F0F4A" w:rsidRPr="005F44EF">
        <w:rPr>
          <w:rFonts w:ascii="Times New Roman" w:hAnsi="Times New Roman" w:cs="Times New Roman"/>
          <w:bCs/>
          <w:color w:val="000000"/>
          <w:sz w:val="24"/>
          <w:szCs w:val="24"/>
          <w:shd w:val="clear" w:color="auto" w:fill="FFFFFF"/>
        </w:rPr>
        <w:t>9</w:t>
      </w:r>
      <w:r w:rsidRPr="005F44EF">
        <w:rPr>
          <w:rFonts w:ascii="Times New Roman" w:hAnsi="Times New Roman" w:cs="Times New Roman"/>
          <w:bCs/>
          <w:color w:val="000000"/>
          <w:sz w:val="24"/>
          <w:szCs w:val="24"/>
          <w:shd w:val="clear" w:color="auto" w:fill="FFFFFF"/>
        </w:rPr>
        <w:t xml:space="preserve">. In </w:t>
      </w:r>
      <w:r w:rsidR="007A7009" w:rsidRPr="005F44EF">
        <w:rPr>
          <w:rFonts w:ascii="Times New Roman" w:hAnsi="Times New Roman" w:cs="Times New Roman"/>
          <w:bCs/>
          <w:color w:val="000000"/>
          <w:sz w:val="24"/>
          <w:szCs w:val="24"/>
          <w:shd w:val="clear" w:color="auto" w:fill="FFFFFF"/>
        </w:rPr>
        <w:t>contrast</w:t>
      </w:r>
      <w:r w:rsidRPr="005F44EF">
        <w:rPr>
          <w:rFonts w:ascii="Times New Roman" w:hAnsi="Times New Roman" w:cs="Times New Roman"/>
          <w:bCs/>
          <w:color w:val="000000"/>
          <w:sz w:val="24"/>
          <w:szCs w:val="24"/>
          <w:shd w:val="clear" w:color="auto" w:fill="FFFFFF"/>
        </w:rPr>
        <w:t>, t</w:t>
      </w:r>
      <w:r w:rsidR="003F0F4A" w:rsidRPr="005F44EF">
        <w:rPr>
          <w:rFonts w:ascii="Times New Roman" w:hAnsi="Times New Roman" w:cs="Times New Roman"/>
          <w:bCs/>
          <w:color w:val="000000"/>
          <w:sz w:val="24"/>
          <w:szCs w:val="24"/>
          <w:shd w:val="clear" w:color="auto" w:fill="FFFFFF"/>
        </w:rPr>
        <w:t xml:space="preserve">he SG-OSL age for ANY20-06 </w:t>
      </w:r>
      <w:r w:rsidRPr="005F44EF">
        <w:rPr>
          <w:rFonts w:ascii="Times New Roman" w:hAnsi="Times New Roman" w:cs="Times New Roman"/>
          <w:bCs/>
          <w:color w:val="000000"/>
          <w:sz w:val="24"/>
          <w:szCs w:val="24"/>
          <w:shd w:val="clear" w:color="auto" w:fill="FFFFFF"/>
        </w:rPr>
        <w:t xml:space="preserve">is </w:t>
      </w:r>
      <w:r w:rsidR="003F0F4A" w:rsidRPr="005F44EF">
        <w:rPr>
          <w:rFonts w:ascii="Times New Roman" w:hAnsi="Times New Roman" w:cs="Times New Roman"/>
          <w:bCs/>
          <w:color w:val="000000"/>
          <w:sz w:val="24"/>
          <w:szCs w:val="24"/>
          <w:shd w:val="clear" w:color="auto" w:fill="FFFFFF"/>
        </w:rPr>
        <w:t>~70 ka younger than the SA-OSL</w:t>
      </w:r>
      <w:r w:rsidRPr="005F44EF">
        <w:rPr>
          <w:rFonts w:ascii="Times New Roman" w:hAnsi="Times New Roman" w:cs="Times New Roman"/>
          <w:bCs/>
          <w:color w:val="000000"/>
          <w:sz w:val="24"/>
          <w:szCs w:val="24"/>
          <w:shd w:val="clear" w:color="auto" w:fill="FFFFFF"/>
        </w:rPr>
        <w:t xml:space="preserve"> estimates</w:t>
      </w:r>
      <w:r w:rsidR="007A7009" w:rsidRPr="005F44EF">
        <w:rPr>
          <w:rFonts w:ascii="Times New Roman" w:hAnsi="Times New Roman" w:cs="Times New Roman"/>
          <w:bCs/>
          <w:color w:val="000000"/>
          <w:sz w:val="24"/>
          <w:szCs w:val="24"/>
        </w:rPr>
        <w:t>, despite having low OD values for both types of measurement</w:t>
      </w:r>
      <w:r w:rsidR="003F0F4A" w:rsidRPr="005F44EF">
        <w:rPr>
          <w:rFonts w:ascii="Times New Roman" w:hAnsi="Times New Roman" w:cs="Times New Roman"/>
          <w:bCs/>
          <w:color w:val="000000"/>
          <w:sz w:val="24"/>
          <w:szCs w:val="24"/>
        </w:rPr>
        <w:t>.</w:t>
      </w:r>
      <w:r w:rsidR="00C93919" w:rsidRPr="005F44EF">
        <w:rPr>
          <w:rFonts w:ascii="Times New Roman" w:hAnsi="Times New Roman" w:cs="Times New Roman"/>
          <w:bCs/>
          <w:color w:val="000000"/>
          <w:sz w:val="24"/>
          <w:szCs w:val="24"/>
          <w:shd w:val="clear" w:color="auto" w:fill="FFFFFF"/>
        </w:rPr>
        <w:t xml:space="preserve"> </w:t>
      </w:r>
      <w:r w:rsidR="00047A17" w:rsidRPr="005F44EF">
        <w:rPr>
          <w:rFonts w:ascii="Times New Roman" w:hAnsi="Times New Roman" w:cs="Times New Roman"/>
          <w:bCs/>
          <w:color w:val="000000"/>
          <w:sz w:val="24"/>
          <w:szCs w:val="24"/>
          <w:shd w:val="clear" w:color="auto" w:fill="FFFFFF"/>
        </w:rPr>
        <w:t>The S</w:t>
      </w:r>
      <w:r w:rsidR="00E10C67">
        <w:rPr>
          <w:rFonts w:ascii="Times New Roman" w:hAnsi="Times New Roman" w:cs="Times New Roman"/>
          <w:bCs/>
          <w:color w:val="000000"/>
          <w:sz w:val="24"/>
          <w:szCs w:val="24"/>
          <w:shd w:val="clear" w:color="auto" w:fill="FFFFFF"/>
        </w:rPr>
        <w:t>G</w:t>
      </w:r>
      <w:r w:rsidR="00047A17" w:rsidRPr="005F44EF">
        <w:rPr>
          <w:rFonts w:ascii="Times New Roman" w:hAnsi="Times New Roman" w:cs="Times New Roman"/>
          <w:bCs/>
          <w:color w:val="000000"/>
          <w:sz w:val="24"/>
          <w:szCs w:val="24"/>
          <w:shd w:val="clear" w:color="auto" w:fill="FFFFFF"/>
        </w:rPr>
        <w:t>-OSL chronology on its own appears robust</w:t>
      </w:r>
      <w:r w:rsidR="00771C04" w:rsidRPr="005F44EF">
        <w:rPr>
          <w:rFonts w:ascii="Times New Roman" w:hAnsi="Times New Roman" w:cs="Times New Roman"/>
          <w:bCs/>
          <w:color w:val="000000"/>
          <w:sz w:val="24"/>
          <w:szCs w:val="24"/>
          <w:shd w:val="clear" w:color="auto" w:fill="FFFFFF"/>
        </w:rPr>
        <w:t xml:space="preserve">: </w:t>
      </w:r>
      <w:r w:rsidR="00047A17" w:rsidRPr="005F44EF">
        <w:rPr>
          <w:rFonts w:ascii="Times New Roman" w:hAnsi="Times New Roman" w:cs="Times New Roman"/>
          <w:bCs/>
          <w:color w:val="000000"/>
          <w:sz w:val="24"/>
          <w:szCs w:val="24"/>
          <w:shd w:val="clear" w:color="auto" w:fill="FFFFFF"/>
        </w:rPr>
        <w:t xml:space="preserve">the </w:t>
      </w:r>
      <w:r w:rsidR="00047A17" w:rsidRPr="005F44EF">
        <w:rPr>
          <w:rFonts w:ascii="Times New Roman" w:hAnsi="Times New Roman" w:cs="Times New Roman"/>
          <w:bCs/>
          <w:color w:val="000000"/>
          <w:sz w:val="24"/>
          <w:szCs w:val="24"/>
          <w:shd w:val="clear" w:color="auto" w:fill="FFFFFF"/>
        </w:rPr>
        <w:lastRenderedPageBreak/>
        <w:t xml:space="preserve">overall antiquity of the </w:t>
      </w:r>
      <w:r w:rsidR="00771C04" w:rsidRPr="005F44EF">
        <w:rPr>
          <w:rFonts w:ascii="Times New Roman" w:hAnsi="Times New Roman" w:cs="Times New Roman"/>
          <w:bCs/>
          <w:color w:val="000000"/>
          <w:sz w:val="24"/>
          <w:szCs w:val="24"/>
          <w:shd w:val="clear" w:color="auto" w:fill="FFFFFF"/>
        </w:rPr>
        <w:t xml:space="preserve">human presence </w:t>
      </w:r>
      <w:r w:rsidR="00047A17" w:rsidRPr="005F44EF">
        <w:rPr>
          <w:rFonts w:ascii="Times New Roman" w:hAnsi="Times New Roman" w:cs="Times New Roman"/>
          <w:bCs/>
          <w:color w:val="000000"/>
          <w:sz w:val="24"/>
          <w:szCs w:val="24"/>
          <w:shd w:val="clear" w:color="auto" w:fill="FFFFFF"/>
        </w:rPr>
        <w:t>is similar for both levels of measurements</w:t>
      </w:r>
      <w:r w:rsidR="003F0F4A" w:rsidRPr="005F44EF">
        <w:rPr>
          <w:rFonts w:ascii="Times New Roman" w:hAnsi="Times New Roman" w:cs="Times New Roman"/>
          <w:bCs/>
          <w:color w:val="000000"/>
          <w:sz w:val="24"/>
          <w:szCs w:val="24"/>
          <w:shd w:val="clear" w:color="auto" w:fill="FFFFFF"/>
        </w:rPr>
        <w:t xml:space="preserve"> as show by the </w:t>
      </w:r>
      <w:r w:rsidR="00771C04" w:rsidRPr="005F44EF">
        <w:rPr>
          <w:rFonts w:ascii="Times New Roman" w:hAnsi="Times New Roman" w:cs="Times New Roman"/>
          <w:bCs/>
          <w:color w:val="000000"/>
          <w:sz w:val="24"/>
          <w:szCs w:val="24"/>
          <w:shd w:val="clear" w:color="auto" w:fill="FFFFFF"/>
        </w:rPr>
        <w:t>good consistency at 1</w:t>
      </w:r>
      <w:r w:rsidR="00771C04" w:rsidRPr="005F44EF">
        <w:rPr>
          <w:rFonts w:ascii="Times New Roman" w:eastAsia="Times New Roman" w:hAnsi="Times New Roman" w:cs="Times New Roman"/>
          <w:color w:val="000000"/>
          <w:sz w:val="24"/>
          <w:szCs w:val="24"/>
          <w:lang w:val="en-US"/>
        </w:rPr>
        <w:t>σ</w:t>
      </w:r>
      <w:r w:rsidR="00771C04" w:rsidRPr="005F44EF">
        <w:rPr>
          <w:rFonts w:ascii="Times New Roman" w:hAnsi="Times New Roman" w:cs="Times New Roman"/>
          <w:bCs/>
          <w:color w:val="000000"/>
          <w:sz w:val="24"/>
          <w:szCs w:val="24"/>
          <w:shd w:val="clear" w:color="auto" w:fill="FFFFFF"/>
        </w:rPr>
        <w:t xml:space="preserve"> level between </w:t>
      </w:r>
      <w:r w:rsidR="003F0F4A" w:rsidRPr="005F44EF">
        <w:rPr>
          <w:rFonts w:ascii="Times New Roman" w:hAnsi="Times New Roman" w:cs="Times New Roman"/>
          <w:bCs/>
          <w:color w:val="000000"/>
          <w:sz w:val="24"/>
          <w:szCs w:val="24"/>
          <w:shd w:val="clear" w:color="auto" w:fill="FFFFFF"/>
        </w:rPr>
        <w:t>SA-OSL</w:t>
      </w:r>
      <w:r w:rsidR="00771C04" w:rsidRPr="005F44EF">
        <w:rPr>
          <w:rFonts w:ascii="Times New Roman" w:hAnsi="Times New Roman" w:cs="Times New Roman"/>
          <w:bCs/>
          <w:color w:val="000000"/>
          <w:sz w:val="24"/>
          <w:szCs w:val="24"/>
          <w:shd w:val="clear" w:color="auto" w:fill="FFFFFF"/>
        </w:rPr>
        <w:t xml:space="preserve"> and SG-OSL</w:t>
      </w:r>
      <w:r w:rsidR="003F0F4A" w:rsidRPr="005F44EF">
        <w:rPr>
          <w:rFonts w:ascii="Times New Roman" w:hAnsi="Times New Roman" w:cs="Times New Roman"/>
          <w:bCs/>
          <w:color w:val="000000"/>
          <w:sz w:val="24"/>
          <w:szCs w:val="24"/>
          <w:shd w:val="clear" w:color="auto" w:fill="FFFFFF"/>
        </w:rPr>
        <w:t xml:space="preserve"> age</w:t>
      </w:r>
      <w:r w:rsidR="00C93919" w:rsidRPr="005F44EF">
        <w:rPr>
          <w:rFonts w:ascii="Times New Roman" w:hAnsi="Times New Roman" w:cs="Times New Roman"/>
          <w:bCs/>
          <w:color w:val="000000"/>
          <w:sz w:val="24"/>
          <w:szCs w:val="24"/>
          <w:shd w:val="clear" w:color="auto" w:fill="FFFFFF"/>
        </w:rPr>
        <w:t>s</w:t>
      </w:r>
      <w:r w:rsidR="003F0F4A" w:rsidRPr="005F44EF">
        <w:rPr>
          <w:rFonts w:ascii="Times New Roman" w:hAnsi="Times New Roman" w:cs="Times New Roman"/>
          <w:bCs/>
          <w:color w:val="000000"/>
          <w:sz w:val="24"/>
          <w:szCs w:val="24"/>
          <w:shd w:val="clear" w:color="auto" w:fill="FFFFFF"/>
        </w:rPr>
        <w:t xml:space="preserve"> of the sample ANY20-08 (respectively</w:t>
      </w:r>
      <w:r w:rsidR="00771C04" w:rsidRPr="005F44EF">
        <w:rPr>
          <w:rFonts w:ascii="Times New Roman" w:hAnsi="Times New Roman" w:cs="Times New Roman"/>
          <w:bCs/>
          <w:color w:val="000000"/>
          <w:sz w:val="24"/>
          <w:szCs w:val="24"/>
          <w:shd w:val="clear" w:color="auto" w:fill="FFFFFF"/>
        </w:rPr>
        <w:t xml:space="preserve"> </w:t>
      </w:r>
      <w:r w:rsidR="003F0F4A" w:rsidRPr="005F44EF">
        <w:rPr>
          <w:rFonts w:ascii="Times New Roman" w:hAnsi="Times New Roman" w:cs="Times New Roman"/>
          <w:bCs/>
          <w:color w:val="000000"/>
          <w:sz w:val="24"/>
          <w:szCs w:val="24"/>
          <w:shd w:val="clear" w:color="auto" w:fill="FFFFFF"/>
        </w:rPr>
        <w:t xml:space="preserve">162±9 ka and 146±9 ka). </w:t>
      </w:r>
      <w:r w:rsidR="00651103" w:rsidRPr="005F44EF">
        <w:rPr>
          <w:rFonts w:ascii="Times New Roman" w:hAnsi="Times New Roman" w:cs="Times New Roman"/>
          <w:bCs/>
          <w:color w:val="000000"/>
          <w:sz w:val="24"/>
          <w:szCs w:val="24"/>
          <w:shd w:val="clear" w:color="auto" w:fill="FFFFFF"/>
        </w:rPr>
        <w:t xml:space="preserve">The age for sample ANY20-03 reduces from 27±3 ka (SA) to 20±1 ka (SG) and as this is the same unit as ANY20-02 (12±1 ka) the SG age is preferred. ANY20-04 reduces from 55±4 ka (SA) to 35±3 ka (SG). As this sample is from a transitional unit between C and D, an age much younger than the upper Unit D age (54±8 ka) makes better </w:t>
      </w:r>
      <w:proofErr w:type="spellStart"/>
      <w:r w:rsidR="00651103" w:rsidRPr="005F44EF">
        <w:rPr>
          <w:rFonts w:ascii="Times New Roman" w:hAnsi="Times New Roman" w:cs="Times New Roman"/>
          <w:bCs/>
          <w:color w:val="000000"/>
          <w:sz w:val="24"/>
          <w:szCs w:val="24"/>
          <w:shd w:val="clear" w:color="auto" w:fill="FFFFFF"/>
        </w:rPr>
        <w:t>stratigraphical</w:t>
      </w:r>
      <w:proofErr w:type="spellEnd"/>
      <w:r w:rsidR="00651103" w:rsidRPr="005F44EF">
        <w:rPr>
          <w:rFonts w:ascii="Times New Roman" w:hAnsi="Times New Roman" w:cs="Times New Roman"/>
          <w:bCs/>
          <w:color w:val="000000"/>
          <w:sz w:val="24"/>
          <w:szCs w:val="24"/>
          <w:shd w:val="clear" w:color="auto" w:fill="FFFFFF"/>
        </w:rPr>
        <w:t xml:space="preserve"> sense so the SG age is preferred</w:t>
      </w:r>
      <w:r w:rsidR="00651103" w:rsidRPr="005F44EF">
        <w:rPr>
          <w:rFonts w:ascii="Times New Roman" w:hAnsi="Times New Roman" w:cs="Times New Roman"/>
          <w:bCs/>
          <w:color w:val="000000"/>
          <w:sz w:val="24"/>
          <w:szCs w:val="24"/>
        </w:rPr>
        <w:t xml:space="preserve">. </w:t>
      </w:r>
      <w:r w:rsidR="007A7009" w:rsidRPr="005F44EF">
        <w:rPr>
          <w:rFonts w:ascii="Times New Roman" w:hAnsi="Times New Roman" w:cs="Times New Roman"/>
          <w:bCs/>
          <w:color w:val="000000"/>
          <w:sz w:val="24"/>
          <w:szCs w:val="24"/>
        </w:rPr>
        <w:t>The comparatively older age estimates obtained from SA measurements most likely result from grain averaging effects (e.g.</w:t>
      </w:r>
      <w:r w:rsidR="00311971">
        <w:rPr>
          <w:rFonts w:ascii="Times New Roman" w:hAnsi="Times New Roman" w:cs="Times New Roman"/>
          <w:bCs/>
          <w:color w:val="000000"/>
          <w:sz w:val="24"/>
          <w:szCs w:val="24"/>
        </w:rPr>
        <w:fldChar w:fldCharType="begin" w:fldLock="1"/>
      </w:r>
      <w:r w:rsidR="00614E13">
        <w:rPr>
          <w:rFonts w:ascii="Times New Roman" w:hAnsi="Times New Roman" w:cs="Times New Roman"/>
          <w:bCs/>
          <w:color w:val="000000"/>
          <w:sz w:val="24"/>
          <w:szCs w:val="24"/>
        </w:rPr>
        <w:instrText>ADDIN CSL_CITATION {"citationItems":[{"id":"ITEM-1","itemData":{"DOI":"10.1016/J.QUAGEO.2016.07.003","ISSN":"1871-1014","abstract":"Dose saturation represents a fundamental limitation for obtaining finite optically stimulated luminescence (OSL) quartz ages over Middle Pleistocene timescales. Single-grain OSL studies typically reveal significant intra- and inter-sample variability in quartz dose saturation properties at the individual grain level. This enhanced variability may offer the potential to obtain extended-range chronologies exceeding the traditional upper age limits of multiple-grain OSL dating. However, there have been relatively few detailed assessments of single-grain OSL properties over high dose ranges. In this study we investigate extended-range single-grain OSL dating potential at Cuesta de la Bajada, one of the most important Ancient Middle Palaeolithic sites in the Iberian Peninsula. The quartz samples from this site exhibit exceptional dose saturation properties and contain significant populations of individual ‘supergrains’ with bright OSL signals, very high characteristic saturation dose (D0) limits of 200 to &gt;600 Gy, and dose-response curves that closely conform to single saturating exponential functions. Assessments of OSL signal composition and the ability to successfully recover a known laboratory dose of 470 Gy support the potential for obtaining high equivalent dose (De) values with reasonable fitting uncertainties. A series of novel sensitivity tests are used to assess potential biases in supergrain De estimation over high dose ranges related to (i) thermally transferred signal contributions, (ii) choice of dose-response curve fitting function, and (iii) insufficient dose saturation properties of individual grains. The single-grain De values obtained using the standard quality assurance criteria and novel sensitivity tests are consistent at 2σ, and are in agreement with quartz Ti-centre ages obtained on two of three paired electron spin resonance (ESR) samples collected from Cuesta de la Bajada. These comparisons support the suitability of our single-grain OSL results and suggest there may be good potential for using quartz supergrains to establish extended-range chronologies at some Middle Pleistocene sites. Comparisons with other single-grain OSL studies across the Iberian central plains suggest that favourable dose saturation properties may be influenced by regional-scale geological controls. The importance of undertaking single-grain OSL dating at Cuesta de la Bajada is also demonstrated by the results of synthetic aliquot experiments, which reveal mu…","author":[{"dropping-particle":"","family":"Arnold","given":"Lee J.","non-dropping-particle":"","parse-names":false,"suffix":""},{"dropping-particle":"","family":"Duval","given":"Mathieu","non-dropping-particle":"","parse-names":false,"suffix":""},{"dropping-particle":"","family":"Demuro","given":"Martina","non-dropping-particle":"","parse-names":false,"suffix":""},{"dropping-particle":"","family":"Spooner","given":"Nigel A.","non-dropping-particle":"","parse-names":false,"suffix":""},{"dropping-particle":"","family":"Santonja","given":"Manuel","non-dropping-particle":"","parse-names":false,"suffix":""},{"dropping-particle":"","family":"Pérez-González","given":"Alfredo","non-dropping-particle":"","parse-names":false,"suffix":""}],"container-title":"Quaternary Geochronology","id":"ITEM-1","issued":{"date-parts":[["2016","9","1"]]},"page":"78-101","publisher":"Elsevier","title":"OSL dating of individual quartz ‘supergrains’ from the Ancient Middle Palaeolithic site of Cuesta de la Bajada, Spain","type":"article-journal","volume":"36"},"uris":["http://www.mendeley.com/documents/?uuid=697e2b37-c637-3b6e-9d7a-2723f1514e30"]}],"mendeley":{"formattedCitation":"&lt;sup&gt;115&lt;/sup&gt;","plainTextFormattedCitation":"115","previouslyFormattedCitation":"&lt;sup&gt;115&lt;/sup&gt;"},"properties":{"noteIndex":0},"schema":"https://github.com/citation-style-language/schema/raw/master/csl-citation.json"}</w:instrText>
      </w:r>
      <w:r w:rsidR="00311971">
        <w:rPr>
          <w:rFonts w:ascii="Times New Roman" w:hAnsi="Times New Roman" w:cs="Times New Roman"/>
          <w:bCs/>
          <w:color w:val="000000"/>
          <w:sz w:val="24"/>
          <w:szCs w:val="24"/>
        </w:rPr>
        <w:fldChar w:fldCharType="separate"/>
      </w:r>
      <w:r w:rsidR="00C212A1" w:rsidRPr="00C212A1">
        <w:rPr>
          <w:rFonts w:ascii="Times New Roman" w:hAnsi="Times New Roman" w:cs="Times New Roman"/>
          <w:bCs/>
          <w:noProof/>
          <w:color w:val="000000"/>
          <w:sz w:val="24"/>
          <w:szCs w:val="24"/>
          <w:vertAlign w:val="superscript"/>
        </w:rPr>
        <w:t>115</w:t>
      </w:r>
      <w:r w:rsidR="00311971">
        <w:rPr>
          <w:rFonts w:ascii="Times New Roman" w:hAnsi="Times New Roman" w:cs="Times New Roman"/>
          <w:bCs/>
          <w:color w:val="000000"/>
          <w:sz w:val="24"/>
          <w:szCs w:val="24"/>
        </w:rPr>
        <w:fldChar w:fldCharType="end"/>
      </w:r>
      <w:r w:rsidR="00311971">
        <w:rPr>
          <w:rFonts w:ascii="Times New Roman" w:hAnsi="Times New Roman" w:cs="Times New Roman"/>
          <w:bCs/>
          <w:color w:val="000000"/>
          <w:sz w:val="24"/>
          <w:szCs w:val="24"/>
        </w:rPr>
        <w:t>)</w:t>
      </w:r>
      <w:r w:rsidR="007A7009" w:rsidRPr="005F44EF">
        <w:rPr>
          <w:rFonts w:ascii="Times New Roman" w:hAnsi="Times New Roman" w:cs="Times New Roman"/>
          <w:bCs/>
          <w:color w:val="000000"/>
          <w:sz w:val="24"/>
          <w:szCs w:val="24"/>
        </w:rPr>
        <w:t>.</w:t>
      </w:r>
      <w:r w:rsidR="00F24010">
        <w:rPr>
          <w:rFonts w:ascii="Times New Roman" w:hAnsi="Times New Roman" w:cs="Times New Roman"/>
          <w:bCs/>
          <w:color w:val="000000"/>
          <w:sz w:val="24"/>
          <w:szCs w:val="24"/>
          <w:shd w:val="clear" w:color="auto" w:fill="FBD4B4" w:themeFill="accent6" w:themeFillTint="66"/>
        </w:rPr>
        <w:t xml:space="preserve"> </w:t>
      </w:r>
    </w:p>
    <w:p w14:paraId="7BE057CC" w14:textId="77777777" w:rsidR="00645D0B" w:rsidRPr="005F44EF" w:rsidRDefault="00645D0B" w:rsidP="00771C04">
      <w:pPr>
        <w:spacing w:after="0" w:line="276" w:lineRule="auto"/>
        <w:jc w:val="both"/>
        <w:rPr>
          <w:rFonts w:ascii="Times New Roman" w:hAnsi="Times New Roman" w:cs="Times New Roman"/>
          <w:bCs/>
          <w:color w:val="000000"/>
          <w:sz w:val="24"/>
          <w:szCs w:val="24"/>
        </w:rPr>
      </w:pPr>
    </w:p>
    <w:p w14:paraId="13D71705" w14:textId="5210633F" w:rsidR="002E1AC5" w:rsidRPr="005F44EF" w:rsidRDefault="007A7009" w:rsidP="00771C04">
      <w:pPr>
        <w:spacing w:after="0" w:line="276" w:lineRule="auto"/>
        <w:jc w:val="both"/>
        <w:rPr>
          <w:rFonts w:ascii="Times New Roman" w:hAnsi="Times New Roman" w:cs="Times New Roman"/>
          <w:bCs/>
          <w:color w:val="000000"/>
          <w:sz w:val="24"/>
          <w:szCs w:val="24"/>
          <w:shd w:val="clear" w:color="auto" w:fill="FFFFFF"/>
        </w:rPr>
      </w:pPr>
      <w:r w:rsidRPr="005F44EF">
        <w:rPr>
          <w:rFonts w:ascii="Times New Roman" w:hAnsi="Times New Roman" w:cs="Times New Roman"/>
          <w:bCs/>
          <w:color w:val="000000"/>
          <w:sz w:val="24"/>
          <w:szCs w:val="24"/>
        </w:rPr>
        <w:t>To sum up, t</w:t>
      </w:r>
      <w:r w:rsidRPr="005F44EF">
        <w:rPr>
          <w:rFonts w:ascii="Times New Roman" w:hAnsi="Times New Roman" w:cs="Times New Roman"/>
          <w:bCs/>
          <w:color w:val="000000"/>
          <w:sz w:val="24"/>
          <w:szCs w:val="24"/>
          <w:shd w:val="clear" w:color="auto" w:fill="FFFFFF"/>
        </w:rPr>
        <w:t>he SG-OSL chronology is regarded as providing more accurate estimates of the true burial age of the deposits, as it allows: (</w:t>
      </w:r>
      <w:proofErr w:type="spellStart"/>
      <w:r w:rsidRPr="005F44EF">
        <w:rPr>
          <w:rFonts w:ascii="Times New Roman" w:hAnsi="Times New Roman" w:cs="Times New Roman"/>
          <w:bCs/>
          <w:color w:val="000000"/>
          <w:sz w:val="24"/>
          <w:szCs w:val="24"/>
          <w:shd w:val="clear" w:color="auto" w:fill="FFFFFF"/>
        </w:rPr>
        <w:t>i</w:t>
      </w:r>
      <w:proofErr w:type="spellEnd"/>
      <w:r w:rsidRPr="005F44EF">
        <w:rPr>
          <w:rFonts w:ascii="Times New Roman" w:hAnsi="Times New Roman" w:cs="Times New Roman"/>
          <w:bCs/>
          <w:color w:val="000000"/>
          <w:sz w:val="24"/>
          <w:szCs w:val="24"/>
          <w:shd w:val="clear" w:color="auto" w:fill="FFFFFF"/>
        </w:rPr>
        <w:t>) to evaluate any potential bias resulting from grain averaging effects, (ii) isolate saturated grains and</w:t>
      </w:r>
      <w:r w:rsidR="00CB318F" w:rsidRPr="005F44EF">
        <w:rPr>
          <w:rFonts w:ascii="Times New Roman" w:hAnsi="Times New Roman" w:cs="Times New Roman"/>
          <w:bCs/>
          <w:color w:val="000000"/>
          <w:sz w:val="24"/>
          <w:szCs w:val="24"/>
          <w:shd w:val="clear" w:color="auto" w:fill="FFFFFF"/>
        </w:rPr>
        <w:t xml:space="preserve"> obtain finite age results for the lowermost samples; and (iii) it</w:t>
      </w:r>
      <w:r w:rsidRPr="005F44EF">
        <w:rPr>
          <w:rFonts w:ascii="Times New Roman" w:hAnsi="Times New Roman" w:cs="Times New Roman"/>
          <w:bCs/>
          <w:color w:val="000000"/>
          <w:sz w:val="24"/>
          <w:szCs w:val="24"/>
          <w:shd w:val="clear" w:color="auto" w:fill="FFFFFF"/>
        </w:rPr>
        <w:t xml:space="preserve"> resolves an age reversal in the SA</w:t>
      </w:r>
      <w:r w:rsidR="00CB318F" w:rsidRPr="005F44EF">
        <w:rPr>
          <w:rFonts w:ascii="Times New Roman" w:hAnsi="Times New Roman" w:cs="Times New Roman"/>
          <w:bCs/>
          <w:color w:val="000000"/>
          <w:sz w:val="24"/>
          <w:szCs w:val="24"/>
          <w:shd w:val="clear" w:color="auto" w:fill="FFFFFF"/>
        </w:rPr>
        <w:t>-</w:t>
      </w:r>
      <w:r w:rsidRPr="005F44EF">
        <w:rPr>
          <w:rFonts w:ascii="Times New Roman" w:hAnsi="Times New Roman" w:cs="Times New Roman"/>
          <w:bCs/>
          <w:color w:val="000000"/>
          <w:sz w:val="24"/>
          <w:szCs w:val="24"/>
          <w:shd w:val="clear" w:color="auto" w:fill="FFFFFF"/>
        </w:rPr>
        <w:t xml:space="preserve">based </w:t>
      </w:r>
      <w:proofErr w:type="spellStart"/>
      <w:r w:rsidR="00CB318F" w:rsidRPr="005F44EF">
        <w:rPr>
          <w:rFonts w:ascii="Times New Roman" w:hAnsi="Times New Roman" w:cs="Times New Roman"/>
          <w:bCs/>
          <w:color w:val="000000"/>
          <w:sz w:val="24"/>
          <w:szCs w:val="24"/>
          <w:shd w:val="clear" w:color="auto" w:fill="FFFFFF"/>
        </w:rPr>
        <w:t>chronostratigraphy</w:t>
      </w:r>
      <w:proofErr w:type="spellEnd"/>
      <w:r w:rsidR="00CB318F" w:rsidRPr="005F44EF">
        <w:rPr>
          <w:rFonts w:ascii="Times New Roman" w:hAnsi="Times New Roman" w:cs="Times New Roman"/>
          <w:bCs/>
          <w:color w:val="000000"/>
          <w:sz w:val="24"/>
          <w:szCs w:val="24"/>
          <w:shd w:val="clear" w:color="auto" w:fill="FFFFFF"/>
        </w:rPr>
        <w:t xml:space="preserve">, </w:t>
      </w:r>
      <w:r w:rsidRPr="005F44EF">
        <w:rPr>
          <w:rFonts w:ascii="Times New Roman" w:hAnsi="Times New Roman" w:cs="Times New Roman"/>
          <w:bCs/>
          <w:color w:val="000000"/>
          <w:sz w:val="24"/>
          <w:szCs w:val="24"/>
          <w:shd w:val="clear" w:color="auto" w:fill="FFFFFF"/>
        </w:rPr>
        <w:t>with the SG ages for Unit D increasing with depth</w:t>
      </w:r>
      <w:r w:rsidR="00CB318F" w:rsidRPr="005F44EF">
        <w:rPr>
          <w:rFonts w:ascii="Times New Roman" w:hAnsi="Times New Roman" w:cs="Times New Roman"/>
          <w:bCs/>
          <w:color w:val="000000"/>
          <w:sz w:val="24"/>
          <w:szCs w:val="24"/>
          <w:shd w:val="clear" w:color="auto" w:fill="FFFFFF"/>
        </w:rPr>
        <w:t>.</w:t>
      </w:r>
      <w:r w:rsidRPr="005F44EF">
        <w:rPr>
          <w:rFonts w:ascii="Times New Roman" w:hAnsi="Times New Roman" w:cs="Times New Roman"/>
          <w:bCs/>
          <w:color w:val="000000"/>
          <w:sz w:val="24"/>
          <w:szCs w:val="24"/>
        </w:rPr>
        <w:t xml:space="preserve"> </w:t>
      </w:r>
    </w:p>
    <w:p w14:paraId="4AC6EB58" w14:textId="77777777" w:rsidR="002E1AC5" w:rsidRPr="005F44EF" w:rsidRDefault="002E1AC5" w:rsidP="00771C04">
      <w:pPr>
        <w:spacing w:after="0" w:line="276" w:lineRule="auto"/>
        <w:jc w:val="both"/>
        <w:rPr>
          <w:rFonts w:ascii="Times New Roman" w:hAnsi="Times New Roman" w:cs="Times New Roman"/>
          <w:bCs/>
          <w:color w:val="000000"/>
          <w:sz w:val="24"/>
          <w:szCs w:val="24"/>
          <w:shd w:val="clear" w:color="auto" w:fill="FFFFFF"/>
        </w:rPr>
      </w:pPr>
    </w:p>
    <w:p w14:paraId="736AF70A" w14:textId="77777777" w:rsidR="009F0C7A" w:rsidRPr="005F44EF" w:rsidRDefault="009F0C7A" w:rsidP="009F0C7A">
      <w:pPr>
        <w:pStyle w:val="Heading3"/>
        <w:rPr>
          <w:rFonts w:cs="Times New Roman"/>
          <w:lang w:val="en-US"/>
        </w:rPr>
      </w:pPr>
      <w:bookmarkStart w:id="83" w:name="_3j2qqm3" w:colFirst="0" w:colLast="0"/>
      <w:bookmarkStart w:id="84" w:name="_Toc178429935"/>
      <w:bookmarkEnd w:id="83"/>
      <w:r w:rsidRPr="005F44EF">
        <w:rPr>
          <w:rFonts w:cs="Times New Roman"/>
          <w:lang w:val="en-US"/>
        </w:rPr>
        <w:t>3.5.7. Sensitivity test with the variation of water content</w:t>
      </w:r>
      <w:bookmarkEnd w:id="84"/>
    </w:p>
    <w:p w14:paraId="6994337D" w14:textId="77777777" w:rsidR="009F0C7A" w:rsidRPr="005F44EF" w:rsidRDefault="009F0C7A" w:rsidP="009F0C7A">
      <w:pPr>
        <w:spacing w:after="0" w:line="276" w:lineRule="auto"/>
        <w:jc w:val="both"/>
        <w:rPr>
          <w:rFonts w:ascii="Times New Roman" w:eastAsia="Times New Roman" w:hAnsi="Times New Roman" w:cs="Times New Roman"/>
          <w:b/>
          <w:sz w:val="24"/>
          <w:szCs w:val="24"/>
          <w:lang w:val="en-US"/>
        </w:rPr>
      </w:pPr>
    </w:p>
    <w:p w14:paraId="75884229" w14:textId="6B9E8E4F" w:rsidR="009F0C7A" w:rsidRPr="005F44EF" w:rsidRDefault="009F0C7A" w:rsidP="009F0C7A">
      <w:pPr>
        <w:spacing w:after="0" w:line="276" w:lineRule="auto"/>
        <w:jc w:val="both"/>
        <w:rPr>
          <w:rFonts w:ascii="Times New Roman" w:eastAsia="Times New Roman" w:hAnsi="Times New Roman" w:cs="Times New Roman"/>
          <w:color w:val="000000"/>
          <w:sz w:val="24"/>
          <w:szCs w:val="24"/>
          <w:lang w:val="en-US"/>
        </w:rPr>
      </w:pPr>
      <w:r w:rsidRPr="005F44EF">
        <w:rPr>
          <w:rFonts w:ascii="Times New Roman" w:eastAsia="Times New Roman" w:hAnsi="Times New Roman" w:cs="Times New Roman"/>
          <w:sz w:val="24"/>
          <w:szCs w:val="24"/>
          <w:lang w:val="en-US"/>
        </w:rPr>
        <w:t xml:space="preserve">We performed age sensitivity tests by varying the moisture content from present-day values to 20% </w:t>
      </w:r>
      <w:r w:rsidRPr="005F44EF">
        <w:rPr>
          <w:rFonts w:ascii="Times New Roman" w:eastAsia="Times New Roman" w:hAnsi="Times New Roman" w:cs="Times New Roman"/>
          <w:color w:val="000000"/>
          <w:sz w:val="24"/>
          <w:szCs w:val="24"/>
          <w:lang w:val="en-US"/>
        </w:rPr>
        <w:t xml:space="preserve">(% dry weight) and according to the time-averaged water content provided in </w:t>
      </w:r>
      <w:r w:rsidRPr="005F44EF">
        <w:rPr>
          <w:rFonts w:ascii="Times New Roman" w:eastAsia="Times New Roman" w:hAnsi="Times New Roman" w:cs="Times New Roman"/>
          <w:b/>
          <w:color w:val="000000"/>
          <w:sz w:val="24"/>
          <w:szCs w:val="24"/>
          <w:lang w:val="en-US"/>
        </w:rPr>
        <w:t>Table S3</w:t>
      </w:r>
      <w:r w:rsidRPr="005F44EF">
        <w:rPr>
          <w:rFonts w:ascii="Times New Roman" w:eastAsia="Times New Roman" w:hAnsi="Times New Roman" w:cs="Times New Roman"/>
          <w:color w:val="000000"/>
          <w:sz w:val="24"/>
          <w:szCs w:val="24"/>
          <w:lang w:val="en-US"/>
        </w:rPr>
        <w:t xml:space="preserve">. The results are displayed in </w:t>
      </w:r>
      <w:r w:rsidRPr="005F44EF">
        <w:rPr>
          <w:rFonts w:ascii="Times New Roman" w:eastAsia="Times New Roman" w:hAnsi="Times New Roman" w:cs="Times New Roman"/>
          <w:b/>
          <w:color w:val="000000"/>
          <w:sz w:val="24"/>
          <w:szCs w:val="24"/>
          <w:lang w:val="en-US"/>
        </w:rPr>
        <w:t>Figure S14</w:t>
      </w:r>
      <w:r w:rsidRPr="005F44EF">
        <w:rPr>
          <w:rFonts w:ascii="Times New Roman" w:eastAsia="Times New Roman" w:hAnsi="Times New Roman" w:cs="Times New Roman"/>
          <w:color w:val="000000"/>
          <w:sz w:val="24"/>
          <w:szCs w:val="24"/>
          <w:lang w:val="en-US"/>
        </w:rPr>
        <w:t xml:space="preserve"> and </w:t>
      </w:r>
      <w:r w:rsidRPr="005F44EF">
        <w:rPr>
          <w:rFonts w:ascii="Times New Roman" w:eastAsia="Times New Roman" w:hAnsi="Times New Roman" w:cs="Times New Roman"/>
          <w:b/>
          <w:color w:val="000000"/>
          <w:sz w:val="24"/>
          <w:szCs w:val="24"/>
          <w:lang w:val="en-US"/>
        </w:rPr>
        <w:t>Tables S10 and S11</w:t>
      </w:r>
      <w:r w:rsidRPr="005F44EF">
        <w:rPr>
          <w:rFonts w:ascii="Times New Roman" w:eastAsia="Times New Roman" w:hAnsi="Times New Roman" w:cs="Times New Roman"/>
          <w:color w:val="000000"/>
          <w:sz w:val="24"/>
          <w:szCs w:val="24"/>
          <w:lang w:val="en-US"/>
        </w:rPr>
        <w:t>. SA-OSL</w:t>
      </w:r>
      <w:r w:rsidR="00520789">
        <w:rPr>
          <w:rFonts w:ascii="Times New Roman" w:eastAsia="Times New Roman" w:hAnsi="Times New Roman" w:cs="Times New Roman"/>
          <w:color w:val="000000"/>
          <w:sz w:val="24"/>
          <w:szCs w:val="24"/>
          <w:lang w:val="en-US"/>
        </w:rPr>
        <w:t xml:space="preserve">, </w:t>
      </w:r>
      <w:r w:rsidR="0028264A">
        <w:rPr>
          <w:rFonts w:ascii="Times New Roman" w:eastAsia="Times New Roman" w:hAnsi="Times New Roman" w:cs="Times New Roman"/>
          <w:color w:val="000000"/>
          <w:sz w:val="24"/>
          <w:szCs w:val="24"/>
          <w:lang w:val="en-US"/>
        </w:rPr>
        <w:t>SG-OSL</w:t>
      </w:r>
      <w:r w:rsidRPr="005F44EF">
        <w:rPr>
          <w:rFonts w:ascii="Times New Roman" w:eastAsia="Times New Roman" w:hAnsi="Times New Roman" w:cs="Times New Roman"/>
          <w:color w:val="000000"/>
          <w:sz w:val="24"/>
          <w:szCs w:val="24"/>
          <w:lang w:val="en-US"/>
        </w:rPr>
        <w:t xml:space="preserve"> and Ti-H ESR ages </w:t>
      </w:r>
      <w:r w:rsidR="00520789">
        <w:rPr>
          <w:rFonts w:ascii="Times New Roman" w:eastAsia="Times New Roman" w:hAnsi="Times New Roman" w:cs="Times New Roman"/>
          <w:color w:val="000000"/>
          <w:sz w:val="24"/>
          <w:szCs w:val="24"/>
          <w:lang w:val="en-US"/>
        </w:rPr>
        <w:t xml:space="preserve">were </w:t>
      </w:r>
      <w:r w:rsidRPr="005F44EF">
        <w:rPr>
          <w:rFonts w:ascii="Times New Roman" w:eastAsia="Times New Roman" w:hAnsi="Times New Roman" w:cs="Times New Roman"/>
          <w:color w:val="000000"/>
          <w:sz w:val="24"/>
          <w:szCs w:val="24"/>
          <w:lang w:val="en-US"/>
        </w:rPr>
        <w:t>recalculated respectively with 10, 15 and 20% of water content show ages between ~2% and 14% higher than ages calculated with present-day water content (</w:t>
      </w:r>
      <w:r w:rsidRPr="005F44EF">
        <w:rPr>
          <w:rFonts w:ascii="Times New Roman" w:eastAsia="Times New Roman" w:hAnsi="Times New Roman" w:cs="Times New Roman"/>
          <w:b/>
          <w:color w:val="000000"/>
          <w:sz w:val="24"/>
          <w:szCs w:val="24"/>
          <w:lang w:val="en-US"/>
        </w:rPr>
        <w:t>Tables S10</w:t>
      </w:r>
      <w:r w:rsidRPr="005F44EF">
        <w:rPr>
          <w:rFonts w:ascii="Times New Roman" w:eastAsia="Times New Roman" w:hAnsi="Times New Roman" w:cs="Times New Roman"/>
          <w:color w:val="000000"/>
          <w:sz w:val="24"/>
          <w:szCs w:val="24"/>
          <w:lang w:val="en-US"/>
        </w:rPr>
        <w:t xml:space="preserve"> and </w:t>
      </w:r>
      <w:r w:rsidRPr="005F44EF">
        <w:rPr>
          <w:rFonts w:ascii="Times New Roman" w:eastAsia="Times New Roman" w:hAnsi="Times New Roman" w:cs="Times New Roman"/>
          <w:b/>
          <w:color w:val="000000"/>
          <w:sz w:val="24"/>
          <w:szCs w:val="24"/>
          <w:lang w:val="en-US"/>
        </w:rPr>
        <w:t>S11</w:t>
      </w:r>
      <w:r w:rsidRPr="005F44EF">
        <w:rPr>
          <w:rFonts w:ascii="Times New Roman" w:eastAsia="Times New Roman" w:hAnsi="Times New Roman" w:cs="Times New Roman"/>
          <w:color w:val="000000"/>
          <w:sz w:val="24"/>
          <w:szCs w:val="24"/>
          <w:lang w:val="en-US"/>
        </w:rPr>
        <w:t xml:space="preserve">). However, the ages are all consistent at 1σ, implying that present-day water content or time-averaged water content do not have a significant impact on the </w:t>
      </w:r>
      <w:r w:rsidR="000C7D61">
        <w:rPr>
          <w:rFonts w:ascii="Times New Roman" w:eastAsia="Times New Roman" w:hAnsi="Times New Roman" w:cs="Times New Roman"/>
          <w:color w:val="000000"/>
          <w:sz w:val="24"/>
          <w:szCs w:val="24"/>
          <w:lang w:val="en-US"/>
        </w:rPr>
        <w:t>SA/SG-</w:t>
      </w:r>
      <w:r w:rsidRPr="005F44EF">
        <w:rPr>
          <w:rFonts w:ascii="Times New Roman" w:eastAsia="Times New Roman" w:hAnsi="Times New Roman" w:cs="Times New Roman"/>
          <w:color w:val="000000"/>
          <w:sz w:val="24"/>
          <w:szCs w:val="24"/>
          <w:lang w:val="en-US"/>
        </w:rPr>
        <w:t xml:space="preserve">OSL and ESR ages of the Bété I sequence. </w:t>
      </w:r>
      <w:r w:rsidRPr="005F44EF">
        <w:rPr>
          <w:rFonts w:ascii="Times New Roman" w:eastAsia="Times New Roman" w:hAnsi="Times New Roman" w:cs="Times New Roman"/>
          <w:sz w:val="24"/>
          <w:szCs w:val="24"/>
          <w:lang w:val="en-US"/>
        </w:rPr>
        <w:t xml:space="preserve">As the site was originally excavated over 30 years ago and current sampling took place during the dry season, measured water content probably underestimate the long-term water content. According to </w:t>
      </w:r>
      <w:proofErr w:type="spellStart"/>
      <w:r w:rsidRPr="005F44EF">
        <w:rPr>
          <w:rFonts w:ascii="Times New Roman" w:eastAsia="Times New Roman" w:hAnsi="Times New Roman" w:cs="Times New Roman"/>
          <w:sz w:val="24"/>
          <w:szCs w:val="24"/>
          <w:lang w:val="en-US"/>
        </w:rPr>
        <w:t>pal</w:t>
      </w:r>
      <w:r w:rsidR="00520789">
        <w:rPr>
          <w:rFonts w:ascii="Times New Roman" w:eastAsia="Times New Roman" w:hAnsi="Times New Roman" w:cs="Times New Roman"/>
          <w:sz w:val="24"/>
          <w:szCs w:val="24"/>
          <w:lang w:val="en-US"/>
        </w:rPr>
        <w:t>a</w:t>
      </w:r>
      <w:r w:rsidRPr="005F44EF">
        <w:rPr>
          <w:rFonts w:ascii="Times New Roman" w:eastAsia="Times New Roman" w:hAnsi="Times New Roman" w:cs="Times New Roman"/>
          <w:sz w:val="24"/>
          <w:szCs w:val="24"/>
          <w:lang w:val="en-US"/>
        </w:rPr>
        <w:t>eo</w:t>
      </w:r>
      <w:proofErr w:type="spellEnd"/>
      <w:r w:rsidRPr="005F44EF">
        <w:rPr>
          <w:rFonts w:ascii="Times New Roman" w:eastAsia="Times New Roman" w:hAnsi="Times New Roman" w:cs="Times New Roman"/>
          <w:sz w:val="24"/>
          <w:szCs w:val="24"/>
          <w:lang w:val="en-US"/>
        </w:rPr>
        <w:t xml:space="preserve">-ecological data presented in this work and our field observations, the area has been consistently wet (tropical forest along the Middle to Upper Pleistocene). Consequently, we consider that </w:t>
      </w:r>
      <w:r w:rsidRPr="005F44EF">
        <w:rPr>
          <w:rFonts w:ascii="Times New Roman" w:eastAsia="Times New Roman" w:hAnsi="Times New Roman" w:cs="Times New Roman"/>
          <w:color w:val="000000"/>
          <w:sz w:val="24"/>
          <w:szCs w:val="24"/>
          <w:lang w:val="en-US"/>
        </w:rPr>
        <w:t xml:space="preserve">final OSL and ESR calculations based on time-averaged water content are the most reliable estimate of the true age of the deposits from Bété I. </w:t>
      </w:r>
    </w:p>
    <w:p w14:paraId="3786CFDC" w14:textId="71F56941" w:rsidR="00BB7AA9" w:rsidRPr="005F44EF" w:rsidRDefault="00BB7AA9" w:rsidP="00C44E6F">
      <w:pPr>
        <w:spacing w:line="276" w:lineRule="auto"/>
        <w:jc w:val="both"/>
        <w:rPr>
          <w:rFonts w:ascii="Times New Roman" w:eastAsia="Times New Roman" w:hAnsi="Times New Roman" w:cs="Times New Roman"/>
          <w:sz w:val="24"/>
          <w:szCs w:val="24"/>
        </w:rPr>
        <w:sectPr w:rsidR="00BB7AA9" w:rsidRPr="005F44EF">
          <w:pgSz w:w="12240" w:h="15840"/>
          <w:pgMar w:top="1417" w:right="1417" w:bottom="1134" w:left="1417" w:header="720" w:footer="720" w:gutter="0"/>
          <w:lnNumType w:countBy="1" w:restart="continuous"/>
          <w:cols w:space="720"/>
        </w:sectPr>
      </w:pPr>
    </w:p>
    <w:p w14:paraId="4CFAD9ED" w14:textId="4E45F804" w:rsidR="00772A8A" w:rsidRPr="005F44EF" w:rsidRDefault="00772A8A" w:rsidP="00772A8A">
      <w:pPr>
        <w:keepNext/>
        <w:spacing w:after="200" w:line="276" w:lineRule="auto"/>
        <w:jc w:val="both"/>
        <w:rPr>
          <w:rFonts w:ascii="Times New Roman" w:eastAsia="Times New Roman" w:hAnsi="Times New Roman" w:cs="Times New Roman"/>
          <w:b/>
          <w:szCs w:val="24"/>
        </w:rPr>
      </w:pPr>
      <w:bookmarkStart w:id="85" w:name="_Hlk170654739"/>
      <w:r w:rsidRPr="005F44EF">
        <w:rPr>
          <w:rFonts w:ascii="Times New Roman" w:eastAsia="Times New Roman" w:hAnsi="Times New Roman" w:cs="Times New Roman"/>
          <w:b/>
          <w:szCs w:val="24"/>
        </w:rPr>
        <w:lastRenderedPageBreak/>
        <w:t>Table S</w:t>
      </w:r>
      <w:r w:rsidR="00811824" w:rsidRPr="005F44EF">
        <w:rPr>
          <w:rFonts w:ascii="Times New Roman" w:eastAsia="Times New Roman" w:hAnsi="Times New Roman" w:cs="Times New Roman"/>
          <w:b/>
          <w:szCs w:val="24"/>
        </w:rPr>
        <w:t>8</w:t>
      </w:r>
      <w:r w:rsidRPr="005F44EF">
        <w:rPr>
          <w:rFonts w:ascii="Times New Roman" w:eastAsia="Times New Roman" w:hAnsi="Times New Roman" w:cs="Times New Roman"/>
          <w:b/>
          <w:szCs w:val="24"/>
        </w:rPr>
        <w:t xml:space="preserve">: </w:t>
      </w:r>
      <w:r w:rsidR="002E6AB5" w:rsidRPr="005F44EF">
        <w:rPr>
          <w:rFonts w:ascii="Times New Roman" w:eastAsia="Times New Roman" w:hAnsi="Times New Roman" w:cs="Times New Roman"/>
          <w:szCs w:val="24"/>
        </w:rPr>
        <w:t>SA and SG</w:t>
      </w:r>
      <w:r w:rsidR="002E6AB5" w:rsidRPr="005F44EF">
        <w:rPr>
          <w:rFonts w:ascii="Times New Roman" w:eastAsia="Times New Roman" w:hAnsi="Times New Roman" w:cs="Times New Roman"/>
          <w:b/>
          <w:szCs w:val="24"/>
        </w:rPr>
        <w:t>-</w:t>
      </w:r>
      <w:r w:rsidRPr="005F44EF">
        <w:rPr>
          <w:rFonts w:ascii="Times New Roman" w:eastAsia="Times New Roman" w:hAnsi="Times New Roman" w:cs="Times New Roman"/>
          <w:szCs w:val="24"/>
        </w:rPr>
        <w:t xml:space="preserve">OSL age estimates and dose rate components. </w:t>
      </w:r>
      <w:r w:rsidR="00C41FAA">
        <w:rPr>
          <w:rFonts w:ascii="Times New Roman" w:eastAsia="Times New Roman" w:hAnsi="Times New Roman" w:cs="Times New Roman"/>
          <w:szCs w:val="24"/>
        </w:rPr>
        <w:t xml:space="preserve">For single aliquot measurements </w:t>
      </w:r>
      <w:r w:rsidRPr="005F44EF">
        <w:rPr>
          <w:rFonts w:ascii="Times New Roman" w:eastAsia="Times New Roman" w:hAnsi="Times New Roman" w:cs="Times New Roman"/>
          <w:szCs w:val="24"/>
        </w:rPr>
        <w:t xml:space="preserve">n represents the number of </w:t>
      </w:r>
      <w:r w:rsidR="00C41FAA">
        <w:rPr>
          <w:rFonts w:ascii="Times New Roman" w:eastAsia="Times New Roman" w:hAnsi="Times New Roman" w:cs="Times New Roman"/>
          <w:szCs w:val="24"/>
        </w:rPr>
        <w:t xml:space="preserve">24 </w:t>
      </w:r>
      <w:r w:rsidRPr="005F44EF">
        <w:rPr>
          <w:rFonts w:ascii="Times New Roman" w:eastAsia="Times New Roman" w:hAnsi="Times New Roman" w:cs="Times New Roman"/>
          <w:szCs w:val="24"/>
        </w:rPr>
        <w:t>aliquots</w:t>
      </w:r>
      <w:r w:rsidR="00C41FAA">
        <w:rPr>
          <w:rFonts w:ascii="Times New Roman" w:eastAsia="Times New Roman" w:hAnsi="Times New Roman" w:cs="Times New Roman"/>
          <w:szCs w:val="24"/>
        </w:rPr>
        <w:t xml:space="preserve"> </w:t>
      </w:r>
      <w:r w:rsidRPr="005F44EF">
        <w:rPr>
          <w:rFonts w:ascii="Times New Roman" w:eastAsia="Times New Roman" w:hAnsi="Times New Roman" w:cs="Times New Roman"/>
          <w:szCs w:val="24"/>
        </w:rPr>
        <w:t xml:space="preserve">measured </w:t>
      </w:r>
      <w:r w:rsidR="00C41FAA">
        <w:rPr>
          <w:rFonts w:ascii="Times New Roman" w:eastAsia="Times New Roman" w:hAnsi="Times New Roman" w:cs="Times New Roman"/>
          <w:szCs w:val="24"/>
        </w:rPr>
        <w:t xml:space="preserve">which </w:t>
      </w:r>
      <w:r w:rsidRPr="005F44EF">
        <w:rPr>
          <w:rFonts w:ascii="Times New Roman" w:eastAsia="Times New Roman" w:hAnsi="Times New Roman" w:cs="Times New Roman"/>
          <w:szCs w:val="24"/>
        </w:rPr>
        <w:t>me</w:t>
      </w:r>
      <w:r w:rsidR="00C41FAA">
        <w:rPr>
          <w:rFonts w:ascii="Times New Roman" w:eastAsia="Times New Roman" w:hAnsi="Times New Roman" w:cs="Times New Roman"/>
          <w:szCs w:val="24"/>
        </w:rPr>
        <w:t>t</w:t>
      </w:r>
      <w:r w:rsidR="0087094D">
        <w:rPr>
          <w:rFonts w:ascii="Times New Roman" w:eastAsia="Times New Roman" w:hAnsi="Times New Roman" w:cs="Times New Roman"/>
          <w:szCs w:val="24"/>
        </w:rPr>
        <w:t xml:space="preserve"> </w:t>
      </w:r>
      <w:r w:rsidRPr="005F44EF">
        <w:rPr>
          <w:rFonts w:ascii="Times New Roman" w:eastAsia="Times New Roman" w:hAnsi="Times New Roman" w:cs="Times New Roman"/>
          <w:szCs w:val="24"/>
        </w:rPr>
        <w:t xml:space="preserve">the quality control criteria </w:t>
      </w:r>
      <w:bookmarkEnd w:id="85"/>
      <w:r w:rsidRPr="005F44EF">
        <w:rPr>
          <w:rFonts w:ascii="Times New Roman" w:eastAsia="Times New Roman" w:hAnsi="Times New Roman" w:cs="Times New Roman"/>
          <w:szCs w:val="24"/>
        </w:rPr>
        <w:t xml:space="preserve">with the number after outlier removal shown in parenthesis. </w:t>
      </w:r>
      <w:r w:rsidR="00C41FAA">
        <w:rPr>
          <w:rFonts w:ascii="Times New Roman" w:eastAsia="Times New Roman" w:hAnsi="Times New Roman" w:cs="Times New Roman"/>
          <w:szCs w:val="24"/>
        </w:rPr>
        <w:t xml:space="preserve">For single grain measurements n represents the number of grains which met the quality control criteria </w:t>
      </w:r>
      <w:r w:rsidR="00C41FAA" w:rsidRPr="005F44EF">
        <w:rPr>
          <w:rFonts w:ascii="Times New Roman" w:eastAsia="Times New Roman" w:hAnsi="Times New Roman" w:cs="Times New Roman"/>
          <w:szCs w:val="24"/>
        </w:rPr>
        <w:t>with the number after outlier removal shown in parenthesis</w:t>
      </w:r>
      <w:r w:rsidR="00C41FAA">
        <w:rPr>
          <w:rFonts w:ascii="Times New Roman" w:eastAsia="Times New Roman" w:hAnsi="Times New Roman" w:cs="Times New Roman"/>
          <w:szCs w:val="24"/>
        </w:rPr>
        <w:t xml:space="preserve">. 800 single grains were measured for sample Shf20131, 900 for samples Shfd20134 and Shfd20137 and 1000 for samples Shf20130, Shfd20132, Shfd20135 and Shfd20136. </w:t>
      </w:r>
      <w:r w:rsidRPr="005F44EF">
        <w:rPr>
          <w:rFonts w:ascii="Times New Roman" w:eastAsia="Times New Roman" w:hAnsi="Times New Roman" w:cs="Times New Roman"/>
          <w:szCs w:val="24"/>
        </w:rPr>
        <w:t>n (saturated) represents the number of small aliquots/grains excluded as the SAR growth curve failed to meet the naturally acquired signal or was in the low gradient part of the growth curve. These small aliquots/grains are interpreted as exceeding the limit of the technique in antiquity and/or those where no resetting prior to burial took place.</w:t>
      </w:r>
      <w:r w:rsidR="00F24010">
        <w:rPr>
          <w:rFonts w:ascii="Times New Roman" w:eastAsia="Times New Roman" w:hAnsi="Times New Roman" w:cs="Times New Roman"/>
          <w:szCs w:val="24"/>
        </w:rPr>
        <w:t xml:space="preserve"> </w:t>
      </w:r>
      <w:r w:rsidRPr="005F44EF">
        <w:rPr>
          <w:rFonts w:ascii="Times New Roman" w:eastAsia="Times New Roman" w:hAnsi="Times New Roman" w:cs="Times New Roman"/>
          <w:szCs w:val="24"/>
        </w:rPr>
        <w:t>n (zero dose) represents small aliquots/grains where the D</w:t>
      </w:r>
      <w:r w:rsidRPr="005F44EF">
        <w:rPr>
          <w:rFonts w:ascii="Times New Roman" w:eastAsia="Times New Roman" w:hAnsi="Times New Roman" w:cs="Times New Roman"/>
          <w:szCs w:val="24"/>
          <w:vertAlign w:val="subscript"/>
        </w:rPr>
        <w:t>e</w:t>
      </w:r>
      <w:r w:rsidRPr="005F44EF">
        <w:rPr>
          <w:rFonts w:ascii="Times New Roman" w:eastAsia="Times New Roman" w:hAnsi="Times New Roman" w:cs="Times New Roman"/>
          <w:szCs w:val="24"/>
        </w:rPr>
        <w:t xml:space="preserve"> is within error of zero which are interpreted as indicating recent exhumation and/or burial by pedoturbation processes or site disturbance. Overdispersion (OD) is the “spread” in the D</w:t>
      </w:r>
      <w:r w:rsidRPr="005F44EF">
        <w:rPr>
          <w:rFonts w:ascii="Times New Roman" w:eastAsia="Times New Roman" w:hAnsi="Times New Roman" w:cs="Times New Roman"/>
          <w:szCs w:val="24"/>
          <w:vertAlign w:val="subscript"/>
        </w:rPr>
        <w:t>e</w:t>
      </w:r>
      <w:r w:rsidRPr="005F44EF">
        <w:rPr>
          <w:rFonts w:ascii="Times New Roman" w:eastAsia="Times New Roman" w:hAnsi="Times New Roman" w:cs="Times New Roman"/>
          <w:szCs w:val="24"/>
        </w:rPr>
        <w:t xml:space="preserve"> distribution that remains after all the measurement errors specific to each aliquot have been taken into account</w:t>
      </w:r>
      <w:r w:rsidRPr="005F44EF">
        <w:rPr>
          <w:rFonts w:ascii="Times New Roman" w:eastAsia="Times New Roman" w:hAnsi="Times New Roman" w:cs="Times New Roman"/>
          <w:szCs w:val="24"/>
        </w:rPr>
        <w:fldChar w:fldCharType="begin" w:fldLock="1"/>
      </w:r>
      <w:r w:rsidR="00614E13">
        <w:rPr>
          <w:rFonts w:ascii="Times New Roman" w:eastAsia="Times New Roman" w:hAnsi="Times New Roman" w:cs="Times New Roman"/>
          <w:szCs w:val="24"/>
        </w:rPr>
        <w:instrText>ADDIN CSL_CITATION {"citationItems":[{"id":"ITEM-1","itemData":{"DOI":"10.1016/j.quageo.2012.04.020","abstract":"All Quaternary dating methods involve the measurement of one or more variables to estimate the age of a sample. Each measured quantity has an associated error and uncertainty, and may also be subject to natural variation. We review the statistical estimation of such uncertainties and variation for comparing and interpreting age estimates, with specific reference to the estimation of equivalent dose (D e) values in the optically stimulated luminescence (OSL) dating of sediments. We discuss statistical aspects of OSL signal and background estimation, the determination of D e values for multi-grain aliquots and individual mineral grains from the same and different samples, and the extent of variation commonly observed among such estimates. Examples are drawn from geological and archaeological contexts. We discuss the strengths and weaknesses of various graphical methods of displaying multiple, independent estimates of D e , along with statistical tests and models to compare and appropriately combine them. Many of our recommendations are applicable also to the clear presentation of data obtained using other Quaternary dating methods. We encourage the use of models and methods that are based on well established statistical principles and, ideally, are validated by appropriate numerical simulations; and we discourage the adoption of ad hoc methods developed using a particular set of measurement conditions and tested on a limited number of samples, as these may not be applicable more generally. We emphasise that the choice of statistical models should not be made solely on statistical grounds (or arbitrary rules) but should take into account the broader scientific context of each sample and any additional pertinent information.","author":[{"dropping-particle":"","family":"Galbraith","given":"R F","non-dropping-particle":"","parse-names":false,"suffix":""},{"dropping-particle":"","family":"Roberts","given":"R G","non-dropping-particle":"","parse-names":false,"suffix":""}],"container-title":"Quaternary Geochronology","id":"ITEM-1","issued":{"date-parts":[["2012"]]},"page":"1-27","title":"Statistical aspects of equivalent dose and error calculation and display in OSL dating: An overview and some recommendations","type":"article-journal","volume":"11"},"uris":["http://www.mendeley.com/documents/?uuid=30229f65-a7fc-38a4-85d6-ff9b27ac6083"]}],"mendeley":{"formattedCitation":"&lt;sup&gt;116&lt;/sup&gt;","plainTextFormattedCitation":"116","previouslyFormattedCitation":"&lt;sup&gt;116&lt;/sup&gt;"},"properties":{"noteIndex":0},"schema":"https://github.com/citation-style-language/schema/raw/master/csl-citation.json"}</w:instrText>
      </w:r>
      <w:r w:rsidRPr="005F44EF">
        <w:rPr>
          <w:rFonts w:ascii="Times New Roman" w:eastAsia="Times New Roman" w:hAnsi="Times New Roman" w:cs="Times New Roman"/>
          <w:szCs w:val="24"/>
        </w:rPr>
        <w:fldChar w:fldCharType="separate"/>
      </w:r>
      <w:r w:rsidR="00C212A1" w:rsidRPr="00C212A1">
        <w:rPr>
          <w:rFonts w:ascii="Times New Roman" w:eastAsia="Times New Roman" w:hAnsi="Times New Roman" w:cs="Times New Roman"/>
          <w:noProof/>
          <w:szCs w:val="24"/>
          <w:vertAlign w:val="superscript"/>
        </w:rPr>
        <w:t>116</w:t>
      </w:r>
      <w:r w:rsidRPr="005F44EF">
        <w:rPr>
          <w:rFonts w:ascii="Times New Roman" w:eastAsia="Times New Roman" w:hAnsi="Times New Roman" w:cs="Times New Roman"/>
          <w:szCs w:val="24"/>
        </w:rPr>
        <w:fldChar w:fldCharType="end"/>
      </w:r>
      <w:r w:rsidR="00CE38DA">
        <w:rPr>
          <w:rFonts w:ascii="Times New Roman" w:eastAsia="Times New Roman" w:hAnsi="Times New Roman" w:cs="Times New Roman"/>
          <w:szCs w:val="24"/>
        </w:rPr>
        <w:t>. OD values in parenthesis being the overdispersion after outliers were removed.</w:t>
      </w:r>
      <w:r w:rsidRPr="005F44EF">
        <w:rPr>
          <w:rFonts w:ascii="Times New Roman" w:eastAsia="Times New Roman" w:hAnsi="Times New Roman" w:cs="Times New Roman"/>
          <w:szCs w:val="24"/>
        </w:rPr>
        <w:t xml:space="preserve"> Equivalent doses (D</w:t>
      </w:r>
      <w:r w:rsidRPr="005F44EF">
        <w:rPr>
          <w:rFonts w:ascii="Times New Roman" w:eastAsia="Times New Roman" w:hAnsi="Times New Roman" w:cs="Times New Roman"/>
          <w:szCs w:val="24"/>
          <w:vertAlign w:val="subscript"/>
        </w:rPr>
        <w:t>e</w:t>
      </w:r>
      <w:r w:rsidRPr="005F44EF">
        <w:rPr>
          <w:rFonts w:ascii="Times New Roman" w:eastAsia="Times New Roman" w:hAnsi="Times New Roman" w:cs="Times New Roman"/>
          <w:szCs w:val="24"/>
        </w:rPr>
        <w:t xml:space="preserve">) are shown as calculated by the Central Age Model (CAM), Minimum Age Model (MAM) and the dominant component from Finite Mixture Model (FMM) with the latter two based on all aliquots (no outliers excluded) and using an assumed </w:t>
      </w:r>
      <w:proofErr w:type="spellStart"/>
      <w:r w:rsidRPr="005F44EF">
        <w:rPr>
          <w:rFonts w:ascii="Times New Roman" w:eastAsia="Times New Roman" w:hAnsi="Times New Roman" w:cs="Times New Roman"/>
          <w:szCs w:val="24"/>
        </w:rPr>
        <w:t>σ</w:t>
      </w:r>
      <w:r w:rsidRPr="005F44EF">
        <w:rPr>
          <w:rFonts w:ascii="Times New Roman" w:eastAsia="Times New Roman" w:hAnsi="Times New Roman" w:cs="Times New Roman"/>
          <w:szCs w:val="24"/>
          <w:vertAlign w:val="subscript"/>
        </w:rPr>
        <w:t>b</w:t>
      </w:r>
      <w:proofErr w:type="spellEnd"/>
      <w:r w:rsidRPr="005F44EF">
        <w:rPr>
          <w:rFonts w:ascii="Times New Roman" w:eastAsia="Times New Roman" w:hAnsi="Times New Roman" w:cs="Times New Roman"/>
          <w:szCs w:val="24"/>
        </w:rPr>
        <w:t xml:space="preserve"> value of 0.2.</w:t>
      </w:r>
      <w:r w:rsidR="00F24010">
        <w:rPr>
          <w:rFonts w:ascii="Times New Roman" w:eastAsia="Times New Roman" w:hAnsi="Times New Roman" w:cs="Times New Roman"/>
          <w:szCs w:val="24"/>
        </w:rPr>
        <w:t xml:space="preserve"> </w:t>
      </w:r>
      <w:r w:rsidRPr="005F44EF">
        <w:rPr>
          <w:rFonts w:ascii="Times New Roman" w:eastAsia="Times New Roman" w:hAnsi="Times New Roman" w:cs="Times New Roman"/>
          <w:szCs w:val="24"/>
        </w:rPr>
        <w:t>D</w:t>
      </w:r>
      <w:r w:rsidRPr="005F44EF">
        <w:rPr>
          <w:rFonts w:ascii="Times New Roman" w:eastAsia="Times New Roman" w:hAnsi="Times New Roman" w:cs="Times New Roman"/>
          <w:szCs w:val="24"/>
          <w:vertAlign w:val="subscript"/>
        </w:rPr>
        <w:t>e</w:t>
      </w:r>
      <w:r w:rsidRPr="005F44EF">
        <w:rPr>
          <w:rFonts w:ascii="Times New Roman" w:eastAsia="Times New Roman" w:hAnsi="Times New Roman" w:cs="Times New Roman"/>
          <w:szCs w:val="24"/>
        </w:rPr>
        <w:t xml:space="preserve"> used in final age calculation (as discussed in text) is shown in bold. Errors are displayed at 1 sigma. *: paired ESR samples. Minimum ages are in italic.</w:t>
      </w:r>
    </w:p>
    <w:tbl>
      <w:tblPr>
        <w:tblW w:w="13234" w:type="dxa"/>
        <w:tblLayout w:type="fixed"/>
        <w:tblLook w:val="0400" w:firstRow="0" w:lastRow="0" w:firstColumn="0" w:lastColumn="0" w:noHBand="0" w:noVBand="1"/>
      </w:tblPr>
      <w:tblGrid>
        <w:gridCol w:w="2064"/>
        <w:gridCol w:w="45"/>
        <w:gridCol w:w="1414"/>
        <w:gridCol w:w="82"/>
        <w:gridCol w:w="1176"/>
        <w:gridCol w:w="112"/>
        <w:gridCol w:w="1263"/>
        <w:gridCol w:w="146"/>
        <w:gridCol w:w="1078"/>
        <w:gridCol w:w="90"/>
        <w:gridCol w:w="1114"/>
        <w:gridCol w:w="205"/>
        <w:gridCol w:w="1126"/>
        <w:gridCol w:w="237"/>
        <w:gridCol w:w="1081"/>
        <w:gridCol w:w="268"/>
        <w:gridCol w:w="1418"/>
        <w:gridCol w:w="315"/>
      </w:tblGrid>
      <w:tr w:rsidR="00990F02" w:rsidRPr="00990F02" w14:paraId="104E17E4" w14:textId="77777777" w:rsidTr="00990F02">
        <w:trPr>
          <w:gridAfter w:val="1"/>
          <w:wAfter w:w="315" w:type="dxa"/>
          <w:trHeight w:val="548"/>
        </w:trPr>
        <w:tc>
          <w:tcPr>
            <w:tcW w:w="2064" w:type="dxa"/>
            <w:tcBorders>
              <w:top w:val="single" w:sz="8" w:space="0" w:color="000000"/>
              <w:left w:val="nil"/>
              <w:bottom w:val="nil"/>
              <w:right w:val="nil"/>
            </w:tcBorders>
            <w:shd w:val="clear" w:color="auto" w:fill="D9D9D9" w:themeFill="background1" w:themeFillShade="D9"/>
            <w:vAlign w:val="center"/>
          </w:tcPr>
          <w:p w14:paraId="4E872E37" w14:textId="77777777" w:rsidR="00772A8A" w:rsidRPr="00990F02" w:rsidRDefault="00772A8A" w:rsidP="00990F02">
            <w:pPr>
              <w:spacing w:after="0" w:line="240" w:lineRule="auto"/>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
                <w:color w:val="000000"/>
                <w:sz w:val="18"/>
                <w:szCs w:val="18"/>
              </w:rPr>
              <w:t>SAMPLE</w:t>
            </w:r>
          </w:p>
        </w:tc>
        <w:tc>
          <w:tcPr>
            <w:tcW w:w="1459" w:type="dxa"/>
            <w:gridSpan w:val="2"/>
            <w:tcBorders>
              <w:top w:val="single" w:sz="8" w:space="0" w:color="000000"/>
              <w:left w:val="nil"/>
              <w:bottom w:val="nil"/>
              <w:right w:val="nil"/>
            </w:tcBorders>
            <w:shd w:val="clear" w:color="auto" w:fill="D9D9D9" w:themeFill="background1" w:themeFillShade="D9"/>
            <w:vAlign w:val="center"/>
          </w:tcPr>
          <w:p w14:paraId="3304DB02" w14:textId="77777777"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
                <w:color w:val="000000"/>
                <w:sz w:val="18"/>
                <w:szCs w:val="18"/>
              </w:rPr>
              <w:t>ANY20-02 (Shfd20130)</w:t>
            </w:r>
          </w:p>
        </w:tc>
        <w:tc>
          <w:tcPr>
            <w:tcW w:w="1258" w:type="dxa"/>
            <w:gridSpan w:val="2"/>
            <w:tcBorders>
              <w:top w:val="single" w:sz="8" w:space="0" w:color="000000"/>
              <w:left w:val="nil"/>
              <w:bottom w:val="nil"/>
              <w:right w:val="nil"/>
            </w:tcBorders>
            <w:shd w:val="clear" w:color="auto" w:fill="D9D9D9" w:themeFill="background1" w:themeFillShade="D9"/>
            <w:vAlign w:val="center"/>
          </w:tcPr>
          <w:p w14:paraId="5C52AC33" w14:textId="77777777"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
                <w:color w:val="000000"/>
                <w:sz w:val="18"/>
                <w:szCs w:val="18"/>
              </w:rPr>
              <w:t>ANY20-03* (Shfd20131)</w:t>
            </w:r>
          </w:p>
        </w:tc>
        <w:tc>
          <w:tcPr>
            <w:tcW w:w="1375" w:type="dxa"/>
            <w:gridSpan w:val="2"/>
            <w:tcBorders>
              <w:top w:val="single" w:sz="8" w:space="0" w:color="000000"/>
              <w:left w:val="nil"/>
              <w:bottom w:val="nil"/>
              <w:right w:val="nil"/>
            </w:tcBorders>
            <w:shd w:val="clear" w:color="auto" w:fill="D9D9D9" w:themeFill="background1" w:themeFillShade="D9"/>
            <w:vAlign w:val="center"/>
          </w:tcPr>
          <w:p w14:paraId="6AA4FD83" w14:textId="77777777"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
                <w:color w:val="000000"/>
                <w:sz w:val="18"/>
                <w:szCs w:val="18"/>
              </w:rPr>
              <w:t>ANY20-04* (Shfd20132)</w:t>
            </w:r>
          </w:p>
        </w:tc>
        <w:tc>
          <w:tcPr>
            <w:tcW w:w="1224" w:type="dxa"/>
            <w:gridSpan w:val="2"/>
            <w:tcBorders>
              <w:top w:val="single" w:sz="8" w:space="0" w:color="000000"/>
              <w:left w:val="nil"/>
              <w:bottom w:val="nil"/>
              <w:right w:val="nil"/>
            </w:tcBorders>
            <w:shd w:val="clear" w:color="auto" w:fill="D9D9D9" w:themeFill="background1" w:themeFillShade="D9"/>
            <w:vAlign w:val="center"/>
          </w:tcPr>
          <w:p w14:paraId="569E7463" w14:textId="77777777"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
                <w:color w:val="000000"/>
                <w:sz w:val="18"/>
                <w:szCs w:val="18"/>
              </w:rPr>
              <w:t>ANY20-05* (Shfd20133)</w:t>
            </w:r>
          </w:p>
        </w:tc>
        <w:tc>
          <w:tcPr>
            <w:tcW w:w="1204" w:type="dxa"/>
            <w:gridSpan w:val="2"/>
            <w:tcBorders>
              <w:top w:val="single" w:sz="8" w:space="0" w:color="000000"/>
              <w:left w:val="nil"/>
              <w:bottom w:val="nil"/>
              <w:right w:val="nil"/>
            </w:tcBorders>
            <w:shd w:val="clear" w:color="auto" w:fill="D9D9D9" w:themeFill="background1" w:themeFillShade="D9"/>
            <w:vAlign w:val="center"/>
          </w:tcPr>
          <w:p w14:paraId="17E3E617" w14:textId="77777777"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
                <w:color w:val="000000"/>
                <w:sz w:val="18"/>
                <w:szCs w:val="18"/>
              </w:rPr>
              <w:t>ANY20-06 (Shfd20134)</w:t>
            </w:r>
          </w:p>
        </w:tc>
        <w:tc>
          <w:tcPr>
            <w:tcW w:w="1331" w:type="dxa"/>
            <w:gridSpan w:val="2"/>
            <w:tcBorders>
              <w:top w:val="single" w:sz="8" w:space="0" w:color="000000"/>
              <w:left w:val="nil"/>
              <w:bottom w:val="nil"/>
              <w:right w:val="nil"/>
            </w:tcBorders>
            <w:shd w:val="clear" w:color="auto" w:fill="D9D9D9" w:themeFill="background1" w:themeFillShade="D9"/>
            <w:vAlign w:val="center"/>
          </w:tcPr>
          <w:p w14:paraId="1CFEB7F4" w14:textId="191DDFC2"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
                <w:color w:val="000000"/>
                <w:sz w:val="18"/>
                <w:szCs w:val="18"/>
              </w:rPr>
              <w:t>ANY20-07</w:t>
            </w:r>
          </w:p>
          <w:p w14:paraId="72E3DCEF" w14:textId="77777777"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
                <w:color w:val="000000"/>
                <w:sz w:val="18"/>
                <w:szCs w:val="18"/>
              </w:rPr>
              <w:t>(Shfd20135)</w:t>
            </w:r>
          </w:p>
        </w:tc>
        <w:tc>
          <w:tcPr>
            <w:tcW w:w="1318" w:type="dxa"/>
            <w:gridSpan w:val="2"/>
            <w:tcBorders>
              <w:top w:val="single" w:sz="8" w:space="0" w:color="000000"/>
              <w:left w:val="nil"/>
              <w:bottom w:val="nil"/>
              <w:right w:val="nil"/>
            </w:tcBorders>
            <w:shd w:val="clear" w:color="auto" w:fill="D9D9D9" w:themeFill="background1" w:themeFillShade="D9"/>
            <w:vAlign w:val="center"/>
          </w:tcPr>
          <w:p w14:paraId="2A9FC01A" w14:textId="77777777"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
                <w:color w:val="000000"/>
                <w:sz w:val="18"/>
                <w:szCs w:val="18"/>
              </w:rPr>
              <w:t>ANY20-08* (Shfd20136)</w:t>
            </w:r>
          </w:p>
        </w:tc>
        <w:tc>
          <w:tcPr>
            <w:tcW w:w="1686" w:type="dxa"/>
            <w:gridSpan w:val="2"/>
            <w:tcBorders>
              <w:top w:val="single" w:sz="8" w:space="0" w:color="000000"/>
              <w:left w:val="nil"/>
              <w:bottom w:val="nil"/>
              <w:right w:val="nil"/>
            </w:tcBorders>
            <w:shd w:val="clear" w:color="auto" w:fill="D9D9D9" w:themeFill="background1" w:themeFillShade="D9"/>
            <w:vAlign w:val="center"/>
          </w:tcPr>
          <w:p w14:paraId="4D9961E9" w14:textId="77777777"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
                <w:color w:val="000000"/>
                <w:sz w:val="18"/>
                <w:szCs w:val="18"/>
              </w:rPr>
              <w:t>ANY20-09* (Shfd20137)</w:t>
            </w:r>
          </w:p>
        </w:tc>
      </w:tr>
      <w:tr w:rsidR="00990F02" w:rsidRPr="00990F02" w14:paraId="65B67F3C" w14:textId="77777777" w:rsidTr="00990F02">
        <w:trPr>
          <w:gridAfter w:val="1"/>
          <w:wAfter w:w="315" w:type="dxa"/>
          <w:trHeight w:val="266"/>
        </w:trPr>
        <w:tc>
          <w:tcPr>
            <w:tcW w:w="2064" w:type="dxa"/>
            <w:tcBorders>
              <w:top w:val="single" w:sz="8" w:space="0" w:color="000000"/>
              <w:left w:val="nil"/>
              <w:bottom w:val="nil"/>
              <w:right w:val="nil"/>
            </w:tcBorders>
            <w:shd w:val="clear" w:color="auto" w:fill="auto"/>
            <w:vAlign w:val="center"/>
          </w:tcPr>
          <w:p w14:paraId="1EF73D0D" w14:textId="77777777" w:rsidR="00772A8A" w:rsidRPr="00990F02" w:rsidRDefault="00772A8A" w:rsidP="00990F02">
            <w:pPr>
              <w:spacing w:after="0" w:line="240" w:lineRule="auto"/>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Depth (m)</w:t>
            </w:r>
          </w:p>
        </w:tc>
        <w:tc>
          <w:tcPr>
            <w:tcW w:w="1459" w:type="dxa"/>
            <w:gridSpan w:val="2"/>
            <w:tcBorders>
              <w:top w:val="single" w:sz="8" w:space="0" w:color="000000"/>
              <w:left w:val="nil"/>
              <w:bottom w:val="nil"/>
              <w:right w:val="nil"/>
            </w:tcBorders>
            <w:shd w:val="clear" w:color="auto" w:fill="auto"/>
            <w:vAlign w:val="center"/>
          </w:tcPr>
          <w:p w14:paraId="0DEDF08B"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0.85±0.1</w:t>
            </w:r>
          </w:p>
        </w:tc>
        <w:tc>
          <w:tcPr>
            <w:tcW w:w="1258" w:type="dxa"/>
            <w:gridSpan w:val="2"/>
            <w:tcBorders>
              <w:top w:val="single" w:sz="8" w:space="0" w:color="000000"/>
              <w:left w:val="nil"/>
              <w:bottom w:val="nil"/>
              <w:right w:val="nil"/>
            </w:tcBorders>
            <w:shd w:val="clear" w:color="auto" w:fill="auto"/>
            <w:vAlign w:val="center"/>
          </w:tcPr>
          <w:p w14:paraId="7C31CFA5"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1.15±0.12</w:t>
            </w:r>
          </w:p>
        </w:tc>
        <w:tc>
          <w:tcPr>
            <w:tcW w:w="1375" w:type="dxa"/>
            <w:gridSpan w:val="2"/>
            <w:tcBorders>
              <w:top w:val="single" w:sz="8" w:space="0" w:color="000000"/>
              <w:left w:val="nil"/>
              <w:bottom w:val="nil"/>
              <w:right w:val="nil"/>
            </w:tcBorders>
            <w:shd w:val="clear" w:color="auto" w:fill="auto"/>
            <w:vAlign w:val="center"/>
          </w:tcPr>
          <w:p w14:paraId="1DF7F444"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0.9±0.09</w:t>
            </w:r>
          </w:p>
        </w:tc>
        <w:tc>
          <w:tcPr>
            <w:tcW w:w="1224" w:type="dxa"/>
            <w:gridSpan w:val="2"/>
            <w:tcBorders>
              <w:top w:val="single" w:sz="8" w:space="0" w:color="000000"/>
              <w:left w:val="nil"/>
              <w:bottom w:val="nil"/>
              <w:right w:val="nil"/>
            </w:tcBorders>
            <w:shd w:val="clear" w:color="auto" w:fill="auto"/>
            <w:vAlign w:val="center"/>
          </w:tcPr>
          <w:p w14:paraId="4C6289FA"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1.24±0.12</w:t>
            </w:r>
          </w:p>
        </w:tc>
        <w:tc>
          <w:tcPr>
            <w:tcW w:w="1204" w:type="dxa"/>
            <w:gridSpan w:val="2"/>
            <w:tcBorders>
              <w:top w:val="single" w:sz="8" w:space="0" w:color="000000"/>
              <w:left w:val="nil"/>
              <w:bottom w:val="nil"/>
              <w:right w:val="nil"/>
            </w:tcBorders>
            <w:shd w:val="clear" w:color="auto" w:fill="auto"/>
            <w:vAlign w:val="center"/>
          </w:tcPr>
          <w:p w14:paraId="7B541B47"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1.9±0.2</w:t>
            </w:r>
          </w:p>
        </w:tc>
        <w:tc>
          <w:tcPr>
            <w:tcW w:w="1331" w:type="dxa"/>
            <w:gridSpan w:val="2"/>
            <w:tcBorders>
              <w:top w:val="single" w:sz="8" w:space="0" w:color="000000"/>
              <w:left w:val="nil"/>
              <w:bottom w:val="nil"/>
              <w:right w:val="nil"/>
            </w:tcBorders>
            <w:shd w:val="clear" w:color="auto" w:fill="auto"/>
            <w:vAlign w:val="center"/>
          </w:tcPr>
          <w:p w14:paraId="64A75C5D"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2.6±0.3</w:t>
            </w:r>
          </w:p>
        </w:tc>
        <w:tc>
          <w:tcPr>
            <w:tcW w:w="1318" w:type="dxa"/>
            <w:gridSpan w:val="2"/>
            <w:tcBorders>
              <w:top w:val="single" w:sz="8" w:space="0" w:color="000000"/>
              <w:left w:val="nil"/>
              <w:bottom w:val="nil"/>
              <w:right w:val="nil"/>
            </w:tcBorders>
            <w:shd w:val="clear" w:color="auto" w:fill="auto"/>
            <w:vAlign w:val="center"/>
          </w:tcPr>
          <w:p w14:paraId="038F5972"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3.6±0.36</w:t>
            </w:r>
          </w:p>
        </w:tc>
        <w:tc>
          <w:tcPr>
            <w:tcW w:w="1686" w:type="dxa"/>
            <w:gridSpan w:val="2"/>
            <w:tcBorders>
              <w:top w:val="single" w:sz="8" w:space="0" w:color="000000"/>
              <w:left w:val="nil"/>
              <w:bottom w:val="nil"/>
              <w:right w:val="nil"/>
            </w:tcBorders>
            <w:shd w:val="clear" w:color="auto" w:fill="auto"/>
            <w:vAlign w:val="center"/>
          </w:tcPr>
          <w:p w14:paraId="2D670EFB"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4.6±0.46</w:t>
            </w:r>
          </w:p>
        </w:tc>
      </w:tr>
      <w:tr w:rsidR="00990F02" w:rsidRPr="00990F02" w14:paraId="3BC647B1" w14:textId="77777777" w:rsidTr="00990F02">
        <w:trPr>
          <w:gridAfter w:val="1"/>
          <w:wAfter w:w="315" w:type="dxa"/>
          <w:trHeight w:val="304"/>
        </w:trPr>
        <w:tc>
          <w:tcPr>
            <w:tcW w:w="2064" w:type="dxa"/>
            <w:tcBorders>
              <w:top w:val="single" w:sz="8" w:space="0" w:color="000000"/>
              <w:left w:val="nil"/>
              <w:bottom w:val="single" w:sz="8" w:space="0" w:color="000000"/>
              <w:right w:val="nil"/>
            </w:tcBorders>
            <w:shd w:val="clear" w:color="auto" w:fill="auto"/>
            <w:vAlign w:val="center"/>
          </w:tcPr>
          <w:p w14:paraId="253C08A6" w14:textId="77777777" w:rsidR="00772A8A" w:rsidRPr="00990F02" w:rsidRDefault="00772A8A" w:rsidP="00990F02">
            <w:pPr>
              <w:spacing w:after="0" w:line="240" w:lineRule="auto"/>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Water (MW) content (dry weight %)</w:t>
            </w:r>
          </w:p>
        </w:tc>
        <w:tc>
          <w:tcPr>
            <w:tcW w:w="1459" w:type="dxa"/>
            <w:gridSpan w:val="2"/>
            <w:tcBorders>
              <w:top w:val="single" w:sz="8" w:space="0" w:color="000000"/>
              <w:left w:val="nil"/>
              <w:bottom w:val="single" w:sz="8" w:space="0" w:color="000000"/>
              <w:right w:val="nil"/>
            </w:tcBorders>
            <w:shd w:val="clear" w:color="auto" w:fill="auto"/>
            <w:vAlign w:val="center"/>
          </w:tcPr>
          <w:p w14:paraId="0B2498B5" w14:textId="7FBAF1F0" w:rsidR="00772A8A" w:rsidRPr="00990F02" w:rsidRDefault="00491219"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11</w:t>
            </w:r>
            <w:r w:rsidR="00772A8A" w:rsidRPr="00990F02">
              <w:rPr>
                <w:rFonts w:ascii="Times New Roman" w:eastAsia="Times New Roman" w:hAnsi="Times New Roman" w:cs="Times New Roman"/>
                <w:color w:val="000000"/>
                <w:sz w:val="18"/>
                <w:szCs w:val="18"/>
              </w:rPr>
              <w:t>±5</w:t>
            </w:r>
          </w:p>
        </w:tc>
        <w:tc>
          <w:tcPr>
            <w:tcW w:w="1258" w:type="dxa"/>
            <w:gridSpan w:val="2"/>
            <w:tcBorders>
              <w:top w:val="single" w:sz="8" w:space="0" w:color="000000"/>
              <w:left w:val="nil"/>
              <w:bottom w:val="single" w:sz="8" w:space="0" w:color="000000"/>
              <w:right w:val="nil"/>
            </w:tcBorders>
            <w:shd w:val="clear" w:color="auto" w:fill="auto"/>
            <w:vAlign w:val="center"/>
          </w:tcPr>
          <w:p w14:paraId="16030769"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15±5</w:t>
            </w:r>
          </w:p>
        </w:tc>
        <w:tc>
          <w:tcPr>
            <w:tcW w:w="1375" w:type="dxa"/>
            <w:gridSpan w:val="2"/>
            <w:tcBorders>
              <w:top w:val="single" w:sz="8" w:space="0" w:color="000000"/>
              <w:left w:val="nil"/>
              <w:bottom w:val="single" w:sz="8" w:space="0" w:color="000000"/>
              <w:right w:val="nil"/>
            </w:tcBorders>
            <w:shd w:val="clear" w:color="auto" w:fill="auto"/>
            <w:vAlign w:val="center"/>
          </w:tcPr>
          <w:p w14:paraId="0D400EB4" w14:textId="0624F634" w:rsidR="00772A8A" w:rsidRPr="00990F02" w:rsidRDefault="00570CF7"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18</w:t>
            </w:r>
            <w:r w:rsidR="00772A8A" w:rsidRPr="00990F02">
              <w:rPr>
                <w:rFonts w:ascii="Times New Roman" w:eastAsia="Times New Roman" w:hAnsi="Times New Roman" w:cs="Times New Roman"/>
                <w:color w:val="000000"/>
                <w:sz w:val="18"/>
                <w:szCs w:val="18"/>
              </w:rPr>
              <w:t>±5</w:t>
            </w:r>
          </w:p>
        </w:tc>
        <w:tc>
          <w:tcPr>
            <w:tcW w:w="1224" w:type="dxa"/>
            <w:gridSpan w:val="2"/>
            <w:tcBorders>
              <w:top w:val="single" w:sz="8" w:space="0" w:color="000000"/>
              <w:left w:val="nil"/>
              <w:bottom w:val="single" w:sz="8" w:space="0" w:color="000000"/>
              <w:right w:val="nil"/>
            </w:tcBorders>
            <w:shd w:val="clear" w:color="auto" w:fill="auto"/>
            <w:vAlign w:val="center"/>
          </w:tcPr>
          <w:p w14:paraId="6D80D4C6" w14:textId="71BB4245" w:rsidR="00772A8A" w:rsidRPr="00990F02" w:rsidRDefault="00570CF7"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18</w:t>
            </w:r>
            <w:r w:rsidR="00772A8A" w:rsidRPr="00990F02">
              <w:rPr>
                <w:rFonts w:ascii="Times New Roman" w:eastAsia="Times New Roman" w:hAnsi="Times New Roman" w:cs="Times New Roman"/>
                <w:color w:val="000000"/>
                <w:sz w:val="18"/>
                <w:szCs w:val="18"/>
              </w:rPr>
              <w:t>±5</w:t>
            </w:r>
          </w:p>
        </w:tc>
        <w:tc>
          <w:tcPr>
            <w:tcW w:w="1204" w:type="dxa"/>
            <w:gridSpan w:val="2"/>
            <w:tcBorders>
              <w:top w:val="single" w:sz="8" w:space="0" w:color="000000"/>
              <w:left w:val="nil"/>
              <w:bottom w:val="single" w:sz="8" w:space="0" w:color="000000"/>
              <w:right w:val="nil"/>
            </w:tcBorders>
            <w:shd w:val="clear" w:color="auto" w:fill="auto"/>
            <w:vAlign w:val="center"/>
          </w:tcPr>
          <w:p w14:paraId="026F916A" w14:textId="40431A5F" w:rsidR="00772A8A" w:rsidRPr="00990F02" w:rsidRDefault="00570CF7"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19</w:t>
            </w:r>
            <w:r w:rsidR="00772A8A" w:rsidRPr="00990F02">
              <w:rPr>
                <w:rFonts w:ascii="Times New Roman" w:eastAsia="Times New Roman" w:hAnsi="Times New Roman" w:cs="Times New Roman"/>
                <w:color w:val="000000"/>
                <w:sz w:val="18"/>
                <w:szCs w:val="18"/>
              </w:rPr>
              <w:t>±5</w:t>
            </w:r>
          </w:p>
        </w:tc>
        <w:tc>
          <w:tcPr>
            <w:tcW w:w="1331" w:type="dxa"/>
            <w:gridSpan w:val="2"/>
            <w:tcBorders>
              <w:top w:val="single" w:sz="8" w:space="0" w:color="000000"/>
              <w:left w:val="nil"/>
              <w:bottom w:val="single" w:sz="8" w:space="0" w:color="000000"/>
              <w:right w:val="nil"/>
            </w:tcBorders>
            <w:shd w:val="clear" w:color="auto" w:fill="auto"/>
            <w:vAlign w:val="center"/>
          </w:tcPr>
          <w:p w14:paraId="0D2A4F20" w14:textId="2EB2D9D7" w:rsidR="00772A8A" w:rsidRPr="00990F02" w:rsidRDefault="00570CF7"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19</w:t>
            </w:r>
            <w:r w:rsidR="00772A8A" w:rsidRPr="00990F02">
              <w:rPr>
                <w:rFonts w:ascii="Times New Roman" w:eastAsia="Times New Roman" w:hAnsi="Times New Roman" w:cs="Times New Roman"/>
                <w:color w:val="000000"/>
                <w:sz w:val="18"/>
                <w:szCs w:val="18"/>
              </w:rPr>
              <w:t>±5</w:t>
            </w:r>
          </w:p>
        </w:tc>
        <w:tc>
          <w:tcPr>
            <w:tcW w:w="1318" w:type="dxa"/>
            <w:gridSpan w:val="2"/>
            <w:tcBorders>
              <w:top w:val="single" w:sz="8" w:space="0" w:color="000000"/>
              <w:left w:val="nil"/>
              <w:bottom w:val="single" w:sz="8" w:space="0" w:color="000000"/>
              <w:right w:val="nil"/>
            </w:tcBorders>
            <w:shd w:val="clear" w:color="auto" w:fill="auto"/>
            <w:vAlign w:val="center"/>
          </w:tcPr>
          <w:p w14:paraId="2B2A3A46" w14:textId="430BADE0" w:rsidR="00772A8A" w:rsidRPr="00990F02" w:rsidRDefault="00570CF7"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19</w:t>
            </w:r>
            <w:r w:rsidR="00772A8A" w:rsidRPr="00990F02">
              <w:rPr>
                <w:rFonts w:ascii="Times New Roman" w:eastAsia="Times New Roman" w:hAnsi="Times New Roman" w:cs="Times New Roman"/>
                <w:color w:val="000000"/>
                <w:sz w:val="18"/>
                <w:szCs w:val="18"/>
              </w:rPr>
              <w:t>±5</w:t>
            </w:r>
          </w:p>
        </w:tc>
        <w:tc>
          <w:tcPr>
            <w:tcW w:w="1686" w:type="dxa"/>
            <w:gridSpan w:val="2"/>
            <w:tcBorders>
              <w:top w:val="single" w:sz="8" w:space="0" w:color="000000"/>
              <w:left w:val="nil"/>
              <w:bottom w:val="single" w:sz="8" w:space="0" w:color="000000"/>
              <w:right w:val="nil"/>
            </w:tcBorders>
            <w:shd w:val="clear" w:color="auto" w:fill="auto"/>
            <w:vAlign w:val="center"/>
          </w:tcPr>
          <w:p w14:paraId="0E0A4A05" w14:textId="35615C06" w:rsidR="00772A8A" w:rsidRPr="00990F02" w:rsidRDefault="00570CF7"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19</w:t>
            </w:r>
            <w:r w:rsidR="00772A8A" w:rsidRPr="00990F02">
              <w:rPr>
                <w:rFonts w:ascii="Times New Roman" w:eastAsia="Times New Roman" w:hAnsi="Times New Roman" w:cs="Times New Roman"/>
                <w:color w:val="000000"/>
                <w:sz w:val="18"/>
                <w:szCs w:val="18"/>
              </w:rPr>
              <w:t>±5</w:t>
            </w:r>
          </w:p>
        </w:tc>
      </w:tr>
      <w:tr w:rsidR="00772A8A" w:rsidRPr="00990F02" w14:paraId="1C8ED0A5" w14:textId="77777777" w:rsidTr="00990F02">
        <w:trPr>
          <w:gridAfter w:val="1"/>
          <w:wAfter w:w="315" w:type="dxa"/>
          <w:trHeight w:val="253"/>
        </w:trPr>
        <w:tc>
          <w:tcPr>
            <w:tcW w:w="12919" w:type="dxa"/>
            <w:gridSpan w:val="17"/>
            <w:tcBorders>
              <w:top w:val="nil"/>
              <w:left w:val="nil"/>
              <w:bottom w:val="nil"/>
              <w:right w:val="nil"/>
            </w:tcBorders>
            <w:shd w:val="clear" w:color="auto" w:fill="CCC0D9" w:themeFill="accent4" w:themeFillTint="66"/>
            <w:vAlign w:val="center"/>
          </w:tcPr>
          <w:p w14:paraId="40B93764" w14:textId="77777777"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
                <w:color w:val="000000"/>
                <w:sz w:val="18"/>
                <w:szCs w:val="18"/>
              </w:rPr>
              <w:t>SINGLE ALIQUOT</w:t>
            </w:r>
          </w:p>
        </w:tc>
      </w:tr>
      <w:tr w:rsidR="00990F02" w:rsidRPr="00990F02" w14:paraId="06844ECE" w14:textId="77777777" w:rsidTr="00990F02">
        <w:trPr>
          <w:gridAfter w:val="1"/>
          <w:wAfter w:w="315" w:type="dxa"/>
          <w:trHeight w:val="253"/>
        </w:trPr>
        <w:tc>
          <w:tcPr>
            <w:tcW w:w="2064" w:type="dxa"/>
            <w:tcBorders>
              <w:top w:val="nil"/>
              <w:left w:val="nil"/>
              <w:bottom w:val="nil"/>
              <w:right w:val="nil"/>
            </w:tcBorders>
            <w:shd w:val="clear" w:color="auto" w:fill="auto"/>
            <w:vAlign w:val="center"/>
          </w:tcPr>
          <w:p w14:paraId="2DE71133" w14:textId="77777777" w:rsidR="00772A8A" w:rsidRPr="00990F02" w:rsidRDefault="00772A8A" w:rsidP="00990F02">
            <w:pPr>
              <w:spacing w:after="0" w:line="240" w:lineRule="auto"/>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n</w:t>
            </w:r>
          </w:p>
        </w:tc>
        <w:tc>
          <w:tcPr>
            <w:tcW w:w="1459" w:type="dxa"/>
            <w:gridSpan w:val="2"/>
            <w:tcBorders>
              <w:top w:val="nil"/>
              <w:left w:val="nil"/>
              <w:bottom w:val="nil"/>
              <w:right w:val="nil"/>
            </w:tcBorders>
            <w:shd w:val="clear" w:color="auto" w:fill="auto"/>
            <w:vAlign w:val="center"/>
          </w:tcPr>
          <w:p w14:paraId="148BA167"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23 (19)</w:t>
            </w:r>
          </w:p>
        </w:tc>
        <w:tc>
          <w:tcPr>
            <w:tcW w:w="1258" w:type="dxa"/>
            <w:gridSpan w:val="2"/>
            <w:tcBorders>
              <w:top w:val="nil"/>
              <w:left w:val="nil"/>
              <w:bottom w:val="nil"/>
              <w:right w:val="nil"/>
            </w:tcBorders>
            <w:shd w:val="clear" w:color="auto" w:fill="auto"/>
            <w:vAlign w:val="center"/>
          </w:tcPr>
          <w:p w14:paraId="4BBBB805"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24 (21)</w:t>
            </w:r>
          </w:p>
        </w:tc>
        <w:tc>
          <w:tcPr>
            <w:tcW w:w="1375" w:type="dxa"/>
            <w:gridSpan w:val="2"/>
            <w:tcBorders>
              <w:top w:val="nil"/>
              <w:left w:val="nil"/>
              <w:bottom w:val="nil"/>
              <w:right w:val="nil"/>
            </w:tcBorders>
            <w:shd w:val="clear" w:color="auto" w:fill="auto"/>
            <w:vAlign w:val="center"/>
          </w:tcPr>
          <w:p w14:paraId="7B8F7C38"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24 (19)</w:t>
            </w:r>
          </w:p>
        </w:tc>
        <w:tc>
          <w:tcPr>
            <w:tcW w:w="1224" w:type="dxa"/>
            <w:gridSpan w:val="2"/>
            <w:tcBorders>
              <w:top w:val="nil"/>
              <w:left w:val="nil"/>
              <w:bottom w:val="nil"/>
              <w:right w:val="nil"/>
            </w:tcBorders>
            <w:shd w:val="clear" w:color="auto" w:fill="auto"/>
            <w:vAlign w:val="center"/>
          </w:tcPr>
          <w:p w14:paraId="4A9D5978"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20 (18)</w:t>
            </w:r>
          </w:p>
        </w:tc>
        <w:tc>
          <w:tcPr>
            <w:tcW w:w="1204" w:type="dxa"/>
            <w:gridSpan w:val="2"/>
            <w:tcBorders>
              <w:top w:val="nil"/>
              <w:left w:val="nil"/>
              <w:bottom w:val="nil"/>
              <w:right w:val="nil"/>
            </w:tcBorders>
            <w:shd w:val="clear" w:color="auto" w:fill="auto"/>
            <w:vAlign w:val="center"/>
          </w:tcPr>
          <w:p w14:paraId="117E2471"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22 (22)</w:t>
            </w:r>
          </w:p>
        </w:tc>
        <w:tc>
          <w:tcPr>
            <w:tcW w:w="1331" w:type="dxa"/>
            <w:gridSpan w:val="2"/>
            <w:tcBorders>
              <w:top w:val="nil"/>
              <w:left w:val="nil"/>
              <w:bottom w:val="nil"/>
              <w:right w:val="nil"/>
            </w:tcBorders>
            <w:shd w:val="clear" w:color="auto" w:fill="auto"/>
            <w:vAlign w:val="center"/>
          </w:tcPr>
          <w:p w14:paraId="2F48C058"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17 (17)</w:t>
            </w:r>
          </w:p>
        </w:tc>
        <w:tc>
          <w:tcPr>
            <w:tcW w:w="1318" w:type="dxa"/>
            <w:gridSpan w:val="2"/>
            <w:tcBorders>
              <w:top w:val="nil"/>
              <w:left w:val="nil"/>
              <w:bottom w:val="nil"/>
              <w:right w:val="nil"/>
            </w:tcBorders>
            <w:shd w:val="clear" w:color="auto" w:fill="auto"/>
            <w:vAlign w:val="center"/>
          </w:tcPr>
          <w:p w14:paraId="1507B9C7"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21 (20)</w:t>
            </w:r>
          </w:p>
        </w:tc>
        <w:tc>
          <w:tcPr>
            <w:tcW w:w="1686" w:type="dxa"/>
            <w:gridSpan w:val="2"/>
            <w:tcBorders>
              <w:top w:val="nil"/>
              <w:left w:val="nil"/>
              <w:bottom w:val="nil"/>
              <w:right w:val="nil"/>
            </w:tcBorders>
            <w:shd w:val="clear" w:color="auto" w:fill="auto"/>
            <w:vAlign w:val="center"/>
          </w:tcPr>
          <w:p w14:paraId="646EB78B"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19 (16)</w:t>
            </w:r>
          </w:p>
        </w:tc>
      </w:tr>
      <w:tr w:rsidR="00990F02" w:rsidRPr="00990F02" w14:paraId="1EB066EC" w14:textId="77777777" w:rsidTr="00990F02">
        <w:trPr>
          <w:gridAfter w:val="1"/>
          <w:wAfter w:w="315" w:type="dxa"/>
          <w:trHeight w:val="292"/>
        </w:trPr>
        <w:tc>
          <w:tcPr>
            <w:tcW w:w="2064" w:type="dxa"/>
            <w:tcBorders>
              <w:top w:val="nil"/>
              <w:left w:val="nil"/>
              <w:bottom w:val="nil"/>
              <w:right w:val="nil"/>
            </w:tcBorders>
            <w:shd w:val="clear" w:color="auto" w:fill="auto"/>
            <w:vAlign w:val="center"/>
          </w:tcPr>
          <w:p w14:paraId="1CCFD941" w14:textId="77777777" w:rsidR="00772A8A" w:rsidRPr="00990F02" w:rsidRDefault="00772A8A" w:rsidP="00990F02">
            <w:pPr>
              <w:spacing w:after="0" w:line="240" w:lineRule="auto"/>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n (saturated)</w:t>
            </w:r>
          </w:p>
        </w:tc>
        <w:tc>
          <w:tcPr>
            <w:tcW w:w="1459" w:type="dxa"/>
            <w:gridSpan w:val="2"/>
            <w:tcBorders>
              <w:top w:val="nil"/>
              <w:left w:val="nil"/>
              <w:bottom w:val="nil"/>
              <w:right w:val="nil"/>
            </w:tcBorders>
            <w:shd w:val="clear" w:color="auto" w:fill="auto"/>
            <w:vAlign w:val="center"/>
          </w:tcPr>
          <w:p w14:paraId="6CCE50BA"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0</w:t>
            </w:r>
          </w:p>
        </w:tc>
        <w:tc>
          <w:tcPr>
            <w:tcW w:w="1258" w:type="dxa"/>
            <w:gridSpan w:val="2"/>
            <w:tcBorders>
              <w:top w:val="nil"/>
              <w:left w:val="nil"/>
              <w:bottom w:val="nil"/>
              <w:right w:val="nil"/>
            </w:tcBorders>
            <w:shd w:val="clear" w:color="auto" w:fill="auto"/>
            <w:vAlign w:val="center"/>
          </w:tcPr>
          <w:p w14:paraId="41FBDFAA"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0</w:t>
            </w:r>
          </w:p>
        </w:tc>
        <w:tc>
          <w:tcPr>
            <w:tcW w:w="1375" w:type="dxa"/>
            <w:gridSpan w:val="2"/>
            <w:tcBorders>
              <w:top w:val="nil"/>
              <w:left w:val="nil"/>
              <w:bottom w:val="nil"/>
              <w:right w:val="nil"/>
            </w:tcBorders>
            <w:shd w:val="clear" w:color="auto" w:fill="auto"/>
            <w:vAlign w:val="center"/>
          </w:tcPr>
          <w:p w14:paraId="76C04C67"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0</w:t>
            </w:r>
          </w:p>
        </w:tc>
        <w:tc>
          <w:tcPr>
            <w:tcW w:w="1224" w:type="dxa"/>
            <w:gridSpan w:val="2"/>
            <w:tcBorders>
              <w:top w:val="nil"/>
              <w:left w:val="nil"/>
              <w:bottom w:val="nil"/>
              <w:right w:val="nil"/>
            </w:tcBorders>
            <w:shd w:val="clear" w:color="auto" w:fill="auto"/>
            <w:vAlign w:val="center"/>
          </w:tcPr>
          <w:p w14:paraId="4A400ED8"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4</w:t>
            </w:r>
          </w:p>
        </w:tc>
        <w:tc>
          <w:tcPr>
            <w:tcW w:w="1204" w:type="dxa"/>
            <w:gridSpan w:val="2"/>
            <w:tcBorders>
              <w:top w:val="nil"/>
              <w:left w:val="nil"/>
              <w:bottom w:val="nil"/>
              <w:right w:val="nil"/>
            </w:tcBorders>
            <w:shd w:val="clear" w:color="auto" w:fill="auto"/>
            <w:vAlign w:val="center"/>
          </w:tcPr>
          <w:p w14:paraId="16863F06"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w:t>
            </w:r>
          </w:p>
        </w:tc>
        <w:tc>
          <w:tcPr>
            <w:tcW w:w="1331" w:type="dxa"/>
            <w:gridSpan w:val="2"/>
            <w:tcBorders>
              <w:top w:val="nil"/>
              <w:left w:val="nil"/>
              <w:bottom w:val="nil"/>
              <w:right w:val="nil"/>
            </w:tcBorders>
            <w:shd w:val="clear" w:color="auto" w:fill="auto"/>
            <w:vAlign w:val="center"/>
          </w:tcPr>
          <w:p w14:paraId="372C98C1"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4</w:t>
            </w:r>
          </w:p>
        </w:tc>
        <w:tc>
          <w:tcPr>
            <w:tcW w:w="1318" w:type="dxa"/>
            <w:gridSpan w:val="2"/>
            <w:tcBorders>
              <w:top w:val="nil"/>
              <w:left w:val="nil"/>
              <w:bottom w:val="nil"/>
              <w:right w:val="nil"/>
            </w:tcBorders>
            <w:shd w:val="clear" w:color="auto" w:fill="auto"/>
            <w:vAlign w:val="center"/>
          </w:tcPr>
          <w:p w14:paraId="44ECFA35"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2</w:t>
            </w:r>
          </w:p>
        </w:tc>
        <w:tc>
          <w:tcPr>
            <w:tcW w:w="1686" w:type="dxa"/>
            <w:gridSpan w:val="2"/>
            <w:tcBorders>
              <w:top w:val="nil"/>
              <w:left w:val="nil"/>
              <w:bottom w:val="nil"/>
              <w:right w:val="nil"/>
            </w:tcBorders>
            <w:shd w:val="clear" w:color="auto" w:fill="auto"/>
            <w:vAlign w:val="center"/>
          </w:tcPr>
          <w:p w14:paraId="524791C7"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4</w:t>
            </w:r>
          </w:p>
        </w:tc>
      </w:tr>
      <w:tr w:rsidR="00990F02" w:rsidRPr="00990F02" w14:paraId="10536652" w14:textId="77777777" w:rsidTr="00990F02">
        <w:trPr>
          <w:gridAfter w:val="1"/>
          <w:wAfter w:w="315" w:type="dxa"/>
          <w:trHeight w:val="292"/>
        </w:trPr>
        <w:tc>
          <w:tcPr>
            <w:tcW w:w="2064" w:type="dxa"/>
            <w:tcBorders>
              <w:top w:val="nil"/>
              <w:left w:val="nil"/>
              <w:bottom w:val="nil"/>
              <w:right w:val="nil"/>
            </w:tcBorders>
            <w:shd w:val="clear" w:color="auto" w:fill="auto"/>
            <w:vAlign w:val="center"/>
          </w:tcPr>
          <w:p w14:paraId="7069273A" w14:textId="77777777" w:rsidR="00772A8A" w:rsidRPr="00990F02" w:rsidRDefault="00772A8A" w:rsidP="00990F02">
            <w:pPr>
              <w:spacing w:after="0" w:line="240" w:lineRule="auto"/>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n (zero dose)</w:t>
            </w:r>
          </w:p>
        </w:tc>
        <w:tc>
          <w:tcPr>
            <w:tcW w:w="1459" w:type="dxa"/>
            <w:gridSpan w:val="2"/>
            <w:tcBorders>
              <w:top w:val="nil"/>
              <w:left w:val="nil"/>
              <w:bottom w:val="nil"/>
              <w:right w:val="nil"/>
            </w:tcBorders>
            <w:shd w:val="clear" w:color="auto" w:fill="auto"/>
            <w:vAlign w:val="center"/>
          </w:tcPr>
          <w:p w14:paraId="0D12BE74"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0</w:t>
            </w:r>
          </w:p>
        </w:tc>
        <w:tc>
          <w:tcPr>
            <w:tcW w:w="1258" w:type="dxa"/>
            <w:gridSpan w:val="2"/>
            <w:tcBorders>
              <w:top w:val="nil"/>
              <w:left w:val="nil"/>
              <w:bottom w:val="nil"/>
              <w:right w:val="nil"/>
            </w:tcBorders>
            <w:shd w:val="clear" w:color="auto" w:fill="auto"/>
            <w:vAlign w:val="center"/>
          </w:tcPr>
          <w:p w14:paraId="23212EA6"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0</w:t>
            </w:r>
          </w:p>
        </w:tc>
        <w:tc>
          <w:tcPr>
            <w:tcW w:w="1375" w:type="dxa"/>
            <w:gridSpan w:val="2"/>
            <w:tcBorders>
              <w:top w:val="nil"/>
              <w:left w:val="nil"/>
              <w:bottom w:val="nil"/>
              <w:right w:val="nil"/>
            </w:tcBorders>
            <w:shd w:val="clear" w:color="auto" w:fill="auto"/>
            <w:vAlign w:val="center"/>
          </w:tcPr>
          <w:p w14:paraId="4B076D39"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0</w:t>
            </w:r>
          </w:p>
        </w:tc>
        <w:tc>
          <w:tcPr>
            <w:tcW w:w="1224" w:type="dxa"/>
            <w:gridSpan w:val="2"/>
            <w:tcBorders>
              <w:top w:val="nil"/>
              <w:left w:val="nil"/>
              <w:bottom w:val="nil"/>
              <w:right w:val="nil"/>
            </w:tcBorders>
            <w:shd w:val="clear" w:color="auto" w:fill="auto"/>
            <w:vAlign w:val="center"/>
          </w:tcPr>
          <w:p w14:paraId="76F5F227"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0</w:t>
            </w:r>
          </w:p>
        </w:tc>
        <w:tc>
          <w:tcPr>
            <w:tcW w:w="1204" w:type="dxa"/>
            <w:gridSpan w:val="2"/>
            <w:tcBorders>
              <w:top w:val="nil"/>
              <w:left w:val="nil"/>
              <w:bottom w:val="nil"/>
              <w:right w:val="nil"/>
            </w:tcBorders>
            <w:shd w:val="clear" w:color="auto" w:fill="auto"/>
            <w:vAlign w:val="center"/>
          </w:tcPr>
          <w:p w14:paraId="5457C930"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0</w:t>
            </w:r>
          </w:p>
        </w:tc>
        <w:tc>
          <w:tcPr>
            <w:tcW w:w="1331" w:type="dxa"/>
            <w:gridSpan w:val="2"/>
            <w:tcBorders>
              <w:top w:val="nil"/>
              <w:left w:val="nil"/>
              <w:bottom w:val="nil"/>
              <w:right w:val="nil"/>
            </w:tcBorders>
            <w:shd w:val="clear" w:color="auto" w:fill="auto"/>
            <w:vAlign w:val="center"/>
          </w:tcPr>
          <w:p w14:paraId="46CE1C91"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0</w:t>
            </w:r>
          </w:p>
        </w:tc>
        <w:tc>
          <w:tcPr>
            <w:tcW w:w="1318" w:type="dxa"/>
            <w:gridSpan w:val="2"/>
            <w:tcBorders>
              <w:top w:val="nil"/>
              <w:left w:val="nil"/>
              <w:bottom w:val="nil"/>
              <w:right w:val="nil"/>
            </w:tcBorders>
            <w:shd w:val="clear" w:color="auto" w:fill="auto"/>
            <w:vAlign w:val="center"/>
          </w:tcPr>
          <w:p w14:paraId="6C2AB041"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0</w:t>
            </w:r>
          </w:p>
        </w:tc>
        <w:tc>
          <w:tcPr>
            <w:tcW w:w="1686" w:type="dxa"/>
            <w:gridSpan w:val="2"/>
            <w:tcBorders>
              <w:top w:val="nil"/>
              <w:left w:val="nil"/>
              <w:bottom w:val="nil"/>
              <w:right w:val="nil"/>
            </w:tcBorders>
            <w:shd w:val="clear" w:color="auto" w:fill="auto"/>
            <w:vAlign w:val="center"/>
          </w:tcPr>
          <w:p w14:paraId="3CB895B0"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0</w:t>
            </w:r>
          </w:p>
        </w:tc>
      </w:tr>
      <w:tr w:rsidR="00990F02" w:rsidRPr="00990F02" w14:paraId="6D56469B" w14:textId="77777777" w:rsidTr="00990F02">
        <w:trPr>
          <w:gridAfter w:val="1"/>
          <w:wAfter w:w="315" w:type="dxa"/>
          <w:trHeight w:val="292"/>
        </w:trPr>
        <w:tc>
          <w:tcPr>
            <w:tcW w:w="2064" w:type="dxa"/>
            <w:tcBorders>
              <w:top w:val="nil"/>
              <w:left w:val="nil"/>
              <w:bottom w:val="nil"/>
              <w:right w:val="nil"/>
            </w:tcBorders>
            <w:shd w:val="clear" w:color="auto" w:fill="auto"/>
            <w:vAlign w:val="center"/>
          </w:tcPr>
          <w:p w14:paraId="6A89020C" w14:textId="77777777" w:rsidR="00772A8A" w:rsidRPr="00990F02" w:rsidRDefault="00772A8A" w:rsidP="00990F02">
            <w:pPr>
              <w:spacing w:after="0" w:line="240" w:lineRule="auto"/>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OD (%)</w:t>
            </w:r>
          </w:p>
        </w:tc>
        <w:tc>
          <w:tcPr>
            <w:tcW w:w="1459" w:type="dxa"/>
            <w:gridSpan w:val="2"/>
            <w:tcBorders>
              <w:top w:val="nil"/>
              <w:left w:val="nil"/>
              <w:bottom w:val="nil"/>
              <w:right w:val="nil"/>
            </w:tcBorders>
            <w:shd w:val="clear" w:color="auto" w:fill="auto"/>
            <w:vAlign w:val="center"/>
          </w:tcPr>
          <w:p w14:paraId="25207149"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39 (28)</w:t>
            </w:r>
          </w:p>
        </w:tc>
        <w:tc>
          <w:tcPr>
            <w:tcW w:w="1258" w:type="dxa"/>
            <w:gridSpan w:val="2"/>
            <w:tcBorders>
              <w:top w:val="nil"/>
              <w:left w:val="nil"/>
              <w:bottom w:val="nil"/>
              <w:right w:val="nil"/>
            </w:tcBorders>
            <w:shd w:val="clear" w:color="auto" w:fill="auto"/>
            <w:vAlign w:val="center"/>
          </w:tcPr>
          <w:p w14:paraId="68A6B8B6"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24 (17)</w:t>
            </w:r>
          </w:p>
        </w:tc>
        <w:tc>
          <w:tcPr>
            <w:tcW w:w="1375" w:type="dxa"/>
            <w:gridSpan w:val="2"/>
            <w:tcBorders>
              <w:top w:val="nil"/>
              <w:left w:val="nil"/>
              <w:bottom w:val="nil"/>
              <w:right w:val="nil"/>
            </w:tcBorders>
            <w:shd w:val="clear" w:color="auto" w:fill="auto"/>
            <w:vAlign w:val="center"/>
          </w:tcPr>
          <w:p w14:paraId="5F090AFD"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85 (23)</w:t>
            </w:r>
          </w:p>
        </w:tc>
        <w:tc>
          <w:tcPr>
            <w:tcW w:w="1224" w:type="dxa"/>
            <w:gridSpan w:val="2"/>
            <w:tcBorders>
              <w:top w:val="nil"/>
              <w:left w:val="nil"/>
              <w:bottom w:val="nil"/>
              <w:right w:val="nil"/>
            </w:tcBorders>
            <w:shd w:val="clear" w:color="auto" w:fill="auto"/>
            <w:vAlign w:val="center"/>
          </w:tcPr>
          <w:p w14:paraId="78F762D3"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38 (33)</w:t>
            </w:r>
          </w:p>
        </w:tc>
        <w:tc>
          <w:tcPr>
            <w:tcW w:w="1204" w:type="dxa"/>
            <w:gridSpan w:val="2"/>
            <w:tcBorders>
              <w:top w:val="nil"/>
              <w:left w:val="nil"/>
              <w:bottom w:val="nil"/>
              <w:right w:val="nil"/>
            </w:tcBorders>
            <w:shd w:val="clear" w:color="auto" w:fill="auto"/>
            <w:vAlign w:val="center"/>
          </w:tcPr>
          <w:p w14:paraId="45972D77"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20 (20)</w:t>
            </w:r>
          </w:p>
        </w:tc>
        <w:tc>
          <w:tcPr>
            <w:tcW w:w="1331" w:type="dxa"/>
            <w:gridSpan w:val="2"/>
            <w:tcBorders>
              <w:top w:val="nil"/>
              <w:left w:val="nil"/>
              <w:bottom w:val="nil"/>
              <w:right w:val="nil"/>
            </w:tcBorders>
            <w:shd w:val="clear" w:color="auto" w:fill="auto"/>
            <w:vAlign w:val="center"/>
          </w:tcPr>
          <w:p w14:paraId="53B80EF6"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14 (14)</w:t>
            </w:r>
          </w:p>
        </w:tc>
        <w:tc>
          <w:tcPr>
            <w:tcW w:w="1318" w:type="dxa"/>
            <w:gridSpan w:val="2"/>
            <w:tcBorders>
              <w:top w:val="nil"/>
              <w:left w:val="nil"/>
              <w:bottom w:val="nil"/>
              <w:right w:val="nil"/>
            </w:tcBorders>
            <w:shd w:val="clear" w:color="auto" w:fill="auto"/>
            <w:vAlign w:val="center"/>
          </w:tcPr>
          <w:p w14:paraId="5722E050"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19 (15)</w:t>
            </w:r>
          </w:p>
        </w:tc>
        <w:tc>
          <w:tcPr>
            <w:tcW w:w="1686" w:type="dxa"/>
            <w:gridSpan w:val="2"/>
            <w:tcBorders>
              <w:top w:val="nil"/>
              <w:left w:val="nil"/>
              <w:bottom w:val="nil"/>
              <w:right w:val="nil"/>
            </w:tcBorders>
            <w:shd w:val="clear" w:color="auto" w:fill="auto"/>
            <w:vAlign w:val="center"/>
          </w:tcPr>
          <w:p w14:paraId="70043AF2"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102 (21)</w:t>
            </w:r>
          </w:p>
        </w:tc>
      </w:tr>
      <w:tr w:rsidR="00990F02" w:rsidRPr="00990F02" w14:paraId="227304AB" w14:textId="77777777" w:rsidTr="00990F02">
        <w:trPr>
          <w:gridAfter w:val="1"/>
          <w:wAfter w:w="315" w:type="dxa"/>
          <w:trHeight w:val="292"/>
        </w:trPr>
        <w:tc>
          <w:tcPr>
            <w:tcW w:w="2064" w:type="dxa"/>
            <w:tcBorders>
              <w:top w:val="nil"/>
              <w:left w:val="nil"/>
              <w:bottom w:val="nil"/>
              <w:right w:val="nil"/>
            </w:tcBorders>
            <w:shd w:val="clear" w:color="auto" w:fill="auto"/>
            <w:vAlign w:val="center"/>
          </w:tcPr>
          <w:p w14:paraId="21DF8958" w14:textId="77777777" w:rsidR="00772A8A" w:rsidRPr="00990F02" w:rsidRDefault="00772A8A" w:rsidP="00990F02">
            <w:pPr>
              <w:spacing w:after="0" w:line="240" w:lineRule="auto"/>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MAM D</w:t>
            </w:r>
            <w:r w:rsidRPr="00990F02">
              <w:rPr>
                <w:rFonts w:ascii="Times New Roman" w:eastAsia="Times New Roman" w:hAnsi="Times New Roman" w:cs="Times New Roman"/>
                <w:color w:val="000000"/>
                <w:sz w:val="18"/>
                <w:szCs w:val="18"/>
                <w:vertAlign w:val="subscript"/>
              </w:rPr>
              <w:t xml:space="preserve">e </w:t>
            </w:r>
            <w:r w:rsidRPr="00990F02">
              <w:rPr>
                <w:rFonts w:ascii="Times New Roman" w:eastAsia="Times New Roman" w:hAnsi="Times New Roman" w:cs="Times New Roman"/>
                <w:color w:val="000000"/>
                <w:sz w:val="18"/>
                <w:szCs w:val="18"/>
              </w:rPr>
              <w:t>(Gy)</w:t>
            </w:r>
          </w:p>
        </w:tc>
        <w:tc>
          <w:tcPr>
            <w:tcW w:w="1459" w:type="dxa"/>
            <w:gridSpan w:val="2"/>
            <w:tcBorders>
              <w:top w:val="nil"/>
              <w:left w:val="nil"/>
              <w:bottom w:val="nil"/>
              <w:right w:val="nil"/>
            </w:tcBorders>
            <w:shd w:val="clear" w:color="auto" w:fill="auto"/>
            <w:vAlign w:val="center"/>
          </w:tcPr>
          <w:p w14:paraId="17A4B124"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b/>
                <w:bCs/>
                <w:color w:val="000000"/>
                <w:sz w:val="18"/>
                <w:szCs w:val="18"/>
              </w:rPr>
              <w:t>10.98±1.5</w:t>
            </w:r>
          </w:p>
        </w:tc>
        <w:tc>
          <w:tcPr>
            <w:tcW w:w="1258" w:type="dxa"/>
            <w:gridSpan w:val="2"/>
            <w:tcBorders>
              <w:top w:val="nil"/>
              <w:left w:val="nil"/>
              <w:bottom w:val="nil"/>
              <w:right w:val="nil"/>
            </w:tcBorders>
            <w:shd w:val="clear" w:color="auto" w:fill="auto"/>
            <w:vAlign w:val="center"/>
          </w:tcPr>
          <w:p w14:paraId="242C6016"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24.96±2.4</w:t>
            </w:r>
          </w:p>
        </w:tc>
        <w:tc>
          <w:tcPr>
            <w:tcW w:w="1375" w:type="dxa"/>
            <w:gridSpan w:val="2"/>
            <w:tcBorders>
              <w:top w:val="nil"/>
              <w:left w:val="nil"/>
              <w:bottom w:val="nil"/>
              <w:right w:val="nil"/>
            </w:tcBorders>
            <w:shd w:val="clear" w:color="auto" w:fill="auto"/>
            <w:vAlign w:val="center"/>
          </w:tcPr>
          <w:p w14:paraId="556EF3B3"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2.46±0.71</w:t>
            </w:r>
          </w:p>
        </w:tc>
        <w:tc>
          <w:tcPr>
            <w:tcW w:w="1224" w:type="dxa"/>
            <w:gridSpan w:val="2"/>
            <w:tcBorders>
              <w:top w:val="nil"/>
              <w:left w:val="nil"/>
              <w:bottom w:val="nil"/>
              <w:right w:val="nil"/>
            </w:tcBorders>
            <w:shd w:val="clear" w:color="auto" w:fill="auto"/>
            <w:vAlign w:val="center"/>
          </w:tcPr>
          <w:p w14:paraId="1C87ED5A"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b/>
                <w:bCs/>
                <w:color w:val="000000"/>
                <w:sz w:val="18"/>
                <w:szCs w:val="18"/>
              </w:rPr>
              <w:t>75.0±10.8</w:t>
            </w:r>
          </w:p>
        </w:tc>
        <w:tc>
          <w:tcPr>
            <w:tcW w:w="1204" w:type="dxa"/>
            <w:gridSpan w:val="2"/>
            <w:tcBorders>
              <w:top w:val="nil"/>
              <w:left w:val="nil"/>
              <w:bottom w:val="nil"/>
              <w:right w:val="nil"/>
            </w:tcBorders>
            <w:shd w:val="clear" w:color="auto" w:fill="auto"/>
            <w:vAlign w:val="center"/>
          </w:tcPr>
          <w:p w14:paraId="25A94893"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182.8±15.2</w:t>
            </w:r>
          </w:p>
        </w:tc>
        <w:tc>
          <w:tcPr>
            <w:tcW w:w="1331" w:type="dxa"/>
            <w:gridSpan w:val="2"/>
            <w:tcBorders>
              <w:top w:val="nil"/>
              <w:left w:val="nil"/>
              <w:bottom w:val="nil"/>
              <w:right w:val="nil"/>
            </w:tcBorders>
            <w:shd w:val="clear" w:color="auto" w:fill="auto"/>
            <w:vAlign w:val="center"/>
          </w:tcPr>
          <w:p w14:paraId="6A51EFB0"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156.3</w:t>
            </w:r>
            <w:r w:rsidRPr="00990F02">
              <w:rPr>
                <w:rFonts w:ascii="Times New Roman" w:eastAsia="Times New Roman" w:hAnsi="Times New Roman" w:cs="Times New Roman"/>
                <w:bCs/>
                <w:color w:val="000000"/>
                <w:sz w:val="18"/>
                <w:szCs w:val="18"/>
              </w:rPr>
              <w:t>±12.3</w:t>
            </w:r>
          </w:p>
        </w:tc>
        <w:tc>
          <w:tcPr>
            <w:tcW w:w="1318" w:type="dxa"/>
            <w:gridSpan w:val="2"/>
            <w:tcBorders>
              <w:top w:val="nil"/>
              <w:left w:val="nil"/>
              <w:bottom w:val="nil"/>
              <w:right w:val="nil"/>
            </w:tcBorders>
            <w:shd w:val="clear" w:color="auto" w:fill="auto"/>
            <w:vAlign w:val="center"/>
          </w:tcPr>
          <w:p w14:paraId="64652D4B"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189.8</w:t>
            </w:r>
            <w:r w:rsidRPr="00990F02">
              <w:rPr>
                <w:rFonts w:ascii="Times New Roman" w:eastAsia="Times New Roman" w:hAnsi="Times New Roman" w:cs="Times New Roman"/>
                <w:bCs/>
                <w:color w:val="000000"/>
                <w:sz w:val="18"/>
                <w:szCs w:val="18"/>
              </w:rPr>
              <w:t>±16.7</w:t>
            </w:r>
          </w:p>
        </w:tc>
        <w:tc>
          <w:tcPr>
            <w:tcW w:w="1686" w:type="dxa"/>
            <w:gridSpan w:val="2"/>
            <w:tcBorders>
              <w:top w:val="nil"/>
              <w:left w:val="nil"/>
              <w:bottom w:val="nil"/>
              <w:right w:val="nil"/>
            </w:tcBorders>
            <w:shd w:val="clear" w:color="auto" w:fill="auto"/>
            <w:vAlign w:val="center"/>
          </w:tcPr>
          <w:p w14:paraId="188787D7"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3.72</w:t>
            </w:r>
            <w:r w:rsidRPr="00990F02">
              <w:rPr>
                <w:rFonts w:ascii="Times New Roman" w:eastAsia="Times New Roman" w:hAnsi="Times New Roman" w:cs="Times New Roman"/>
                <w:bCs/>
                <w:color w:val="000000"/>
                <w:sz w:val="18"/>
                <w:szCs w:val="18"/>
              </w:rPr>
              <w:t>±0.78</w:t>
            </w:r>
          </w:p>
        </w:tc>
      </w:tr>
      <w:tr w:rsidR="00990F02" w:rsidRPr="00990F02" w14:paraId="220E5462" w14:textId="77777777" w:rsidTr="00990F02">
        <w:trPr>
          <w:gridAfter w:val="1"/>
          <w:wAfter w:w="315" w:type="dxa"/>
          <w:trHeight w:val="292"/>
        </w:trPr>
        <w:tc>
          <w:tcPr>
            <w:tcW w:w="2064" w:type="dxa"/>
            <w:tcBorders>
              <w:top w:val="nil"/>
              <w:left w:val="nil"/>
              <w:bottom w:val="nil"/>
              <w:right w:val="nil"/>
            </w:tcBorders>
            <w:shd w:val="clear" w:color="auto" w:fill="auto"/>
            <w:vAlign w:val="center"/>
          </w:tcPr>
          <w:p w14:paraId="3186EB7D" w14:textId="2A1DCA74" w:rsidR="00772A8A" w:rsidRPr="00990F02" w:rsidRDefault="00772A8A" w:rsidP="00990F02">
            <w:pPr>
              <w:spacing w:after="0" w:line="240" w:lineRule="auto"/>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CAM D</w:t>
            </w:r>
            <w:r w:rsidRPr="00990F02">
              <w:rPr>
                <w:rFonts w:ascii="Times New Roman" w:eastAsia="Times New Roman" w:hAnsi="Times New Roman" w:cs="Times New Roman"/>
                <w:color w:val="000000"/>
                <w:sz w:val="18"/>
                <w:szCs w:val="18"/>
                <w:vertAlign w:val="subscript"/>
              </w:rPr>
              <w:t>e</w:t>
            </w:r>
            <w:r w:rsidRPr="00990F02">
              <w:rPr>
                <w:rFonts w:ascii="Times New Roman" w:eastAsia="Times New Roman" w:hAnsi="Times New Roman" w:cs="Times New Roman"/>
                <w:color w:val="000000"/>
                <w:sz w:val="18"/>
                <w:szCs w:val="18"/>
              </w:rPr>
              <w:t xml:space="preserve"> (Gy)</w:t>
            </w:r>
          </w:p>
        </w:tc>
        <w:tc>
          <w:tcPr>
            <w:tcW w:w="1459" w:type="dxa"/>
            <w:gridSpan w:val="2"/>
            <w:tcBorders>
              <w:top w:val="nil"/>
              <w:left w:val="nil"/>
              <w:bottom w:val="nil"/>
              <w:right w:val="nil"/>
            </w:tcBorders>
            <w:shd w:val="clear" w:color="auto" w:fill="auto"/>
            <w:vAlign w:val="center"/>
          </w:tcPr>
          <w:p w14:paraId="2004EC4F"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bCs/>
                <w:color w:val="000000"/>
                <w:sz w:val="18"/>
                <w:szCs w:val="18"/>
              </w:rPr>
              <w:t>14.46±0.94</w:t>
            </w:r>
          </w:p>
        </w:tc>
        <w:tc>
          <w:tcPr>
            <w:tcW w:w="1258" w:type="dxa"/>
            <w:gridSpan w:val="2"/>
            <w:tcBorders>
              <w:top w:val="nil"/>
              <w:left w:val="nil"/>
              <w:bottom w:val="nil"/>
              <w:right w:val="nil"/>
            </w:tcBorders>
            <w:shd w:val="clear" w:color="auto" w:fill="auto"/>
            <w:vAlign w:val="center"/>
          </w:tcPr>
          <w:p w14:paraId="77EA5AA1"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b/>
                <w:color w:val="000000"/>
                <w:sz w:val="18"/>
                <w:szCs w:val="18"/>
              </w:rPr>
              <w:t>25.19±0.95</w:t>
            </w:r>
          </w:p>
        </w:tc>
        <w:tc>
          <w:tcPr>
            <w:tcW w:w="1375" w:type="dxa"/>
            <w:gridSpan w:val="2"/>
            <w:tcBorders>
              <w:top w:val="nil"/>
              <w:left w:val="nil"/>
              <w:bottom w:val="nil"/>
              <w:right w:val="nil"/>
            </w:tcBorders>
            <w:shd w:val="clear" w:color="auto" w:fill="auto"/>
            <w:vAlign w:val="center"/>
          </w:tcPr>
          <w:p w14:paraId="74A3BAB6"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b/>
                <w:sz w:val="18"/>
                <w:szCs w:val="18"/>
              </w:rPr>
              <w:t>65.5</w:t>
            </w:r>
            <w:r w:rsidRPr="00990F02">
              <w:rPr>
                <w:rFonts w:ascii="Times New Roman" w:eastAsia="Times New Roman" w:hAnsi="Times New Roman" w:cs="Times New Roman"/>
                <w:b/>
                <w:color w:val="000000"/>
                <w:sz w:val="18"/>
                <w:szCs w:val="18"/>
              </w:rPr>
              <w:t>±3.5</w:t>
            </w:r>
          </w:p>
        </w:tc>
        <w:tc>
          <w:tcPr>
            <w:tcW w:w="1224" w:type="dxa"/>
            <w:gridSpan w:val="2"/>
            <w:tcBorders>
              <w:top w:val="nil"/>
              <w:left w:val="nil"/>
              <w:bottom w:val="nil"/>
              <w:right w:val="nil"/>
            </w:tcBorders>
            <w:shd w:val="clear" w:color="auto" w:fill="auto"/>
            <w:vAlign w:val="center"/>
          </w:tcPr>
          <w:p w14:paraId="483ECB6F"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bCs/>
                <w:color w:val="000000"/>
                <w:sz w:val="18"/>
                <w:szCs w:val="18"/>
              </w:rPr>
              <w:t>109.8±8.8</w:t>
            </w:r>
          </w:p>
        </w:tc>
        <w:tc>
          <w:tcPr>
            <w:tcW w:w="1204" w:type="dxa"/>
            <w:gridSpan w:val="2"/>
            <w:tcBorders>
              <w:top w:val="nil"/>
              <w:left w:val="nil"/>
              <w:bottom w:val="nil"/>
              <w:right w:val="nil"/>
            </w:tcBorders>
            <w:shd w:val="clear" w:color="auto" w:fill="auto"/>
            <w:vAlign w:val="center"/>
          </w:tcPr>
          <w:p w14:paraId="2C0F29C8"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b/>
                <w:color w:val="000000"/>
                <w:sz w:val="18"/>
                <w:szCs w:val="18"/>
              </w:rPr>
              <w:t>18</w:t>
            </w:r>
            <w:r w:rsidRPr="00990F02">
              <w:rPr>
                <w:rFonts w:ascii="Times New Roman" w:eastAsia="Times New Roman" w:hAnsi="Times New Roman" w:cs="Times New Roman"/>
                <w:b/>
                <w:sz w:val="18"/>
                <w:szCs w:val="18"/>
              </w:rPr>
              <w:t>2.8</w:t>
            </w:r>
            <w:r w:rsidRPr="00990F02">
              <w:rPr>
                <w:rFonts w:ascii="Times New Roman" w:eastAsia="Times New Roman" w:hAnsi="Times New Roman" w:cs="Times New Roman"/>
                <w:b/>
                <w:color w:val="000000"/>
                <w:sz w:val="18"/>
                <w:szCs w:val="18"/>
              </w:rPr>
              <w:t>± 8.2</w:t>
            </w:r>
          </w:p>
        </w:tc>
        <w:tc>
          <w:tcPr>
            <w:tcW w:w="1331" w:type="dxa"/>
            <w:gridSpan w:val="2"/>
            <w:tcBorders>
              <w:top w:val="nil"/>
              <w:left w:val="nil"/>
              <w:bottom w:val="nil"/>
              <w:right w:val="nil"/>
            </w:tcBorders>
            <w:shd w:val="clear" w:color="auto" w:fill="auto"/>
            <w:vAlign w:val="center"/>
          </w:tcPr>
          <w:p w14:paraId="5CC2A9EF"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b/>
                <w:color w:val="000000"/>
                <w:sz w:val="18"/>
                <w:szCs w:val="18"/>
              </w:rPr>
              <w:t>156.1±6.0</w:t>
            </w:r>
          </w:p>
        </w:tc>
        <w:tc>
          <w:tcPr>
            <w:tcW w:w="1318" w:type="dxa"/>
            <w:gridSpan w:val="2"/>
            <w:tcBorders>
              <w:top w:val="nil"/>
              <w:left w:val="nil"/>
              <w:bottom w:val="nil"/>
              <w:right w:val="nil"/>
            </w:tcBorders>
            <w:shd w:val="clear" w:color="auto" w:fill="auto"/>
            <w:vAlign w:val="center"/>
          </w:tcPr>
          <w:p w14:paraId="32FE0C38"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b/>
                <w:color w:val="000000"/>
                <w:sz w:val="18"/>
                <w:szCs w:val="18"/>
              </w:rPr>
              <w:t>187.8±7.1</w:t>
            </w:r>
          </w:p>
        </w:tc>
        <w:tc>
          <w:tcPr>
            <w:tcW w:w="1686" w:type="dxa"/>
            <w:gridSpan w:val="2"/>
            <w:tcBorders>
              <w:top w:val="nil"/>
              <w:left w:val="nil"/>
              <w:bottom w:val="nil"/>
              <w:right w:val="nil"/>
            </w:tcBorders>
            <w:shd w:val="clear" w:color="auto" w:fill="auto"/>
            <w:vAlign w:val="center"/>
          </w:tcPr>
          <w:p w14:paraId="57278461"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b/>
                <w:color w:val="000000"/>
                <w:sz w:val="18"/>
                <w:szCs w:val="18"/>
              </w:rPr>
              <w:t>184.0±10.</w:t>
            </w:r>
            <w:r w:rsidRPr="00990F02">
              <w:rPr>
                <w:rFonts w:ascii="Times New Roman" w:eastAsia="Times New Roman" w:hAnsi="Times New Roman" w:cs="Times New Roman"/>
                <w:b/>
                <w:sz w:val="18"/>
                <w:szCs w:val="18"/>
              </w:rPr>
              <w:t>3</w:t>
            </w:r>
          </w:p>
        </w:tc>
      </w:tr>
      <w:tr w:rsidR="00990F02" w:rsidRPr="00990F02" w14:paraId="66E347F1" w14:textId="77777777" w:rsidTr="00990F02">
        <w:trPr>
          <w:gridAfter w:val="1"/>
          <w:wAfter w:w="315" w:type="dxa"/>
          <w:trHeight w:val="304"/>
        </w:trPr>
        <w:tc>
          <w:tcPr>
            <w:tcW w:w="2064" w:type="dxa"/>
            <w:tcBorders>
              <w:top w:val="nil"/>
              <w:left w:val="nil"/>
              <w:bottom w:val="single" w:sz="8" w:space="0" w:color="000000"/>
              <w:right w:val="nil"/>
            </w:tcBorders>
            <w:shd w:val="clear" w:color="auto" w:fill="auto"/>
            <w:vAlign w:val="center"/>
          </w:tcPr>
          <w:p w14:paraId="1AC7F099" w14:textId="77777777" w:rsidR="00772A8A" w:rsidRPr="00990F02" w:rsidRDefault="00772A8A" w:rsidP="00990F02">
            <w:pPr>
              <w:spacing w:after="0" w:line="240" w:lineRule="auto"/>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FMM D</w:t>
            </w:r>
            <w:r w:rsidRPr="00990F02">
              <w:rPr>
                <w:rFonts w:ascii="Times New Roman" w:eastAsia="Times New Roman" w:hAnsi="Times New Roman" w:cs="Times New Roman"/>
                <w:color w:val="000000"/>
                <w:sz w:val="18"/>
                <w:szCs w:val="18"/>
                <w:vertAlign w:val="subscript"/>
              </w:rPr>
              <w:t>e</w:t>
            </w:r>
            <w:r w:rsidRPr="00990F02">
              <w:rPr>
                <w:rFonts w:ascii="Times New Roman" w:eastAsia="Times New Roman" w:hAnsi="Times New Roman" w:cs="Times New Roman"/>
                <w:color w:val="000000"/>
                <w:sz w:val="18"/>
                <w:szCs w:val="18"/>
              </w:rPr>
              <w:t xml:space="preserve"> (Gy)</w:t>
            </w:r>
          </w:p>
        </w:tc>
        <w:tc>
          <w:tcPr>
            <w:tcW w:w="1459" w:type="dxa"/>
            <w:gridSpan w:val="2"/>
            <w:tcBorders>
              <w:top w:val="nil"/>
              <w:left w:val="nil"/>
              <w:bottom w:val="single" w:sz="8" w:space="0" w:color="000000"/>
              <w:right w:val="nil"/>
            </w:tcBorders>
            <w:shd w:val="clear" w:color="auto" w:fill="auto"/>
            <w:vAlign w:val="center"/>
          </w:tcPr>
          <w:p w14:paraId="0365CB84" w14:textId="77777777"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Cs/>
                <w:color w:val="000000"/>
                <w:sz w:val="18"/>
                <w:szCs w:val="18"/>
              </w:rPr>
              <w:t>13.54±0.84</w:t>
            </w:r>
          </w:p>
        </w:tc>
        <w:tc>
          <w:tcPr>
            <w:tcW w:w="1258" w:type="dxa"/>
            <w:gridSpan w:val="2"/>
            <w:tcBorders>
              <w:top w:val="nil"/>
              <w:left w:val="nil"/>
              <w:bottom w:val="single" w:sz="8" w:space="0" w:color="000000"/>
              <w:right w:val="nil"/>
            </w:tcBorders>
            <w:shd w:val="clear" w:color="auto" w:fill="auto"/>
            <w:vAlign w:val="center"/>
          </w:tcPr>
          <w:p w14:paraId="733D47B0" w14:textId="77777777"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Cs/>
                <w:color w:val="000000"/>
                <w:sz w:val="18"/>
                <w:szCs w:val="18"/>
              </w:rPr>
              <w:t>25.43±1.4</w:t>
            </w:r>
          </w:p>
        </w:tc>
        <w:tc>
          <w:tcPr>
            <w:tcW w:w="1375" w:type="dxa"/>
            <w:gridSpan w:val="2"/>
            <w:tcBorders>
              <w:top w:val="nil"/>
              <w:left w:val="nil"/>
              <w:bottom w:val="single" w:sz="8" w:space="0" w:color="000000"/>
              <w:right w:val="nil"/>
            </w:tcBorders>
            <w:shd w:val="clear" w:color="auto" w:fill="auto"/>
            <w:vAlign w:val="center"/>
          </w:tcPr>
          <w:p w14:paraId="10F428BF" w14:textId="77777777"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Cs/>
                <w:sz w:val="18"/>
                <w:szCs w:val="18"/>
              </w:rPr>
              <w:t>64.98</w:t>
            </w:r>
            <w:r w:rsidRPr="00990F02">
              <w:rPr>
                <w:rFonts w:ascii="Times New Roman" w:eastAsia="Times New Roman" w:hAnsi="Times New Roman" w:cs="Times New Roman"/>
                <w:bCs/>
                <w:color w:val="000000"/>
                <w:sz w:val="18"/>
                <w:szCs w:val="18"/>
              </w:rPr>
              <w:t>±3.5</w:t>
            </w:r>
          </w:p>
        </w:tc>
        <w:tc>
          <w:tcPr>
            <w:tcW w:w="1224" w:type="dxa"/>
            <w:gridSpan w:val="2"/>
            <w:tcBorders>
              <w:top w:val="nil"/>
              <w:left w:val="nil"/>
              <w:bottom w:val="single" w:sz="8" w:space="0" w:color="000000"/>
              <w:right w:val="nil"/>
            </w:tcBorders>
            <w:shd w:val="clear" w:color="auto" w:fill="auto"/>
            <w:vAlign w:val="center"/>
          </w:tcPr>
          <w:p w14:paraId="01CBD9F8" w14:textId="77777777"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Cs/>
                <w:color w:val="000000"/>
                <w:sz w:val="18"/>
                <w:szCs w:val="18"/>
              </w:rPr>
              <w:t>108±10.</w:t>
            </w:r>
            <w:r w:rsidRPr="00990F02">
              <w:rPr>
                <w:rFonts w:ascii="Times New Roman" w:eastAsia="Times New Roman" w:hAnsi="Times New Roman" w:cs="Times New Roman"/>
                <w:bCs/>
                <w:sz w:val="18"/>
                <w:szCs w:val="18"/>
              </w:rPr>
              <w:t>3</w:t>
            </w:r>
          </w:p>
        </w:tc>
        <w:tc>
          <w:tcPr>
            <w:tcW w:w="1204" w:type="dxa"/>
            <w:gridSpan w:val="2"/>
            <w:tcBorders>
              <w:top w:val="nil"/>
              <w:left w:val="nil"/>
              <w:bottom w:val="single" w:sz="8" w:space="0" w:color="000000"/>
              <w:right w:val="nil"/>
            </w:tcBorders>
            <w:shd w:val="clear" w:color="auto" w:fill="auto"/>
            <w:vAlign w:val="center"/>
          </w:tcPr>
          <w:p w14:paraId="0475A383" w14:textId="77777777"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Cs/>
                <w:color w:val="000000"/>
                <w:sz w:val="18"/>
                <w:szCs w:val="18"/>
              </w:rPr>
              <w:t>186.3±15.7</w:t>
            </w:r>
          </w:p>
        </w:tc>
        <w:tc>
          <w:tcPr>
            <w:tcW w:w="1331" w:type="dxa"/>
            <w:gridSpan w:val="2"/>
            <w:tcBorders>
              <w:top w:val="nil"/>
              <w:left w:val="nil"/>
              <w:bottom w:val="single" w:sz="8" w:space="0" w:color="000000"/>
              <w:right w:val="nil"/>
            </w:tcBorders>
            <w:shd w:val="clear" w:color="auto" w:fill="auto"/>
            <w:vAlign w:val="center"/>
          </w:tcPr>
          <w:p w14:paraId="300E96B6"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156.34</w:t>
            </w:r>
            <w:r w:rsidRPr="00990F02">
              <w:rPr>
                <w:rFonts w:ascii="Times New Roman" w:eastAsia="Times New Roman" w:hAnsi="Times New Roman" w:cs="Times New Roman"/>
                <w:bCs/>
                <w:color w:val="000000"/>
                <w:sz w:val="18"/>
                <w:szCs w:val="18"/>
              </w:rPr>
              <w:t>±8.1</w:t>
            </w:r>
          </w:p>
        </w:tc>
        <w:tc>
          <w:tcPr>
            <w:tcW w:w="1318" w:type="dxa"/>
            <w:gridSpan w:val="2"/>
            <w:tcBorders>
              <w:top w:val="nil"/>
              <w:left w:val="nil"/>
              <w:bottom w:val="single" w:sz="8" w:space="0" w:color="000000"/>
              <w:right w:val="nil"/>
            </w:tcBorders>
            <w:shd w:val="clear" w:color="auto" w:fill="auto"/>
            <w:vAlign w:val="center"/>
          </w:tcPr>
          <w:p w14:paraId="3AB87E7A"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192.9</w:t>
            </w:r>
            <w:r w:rsidRPr="00990F02">
              <w:rPr>
                <w:rFonts w:ascii="Times New Roman" w:eastAsia="Times New Roman" w:hAnsi="Times New Roman" w:cs="Times New Roman"/>
                <w:bCs/>
                <w:color w:val="000000"/>
                <w:sz w:val="18"/>
                <w:szCs w:val="18"/>
              </w:rPr>
              <w:t>±18.2</w:t>
            </w:r>
          </w:p>
        </w:tc>
        <w:tc>
          <w:tcPr>
            <w:tcW w:w="1686" w:type="dxa"/>
            <w:gridSpan w:val="2"/>
            <w:tcBorders>
              <w:top w:val="nil"/>
              <w:left w:val="nil"/>
              <w:bottom w:val="single" w:sz="8" w:space="0" w:color="000000"/>
              <w:right w:val="nil"/>
            </w:tcBorders>
            <w:shd w:val="clear" w:color="auto" w:fill="auto"/>
            <w:vAlign w:val="center"/>
          </w:tcPr>
          <w:p w14:paraId="52D8EC04"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192.9</w:t>
            </w:r>
            <w:r w:rsidRPr="00990F02">
              <w:rPr>
                <w:rFonts w:ascii="Times New Roman" w:eastAsia="Times New Roman" w:hAnsi="Times New Roman" w:cs="Times New Roman"/>
                <w:bCs/>
                <w:color w:val="000000"/>
                <w:sz w:val="18"/>
                <w:szCs w:val="18"/>
              </w:rPr>
              <w:t>±9.9</w:t>
            </w:r>
          </w:p>
        </w:tc>
      </w:tr>
      <w:tr w:rsidR="00990F02" w:rsidRPr="00990F02" w14:paraId="3CA6991A" w14:textId="77777777" w:rsidTr="00990F02">
        <w:trPr>
          <w:gridAfter w:val="1"/>
          <w:wAfter w:w="315" w:type="dxa"/>
          <w:trHeight w:val="253"/>
        </w:trPr>
        <w:tc>
          <w:tcPr>
            <w:tcW w:w="2064" w:type="dxa"/>
            <w:tcBorders>
              <w:top w:val="nil"/>
              <w:left w:val="nil"/>
              <w:bottom w:val="nil"/>
              <w:right w:val="nil"/>
            </w:tcBorders>
            <w:shd w:val="clear" w:color="auto" w:fill="auto"/>
            <w:vAlign w:val="center"/>
          </w:tcPr>
          <w:p w14:paraId="24C44B93" w14:textId="77777777" w:rsidR="00772A8A" w:rsidRPr="00990F02" w:rsidRDefault="00772A8A" w:rsidP="00990F02">
            <w:pPr>
              <w:spacing w:after="0" w:line="240" w:lineRule="auto"/>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Internal dose rate (μGy/a)</w:t>
            </w:r>
          </w:p>
        </w:tc>
        <w:tc>
          <w:tcPr>
            <w:tcW w:w="1459" w:type="dxa"/>
            <w:gridSpan w:val="2"/>
            <w:tcBorders>
              <w:top w:val="nil"/>
              <w:left w:val="nil"/>
              <w:bottom w:val="nil"/>
              <w:right w:val="nil"/>
            </w:tcBorders>
            <w:shd w:val="clear" w:color="auto" w:fill="auto"/>
            <w:vAlign w:val="center"/>
          </w:tcPr>
          <w:p w14:paraId="199408A4"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30±1</w:t>
            </w:r>
          </w:p>
        </w:tc>
        <w:tc>
          <w:tcPr>
            <w:tcW w:w="1258" w:type="dxa"/>
            <w:gridSpan w:val="2"/>
            <w:tcBorders>
              <w:top w:val="nil"/>
              <w:left w:val="nil"/>
              <w:bottom w:val="nil"/>
              <w:right w:val="nil"/>
            </w:tcBorders>
            <w:shd w:val="clear" w:color="auto" w:fill="auto"/>
            <w:vAlign w:val="center"/>
          </w:tcPr>
          <w:p w14:paraId="5F1C44EE"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30±1</w:t>
            </w:r>
          </w:p>
        </w:tc>
        <w:tc>
          <w:tcPr>
            <w:tcW w:w="1375" w:type="dxa"/>
            <w:gridSpan w:val="2"/>
            <w:tcBorders>
              <w:top w:val="nil"/>
              <w:left w:val="nil"/>
              <w:bottom w:val="nil"/>
              <w:right w:val="nil"/>
            </w:tcBorders>
            <w:shd w:val="clear" w:color="auto" w:fill="auto"/>
            <w:vAlign w:val="center"/>
          </w:tcPr>
          <w:p w14:paraId="5A8D57FE"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30±1</w:t>
            </w:r>
          </w:p>
        </w:tc>
        <w:tc>
          <w:tcPr>
            <w:tcW w:w="1224" w:type="dxa"/>
            <w:gridSpan w:val="2"/>
            <w:tcBorders>
              <w:top w:val="nil"/>
              <w:left w:val="nil"/>
              <w:bottom w:val="nil"/>
              <w:right w:val="nil"/>
            </w:tcBorders>
            <w:shd w:val="clear" w:color="auto" w:fill="auto"/>
            <w:vAlign w:val="center"/>
          </w:tcPr>
          <w:p w14:paraId="7B759CF0"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30±1</w:t>
            </w:r>
          </w:p>
        </w:tc>
        <w:tc>
          <w:tcPr>
            <w:tcW w:w="1204" w:type="dxa"/>
            <w:gridSpan w:val="2"/>
            <w:tcBorders>
              <w:top w:val="nil"/>
              <w:left w:val="nil"/>
              <w:bottom w:val="nil"/>
              <w:right w:val="nil"/>
            </w:tcBorders>
            <w:shd w:val="clear" w:color="auto" w:fill="auto"/>
            <w:vAlign w:val="center"/>
          </w:tcPr>
          <w:p w14:paraId="6A129214"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30±1</w:t>
            </w:r>
          </w:p>
        </w:tc>
        <w:tc>
          <w:tcPr>
            <w:tcW w:w="1331" w:type="dxa"/>
            <w:gridSpan w:val="2"/>
            <w:tcBorders>
              <w:top w:val="nil"/>
              <w:left w:val="nil"/>
              <w:bottom w:val="nil"/>
              <w:right w:val="nil"/>
            </w:tcBorders>
            <w:shd w:val="clear" w:color="auto" w:fill="auto"/>
            <w:vAlign w:val="center"/>
          </w:tcPr>
          <w:p w14:paraId="657B02DF"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30±1</w:t>
            </w:r>
          </w:p>
        </w:tc>
        <w:tc>
          <w:tcPr>
            <w:tcW w:w="1318" w:type="dxa"/>
            <w:gridSpan w:val="2"/>
            <w:tcBorders>
              <w:top w:val="nil"/>
              <w:left w:val="nil"/>
              <w:bottom w:val="nil"/>
              <w:right w:val="nil"/>
            </w:tcBorders>
            <w:shd w:val="clear" w:color="auto" w:fill="auto"/>
            <w:vAlign w:val="center"/>
          </w:tcPr>
          <w:p w14:paraId="3B2A1DA6"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30±1</w:t>
            </w:r>
          </w:p>
        </w:tc>
        <w:tc>
          <w:tcPr>
            <w:tcW w:w="1686" w:type="dxa"/>
            <w:gridSpan w:val="2"/>
            <w:tcBorders>
              <w:top w:val="nil"/>
              <w:left w:val="nil"/>
              <w:bottom w:val="nil"/>
              <w:right w:val="nil"/>
            </w:tcBorders>
            <w:shd w:val="clear" w:color="auto" w:fill="auto"/>
            <w:vAlign w:val="center"/>
          </w:tcPr>
          <w:p w14:paraId="59C02DB7"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30±1</w:t>
            </w:r>
          </w:p>
        </w:tc>
      </w:tr>
      <w:tr w:rsidR="00990F02" w:rsidRPr="00990F02" w14:paraId="25B09A65" w14:textId="77777777" w:rsidTr="00990F02">
        <w:trPr>
          <w:gridAfter w:val="1"/>
          <w:wAfter w:w="315" w:type="dxa"/>
          <w:trHeight w:val="253"/>
        </w:trPr>
        <w:tc>
          <w:tcPr>
            <w:tcW w:w="2064" w:type="dxa"/>
            <w:tcBorders>
              <w:top w:val="nil"/>
              <w:left w:val="nil"/>
              <w:bottom w:val="nil"/>
              <w:right w:val="nil"/>
            </w:tcBorders>
            <w:shd w:val="clear" w:color="auto" w:fill="auto"/>
            <w:vAlign w:val="center"/>
          </w:tcPr>
          <w:p w14:paraId="5E4C4932" w14:textId="77777777" w:rsidR="00772A8A" w:rsidRPr="00990F02" w:rsidRDefault="00772A8A" w:rsidP="00990F02">
            <w:pPr>
              <w:spacing w:after="0" w:line="240" w:lineRule="auto"/>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Alpha dose rate (μGy/a)</w:t>
            </w:r>
          </w:p>
        </w:tc>
        <w:tc>
          <w:tcPr>
            <w:tcW w:w="1459" w:type="dxa"/>
            <w:gridSpan w:val="2"/>
            <w:tcBorders>
              <w:top w:val="nil"/>
              <w:left w:val="nil"/>
              <w:bottom w:val="nil"/>
              <w:right w:val="nil"/>
            </w:tcBorders>
            <w:shd w:val="clear" w:color="auto" w:fill="auto"/>
            <w:vAlign w:val="center"/>
          </w:tcPr>
          <w:p w14:paraId="2FA0D955"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16±2</w:t>
            </w:r>
          </w:p>
        </w:tc>
        <w:tc>
          <w:tcPr>
            <w:tcW w:w="1258" w:type="dxa"/>
            <w:gridSpan w:val="2"/>
            <w:tcBorders>
              <w:top w:val="nil"/>
              <w:left w:val="nil"/>
              <w:bottom w:val="nil"/>
              <w:right w:val="nil"/>
            </w:tcBorders>
            <w:shd w:val="clear" w:color="auto" w:fill="auto"/>
            <w:vAlign w:val="center"/>
          </w:tcPr>
          <w:p w14:paraId="48BE675F"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16±2</w:t>
            </w:r>
          </w:p>
        </w:tc>
        <w:tc>
          <w:tcPr>
            <w:tcW w:w="1375" w:type="dxa"/>
            <w:gridSpan w:val="2"/>
            <w:tcBorders>
              <w:top w:val="nil"/>
              <w:left w:val="nil"/>
              <w:bottom w:val="nil"/>
              <w:right w:val="nil"/>
            </w:tcBorders>
            <w:shd w:val="clear" w:color="auto" w:fill="auto"/>
            <w:vAlign w:val="center"/>
          </w:tcPr>
          <w:p w14:paraId="4B908B04" w14:textId="5DED1F7F"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2</w:t>
            </w:r>
            <w:r w:rsidR="001668D7" w:rsidRPr="00990F02">
              <w:rPr>
                <w:rFonts w:ascii="Times New Roman" w:eastAsia="Times New Roman" w:hAnsi="Times New Roman" w:cs="Times New Roman"/>
                <w:color w:val="000000"/>
                <w:sz w:val="18"/>
                <w:szCs w:val="18"/>
              </w:rPr>
              <w:t>2</w:t>
            </w:r>
            <w:r w:rsidRPr="00990F02">
              <w:rPr>
                <w:rFonts w:ascii="Times New Roman" w:eastAsia="Times New Roman" w:hAnsi="Times New Roman" w:cs="Times New Roman"/>
                <w:color w:val="000000"/>
                <w:sz w:val="18"/>
                <w:szCs w:val="18"/>
              </w:rPr>
              <w:t>±2</w:t>
            </w:r>
          </w:p>
        </w:tc>
        <w:tc>
          <w:tcPr>
            <w:tcW w:w="1224" w:type="dxa"/>
            <w:gridSpan w:val="2"/>
            <w:tcBorders>
              <w:top w:val="nil"/>
              <w:left w:val="nil"/>
              <w:bottom w:val="nil"/>
              <w:right w:val="nil"/>
            </w:tcBorders>
            <w:shd w:val="clear" w:color="auto" w:fill="auto"/>
            <w:vAlign w:val="center"/>
          </w:tcPr>
          <w:p w14:paraId="0331FAB0"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26±3</w:t>
            </w:r>
          </w:p>
        </w:tc>
        <w:tc>
          <w:tcPr>
            <w:tcW w:w="1204" w:type="dxa"/>
            <w:gridSpan w:val="2"/>
            <w:tcBorders>
              <w:top w:val="nil"/>
              <w:left w:val="nil"/>
              <w:bottom w:val="nil"/>
              <w:right w:val="nil"/>
            </w:tcBorders>
            <w:shd w:val="clear" w:color="auto" w:fill="auto"/>
            <w:vAlign w:val="center"/>
          </w:tcPr>
          <w:p w14:paraId="2F6AEA6F" w14:textId="234E44B3"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2</w:t>
            </w:r>
            <w:r w:rsidR="001668D7" w:rsidRPr="00990F02">
              <w:rPr>
                <w:rFonts w:ascii="Times New Roman" w:eastAsia="Times New Roman" w:hAnsi="Times New Roman" w:cs="Times New Roman"/>
                <w:color w:val="000000"/>
                <w:sz w:val="18"/>
                <w:szCs w:val="18"/>
              </w:rPr>
              <w:t>3</w:t>
            </w:r>
            <w:r w:rsidRPr="00990F02">
              <w:rPr>
                <w:rFonts w:ascii="Times New Roman" w:eastAsia="Times New Roman" w:hAnsi="Times New Roman" w:cs="Times New Roman"/>
                <w:color w:val="000000"/>
                <w:sz w:val="18"/>
                <w:szCs w:val="18"/>
              </w:rPr>
              <w:t>±2</w:t>
            </w:r>
          </w:p>
        </w:tc>
        <w:tc>
          <w:tcPr>
            <w:tcW w:w="1331" w:type="dxa"/>
            <w:gridSpan w:val="2"/>
            <w:tcBorders>
              <w:top w:val="nil"/>
              <w:left w:val="nil"/>
              <w:bottom w:val="nil"/>
              <w:right w:val="nil"/>
            </w:tcBorders>
            <w:shd w:val="clear" w:color="auto" w:fill="auto"/>
            <w:vAlign w:val="center"/>
          </w:tcPr>
          <w:p w14:paraId="33B07C85"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22±2</w:t>
            </w:r>
          </w:p>
        </w:tc>
        <w:tc>
          <w:tcPr>
            <w:tcW w:w="1318" w:type="dxa"/>
            <w:gridSpan w:val="2"/>
            <w:tcBorders>
              <w:top w:val="nil"/>
              <w:left w:val="nil"/>
              <w:bottom w:val="nil"/>
              <w:right w:val="nil"/>
            </w:tcBorders>
            <w:shd w:val="clear" w:color="auto" w:fill="auto"/>
            <w:vAlign w:val="center"/>
          </w:tcPr>
          <w:p w14:paraId="14A5BCC8"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22±2</w:t>
            </w:r>
          </w:p>
        </w:tc>
        <w:tc>
          <w:tcPr>
            <w:tcW w:w="1686" w:type="dxa"/>
            <w:gridSpan w:val="2"/>
            <w:tcBorders>
              <w:top w:val="nil"/>
              <w:left w:val="nil"/>
              <w:bottom w:val="nil"/>
              <w:right w:val="nil"/>
            </w:tcBorders>
            <w:shd w:val="clear" w:color="auto" w:fill="auto"/>
            <w:vAlign w:val="center"/>
          </w:tcPr>
          <w:p w14:paraId="3547FC8E"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21±2</w:t>
            </w:r>
          </w:p>
        </w:tc>
      </w:tr>
      <w:tr w:rsidR="00990F02" w:rsidRPr="00990F02" w14:paraId="1A75C38F" w14:textId="77777777" w:rsidTr="00990F02">
        <w:trPr>
          <w:gridAfter w:val="1"/>
          <w:wAfter w:w="315" w:type="dxa"/>
          <w:trHeight w:val="253"/>
        </w:trPr>
        <w:tc>
          <w:tcPr>
            <w:tcW w:w="2064" w:type="dxa"/>
            <w:tcBorders>
              <w:top w:val="nil"/>
              <w:left w:val="nil"/>
              <w:bottom w:val="nil"/>
              <w:right w:val="nil"/>
            </w:tcBorders>
            <w:shd w:val="clear" w:color="auto" w:fill="auto"/>
            <w:vAlign w:val="center"/>
          </w:tcPr>
          <w:p w14:paraId="031FE11F" w14:textId="53EC87BA" w:rsidR="00772A8A" w:rsidRPr="00990F02" w:rsidRDefault="00772A8A" w:rsidP="00990F02">
            <w:pPr>
              <w:spacing w:after="0" w:line="240" w:lineRule="auto"/>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Beta dose rate (μGy/a)</w:t>
            </w:r>
          </w:p>
        </w:tc>
        <w:tc>
          <w:tcPr>
            <w:tcW w:w="1459" w:type="dxa"/>
            <w:gridSpan w:val="2"/>
            <w:tcBorders>
              <w:top w:val="nil"/>
              <w:left w:val="nil"/>
              <w:bottom w:val="nil"/>
              <w:right w:val="nil"/>
            </w:tcBorders>
            <w:shd w:val="clear" w:color="auto" w:fill="auto"/>
            <w:vAlign w:val="center"/>
          </w:tcPr>
          <w:p w14:paraId="790C2039" w14:textId="4FBD5135" w:rsidR="00772A8A" w:rsidRPr="00990F02" w:rsidRDefault="004848B9"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297</w:t>
            </w:r>
            <w:r w:rsidR="00772A8A" w:rsidRPr="00990F02">
              <w:rPr>
                <w:rFonts w:ascii="Times New Roman" w:eastAsia="Times New Roman" w:hAnsi="Times New Roman" w:cs="Times New Roman"/>
                <w:color w:val="000000"/>
                <w:sz w:val="18"/>
                <w:szCs w:val="18"/>
              </w:rPr>
              <w:t>±2</w:t>
            </w:r>
            <w:r w:rsidRPr="00990F02">
              <w:rPr>
                <w:rFonts w:ascii="Times New Roman" w:eastAsia="Times New Roman" w:hAnsi="Times New Roman" w:cs="Times New Roman"/>
                <w:color w:val="000000"/>
                <w:sz w:val="18"/>
                <w:szCs w:val="18"/>
              </w:rPr>
              <w:t>5</w:t>
            </w:r>
          </w:p>
        </w:tc>
        <w:tc>
          <w:tcPr>
            <w:tcW w:w="1258" w:type="dxa"/>
            <w:gridSpan w:val="2"/>
            <w:tcBorders>
              <w:top w:val="nil"/>
              <w:left w:val="nil"/>
              <w:bottom w:val="nil"/>
              <w:right w:val="nil"/>
            </w:tcBorders>
            <w:shd w:val="clear" w:color="auto" w:fill="auto"/>
            <w:vAlign w:val="center"/>
          </w:tcPr>
          <w:p w14:paraId="613D333A"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290±25</w:t>
            </w:r>
          </w:p>
        </w:tc>
        <w:tc>
          <w:tcPr>
            <w:tcW w:w="1375" w:type="dxa"/>
            <w:gridSpan w:val="2"/>
            <w:tcBorders>
              <w:top w:val="nil"/>
              <w:left w:val="nil"/>
              <w:bottom w:val="nil"/>
              <w:right w:val="nil"/>
            </w:tcBorders>
            <w:shd w:val="clear" w:color="auto" w:fill="auto"/>
            <w:vAlign w:val="center"/>
          </w:tcPr>
          <w:p w14:paraId="03E3270B" w14:textId="635BA446"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3</w:t>
            </w:r>
            <w:r w:rsidR="001668D7" w:rsidRPr="00990F02">
              <w:rPr>
                <w:rFonts w:ascii="Times New Roman" w:eastAsia="Times New Roman" w:hAnsi="Times New Roman" w:cs="Times New Roman"/>
                <w:color w:val="000000"/>
                <w:sz w:val="18"/>
                <w:szCs w:val="18"/>
              </w:rPr>
              <w:t>94</w:t>
            </w:r>
            <w:r w:rsidRPr="00990F02">
              <w:rPr>
                <w:rFonts w:ascii="Times New Roman" w:eastAsia="Times New Roman" w:hAnsi="Times New Roman" w:cs="Times New Roman"/>
                <w:color w:val="000000"/>
                <w:sz w:val="18"/>
                <w:szCs w:val="18"/>
              </w:rPr>
              <w:t>±2</w:t>
            </w:r>
            <w:r w:rsidR="001668D7" w:rsidRPr="00990F02">
              <w:rPr>
                <w:rFonts w:ascii="Times New Roman" w:eastAsia="Times New Roman" w:hAnsi="Times New Roman" w:cs="Times New Roman"/>
                <w:color w:val="000000"/>
                <w:sz w:val="18"/>
                <w:szCs w:val="18"/>
              </w:rPr>
              <w:t>7</w:t>
            </w:r>
          </w:p>
        </w:tc>
        <w:tc>
          <w:tcPr>
            <w:tcW w:w="1224" w:type="dxa"/>
            <w:gridSpan w:val="2"/>
            <w:tcBorders>
              <w:top w:val="nil"/>
              <w:left w:val="nil"/>
              <w:bottom w:val="nil"/>
              <w:right w:val="nil"/>
            </w:tcBorders>
            <w:shd w:val="clear" w:color="auto" w:fill="auto"/>
            <w:vAlign w:val="center"/>
          </w:tcPr>
          <w:p w14:paraId="3C5D84D9" w14:textId="09470C54"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4</w:t>
            </w:r>
            <w:r w:rsidR="001668D7" w:rsidRPr="00990F02">
              <w:rPr>
                <w:rFonts w:ascii="Times New Roman" w:eastAsia="Times New Roman" w:hAnsi="Times New Roman" w:cs="Times New Roman"/>
                <w:color w:val="000000"/>
                <w:sz w:val="18"/>
                <w:szCs w:val="18"/>
              </w:rPr>
              <w:t>78</w:t>
            </w:r>
            <w:r w:rsidRPr="00990F02">
              <w:rPr>
                <w:rFonts w:ascii="Times New Roman" w:eastAsia="Times New Roman" w:hAnsi="Times New Roman" w:cs="Times New Roman"/>
                <w:color w:val="000000"/>
                <w:sz w:val="18"/>
                <w:szCs w:val="18"/>
              </w:rPr>
              <w:t>±3</w:t>
            </w:r>
            <w:r w:rsidR="001668D7" w:rsidRPr="00990F02">
              <w:rPr>
                <w:rFonts w:ascii="Times New Roman" w:eastAsia="Times New Roman" w:hAnsi="Times New Roman" w:cs="Times New Roman"/>
                <w:color w:val="000000"/>
                <w:sz w:val="18"/>
                <w:szCs w:val="18"/>
              </w:rPr>
              <w:t>3</w:t>
            </w:r>
          </w:p>
        </w:tc>
        <w:tc>
          <w:tcPr>
            <w:tcW w:w="1204" w:type="dxa"/>
            <w:gridSpan w:val="2"/>
            <w:tcBorders>
              <w:top w:val="nil"/>
              <w:left w:val="nil"/>
              <w:bottom w:val="nil"/>
              <w:right w:val="nil"/>
            </w:tcBorders>
            <w:shd w:val="clear" w:color="auto" w:fill="auto"/>
            <w:vAlign w:val="center"/>
          </w:tcPr>
          <w:p w14:paraId="6ABE46FB" w14:textId="72B6EE63"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42</w:t>
            </w:r>
            <w:r w:rsidR="001668D7" w:rsidRPr="00990F02">
              <w:rPr>
                <w:rFonts w:ascii="Times New Roman" w:eastAsia="Times New Roman" w:hAnsi="Times New Roman" w:cs="Times New Roman"/>
                <w:color w:val="000000"/>
                <w:sz w:val="18"/>
                <w:szCs w:val="18"/>
              </w:rPr>
              <w:t>8</w:t>
            </w:r>
            <w:r w:rsidRPr="00990F02">
              <w:rPr>
                <w:rFonts w:ascii="Times New Roman" w:eastAsia="Times New Roman" w:hAnsi="Times New Roman" w:cs="Times New Roman"/>
                <w:color w:val="000000"/>
                <w:sz w:val="18"/>
                <w:szCs w:val="18"/>
              </w:rPr>
              <w:t>±28</w:t>
            </w:r>
          </w:p>
        </w:tc>
        <w:tc>
          <w:tcPr>
            <w:tcW w:w="1331" w:type="dxa"/>
            <w:gridSpan w:val="2"/>
            <w:tcBorders>
              <w:top w:val="nil"/>
              <w:left w:val="nil"/>
              <w:bottom w:val="nil"/>
              <w:right w:val="nil"/>
            </w:tcBorders>
            <w:shd w:val="clear" w:color="auto" w:fill="auto"/>
            <w:vAlign w:val="center"/>
          </w:tcPr>
          <w:p w14:paraId="20B5F655" w14:textId="46E923C4"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39</w:t>
            </w:r>
            <w:r w:rsidR="001668D7" w:rsidRPr="00990F02">
              <w:rPr>
                <w:rFonts w:ascii="Times New Roman" w:eastAsia="Times New Roman" w:hAnsi="Times New Roman" w:cs="Times New Roman"/>
                <w:color w:val="000000"/>
                <w:sz w:val="18"/>
                <w:szCs w:val="18"/>
              </w:rPr>
              <w:t>5</w:t>
            </w:r>
            <w:r w:rsidRPr="00990F02">
              <w:rPr>
                <w:rFonts w:ascii="Times New Roman" w:eastAsia="Times New Roman" w:hAnsi="Times New Roman" w:cs="Times New Roman"/>
                <w:color w:val="000000"/>
                <w:sz w:val="18"/>
                <w:szCs w:val="18"/>
              </w:rPr>
              <w:t>±27</w:t>
            </w:r>
          </w:p>
        </w:tc>
        <w:tc>
          <w:tcPr>
            <w:tcW w:w="1318" w:type="dxa"/>
            <w:gridSpan w:val="2"/>
            <w:tcBorders>
              <w:top w:val="nil"/>
              <w:left w:val="nil"/>
              <w:bottom w:val="nil"/>
              <w:right w:val="nil"/>
            </w:tcBorders>
            <w:shd w:val="clear" w:color="auto" w:fill="auto"/>
            <w:vAlign w:val="center"/>
          </w:tcPr>
          <w:p w14:paraId="7FB7EAF9" w14:textId="1F418E08" w:rsidR="00772A8A" w:rsidRPr="00990F02" w:rsidRDefault="001668D7"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403</w:t>
            </w:r>
            <w:r w:rsidR="00772A8A" w:rsidRPr="00990F02">
              <w:rPr>
                <w:rFonts w:ascii="Times New Roman" w:eastAsia="Times New Roman" w:hAnsi="Times New Roman" w:cs="Times New Roman"/>
                <w:color w:val="000000"/>
                <w:sz w:val="18"/>
                <w:szCs w:val="18"/>
              </w:rPr>
              <w:t>±27</w:t>
            </w:r>
          </w:p>
        </w:tc>
        <w:tc>
          <w:tcPr>
            <w:tcW w:w="1686" w:type="dxa"/>
            <w:gridSpan w:val="2"/>
            <w:tcBorders>
              <w:top w:val="nil"/>
              <w:left w:val="nil"/>
              <w:bottom w:val="nil"/>
              <w:right w:val="nil"/>
            </w:tcBorders>
            <w:shd w:val="clear" w:color="auto" w:fill="auto"/>
            <w:vAlign w:val="center"/>
          </w:tcPr>
          <w:p w14:paraId="4DBE5954" w14:textId="2A11BD9C"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39</w:t>
            </w:r>
            <w:r w:rsidR="001668D7" w:rsidRPr="00990F02">
              <w:rPr>
                <w:rFonts w:ascii="Times New Roman" w:eastAsia="Times New Roman" w:hAnsi="Times New Roman" w:cs="Times New Roman"/>
                <w:color w:val="000000"/>
                <w:sz w:val="18"/>
                <w:szCs w:val="18"/>
              </w:rPr>
              <w:t>5</w:t>
            </w:r>
            <w:r w:rsidRPr="00990F02">
              <w:rPr>
                <w:rFonts w:ascii="Times New Roman" w:eastAsia="Times New Roman" w:hAnsi="Times New Roman" w:cs="Times New Roman"/>
                <w:color w:val="000000"/>
                <w:sz w:val="18"/>
                <w:szCs w:val="18"/>
              </w:rPr>
              <w:t>±2</w:t>
            </w:r>
            <w:r w:rsidR="001668D7" w:rsidRPr="00990F02">
              <w:rPr>
                <w:rFonts w:ascii="Times New Roman" w:eastAsia="Times New Roman" w:hAnsi="Times New Roman" w:cs="Times New Roman"/>
                <w:color w:val="000000"/>
                <w:sz w:val="18"/>
                <w:szCs w:val="18"/>
              </w:rPr>
              <w:t>7</w:t>
            </w:r>
          </w:p>
        </w:tc>
      </w:tr>
      <w:tr w:rsidR="00990F02" w:rsidRPr="00990F02" w14:paraId="462B09D0" w14:textId="77777777" w:rsidTr="00990F02">
        <w:trPr>
          <w:gridAfter w:val="1"/>
          <w:wAfter w:w="315" w:type="dxa"/>
          <w:trHeight w:val="253"/>
        </w:trPr>
        <w:tc>
          <w:tcPr>
            <w:tcW w:w="2064" w:type="dxa"/>
            <w:tcBorders>
              <w:top w:val="nil"/>
              <w:left w:val="nil"/>
              <w:bottom w:val="nil"/>
              <w:right w:val="nil"/>
            </w:tcBorders>
            <w:shd w:val="clear" w:color="auto" w:fill="auto"/>
            <w:vAlign w:val="center"/>
          </w:tcPr>
          <w:p w14:paraId="32DC08D6" w14:textId="77777777" w:rsidR="00772A8A" w:rsidRPr="00990F02" w:rsidRDefault="00772A8A" w:rsidP="00990F02">
            <w:pPr>
              <w:spacing w:after="0" w:line="240" w:lineRule="auto"/>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Gamma dose rate (μGy/a)</w:t>
            </w:r>
          </w:p>
        </w:tc>
        <w:tc>
          <w:tcPr>
            <w:tcW w:w="1459" w:type="dxa"/>
            <w:gridSpan w:val="2"/>
            <w:tcBorders>
              <w:top w:val="nil"/>
              <w:left w:val="nil"/>
              <w:bottom w:val="nil"/>
              <w:right w:val="nil"/>
            </w:tcBorders>
            <w:shd w:val="clear" w:color="auto" w:fill="auto"/>
            <w:vAlign w:val="center"/>
          </w:tcPr>
          <w:p w14:paraId="3E4BC2F3" w14:textId="280F4E54"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4</w:t>
            </w:r>
            <w:r w:rsidR="004848B9" w:rsidRPr="00990F02">
              <w:rPr>
                <w:rFonts w:ascii="Times New Roman" w:eastAsia="Times New Roman" w:hAnsi="Times New Roman" w:cs="Times New Roman"/>
                <w:color w:val="000000"/>
                <w:sz w:val="18"/>
                <w:szCs w:val="18"/>
              </w:rPr>
              <w:t>03</w:t>
            </w:r>
            <w:r w:rsidRPr="00990F02">
              <w:rPr>
                <w:rFonts w:ascii="Times New Roman" w:eastAsia="Times New Roman" w:hAnsi="Times New Roman" w:cs="Times New Roman"/>
                <w:color w:val="000000"/>
                <w:sz w:val="18"/>
                <w:szCs w:val="18"/>
              </w:rPr>
              <w:t>±3</w:t>
            </w:r>
            <w:r w:rsidR="004848B9" w:rsidRPr="00990F02">
              <w:rPr>
                <w:rFonts w:ascii="Times New Roman" w:eastAsia="Times New Roman" w:hAnsi="Times New Roman" w:cs="Times New Roman"/>
                <w:color w:val="000000"/>
                <w:sz w:val="18"/>
                <w:szCs w:val="18"/>
              </w:rPr>
              <w:t>6</w:t>
            </w:r>
          </w:p>
        </w:tc>
        <w:tc>
          <w:tcPr>
            <w:tcW w:w="1258" w:type="dxa"/>
            <w:gridSpan w:val="2"/>
            <w:tcBorders>
              <w:top w:val="nil"/>
              <w:left w:val="nil"/>
              <w:bottom w:val="nil"/>
              <w:right w:val="nil"/>
            </w:tcBorders>
            <w:shd w:val="clear" w:color="auto" w:fill="auto"/>
            <w:vAlign w:val="center"/>
          </w:tcPr>
          <w:p w14:paraId="7B82A982"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411±36</w:t>
            </w:r>
          </w:p>
        </w:tc>
        <w:tc>
          <w:tcPr>
            <w:tcW w:w="1375" w:type="dxa"/>
            <w:gridSpan w:val="2"/>
            <w:tcBorders>
              <w:top w:val="nil"/>
              <w:left w:val="nil"/>
              <w:bottom w:val="nil"/>
              <w:right w:val="nil"/>
            </w:tcBorders>
            <w:shd w:val="clear" w:color="auto" w:fill="auto"/>
            <w:vAlign w:val="center"/>
          </w:tcPr>
          <w:p w14:paraId="5EADDA22" w14:textId="09CED5D2"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5</w:t>
            </w:r>
            <w:r w:rsidR="001668D7" w:rsidRPr="00990F02">
              <w:rPr>
                <w:rFonts w:ascii="Times New Roman" w:eastAsia="Times New Roman" w:hAnsi="Times New Roman" w:cs="Times New Roman"/>
                <w:color w:val="000000"/>
                <w:sz w:val="18"/>
                <w:szCs w:val="18"/>
              </w:rPr>
              <w:t>63</w:t>
            </w:r>
            <w:r w:rsidRPr="00990F02">
              <w:rPr>
                <w:rFonts w:ascii="Times New Roman" w:eastAsia="Times New Roman" w:hAnsi="Times New Roman" w:cs="Times New Roman"/>
                <w:color w:val="000000"/>
                <w:sz w:val="18"/>
                <w:szCs w:val="18"/>
              </w:rPr>
              <w:t>±3</w:t>
            </w:r>
            <w:r w:rsidR="001668D7" w:rsidRPr="00990F02">
              <w:rPr>
                <w:rFonts w:ascii="Times New Roman" w:eastAsia="Times New Roman" w:hAnsi="Times New Roman" w:cs="Times New Roman"/>
                <w:color w:val="000000"/>
                <w:sz w:val="18"/>
                <w:szCs w:val="18"/>
              </w:rPr>
              <w:t>1</w:t>
            </w:r>
          </w:p>
        </w:tc>
        <w:tc>
          <w:tcPr>
            <w:tcW w:w="1224" w:type="dxa"/>
            <w:gridSpan w:val="2"/>
            <w:tcBorders>
              <w:top w:val="nil"/>
              <w:left w:val="nil"/>
              <w:bottom w:val="nil"/>
              <w:right w:val="nil"/>
            </w:tcBorders>
            <w:shd w:val="clear" w:color="auto" w:fill="auto"/>
            <w:vAlign w:val="center"/>
          </w:tcPr>
          <w:p w14:paraId="4E963892" w14:textId="4F8B52A1"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6</w:t>
            </w:r>
            <w:r w:rsidR="001668D7" w:rsidRPr="00990F02">
              <w:rPr>
                <w:rFonts w:ascii="Times New Roman" w:eastAsia="Times New Roman" w:hAnsi="Times New Roman" w:cs="Times New Roman"/>
                <w:color w:val="000000"/>
                <w:sz w:val="18"/>
                <w:szCs w:val="18"/>
              </w:rPr>
              <w:t>82</w:t>
            </w:r>
            <w:r w:rsidRPr="00990F02">
              <w:rPr>
                <w:rFonts w:ascii="Times New Roman" w:eastAsia="Times New Roman" w:hAnsi="Times New Roman" w:cs="Times New Roman"/>
                <w:color w:val="000000"/>
                <w:sz w:val="18"/>
                <w:szCs w:val="18"/>
              </w:rPr>
              <w:t>±3</w:t>
            </w:r>
            <w:r w:rsidR="001668D7" w:rsidRPr="00990F02">
              <w:rPr>
                <w:rFonts w:ascii="Times New Roman" w:eastAsia="Times New Roman" w:hAnsi="Times New Roman" w:cs="Times New Roman"/>
                <w:color w:val="000000"/>
                <w:sz w:val="18"/>
                <w:szCs w:val="18"/>
              </w:rPr>
              <w:t>7</w:t>
            </w:r>
          </w:p>
        </w:tc>
        <w:tc>
          <w:tcPr>
            <w:tcW w:w="1204" w:type="dxa"/>
            <w:gridSpan w:val="2"/>
            <w:tcBorders>
              <w:top w:val="nil"/>
              <w:left w:val="nil"/>
              <w:bottom w:val="nil"/>
              <w:right w:val="nil"/>
            </w:tcBorders>
            <w:shd w:val="clear" w:color="auto" w:fill="auto"/>
            <w:vAlign w:val="center"/>
          </w:tcPr>
          <w:p w14:paraId="74051A4B" w14:textId="074B3D4C" w:rsidR="00772A8A" w:rsidRPr="00990F02" w:rsidRDefault="001668D7"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600</w:t>
            </w:r>
            <w:r w:rsidR="00772A8A" w:rsidRPr="00990F02">
              <w:rPr>
                <w:rFonts w:ascii="Times New Roman" w:eastAsia="Times New Roman" w:hAnsi="Times New Roman" w:cs="Times New Roman"/>
                <w:color w:val="000000"/>
                <w:sz w:val="18"/>
                <w:szCs w:val="18"/>
              </w:rPr>
              <w:t>±3</w:t>
            </w:r>
            <w:r w:rsidRPr="00990F02">
              <w:rPr>
                <w:rFonts w:ascii="Times New Roman" w:eastAsia="Times New Roman" w:hAnsi="Times New Roman" w:cs="Times New Roman"/>
                <w:color w:val="000000"/>
                <w:sz w:val="18"/>
                <w:szCs w:val="18"/>
              </w:rPr>
              <w:t>2</w:t>
            </w:r>
          </w:p>
        </w:tc>
        <w:tc>
          <w:tcPr>
            <w:tcW w:w="1331" w:type="dxa"/>
            <w:gridSpan w:val="2"/>
            <w:tcBorders>
              <w:top w:val="nil"/>
              <w:left w:val="nil"/>
              <w:bottom w:val="nil"/>
              <w:right w:val="nil"/>
            </w:tcBorders>
            <w:shd w:val="clear" w:color="auto" w:fill="auto"/>
            <w:vAlign w:val="center"/>
          </w:tcPr>
          <w:p w14:paraId="02CEA69C" w14:textId="74F26CEB"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5</w:t>
            </w:r>
            <w:r w:rsidR="001668D7" w:rsidRPr="00990F02">
              <w:rPr>
                <w:rFonts w:ascii="Times New Roman" w:eastAsia="Times New Roman" w:hAnsi="Times New Roman" w:cs="Times New Roman"/>
                <w:color w:val="000000"/>
                <w:sz w:val="18"/>
                <w:szCs w:val="18"/>
              </w:rPr>
              <w:t>80</w:t>
            </w:r>
            <w:r w:rsidRPr="00990F02">
              <w:rPr>
                <w:rFonts w:ascii="Times New Roman" w:eastAsia="Times New Roman" w:hAnsi="Times New Roman" w:cs="Times New Roman"/>
                <w:color w:val="000000"/>
                <w:sz w:val="18"/>
                <w:szCs w:val="18"/>
              </w:rPr>
              <w:t>±31</w:t>
            </w:r>
          </w:p>
        </w:tc>
        <w:tc>
          <w:tcPr>
            <w:tcW w:w="1318" w:type="dxa"/>
            <w:gridSpan w:val="2"/>
            <w:tcBorders>
              <w:top w:val="nil"/>
              <w:left w:val="nil"/>
              <w:bottom w:val="nil"/>
              <w:right w:val="nil"/>
            </w:tcBorders>
            <w:shd w:val="clear" w:color="auto" w:fill="auto"/>
            <w:vAlign w:val="center"/>
          </w:tcPr>
          <w:p w14:paraId="4CDA6FC9" w14:textId="08042264"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5</w:t>
            </w:r>
            <w:r w:rsidR="001668D7" w:rsidRPr="00990F02">
              <w:rPr>
                <w:rFonts w:ascii="Times New Roman" w:eastAsia="Times New Roman" w:hAnsi="Times New Roman" w:cs="Times New Roman"/>
                <w:color w:val="000000"/>
                <w:sz w:val="18"/>
                <w:szCs w:val="18"/>
              </w:rPr>
              <w:t>80</w:t>
            </w:r>
            <w:r w:rsidRPr="00990F02">
              <w:rPr>
                <w:rFonts w:ascii="Times New Roman" w:eastAsia="Times New Roman" w:hAnsi="Times New Roman" w:cs="Times New Roman"/>
                <w:color w:val="000000"/>
                <w:sz w:val="18"/>
                <w:szCs w:val="18"/>
              </w:rPr>
              <w:t>±31</w:t>
            </w:r>
          </w:p>
        </w:tc>
        <w:tc>
          <w:tcPr>
            <w:tcW w:w="1686" w:type="dxa"/>
            <w:gridSpan w:val="2"/>
            <w:tcBorders>
              <w:top w:val="nil"/>
              <w:left w:val="nil"/>
              <w:bottom w:val="nil"/>
              <w:right w:val="nil"/>
            </w:tcBorders>
            <w:shd w:val="clear" w:color="auto" w:fill="auto"/>
            <w:vAlign w:val="center"/>
          </w:tcPr>
          <w:p w14:paraId="72FF45F0" w14:textId="549BE74C"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5</w:t>
            </w:r>
            <w:r w:rsidR="001668D7" w:rsidRPr="00990F02">
              <w:rPr>
                <w:rFonts w:ascii="Times New Roman" w:eastAsia="Times New Roman" w:hAnsi="Times New Roman" w:cs="Times New Roman"/>
                <w:color w:val="000000"/>
                <w:sz w:val="18"/>
                <w:szCs w:val="18"/>
              </w:rPr>
              <w:t>61</w:t>
            </w:r>
            <w:r w:rsidRPr="00990F02">
              <w:rPr>
                <w:rFonts w:ascii="Times New Roman" w:eastAsia="Times New Roman" w:hAnsi="Times New Roman" w:cs="Times New Roman"/>
                <w:color w:val="000000"/>
                <w:sz w:val="18"/>
                <w:szCs w:val="18"/>
              </w:rPr>
              <w:t>±30</w:t>
            </w:r>
          </w:p>
        </w:tc>
      </w:tr>
      <w:tr w:rsidR="00990F02" w:rsidRPr="00990F02" w14:paraId="3B4735C4" w14:textId="77777777" w:rsidTr="00990F02">
        <w:trPr>
          <w:gridAfter w:val="1"/>
          <w:wAfter w:w="315" w:type="dxa"/>
          <w:trHeight w:val="253"/>
        </w:trPr>
        <w:tc>
          <w:tcPr>
            <w:tcW w:w="2064" w:type="dxa"/>
            <w:tcBorders>
              <w:top w:val="nil"/>
              <w:left w:val="nil"/>
              <w:bottom w:val="nil"/>
              <w:right w:val="nil"/>
            </w:tcBorders>
            <w:shd w:val="clear" w:color="auto" w:fill="auto"/>
            <w:vAlign w:val="center"/>
          </w:tcPr>
          <w:p w14:paraId="7C2453B0" w14:textId="77777777" w:rsidR="00772A8A" w:rsidRPr="00990F02" w:rsidRDefault="00772A8A" w:rsidP="00990F02">
            <w:pPr>
              <w:spacing w:after="0" w:line="240" w:lineRule="auto"/>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Cosmic dose rate (μGy/a)</w:t>
            </w:r>
          </w:p>
        </w:tc>
        <w:tc>
          <w:tcPr>
            <w:tcW w:w="1459" w:type="dxa"/>
            <w:gridSpan w:val="2"/>
            <w:tcBorders>
              <w:top w:val="nil"/>
              <w:left w:val="nil"/>
              <w:bottom w:val="nil"/>
              <w:right w:val="nil"/>
            </w:tcBorders>
            <w:shd w:val="clear" w:color="auto" w:fill="auto"/>
            <w:vAlign w:val="center"/>
          </w:tcPr>
          <w:p w14:paraId="18AB930E"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177±18</w:t>
            </w:r>
          </w:p>
        </w:tc>
        <w:tc>
          <w:tcPr>
            <w:tcW w:w="1258" w:type="dxa"/>
            <w:gridSpan w:val="2"/>
            <w:tcBorders>
              <w:top w:val="nil"/>
              <w:left w:val="nil"/>
              <w:bottom w:val="nil"/>
              <w:right w:val="nil"/>
            </w:tcBorders>
            <w:shd w:val="clear" w:color="auto" w:fill="auto"/>
            <w:vAlign w:val="center"/>
          </w:tcPr>
          <w:p w14:paraId="09354D57"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170±17</w:t>
            </w:r>
          </w:p>
        </w:tc>
        <w:tc>
          <w:tcPr>
            <w:tcW w:w="1375" w:type="dxa"/>
            <w:gridSpan w:val="2"/>
            <w:tcBorders>
              <w:top w:val="nil"/>
              <w:left w:val="nil"/>
              <w:bottom w:val="nil"/>
              <w:right w:val="nil"/>
            </w:tcBorders>
            <w:shd w:val="clear" w:color="auto" w:fill="auto"/>
            <w:vAlign w:val="center"/>
          </w:tcPr>
          <w:p w14:paraId="5CE4C07F"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176±18</w:t>
            </w:r>
          </w:p>
        </w:tc>
        <w:tc>
          <w:tcPr>
            <w:tcW w:w="1224" w:type="dxa"/>
            <w:gridSpan w:val="2"/>
            <w:tcBorders>
              <w:top w:val="nil"/>
              <w:left w:val="nil"/>
              <w:bottom w:val="nil"/>
              <w:right w:val="nil"/>
            </w:tcBorders>
            <w:shd w:val="clear" w:color="auto" w:fill="auto"/>
            <w:vAlign w:val="center"/>
          </w:tcPr>
          <w:p w14:paraId="4EB9A353"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168±17</w:t>
            </w:r>
          </w:p>
        </w:tc>
        <w:tc>
          <w:tcPr>
            <w:tcW w:w="1204" w:type="dxa"/>
            <w:gridSpan w:val="2"/>
            <w:tcBorders>
              <w:top w:val="nil"/>
              <w:left w:val="nil"/>
              <w:bottom w:val="nil"/>
              <w:right w:val="nil"/>
            </w:tcBorders>
            <w:shd w:val="clear" w:color="auto" w:fill="auto"/>
            <w:vAlign w:val="center"/>
          </w:tcPr>
          <w:p w14:paraId="42BB832A"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154±15</w:t>
            </w:r>
          </w:p>
        </w:tc>
        <w:tc>
          <w:tcPr>
            <w:tcW w:w="1331" w:type="dxa"/>
            <w:gridSpan w:val="2"/>
            <w:tcBorders>
              <w:top w:val="nil"/>
              <w:left w:val="nil"/>
              <w:bottom w:val="nil"/>
              <w:right w:val="nil"/>
            </w:tcBorders>
            <w:shd w:val="clear" w:color="auto" w:fill="auto"/>
            <w:vAlign w:val="center"/>
          </w:tcPr>
          <w:p w14:paraId="2EA3BE32"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140±14</w:t>
            </w:r>
          </w:p>
        </w:tc>
        <w:tc>
          <w:tcPr>
            <w:tcW w:w="1318" w:type="dxa"/>
            <w:gridSpan w:val="2"/>
            <w:tcBorders>
              <w:top w:val="nil"/>
              <w:left w:val="nil"/>
              <w:bottom w:val="nil"/>
              <w:right w:val="nil"/>
            </w:tcBorders>
            <w:shd w:val="clear" w:color="auto" w:fill="auto"/>
            <w:vAlign w:val="center"/>
          </w:tcPr>
          <w:p w14:paraId="5AC45922"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123±12</w:t>
            </w:r>
          </w:p>
        </w:tc>
        <w:tc>
          <w:tcPr>
            <w:tcW w:w="1686" w:type="dxa"/>
            <w:gridSpan w:val="2"/>
            <w:tcBorders>
              <w:top w:val="nil"/>
              <w:left w:val="nil"/>
              <w:bottom w:val="nil"/>
              <w:right w:val="nil"/>
            </w:tcBorders>
            <w:shd w:val="clear" w:color="auto" w:fill="auto"/>
            <w:vAlign w:val="center"/>
          </w:tcPr>
          <w:p w14:paraId="399C4671"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109±11</w:t>
            </w:r>
          </w:p>
        </w:tc>
      </w:tr>
      <w:tr w:rsidR="00990F02" w:rsidRPr="00990F02" w14:paraId="173E2AE9" w14:textId="77777777" w:rsidTr="00990F02">
        <w:trPr>
          <w:gridAfter w:val="1"/>
          <w:wAfter w:w="315" w:type="dxa"/>
          <w:trHeight w:val="253"/>
        </w:trPr>
        <w:tc>
          <w:tcPr>
            <w:tcW w:w="2064" w:type="dxa"/>
            <w:tcBorders>
              <w:top w:val="nil"/>
              <w:left w:val="nil"/>
              <w:bottom w:val="nil"/>
              <w:right w:val="nil"/>
            </w:tcBorders>
            <w:shd w:val="clear" w:color="auto" w:fill="auto"/>
            <w:vAlign w:val="center"/>
          </w:tcPr>
          <w:p w14:paraId="35E67C71" w14:textId="77777777" w:rsidR="00772A8A" w:rsidRPr="00990F02" w:rsidRDefault="00772A8A" w:rsidP="00990F02">
            <w:pPr>
              <w:spacing w:after="0" w:line="240" w:lineRule="auto"/>
              <w:rPr>
                <w:rFonts w:ascii="Times New Roman" w:eastAsia="Times New Roman" w:hAnsi="Times New Roman" w:cs="Times New Roman"/>
                <w:color w:val="000000"/>
                <w:sz w:val="18"/>
                <w:szCs w:val="18"/>
              </w:rPr>
            </w:pPr>
            <w:bookmarkStart w:id="86" w:name="_Hlk170840909"/>
            <w:r w:rsidRPr="00990F02">
              <w:rPr>
                <w:rFonts w:ascii="Times New Roman" w:eastAsia="Times New Roman" w:hAnsi="Times New Roman" w:cs="Times New Roman"/>
                <w:color w:val="000000"/>
                <w:sz w:val="18"/>
                <w:szCs w:val="18"/>
              </w:rPr>
              <w:t>Total dose rate (μGy/a)</w:t>
            </w:r>
          </w:p>
        </w:tc>
        <w:tc>
          <w:tcPr>
            <w:tcW w:w="1459" w:type="dxa"/>
            <w:gridSpan w:val="2"/>
            <w:tcBorders>
              <w:top w:val="nil"/>
              <w:left w:val="nil"/>
              <w:bottom w:val="nil"/>
              <w:right w:val="nil"/>
            </w:tcBorders>
            <w:shd w:val="clear" w:color="auto" w:fill="auto"/>
            <w:vAlign w:val="center"/>
          </w:tcPr>
          <w:p w14:paraId="6640C587" w14:textId="68D5113F"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9</w:t>
            </w:r>
            <w:r w:rsidR="009D7C26" w:rsidRPr="00990F02">
              <w:rPr>
                <w:rFonts w:ascii="Times New Roman" w:eastAsia="Times New Roman" w:hAnsi="Times New Roman" w:cs="Times New Roman"/>
                <w:color w:val="000000"/>
                <w:sz w:val="18"/>
                <w:szCs w:val="18"/>
              </w:rPr>
              <w:t>23</w:t>
            </w:r>
            <w:r w:rsidRPr="00990F02">
              <w:rPr>
                <w:rFonts w:ascii="Times New Roman" w:eastAsia="Times New Roman" w:hAnsi="Times New Roman" w:cs="Times New Roman"/>
                <w:color w:val="000000"/>
                <w:sz w:val="18"/>
                <w:szCs w:val="18"/>
              </w:rPr>
              <w:t>±</w:t>
            </w:r>
            <w:r w:rsidR="004848B9" w:rsidRPr="00990F02">
              <w:rPr>
                <w:rFonts w:ascii="Times New Roman" w:eastAsia="Times New Roman" w:hAnsi="Times New Roman" w:cs="Times New Roman"/>
                <w:color w:val="000000"/>
                <w:sz w:val="18"/>
                <w:szCs w:val="18"/>
              </w:rPr>
              <w:t>48</w:t>
            </w:r>
          </w:p>
        </w:tc>
        <w:tc>
          <w:tcPr>
            <w:tcW w:w="1258" w:type="dxa"/>
            <w:gridSpan w:val="2"/>
            <w:tcBorders>
              <w:top w:val="nil"/>
              <w:left w:val="nil"/>
              <w:bottom w:val="nil"/>
              <w:right w:val="nil"/>
            </w:tcBorders>
            <w:shd w:val="clear" w:color="auto" w:fill="auto"/>
            <w:vAlign w:val="center"/>
          </w:tcPr>
          <w:p w14:paraId="5DE6BB03" w14:textId="7777777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917±48</w:t>
            </w:r>
          </w:p>
        </w:tc>
        <w:tc>
          <w:tcPr>
            <w:tcW w:w="1375" w:type="dxa"/>
            <w:gridSpan w:val="2"/>
            <w:tcBorders>
              <w:top w:val="nil"/>
              <w:left w:val="nil"/>
              <w:bottom w:val="nil"/>
              <w:right w:val="nil"/>
            </w:tcBorders>
            <w:shd w:val="clear" w:color="auto" w:fill="auto"/>
            <w:vAlign w:val="center"/>
          </w:tcPr>
          <w:p w14:paraId="77A13C4D" w14:textId="5DBAAD80"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11</w:t>
            </w:r>
            <w:r w:rsidR="001668D7" w:rsidRPr="00990F02">
              <w:rPr>
                <w:rFonts w:ascii="Times New Roman" w:eastAsia="Times New Roman" w:hAnsi="Times New Roman" w:cs="Times New Roman"/>
                <w:color w:val="000000"/>
                <w:sz w:val="18"/>
                <w:szCs w:val="18"/>
              </w:rPr>
              <w:t>85</w:t>
            </w:r>
            <w:r w:rsidRPr="00990F02">
              <w:rPr>
                <w:rFonts w:ascii="Times New Roman" w:eastAsia="Times New Roman" w:hAnsi="Times New Roman" w:cs="Times New Roman"/>
                <w:color w:val="000000"/>
                <w:sz w:val="18"/>
                <w:szCs w:val="18"/>
              </w:rPr>
              <w:t>±4</w:t>
            </w:r>
            <w:r w:rsidR="001668D7" w:rsidRPr="00990F02">
              <w:rPr>
                <w:rFonts w:ascii="Times New Roman" w:eastAsia="Times New Roman" w:hAnsi="Times New Roman" w:cs="Times New Roman"/>
                <w:color w:val="000000"/>
                <w:sz w:val="18"/>
                <w:szCs w:val="18"/>
              </w:rPr>
              <w:t>6</w:t>
            </w:r>
          </w:p>
        </w:tc>
        <w:tc>
          <w:tcPr>
            <w:tcW w:w="1224" w:type="dxa"/>
            <w:gridSpan w:val="2"/>
            <w:tcBorders>
              <w:top w:val="nil"/>
              <w:left w:val="nil"/>
              <w:bottom w:val="nil"/>
              <w:right w:val="nil"/>
            </w:tcBorders>
            <w:shd w:val="clear" w:color="auto" w:fill="auto"/>
            <w:vAlign w:val="center"/>
          </w:tcPr>
          <w:p w14:paraId="7F934A7C" w14:textId="49B2B2D3"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13</w:t>
            </w:r>
            <w:r w:rsidR="001668D7" w:rsidRPr="00990F02">
              <w:rPr>
                <w:rFonts w:ascii="Times New Roman" w:eastAsia="Times New Roman" w:hAnsi="Times New Roman" w:cs="Times New Roman"/>
                <w:color w:val="000000"/>
                <w:sz w:val="18"/>
                <w:szCs w:val="18"/>
              </w:rPr>
              <w:t>85</w:t>
            </w:r>
            <w:r w:rsidRPr="00990F02">
              <w:rPr>
                <w:rFonts w:ascii="Times New Roman" w:eastAsia="Times New Roman" w:hAnsi="Times New Roman" w:cs="Times New Roman"/>
                <w:color w:val="000000"/>
                <w:sz w:val="18"/>
                <w:szCs w:val="18"/>
              </w:rPr>
              <w:t>±5</w:t>
            </w:r>
            <w:r w:rsidR="001668D7" w:rsidRPr="00990F02">
              <w:rPr>
                <w:rFonts w:ascii="Times New Roman" w:eastAsia="Times New Roman" w:hAnsi="Times New Roman" w:cs="Times New Roman"/>
                <w:color w:val="000000"/>
                <w:sz w:val="18"/>
                <w:szCs w:val="18"/>
              </w:rPr>
              <w:t>3</w:t>
            </w:r>
          </w:p>
        </w:tc>
        <w:tc>
          <w:tcPr>
            <w:tcW w:w="1204" w:type="dxa"/>
            <w:gridSpan w:val="2"/>
            <w:tcBorders>
              <w:top w:val="nil"/>
              <w:left w:val="nil"/>
              <w:bottom w:val="nil"/>
              <w:right w:val="nil"/>
            </w:tcBorders>
            <w:shd w:val="clear" w:color="auto" w:fill="auto"/>
            <w:vAlign w:val="center"/>
          </w:tcPr>
          <w:p w14:paraId="509D6245" w14:textId="62AEF13B"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12</w:t>
            </w:r>
            <w:r w:rsidR="001668D7" w:rsidRPr="00990F02">
              <w:rPr>
                <w:rFonts w:ascii="Times New Roman" w:eastAsia="Times New Roman" w:hAnsi="Times New Roman" w:cs="Times New Roman"/>
                <w:color w:val="000000"/>
                <w:sz w:val="18"/>
                <w:szCs w:val="18"/>
              </w:rPr>
              <w:t>34</w:t>
            </w:r>
            <w:r w:rsidRPr="00990F02">
              <w:rPr>
                <w:rFonts w:ascii="Times New Roman" w:eastAsia="Times New Roman" w:hAnsi="Times New Roman" w:cs="Times New Roman"/>
                <w:color w:val="000000"/>
                <w:sz w:val="18"/>
                <w:szCs w:val="18"/>
              </w:rPr>
              <w:t>±4</w:t>
            </w:r>
            <w:r w:rsidR="001668D7" w:rsidRPr="00990F02">
              <w:rPr>
                <w:rFonts w:ascii="Times New Roman" w:eastAsia="Times New Roman" w:hAnsi="Times New Roman" w:cs="Times New Roman"/>
                <w:color w:val="000000"/>
                <w:sz w:val="18"/>
                <w:szCs w:val="18"/>
              </w:rPr>
              <w:t>7</w:t>
            </w:r>
          </w:p>
        </w:tc>
        <w:tc>
          <w:tcPr>
            <w:tcW w:w="1331" w:type="dxa"/>
            <w:gridSpan w:val="2"/>
            <w:tcBorders>
              <w:top w:val="nil"/>
              <w:left w:val="nil"/>
              <w:bottom w:val="nil"/>
              <w:right w:val="nil"/>
            </w:tcBorders>
            <w:shd w:val="clear" w:color="auto" w:fill="auto"/>
            <w:vAlign w:val="center"/>
          </w:tcPr>
          <w:p w14:paraId="40CFC835" w14:textId="6AE1AB37"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11</w:t>
            </w:r>
            <w:r w:rsidR="001668D7" w:rsidRPr="00990F02">
              <w:rPr>
                <w:rFonts w:ascii="Times New Roman" w:eastAsia="Times New Roman" w:hAnsi="Times New Roman" w:cs="Times New Roman"/>
                <w:color w:val="000000"/>
                <w:sz w:val="18"/>
                <w:szCs w:val="18"/>
              </w:rPr>
              <w:t>67</w:t>
            </w:r>
            <w:r w:rsidRPr="00990F02">
              <w:rPr>
                <w:rFonts w:ascii="Times New Roman" w:eastAsia="Times New Roman" w:hAnsi="Times New Roman" w:cs="Times New Roman"/>
                <w:color w:val="000000"/>
                <w:sz w:val="18"/>
                <w:szCs w:val="18"/>
              </w:rPr>
              <w:t>±4</w:t>
            </w:r>
            <w:r w:rsidR="001668D7" w:rsidRPr="00990F02">
              <w:rPr>
                <w:rFonts w:ascii="Times New Roman" w:eastAsia="Times New Roman" w:hAnsi="Times New Roman" w:cs="Times New Roman"/>
                <w:color w:val="000000"/>
                <w:sz w:val="18"/>
                <w:szCs w:val="18"/>
              </w:rPr>
              <w:t>5</w:t>
            </w:r>
          </w:p>
        </w:tc>
        <w:tc>
          <w:tcPr>
            <w:tcW w:w="1318" w:type="dxa"/>
            <w:gridSpan w:val="2"/>
            <w:tcBorders>
              <w:top w:val="nil"/>
              <w:left w:val="nil"/>
              <w:bottom w:val="nil"/>
              <w:right w:val="nil"/>
            </w:tcBorders>
            <w:shd w:val="clear" w:color="auto" w:fill="auto"/>
            <w:vAlign w:val="center"/>
          </w:tcPr>
          <w:p w14:paraId="7E407C9B" w14:textId="5371F5A1"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11</w:t>
            </w:r>
            <w:r w:rsidR="001668D7" w:rsidRPr="00990F02">
              <w:rPr>
                <w:rFonts w:ascii="Times New Roman" w:eastAsia="Times New Roman" w:hAnsi="Times New Roman" w:cs="Times New Roman"/>
                <w:color w:val="000000"/>
                <w:sz w:val="18"/>
                <w:szCs w:val="18"/>
              </w:rPr>
              <w:t>5</w:t>
            </w:r>
            <w:r w:rsidRPr="00990F02">
              <w:rPr>
                <w:rFonts w:ascii="Times New Roman" w:eastAsia="Times New Roman" w:hAnsi="Times New Roman" w:cs="Times New Roman"/>
                <w:color w:val="000000"/>
                <w:sz w:val="18"/>
                <w:szCs w:val="18"/>
              </w:rPr>
              <w:t>8±44</w:t>
            </w:r>
          </w:p>
        </w:tc>
        <w:tc>
          <w:tcPr>
            <w:tcW w:w="1686" w:type="dxa"/>
            <w:gridSpan w:val="2"/>
            <w:tcBorders>
              <w:top w:val="nil"/>
              <w:left w:val="nil"/>
              <w:bottom w:val="nil"/>
              <w:right w:val="nil"/>
            </w:tcBorders>
            <w:shd w:val="clear" w:color="auto" w:fill="auto"/>
            <w:vAlign w:val="center"/>
          </w:tcPr>
          <w:p w14:paraId="0AF940F8" w14:textId="43C234B9" w:rsidR="00772A8A" w:rsidRPr="00990F02" w:rsidRDefault="00772A8A" w:rsidP="00990F02">
            <w:pPr>
              <w:spacing w:after="0" w:line="240" w:lineRule="auto"/>
              <w:jc w:val="center"/>
              <w:rPr>
                <w:rFonts w:ascii="Times New Roman" w:eastAsia="Times New Roman" w:hAnsi="Times New Roman" w:cs="Times New Roman"/>
                <w:color w:val="000000"/>
                <w:sz w:val="18"/>
                <w:szCs w:val="18"/>
              </w:rPr>
            </w:pPr>
            <w:r w:rsidRPr="00990F02">
              <w:rPr>
                <w:rFonts w:ascii="Times New Roman" w:eastAsia="Times New Roman" w:hAnsi="Times New Roman" w:cs="Times New Roman"/>
                <w:color w:val="000000"/>
                <w:sz w:val="18"/>
                <w:szCs w:val="18"/>
              </w:rPr>
              <w:t>11</w:t>
            </w:r>
            <w:r w:rsidR="001668D7" w:rsidRPr="00990F02">
              <w:rPr>
                <w:rFonts w:ascii="Times New Roman" w:eastAsia="Times New Roman" w:hAnsi="Times New Roman" w:cs="Times New Roman"/>
                <w:color w:val="000000"/>
                <w:sz w:val="18"/>
                <w:szCs w:val="18"/>
              </w:rPr>
              <w:t>16</w:t>
            </w:r>
            <w:r w:rsidRPr="00990F02">
              <w:rPr>
                <w:rFonts w:ascii="Times New Roman" w:eastAsia="Times New Roman" w:hAnsi="Times New Roman" w:cs="Times New Roman"/>
                <w:color w:val="000000"/>
                <w:sz w:val="18"/>
                <w:szCs w:val="18"/>
              </w:rPr>
              <w:t>±4</w:t>
            </w:r>
            <w:r w:rsidR="001668D7" w:rsidRPr="00990F02">
              <w:rPr>
                <w:rFonts w:ascii="Times New Roman" w:eastAsia="Times New Roman" w:hAnsi="Times New Roman" w:cs="Times New Roman"/>
                <w:color w:val="000000"/>
                <w:sz w:val="18"/>
                <w:szCs w:val="18"/>
              </w:rPr>
              <w:t>3</w:t>
            </w:r>
          </w:p>
        </w:tc>
      </w:tr>
      <w:bookmarkEnd w:id="86"/>
      <w:tr w:rsidR="00990F02" w:rsidRPr="00990F02" w14:paraId="502D6F4C" w14:textId="77777777" w:rsidTr="00990F02">
        <w:trPr>
          <w:gridAfter w:val="1"/>
          <w:wAfter w:w="315" w:type="dxa"/>
          <w:trHeight w:val="271"/>
        </w:trPr>
        <w:tc>
          <w:tcPr>
            <w:tcW w:w="2064" w:type="dxa"/>
            <w:tcBorders>
              <w:top w:val="nil"/>
              <w:left w:val="nil"/>
              <w:bottom w:val="nil"/>
              <w:right w:val="nil"/>
            </w:tcBorders>
            <w:shd w:val="clear" w:color="auto" w:fill="auto"/>
            <w:vAlign w:val="center"/>
          </w:tcPr>
          <w:p w14:paraId="60EA7CF1" w14:textId="77777777" w:rsidR="00772A8A" w:rsidRPr="00990F02" w:rsidRDefault="00772A8A" w:rsidP="00990F02">
            <w:pPr>
              <w:spacing w:after="0" w:line="240" w:lineRule="auto"/>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
                <w:color w:val="000000"/>
                <w:sz w:val="18"/>
                <w:szCs w:val="18"/>
              </w:rPr>
              <w:lastRenderedPageBreak/>
              <w:t>Age (ka) OSL</w:t>
            </w:r>
          </w:p>
        </w:tc>
        <w:tc>
          <w:tcPr>
            <w:tcW w:w="1459" w:type="dxa"/>
            <w:gridSpan w:val="2"/>
            <w:tcBorders>
              <w:top w:val="nil"/>
              <w:left w:val="nil"/>
              <w:bottom w:val="nil"/>
              <w:right w:val="nil"/>
            </w:tcBorders>
            <w:shd w:val="clear" w:color="auto" w:fill="auto"/>
            <w:vAlign w:val="center"/>
          </w:tcPr>
          <w:p w14:paraId="1EC81959" w14:textId="77777777"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
                <w:color w:val="000000"/>
                <w:sz w:val="18"/>
                <w:szCs w:val="18"/>
              </w:rPr>
              <w:t>12±2</w:t>
            </w:r>
          </w:p>
        </w:tc>
        <w:tc>
          <w:tcPr>
            <w:tcW w:w="1258" w:type="dxa"/>
            <w:gridSpan w:val="2"/>
            <w:tcBorders>
              <w:top w:val="nil"/>
              <w:left w:val="nil"/>
              <w:bottom w:val="nil"/>
              <w:right w:val="nil"/>
            </w:tcBorders>
            <w:shd w:val="clear" w:color="auto" w:fill="auto"/>
            <w:vAlign w:val="center"/>
          </w:tcPr>
          <w:p w14:paraId="7D811F1B" w14:textId="5C0FAD9E"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
                <w:color w:val="000000"/>
                <w:sz w:val="18"/>
                <w:szCs w:val="18"/>
              </w:rPr>
              <w:t>27±</w:t>
            </w:r>
            <w:r w:rsidR="0027617D" w:rsidRPr="00990F02">
              <w:rPr>
                <w:rFonts w:ascii="Times New Roman" w:eastAsia="Times New Roman" w:hAnsi="Times New Roman" w:cs="Times New Roman"/>
                <w:b/>
                <w:color w:val="000000"/>
                <w:sz w:val="18"/>
                <w:szCs w:val="18"/>
              </w:rPr>
              <w:t>3</w:t>
            </w:r>
          </w:p>
        </w:tc>
        <w:tc>
          <w:tcPr>
            <w:tcW w:w="1375" w:type="dxa"/>
            <w:gridSpan w:val="2"/>
            <w:tcBorders>
              <w:top w:val="nil"/>
              <w:left w:val="nil"/>
              <w:bottom w:val="nil"/>
              <w:right w:val="nil"/>
            </w:tcBorders>
            <w:shd w:val="clear" w:color="auto" w:fill="auto"/>
            <w:vAlign w:val="center"/>
          </w:tcPr>
          <w:p w14:paraId="5D933C5A" w14:textId="0C317650"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
                <w:color w:val="000000"/>
                <w:sz w:val="18"/>
                <w:szCs w:val="18"/>
              </w:rPr>
              <w:t>5</w:t>
            </w:r>
            <w:r w:rsidR="0027617D" w:rsidRPr="00990F02">
              <w:rPr>
                <w:rFonts w:ascii="Times New Roman" w:eastAsia="Times New Roman" w:hAnsi="Times New Roman" w:cs="Times New Roman"/>
                <w:b/>
                <w:color w:val="000000"/>
                <w:sz w:val="18"/>
                <w:szCs w:val="18"/>
              </w:rPr>
              <w:t>5</w:t>
            </w:r>
            <w:r w:rsidRPr="00990F02">
              <w:rPr>
                <w:rFonts w:ascii="Times New Roman" w:eastAsia="Times New Roman" w:hAnsi="Times New Roman" w:cs="Times New Roman"/>
                <w:b/>
                <w:color w:val="000000"/>
                <w:sz w:val="18"/>
                <w:szCs w:val="18"/>
              </w:rPr>
              <w:t>±4</w:t>
            </w:r>
          </w:p>
        </w:tc>
        <w:tc>
          <w:tcPr>
            <w:tcW w:w="1224" w:type="dxa"/>
            <w:gridSpan w:val="2"/>
            <w:tcBorders>
              <w:top w:val="nil"/>
              <w:left w:val="nil"/>
              <w:bottom w:val="nil"/>
              <w:right w:val="nil"/>
            </w:tcBorders>
            <w:shd w:val="clear" w:color="auto" w:fill="auto"/>
            <w:vAlign w:val="center"/>
          </w:tcPr>
          <w:p w14:paraId="747F381C" w14:textId="5C1BC590"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
                <w:color w:val="000000"/>
                <w:sz w:val="18"/>
                <w:szCs w:val="18"/>
              </w:rPr>
              <w:t>5</w:t>
            </w:r>
            <w:r w:rsidR="001668D7" w:rsidRPr="00990F02">
              <w:rPr>
                <w:rFonts w:ascii="Times New Roman" w:eastAsia="Times New Roman" w:hAnsi="Times New Roman" w:cs="Times New Roman"/>
                <w:b/>
                <w:color w:val="000000"/>
                <w:sz w:val="18"/>
                <w:szCs w:val="18"/>
              </w:rPr>
              <w:t>4</w:t>
            </w:r>
            <w:r w:rsidRPr="00990F02">
              <w:rPr>
                <w:rFonts w:ascii="Times New Roman" w:eastAsia="Times New Roman" w:hAnsi="Times New Roman" w:cs="Times New Roman"/>
                <w:b/>
                <w:color w:val="000000"/>
                <w:sz w:val="18"/>
                <w:szCs w:val="18"/>
              </w:rPr>
              <w:t>±8</w:t>
            </w:r>
          </w:p>
        </w:tc>
        <w:tc>
          <w:tcPr>
            <w:tcW w:w="1204" w:type="dxa"/>
            <w:gridSpan w:val="2"/>
            <w:tcBorders>
              <w:top w:val="nil"/>
              <w:left w:val="nil"/>
              <w:bottom w:val="nil"/>
              <w:right w:val="nil"/>
            </w:tcBorders>
            <w:shd w:val="clear" w:color="auto" w:fill="auto"/>
            <w:vAlign w:val="center"/>
          </w:tcPr>
          <w:p w14:paraId="4F988E32" w14:textId="7F8C9792"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
                <w:color w:val="000000"/>
                <w:sz w:val="18"/>
                <w:szCs w:val="18"/>
              </w:rPr>
              <w:t>14</w:t>
            </w:r>
            <w:r w:rsidR="001668D7" w:rsidRPr="00990F02">
              <w:rPr>
                <w:rFonts w:ascii="Times New Roman" w:eastAsia="Times New Roman" w:hAnsi="Times New Roman" w:cs="Times New Roman"/>
                <w:b/>
                <w:color w:val="000000"/>
                <w:sz w:val="18"/>
                <w:szCs w:val="18"/>
              </w:rPr>
              <w:t>8</w:t>
            </w:r>
            <w:r w:rsidRPr="00990F02">
              <w:rPr>
                <w:rFonts w:ascii="Times New Roman" w:eastAsia="Times New Roman" w:hAnsi="Times New Roman" w:cs="Times New Roman"/>
                <w:b/>
                <w:color w:val="000000"/>
                <w:sz w:val="18"/>
                <w:szCs w:val="18"/>
              </w:rPr>
              <w:t>±9</w:t>
            </w:r>
          </w:p>
        </w:tc>
        <w:tc>
          <w:tcPr>
            <w:tcW w:w="1331" w:type="dxa"/>
            <w:gridSpan w:val="2"/>
            <w:tcBorders>
              <w:top w:val="nil"/>
              <w:left w:val="nil"/>
              <w:bottom w:val="nil"/>
              <w:right w:val="nil"/>
            </w:tcBorders>
            <w:shd w:val="clear" w:color="auto" w:fill="auto"/>
            <w:vAlign w:val="center"/>
          </w:tcPr>
          <w:p w14:paraId="2A93F01A" w14:textId="1A8EAC4F"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
                <w:i/>
                <w:color w:val="000000"/>
                <w:sz w:val="18"/>
                <w:szCs w:val="18"/>
              </w:rPr>
              <w:t>13</w:t>
            </w:r>
            <w:r w:rsidR="001668D7" w:rsidRPr="00990F02">
              <w:rPr>
                <w:rFonts w:ascii="Times New Roman" w:eastAsia="Times New Roman" w:hAnsi="Times New Roman" w:cs="Times New Roman"/>
                <w:b/>
                <w:i/>
                <w:color w:val="000000"/>
                <w:sz w:val="18"/>
                <w:szCs w:val="18"/>
              </w:rPr>
              <w:t>4</w:t>
            </w:r>
            <w:r w:rsidRPr="00990F02">
              <w:rPr>
                <w:rFonts w:ascii="Times New Roman" w:eastAsia="Times New Roman" w:hAnsi="Times New Roman" w:cs="Times New Roman"/>
                <w:b/>
                <w:i/>
                <w:color w:val="000000"/>
                <w:sz w:val="18"/>
                <w:szCs w:val="18"/>
              </w:rPr>
              <w:t>±7</w:t>
            </w:r>
          </w:p>
        </w:tc>
        <w:tc>
          <w:tcPr>
            <w:tcW w:w="1318" w:type="dxa"/>
            <w:gridSpan w:val="2"/>
            <w:tcBorders>
              <w:top w:val="nil"/>
              <w:left w:val="nil"/>
              <w:bottom w:val="nil"/>
              <w:right w:val="nil"/>
            </w:tcBorders>
            <w:shd w:val="clear" w:color="auto" w:fill="auto"/>
            <w:vAlign w:val="center"/>
          </w:tcPr>
          <w:p w14:paraId="086EEA6B" w14:textId="0F340287" w:rsidR="00772A8A" w:rsidRPr="00990F02" w:rsidRDefault="00772A8A" w:rsidP="00990F02">
            <w:pPr>
              <w:spacing w:after="0" w:line="240" w:lineRule="auto"/>
              <w:jc w:val="center"/>
              <w:rPr>
                <w:rFonts w:ascii="Times New Roman" w:eastAsia="Times New Roman" w:hAnsi="Times New Roman" w:cs="Times New Roman"/>
                <w:b/>
                <w:i/>
                <w:color w:val="000000"/>
                <w:sz w:val="18"/>
                <w:szCs w:val="18"/>
              </w:rPr>
            </w:pPr>
            <w:r w:rsidRPr="00990F02">
              <w:rPr>
                <w:rFonts w:ascii="Times New Roman" w:eastAsia="Times New Roman" w:hAnsi="Times New Roman" w:cs="Times New Roman"/>
                <w:b/>
                <w:color w:val="000000"/>
                <w:sz w:val="18"/>
                <w:szCs w:val="18"/>
              </w:rPr>
              <w:t>16</w:t>
            </w:r>
            <w:r w:rsidR="001668D7" w:rsidRPr="00990F02">
              <w:rPr>
                <w:rFonts w:ascii="Times New Roman" w:eastAsia="Times New Roman" w:hAnsi="Times New Roman" w:cs="Times New Roman"/>
                <w:b/>
                <w:color w:val="000000"/>
                <w:sz w:val="18"/>
                <w:szCs w:val="18"/>
              </w:rPr>
              <w:t>2</w:t>
            </w:r>
            <w:r w:rsidRPr="00990F02">
              <w:rPr>
                <w:rFonts w:ascii="Times New Roman" w:eastAsia="Times New Roman" w:hAnsi="Times New Roman" w:cs="Times New Roman"/>
                <w:b/>
                <w:color w:val="000000"/>
                <w:sz w:val="18"/>
                <w:szCs w:val="18"/>
              </w:rPr>
              <w:t>±9</w:t>
            </w:r>
          </w:p>
        </w:tc>
        <w:tc>
          <w:tcPr>
            <w:tcW w:w="1686" w:type="dxa"/>
            <w:gridSpan w:val="2"/>
            <w:tcBorders>
              <w:top w:val="nil"/>
              <w:left w:val="nil"/>
              <w:bottom w:val="nil"/>
              <w:right w:val="nil"/>
            </w:tcBorders>
            <w:shd w:val="clear" w:color="auto" w:fill="auto"/>
            <w:vAlign w:val="center"/>
          </w:tcPr>
          <w:p w14:paraId="2223BD9A" w14:textId="19C6808F" w:rsidR="00772A8A" w:rsidRPr="00990F02" w:rsidRDefault="00772A8A" w:rsidP="00990F02">
            <w:pPr>
              <w:spacing w:after="0" w:line="240" w:lineRule="auto"/>
              <w:jc w:val="center"/>
              <w:rPr>
                <w:rFonts w:ascii="Times New Roman" w:eastAsia="Times New Roman" w:hAnsi="Times New Roman" w:cs="Times New Roman"/>
                <w:b/>
                <w:i/>
                <w:color w:val="000000"/>
                <w:sz w:val="18"/>
                <w:szCs w:val="18"/>
              </w:rPr>
            </w:pPr>
            <w:r w:rsidRPr="00990F02">
              <w:rPr>
                <w:rFonts w:ascii="Times New Roman" w:eastAsia="Times New Roman" w:hAnsi="Times New Roman" w:cs="Times New Roman"/>
                <w:b/>
                <w:i/>
                <w:color w:val="000000"/>
                <w:sz w:val="18"/>
                <w:szCs w:val="18"/>
              </w:rPr>
              <w:t>16</w:t>
            </w:r>
            <w:r w:rsidR="001668D7" w:rsidRPr="00990F02">
              <w:rPr>
                <w:rFonts w:ascii="Times New Roman" w:eastAsia="Times New Roman" w:hAnsi="Times New Roman" w:cs="Times New Roman"/>
                <w:b/>
                <w:i/>
                <w:color w:val="000000"/>
                <w:sz w:val="18"/>
                <w:szCs w:val="18"/>
              </w:rPr>
              <w:t>5</w:t>
            </w:r>
            <w:r w:rsidRPr="00990F02">
              <w:rPr>
                <w:rFonts w:ascii="Times New Roman" w:eastAsia="Times New Roman" w:hAnsi="Times New Roman" w:cs="Times New Roman"/>
                <w:b/>
                <w:i/>
                <w:color w:val="000000"/>
                <w:sz w:val="18"/>
                <w:szCs w:val="18"/>
              </w:rPr>
              <w:t>±11</w:t>
            </w:r>
          </w:p>
        </w:tc>
      </w:tr>
      <w:tr w:rsidR="00990F02" w:rsidRPr="00990F02" w14:paraId="53ED957E" w14:textId="77777777" w:rsidTr="00990F02">
        <w:trPr>
          <w:trHeight w:val="550"/>
        </w:trPr>
        <w:tc>
          <w:tcPr>
            <w:tcW w:w="2109" w:type="dxa"/>
            <w:gridSpan w:val="2"/>
            <w:tcBorders>
              <w:top w:val="single" w:sz="8" w:space="0" w:color="000000"/>
              <w:left w:val="nil"/>
              <w:bottom w:val="nil"/>
              <w:right w:val="nil"/>
            </w:tcBorders>
            <w:shd w:val="clear" w:color="auto" w:fill="D9D9D9" w:themeFill="background1" w:themeFillShade="D9"/>
            <w:vAlign w:val="center"/>
          </w:tcPr>
          <w:p w14:paraId="341DE0A0" w14:textId="77777777" w:rsidR="00772A8A" w:rsidRPr="00990F02" w:rsidRDefault="00772A8A" w:rsidP="00990F02">
            <w:pPr>
              <w:spacing w:after="0" w:line="240" w:lineRule="auto"/>
              <w:jc w:val="both"/>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
                <w:color w:val="000000"/>
                <w:sz w:val="18"/>
                <w:szCs w:val="18"/>
              </w:rPr>
              <w:t>SAMPLE</w:t>
            </w:r>
          </w:p>
        </w:tc>
        <w:tc>
          <w:tcPr>
            <w:tcW w:w="1496" w:type="dxa"/>
            <w:gridSpan w:val="2"/>
            <w:tcBorders>
              <w:top w:val="single" w:sz="8" w:space="0" w:color="000000"/>
              <w:left w:val="nil"/>
              <w:bottom w:val="nil"/>
              <w:right w:val="nil"/>
            </w:tcBorders>
            <w:shd w:val="clear" w:color="auto" w:fill="D9D9D9" w:themeFill="background1" w:themeFillShade="D9"/>
            <w:vAlign w:val="center"/>
          </w:tcPr>
          <w:p w14:paraId="793F1AEF" w14:textId="77777777"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
                <w:color w:val="000000"/>
                <w:sz w:val="18"/>
                <w:szCs w:val="18"/>
              </w:rPr>
              <w:t>ANY20-02 (Shfd20130)</w:t>
            </w:r>
          </w:p>
        </w:tc>
        <w:tc>
          <w:tcPr>
            <w:tcW w:w="1288" w:type="dxa"/>
            <w:gridSpan w:val="2"/>
            <w:tcBorders>
              <w:top w:val="single" w:sz="8" w:space="0" w:color="000000"/>
              <w:left w:val="nil"/>
              <w:bottom w:val="nil"/>
              <w:right w:val="nil"/>
            </w:tcBorders>
            <w:shd w:val="clear" w:color="auto" w:fill="D9D9D9" w:themeFill="background1" w:themeFillShade="D9"/>
            <w:vAlign w:val="center"/>
          </w:tcPr>
          <w:p w14:paraId="04F9479A" w14:textId="77777777"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
                <w:color w:val="000000"/>
                <w:sz w:val="18"/>
                <w:szCs w:val="18"/>
              </w:rPr>
              <w:t>ANY20-03* (Shfd20131)</w:t>
            </w:r>
          </w:p>
        </w:tc>
        <w:tc>
          <w:tcPr>
            <w:tcW w:w="1409" w:type="dxa"/>
            <w:gridSpan w:val="2"/>
            <w:tcBorders>
              <w:top w:val="single" w:sz="8" w:space="0" w:color="000000"/>
              <w:left w:val="nil"/>
              <w:bottom w:val="nil"/>
              <w:right w:val="nil"/>
            </w:tcBorders>
            <w:shd w:val="clear" w:color="auto" w:fill="D9D9D9" w:themeFill="background1" w:themeFillShade="D9"/>
            <w:vAlign w:val="center"/>
          </w:tcPr>
          <w:p w14:paraId="6A3C8D53" w14:textId="77777777"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
                <w:color w:val="000000"/>
                <w:sz w:val="18"/>
                <w:szCs w:val="18"/>
              </w:rPr>
              <w:t>ANY20-04* (Shfd20132)</w:t>
            </w:r>
          </w:p>
        </w:tc>
        <w:tc>
          <w:tcPr>
            <w:tcW w:w="1168" w:type="dxa"/>
            <w:gridSpan w:val="2"/>
            <w:tcBorders>
              <w:top w:val="single" w:sz="8" w:space="0" w:color="000000"/>
              <w:left w:val="nil"/>
              <w:bottom w:val="nil"/>
              <w:right w:val="nil"/>
            </w:tcBorders>
            <w:shd w:val="clear" w:color="auto" w:fill="D9D9D9" w:themeFill="background1" w:themeFillShade="D9"/>
            <w:vAlign w:val="center"/>
          </w:tcPr>
          <w:p w14:paraId="300693B4" w14:textId="77777777"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
                <w:color w:val="000000"/>
                <w:sz w:val="18"/>
                <w:szCs w:val="18"/>
              </w:rPr>
              <w:t>ANY20-05* (Shfd20133)</w:t>
            </w:r>
          </w:p>
        </w:tc>
        <w:tc>
          <w:tcPr>
            <w:tcW w:w="1319" w:type="dxa"/>
            <w:gridSpan w:val="2"/>
            <w:tcBorders>
              <w:top w:val="single" w:sz="8" w:space="0" w:color="000000"/>
              <w:left w:val="nil"/>
              <w:bottom w:val="nil"/>
              <w:right w:val="nil"/>
            </w:tcBorders>
            <w:shd w:val="clear" w:color="auto" w:fill="D9D9D9" w:themeFill="background1" w:themeFillShade="D9"/>
            <w:vAlign w:val="center"/>
          </w:tcPr>
          <w:p w14:paraId="075D1F1C" w14:textId="77777777"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
                <w:color w:val="000000"/>
                <w:sz w:val="18"/>
                <w:szCs w:val="18"/>
              </w:rPr>
              <w:t>ANY20-06 (Shfd20134)</w:t>
            </w:r>
          </w:p>
        </w:tc>
        <w:tc>
          <w:tcPr>
            <w:tcW w:w="1363" w:type="dxa"/>
            <w:gridSpan w:val="2"/>
            <w:tcBorders>
              <w:top w:val="single" w:sz="8" w:space="0" w:color="000000"/>
              <w:left w:val="nil"/>
              <w:bottom w:val="nil"/>
              <w:right w:val="nil"/>
            </w:tcBorders>
            <w:shd w:val="clear" w:color="auto" w:fill="D9D9D9" w:themeFill="background1" w:themeFillShade="D9"/>
            <w:vAlign w:val="center"/>
          </w:tcPr>
          <w:p w14:paraId="1A7F29ED" w14:textId="77777777"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
                <w:color w:val="000000"/>
                <w:sz w:val="18"/>
                <w:szCs w:val="18"/>
              </w:rPr>
              <w:t xml:space="preserve">ANY20-07 </w:t>
            </w:r>
          </w:p>
          <w:p w14:paraId="1B7817C8" w14:textId="77777777"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
                <w:color w:val="000000"/>
                <w:sz w:val="18"/>
                <w:szCs w:val="18"/>
              </w:rPr>
              <w:t>(Shfd20135)</w:t>
            </w:r>
          </w:p>
        </w:tc>
        <w:tc>
          <w:tcPr>
            <w:tcW w:w="1349" w:type="dxa"/>
            <w:gridSpan w:val="2"/>
            <w:tcBorders>
              <w:top w:val="single" w:sz="8" w:space="0" w:color="000000"/>
              <w:left w:val="nil"/>
              <w:bottom w:val="nil"/>
              <w:right w:val="nil"/>
            </w:tcBorders>
            <w:shd w:val="clear" w:color="auto" w:fill="D9D9D9" w:themeFill="background1" w:themeFillShade="D9"/>
            <w:vAlign w:val="center"/>
          </w:tcPr>
          <w:p w14:paraId="69350D59" w14:textId="77777777"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
                <w:color w:val="000000"/>
                <w:sz w:val="18"/>
                <w:szCs w:val="18"/>
              </w:rPr>
              <w:t>ANY20-08* (Shfd20136)</w:t>
            </w:r>
          </w:p>
        </w:tc>
        <w:tc>
          <w:tcPr>
            <w:tcW w:w="1733" w:type="dxa"/>
            <w:gridSpan w:val="2"/>
            <w:tcBorders>
              <w:top w:val="single" w:sz="8" w:space="0" w:color="000000"/>
              <w:left w:val="nil"/>
              <w:bottom w:val="nil"/>
              <w:right w:val="nil"/>
            </w:tcBorders>
            <w:shd w:val="clear" w:color="auto" w:fill="D9D9D9" w:themeFill="background1" w:themeFillShade="D9"/>
            <w:vAlign w:val="center"/>
          </w:tcPr>
          <w:p w14:paraId="334E0A4A" w14:textId="77777777" w:rsidR="00772A8A" w:rsidRPr="00990F02" w:rsidRDefault="00772A8A" w:rsidP="00990F02">
            <w:pPr>
              <w:spacing w:after="0" w:line="240" w:lineRule="auto"/>
              <w:jc w:val="center"/>
              <w:rPr>
                <w:rFonts w:ascii="Times New Roman" w:eastAsia="Times New Roman" w:hAnsi="Times New Roman" w:cs="Times New Roman"/>
                <w:b/>
                <w:color w:val="000000"/>
                <w:sz w:val="18"/>
                <w:szCs w:val="18"/>
              </w:rPr>
            </w:pPr>
            <w:r w:rsidRPr="00990F02">
              <w:rPr>
                <w:rFonts w:ascii="Times New Roman" w:eastAsia="Times New Roman" w:hAnsi="Times New Roman" w:cs="Times New Roman"/>
                <w:b/>
                <w:color w:val="000000"/>
                <w:sz w:val="18"/>
                <w:szCs w:val="18"/>
              </w:rPr>
              <w:t>ANY20-09* (Shfd20137)</w:t>
            </w:r>
          </w:p>
        </w:tc>
      </w:tr>
      <w:tr w:rsidR="00990F02" w:rsidRPr="00990F02" w14:paraId="529DF0F1" w14:textId="77777777" w:rsidTr="00990F02">
        <w:trPr>
          <w:trHeight w:val="266"/>
        </w:trPr>
        <w:tc>
          <w:tcPr>
            <w:tcW w:w="2109" w:type="dxa"/>
            <w:gridSpan w:val="2"/>
            <w:tcBorders>
              <w:top w:val="single" w:sz="8" w:space="0" w:color="000000"/>
              <w:left w:val="nil"/>
              <w:bottom w:val="nil"/>
              <w:right w:val="nil"/>
            </w:tcBorders>
            <w:shd w:val="clear" w:color="auto" w:fill="auto"/>
            <w:vAlign w:val="center"/>
          </w:tcPr>
          <w:p w14:paraId="5C8CF018" w14:textId="77777777" w:rsidR="00772A8A" w:rsidRPr="00990F02" w:rsidRDefault="00772A8A" w:rsidP="00990F02">
            <w:pPr>
              <w:spacing w:after="0" w:line="240" w:lineRule="auto"/>
              <w:jc w:val="both"/>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Depth (m)</w:t>
            </w:r>
          </w:p>
        </w:tc>
        <w:tc>
          <w:tcPr>
            <w:tcW w:w="1496" w:type="dxa"/>
            <w:gridSpan w:val="2"/>
            <w:tcBorders>
              <w:top w:val="single" w:sz="8" w:space="0" w:color="000000"/>
              <w:left w:val="nil"/>
              <w:bottom w:val="nil"/>
              <w:right w:val="nil"/>
            </w:tcBorders>
            <w:shd w:val="clear" w:color="auto" w:fill="auto"/>
            <w:vAlign w:val="center"/>
          </w:tcPr>
          <w:p w14:paraId="25E3A316"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0.85±0.1</w:t>
            </w:r>
          </w:p>
        </w:tc>
        <w:tc>
          <w:tcPr>
            <w:tcW w:w="1288" w:type="dxa"/>
            <w:gridSpan w:val="2"/>
            <w:tcBorders>
              <w:top w:val="single" w:sz="8" w:space="0" w:color="000000"/>
              <w:left w:val="nil"/>
              <w:bottom w:val="nil"/>
              <w:right w:val="nil"/>
            </w:tcBorders>
            <w:shd w:val="clear" w:color="auto" w:fill="auto"/>
            <w:vAlign w:val="center"/>
          </w:tcPr>
          <w:p w14:paraId="28F438B8"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1.15±0.12</w:t>
            </w:r>
          </w:p>
        </w:tc>
        <w:tc>
          <w:tcPr>
            <w:tcW w:w="1409" w:type="dxa"/>
            <w:gridSpan w:val="2"/>
            <w:tcBorders>
              <w:top w:val="single" w:sz="8" w:space="0" w:color="000000"/>
              <w:left w:val="nil"/>
              <w:bottom w:val="nil"/>
              <w:right w:val="nil"/>
            </w:tcBorders>
            <w:shd w:val="clear" w:color="auto" w:fill="auto"/>
            <w:vAlign w:val="center"/>
          </w:tcPr>
          <w:p w14:paraId="3C30A763"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0.9±0.09</w:t>
            </w:r>
          </w:p>
        </w:tc>
        <w:tc>
          <w:tcPr>
            <w:tcW w:w="1168" w:type="dxa"/>
            <w:gridSpan w:val="2"/>
            <w:tcBorders>
              <w:top w:val="single" w:sz="8" w:space="0" w:color="000000"/>
              <w:left w:val="nil"/>
              <w:bottom w:val="nil"/>
              <w:right w:val="nil"/>
            </w:tcBorders>
            <w:shd w:val="clear" w:color="auto" w:fill="auto"/>
            <w:vAlign w:val="center"/>
          </w:tcPr>
          <w:p w14:paraId="319251D0"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1.24±0.12</w:t>
            </w:r>
          </w:p>
        </w:tc>
        <w:tc>
          <w:tcPr>
            <w:tcW w:w="1319" w:type="dxa"/>
            <w:gridSpan w:val="2"/>
            <w:tcBorders>
              <w:top w:val="single" w:sz="8" w:space="0" w:color="000000"/>
              <w:left w:val="nil"/>
              <w:bottom w:val="nil"/>
              <w:right w:val="nil"/>
            </w:tcBorders>
            <w:shd w:val="clear" w:color="auto" w:fill="auto"/>
            <w:vAlign w:val="center"/>
          </w:tcPr>
          <w:p w14:paraId="55597207"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1.9±0.2</w:t>
            </w:r>
          </w:p>
        </w:tc>
        <w:tc>
          <w:tcPr>
            <w:tcW w:w="1363" w:type="dxa"/>
            <w:gridSpan w:val="2"/>
            <w:tcBorders>
              <w:top w:val="single" w:sz="8" w:space="0" w:color="000000"/>
              <w:left w:val="nil"/>
              <w:bottom w:val="nil"/>
              <w:right w:val="nil"/>
            </w:tcBorders>
            <w:shd w:val="clear" w:color="auto" w:fill="auto"/>
            <w:vAlign w:val="center"/>
          </w:tcPr>
          <w:p w14:paraId="63784BBC"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2.6±0.3</w:t>
            </w:r>
          </w:p>
        </w:tc>
        <w:tc>
          <w:tcPr>
            <w:tcW w:w="1349" w:type="dxa"/>
            <w:gridSpan w:val="2"/>
            <w:tcBorders>
              <w:top w:val="single" w:sz="8" w:space="0" w:color="000000"/>
              <w:left w:val="nil"/>
              <w:bottom w:val="nil"/>
              <w:right w:val="nil"/>
            </w:tcBorders>
            <w:shd w:val="clear" w:color="auto" w:fill="auto"/>
            <w:vAlign w:val="center"/>
          </w:tcPr>
          <w:p w14:paraId="18FE594B"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3.6±0.36</w:t>
            </w:r>
          </w:p>
        </w:tc>
        <w:tc>
          <w:tcPr>
            <w:tcW w:w="1733" w:type="dxa"/>
            <w:gridSpan w:val="2"/>
            <w:tcBorders>
              <w:top w:val="single" w:sz="8" w:space="0" w:color="000000"/>
              <w:left w:val="nil"/>
              <w:bottom w:val="nil"/>
              <w:right w:val="nil"/>
            </w:tcBorders>
            <w:shd w:val="clear" w:color="auto" w:fill="auto"/>
            <w:vAlign w:val="center"/>
          </w:tcPr>
          <w:p w14:paraId="70B45E98"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4.6±0.46</w:t>
            </w:r>
          </w:p>
        </w:tc>
      </w:tr>
      <w:tr w:rsidR="00990F02" w:rsidRPr="00990F02" w14:paraId="54A4C0C7" w14:textId="77777777" w:rsidTr="00990F02">
        <w:trPr>
          <w:trHeight w:val="305"/>
        </w:trPr>
        <w:tc>
          <w:tcPr>
            <w:tcW w:w="2109" w:type="dxa"/>
            <w:gridSpan w:val="2"/>
            <w:tcBorders>
              <w:top w:val="single" w:sz="8" w:space="0" w:color="000000"/>
              <w:left w:val="nil"/>
              <w:bottom w:val="single" w:sz="8" w:space="0" w:color="000000"/>
              <w:right w:val="nil"/>
            </w:tcBorders>
            <w:shd w:val="clear" w:color="auto" w:fill="auto"/>
            <w:vAlign w:val="center"/>
          </w:tcPr>
          <w:p w14:paraId="103133FB" w14:textId="054138AC" w:rsidR="001F3D29" w:rsidRPr="00990F02" w:rsidRDefault="001F3D29" w:rsidP="00990F02">
            <w:pPr>
              <w:spacing w:after="0" w:line="240" w:lineRule="auto"/>
              <w:jc w:val="both"/>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Water content (dry weight %)</w:t>
            </w:r>
          </w:p>
        </w:tc>
        <w:tc>
          <w:tcPr>
            <w:tcW w:w="1496" w:type="dxa"/>
            <w:gridSpan w:val="2"/>
            <w:tcBorders>
              <w:top w:val="single" w:sz="8" w:space="0" w:color="000000"/>
              <w:left w:val="nil"/>
              <w:bottom w:val="single" w:sz="8" w:space="0" w:color="000000"/>
              <w:right w:val="nil"/>
            </w:tcBorders>
            <w:shd w:val="clear" w:color="auto" w:fill="auto"/>
            <w:vAlign w:val="center"/>
          </w:tcPr>
          <w:p w14:paraId="4AA3E346" w14:textId="77225D8F" w:rsidR="001F3D29" w:rsidRPr="00990F02" w:rsidRDefault="00771185"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11±5</w:t>
            </w:r>
          </w:p>
        </w:tc>
        <w:tc>
          <w:tcPr>
            <w:tcW w:w="1288" w:type="dxa"/>
            <w:gridSpan w:val="2"/>
            <w:tcBorders>
              <w:top w:val="single" w:sz="8" w:space="0" w:color="000000"/>
              <w:left w:val="nil"/>
              <w:bottom w:val="single" w:sz="8" w:space="0" w:color="000000"/>
              <w:right w:val="nil"/>
            </w:tcBorders>
            <w:shd w:val="clear" w:color="auto" w:fill="auto"/>
            <w:vAlign w:val="center"/>
          </w:tcPr>
          <w:p w14:paraId="0C52CC06" w14:textId="723F5F1A" w:rsidR="001F3D29" w:rsidRPr="00990F02" w:rsidRDefault="001F3D29"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15±5</w:t>
            </w:r>
          </w:p>
        </w:tc>
        <w:tc>
          <w:tcPr>
            <w:tcW w:w="1409" w:type="dxa"/>
            <w:gridSpan w:val="2"/>
            <w:tcBorders>
              <w:top w:val="single" w:sz="8" w:space="0" w:color="000000"/>
              <w:left w:val="nil"/>
              <w:bottom w:val="single" w:sz="8" w:space="0" w:color="000000"/>
              <w:right w:val="nil"/>
            </w:tcBorders>
            <w:shd w:val="clear" w:color="auto" w:fill="auto"/>
            <w:vAlign w:val="center"/>
          </w:tcPr>
          <w:p w14:paraId="5F69C29E" w14:textId="4C29484C" w:rsidR="001F3D29" w:rsidRPr="00990F02" w:rsidRDefault="001F3D29"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18±5</w:t>
            </w:r>
          </w:p>
        </w:tc>
        <w:tc>
          <w:tcPr>
            <w:tcW w:w="1168" w:type="dxa"/>
            <w:gridSpan w:val="2"/>
            <w:tcBorders>
              <w:top w:val="single" w:sz="8" w:space="0" w:color="000000"/>
              <w:left w:val="nil"/>
              <w:bottom w:val="single" w:sz="8" w:space="0" w:color="000000"/>
              <w:right w:val="nil"/>
            </w:tcBorders>
            <w:shd w:val="clear" w:color="auto" w:fill="auto"/>
            <w:vAlign w:val="center"/>
          </w:tcPr>
          <w:p w14:paraId="775C0954" w14:textId="08D3F23D" w:rsidR="001F3D29" w:rsidRPr="00990F02" w:rsidRDefault="001F3D29"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18±5</w:t>
            </w:r>
          </w:p>
        </w:tc>
        <w:tc>
          <w:tcPr>
            <w:tcW w:w="1319" w:type="dxa"/>
            <w:gridSpan w:val="2"/>
            <w:tcBorders>
              <w:top w:val="single" w:sz="8" w:space="0" w:color="000000"/>
              <w:left w:val="nil"/>
              <w:bottom w:val="single" w:sz="8" w:space="0" w:color="000000"/>
              <w:right w:val="nil"/>
            </w:tcBorders>
            <w:shd w:val="clear" w:color="auto" w:fill="auto"/>
            <w:vAlign w:val="center"/>
          </w:tcPr>
          <w:p w14:paraId="20DEC4DE" w14:textId="28811FD3" w:rsidR="001F3D29" w:rsidRPr="00990F02" w:rsidRDefault="001F3D29"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19±5</w:t>
            </w:r>
          </w:p>
        </w:tc>
        <w:tc>
          <w:tcPr>
            <w:tcW w:w="1363" w:type="dxa"/>
            <w:gridSpan w:val="2"/>
            <w:tcBorders>
              <w:top w:val="single" w:sz="8" w:space="0" w:color="000000"/>
              <w:left w:val="nil"/>
              <w:bottom w:val="single" w:sz="8" w:space="0" w:color="000000"/>
              <w:right w:val="nil"/>
            </w:tcBorders>
            <w:shd w:val="clear" w:color="auto" w:fill="auto"/>
            <w:vAlign w:val="center"/>
          </w:tcPr>
          <w:p w14:paraId="1D333B1D" w14:textId="548157C8" w:rsidR="001F3D29" w:rsidRPr="00990F02" w:rsidRDefault="001F3D29"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19±5</w:t>
            </w:r>
          </w:p>
        </w:tc>
        <w:tc>
          <w:tcPr>
            <w:tcW w:w="1349" w:type="dxa"/>
            <w:gridSpan w:val="2"/>
            <w:tcBorders>
              <w:top w:val="single" w:sz="8" w:space="0" w:color="000000"/>
              <w:left w:val="nil"/>
              <w:bottom w:val="single" w:sz="8" w:space="0" w:color="000000"/>
              <w:right w:val="nil"/>
            </w:tcBorders>
            <w:shd w:val="clear" w:color="auto" w:fill="auto"/>
            <w:vAlign w:val="center"/>
          </w:tcPr>
          <w:p w14:paraId="516F7F6E" w14:textId="18BE837A" w:rsidR="001F3D29" w:rsidRPr="00990F02" w:rsidRDefault="001F3D29"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19±5</w:t>
            </w:r>
          </w:p>
        </w:tc>
        <w:tc>
          <w:tcPr>
            <w:tcW w:w="1733" w:type="dxa"/>
            <w:gridSpan w:val="2"/>
            <w:tcBorders>
              <w:top w:val="single" w:sz="8" w:space="0" w:color="000000"/>
              <w:left w:val="nil"/>
              <w:bottom w:val="single" w:sz="8" w:space="0" w:color="000000"/>
              <w:right w:val="nil"/>
            </w:tcBorders>
            <w:shd w:val="clear" w:color="auto" w:fill="auto"/>
            <w:vAlign w:val="center"/>
          </w:tcPr>
          <w:p w14:paraId="3D788C22" w14:textId="63D74CCB" w:rsidR="001F3D29" w:rsidRPr="00990F02" w:rsidRDefault="001F3D29"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19±5</w:t>
            </w:r>
          </w:p>
        </w:tc>
      </w:tr>
      <w:tr w:rsidR="00772A8A" w:rsidRPr="00990F02" w14:paraId="27C793EB" w14:textId="77777777" w:rsidTr="00990F02">
        <w:trPr>
          <w:trHeight w:val="254"/>
        </w:trPr>
        <w:tc>
          <w:tcPr>
            <w:tcW w:w="13234" w:type="dxa"/>
            <w:gridSpan w:val="18"/>
            <w:tcBorders>
              <w:top w:val="nil"/>
              <w:left w:val="nil"/>
              <w:bottom w:val="nil"/>
              <w:right w:val="nil"/>
            </w:tcBorders>
            <w:shd w:val="clear" w:color="auto" w:fill="CCC0D9" w:themeFill="accent4" w:themeFillTint="66"/>
            <w:vAlign w:val="center"/>
          </w:tcPr>
          <w:p w14:paraId="4F84769F" w14:textId="77777777" w:rsidR="00772A8A" w:rsidRPr="00990F02" w:rsidRDefault="00772A8A" w:rsidP="00990F02">
            <w:pPr>
              <w:spacing w:after="0" w:line="240" w:lineRule="auto"/>
              <w:jc w:val="center"/>
              <w:rPr>
                <w:rFonts w:ascii="Times New Roman" w:eastAsia="Times New Roman" w:hAnsi="Times New Roman" w:cs="Times New Roman"/>
                <w:b/>
                <w:sz w:val="18"/>
                <w:szCs w:val="18"/>
              </w:rPr>
            </w:pPr>
            <w:r w:rsidRPr="00990F02">
              <w:rPr>
                <w:rFonts w:ascii="Times New Roman" w:eastAsia="Times New Roman" w:hAnsi="Times New Roman" w:cs="Times New Roman"/>
                <w:b/>
                <w:sz w:val="18"/>
                <w:szCs w:val="18"/>
              </w:rPr>
              <w:t>SINGLE GRAIN</w:t>
            </w:r>
          </w:p>
        </w:tc>
      </w:tr>
      <w:tr w:rsidR="00990F02" w:rsidRPr="00990F02" w14:paraId="16532A34" w14:textId="77777777" w:rsidTr="00990F02">
        <w:trPr>
          <w:trHeight w:val="254"/>
        </w:trPr>
        <w:tc>
          <w:tcPr>
            <w:tcW w:w="2109" w:type="dxa"/>
            <w:gridSpan w:val="2"/>
            <w:tcBorders>
              <w:top w:val="nil"/>
              <w:left w:val="nil"/>
              <w:bottom w:val="nil"/>
              <w:right w:val="nil"/>
            </w:tcBorders>
            <w:shd w:val="clear" w:color="auto" w:fill="auto"/>
            <w:vAlign w:val="center"/>
          </w:tcPr>
          <w:p w14:paraId="2E827643" w14:textId="77777777" w:rsidR="00772A8A" w:rsidRPr="00990F02" w:rsidRDefault="00772A8A" w:rsidP="00990F02">
            <w:pPr>
              <w:spacing w:after="0" w:line="240" w:lineRule="auto"/>
              <w:jc w:val="both"/>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n</w:t>
            </w:r>
          </w:p>
        </w:tc>
        <w:tc>
          <w:tcPr>
            <w:tcW w:w="1496" w:type="dxa"/>
            <w:gridSpan w:val="2"/>
            <w:tcBorders>
              <w:top w:val="nil"/>
              <w:left w:val="nil"/>
              <w:bottom w:val="nil"/>
              <w:right w:val="nil"/>
            </w:tcBorders>
            <w:shd w:val="clear" w:color="auto" w:fill="auto"/>
            <w:vAlign w:val="center"/>
          </w:tcPr>
          <w:p w14:paraId="5DFFC4A6"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155 (134)</w:t>
            </w:r>
          </w:p>
        </w:tc>
        <w:tc>
          <w:tcPr>
            <w:tcW w:w="1288" w:type="dxa"/>
            <w:gridSpan w:val="2"/>
            <w:tcBorders>
              <w:top w:val="nil"/>
              <w:left w:val="nil"/>
              <w:bottom w:val="nil"/>
              <w:right w:val="nil"/>
            </w:tcBorders>
            <w:shd w:val="clear" w:color="auto" w:fill="auto"/>
            <w:vAlign w:val="center"/>
          </w:tcPr>
          <w:p w14:paraId="38280C1E"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161 (135)</w:t>
            </w:r>
          </w:p>
        </w:tc>
        <w:tc>
          <w:tcPr>
            <w:tcW w:w="1409" w:type="dxa"/>
            <w:gridSpan w:val="2"/>
            <w:tcBorders>
              <w:top w:val="nil"/>
              <w:left w:val="nil"/>
              <w:bottom w:val="nil"/>
              <w:right w:val="nil"/>
            </w:tcBorders>
            <w:shd w:val="clear" w:color="auto" w:fill="auto"/>
            <w:vAlign w:val="center"/>
          </w:tcPr>
          <w:p w14:paraId="73659F61"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105 (99)</w:t>
            </w:r>
          </w:p>
        </w:tc>
        <w:tc>
          <w:tcPr>
            <w:tcW w:w="1168" w:type="dxa"/>
            <w:gridSpan w:val="2"/>
            <w:tcBorders>
              <w:top w:val="nil"/>
              <w:left w:val="nil"/>
              <w:bottom w:val="nil"/>
              <w:right w:val="nil"/>
            </w:tcBorders>
            <w:shd w:val="clear" w:color="auto" w:fill="auto"/>
            <w:vAlign w:val="center"/>
          </w:tcPr>
          <w:p w14:paraId="1CA04D31"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126 (112)</w:t>
            </w:r>
          </w:p>
        </w:tc>
        <w:tc>
          <w:tcPr>
            <w:tcW w:w="1319" w:type="dxa"/>
            <w:gridSpan w:val="2"/>
            <w:tcBorders>
              <w:top w:val="nil"/>
              <w:left w:val="nil"/>
              <w:bottom w:val="nil"/>
              <w:right w:val="nil"/>
            </w:tcBorders>
            <w:shd w:val="clear" w:color="auto" w:fill="auto"/>
            <w:vAlign w:val="center"/>
          </w:tcPr>
          <w:p w14:paraId="4CBE1B81"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72 (66)</w:t>
            </w:r>
          </w:p>
        </w:tc>
        <w:tc>
          <w:tcPr>
            <w:tcW w:w="1363" w:type="dxa"/>
            <w:gridSpan w:val="2"/>
            <w:tcBorders>
              <w:top w:val="nil"/>
              <w:left w:val="nil"/>
              <w:bottom w:val="nil"/>
              <w:right w:val="nil"/>
            </w:tcBorders>
            <w:shd w:val="clear" w:color="auto" w:fill="auto"/>
            <w:vAlign w:val="center"/>
          </w:tcPr>
          <w:p w14:paraId="34320160"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102 (97)</w:t>
            </w:r>
          </w:p>
        </w:tc>
        <w:tc>
          <w:tcPr>
            <w:tcW w:w="1349" w:type="dxa"/>
            <w:gridSpan w:val="2"/>
            <w:tcBorders>
              <w:top w:val="nil"/>
              <w:left w:val="nil"/>
              <w:bottom w:val="nil"/>
              <w:right w:val="nil"/>
            </w:tcBorders>
            <w:shd w:val="clear" w:color="auto" w:fill="auto"/>
            <w:vAlign w:val="center"/>
          </w:tcPr>
          <w:p w14:paraId="7D6B8DB9"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58 (49)</w:t>
            </w:r>
          </w:p>
        </w:tc>
        <w:tc>
          <w:tcPr>
            <w:tcW w:w="1733" w:type="dxa"/>
            <w:gridSpan w:val="2"/>
            <w:tcBorders>
              <w:top w:val="nil"/>
              <w:left w:val="nil"/>
              <w:bottom w:val="nil"/>
              <w:right w:val="nil"/>
            </w:tcBorders>
            <w:shd w:val="clear" w:color="auto" w:fill="auto"/>
            <w:vAlign w:val="center"/>
          </w:tcPr>
          <w:p w14:paraId="2228E7D9"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55</w:t>
            </w:r>
          </w:p>
        </w:tc>
      </w:tr>
      <w:tr w:rsidR="00990F02" w:rsidRPr="00990F02" w14:paraId="759CBFCD" w14:textId="77777777" w:rsidTr="00990F02">
        <w:trPr>
          <w:trHeight w:val="292"/>
        </w:trPr>
        <w:tc>
          <w:tcPr>
            <w:tcW w:w="2109" w:type="dxa"/>
            <w:gridSpan w:val="2"/>
            <w:tcBorders>
              <w:top w:val="nil"/>
              <w:left w:val="nil"/>
              <w:bottom w:val="nil"/>
              <w:right w:val="nil"/>
            </w:tcBorders>
            <w:shd w:val="clear" w:color="auto" w:fill="auto"/>
            <w:vAlign w:val="center"/>
          </w:tcPr>
          <w:p w14:paraId="0F86D37A" w14:textId="77777777" w:rsidR="00772A8A" w:rsidRPr="00990F02" w:rsidRDefault="00772A8A" w:rsidP="00990F02">
            <w:pPr>
              <w:spacing w:after="0" w:line="240" w:lineRule="auto"/>
              <w:jc w:val="both"/>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n (saturated)</w:t>
            </w:r>
          </w:p>
        </w:tc>
        <w:tc>
          <w:tcPr>
            <w:tcW w:w="1496" w:type="dxa"/>
            <w:gridSpan w:val="2"/>
            <w:tcBorders>
              <w:top w:val="nil"/>
              <w:left w:val="nil"/>
              <w:bottom w:val="nil"/>
              <w:right w:val="nil"/>
            </w:tcBorders>
            <w:shd w:val="clear" w:color="auto" w:fill="auto"/>
            <w:vAlign w:val="center"/>
          </w:tcPr>
          <w:p w14:paraId="426BA6D8"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17</w:t>
            </w:r>
          </w:p>
        </w:tc>
        <w:tc>
          <w:tcPr>
            <w:tcW w:w="1288" w:type="dxa"/>
            <w:gridSpan w:val="2"/>
            <w:tcBorders>
              <w:top w:val="nil"/>
              <w:left w:val="nil"/>
              <w:bottom w:val="nil"/>
              <w:right w:val="nil"/>
            </w:tcBorders>
            <w:shd w:val="clear" w:color="auto" w:fill="auto"/>
            <w:vAlign w:val="center"/>
          </w:tcPr>
          <w:p w14:paraId="36EC76CC"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25</w:t>
            </w:r>
          </w:p>
        </w:tc>
        <w:tc>
          <w:tcPr>
            <w:tcW w:w="1409" w:type="dxa"/>
            <w:gridSpan w:val="2"/>
            <w:tcBorders>
              <w:top w:val="nil"/>
              <w:left w:val="nil"/>
              <w:bottom w:val="nil"/>
              <w:right w:val="nil"/>
            </w:tcBorders>
            <w:shd w:val="clear" w:color="auto" w:fill="auto"/>
            <w:vAlign w:val="center"/>
          </w:tcPr>
          <w:p w14:paraId="28965125"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34</w:t>
            </w:r>
          </w:p>
        </w:tc>
        <w:tc>
          <w:tcPr>
            <w:tcW w:w="1168" w:type="dxa"/>
            <w:gridSpan w:val="2"/>
            <w:tcBorders>
              <w:top w:val="nil"/>
              <w:left w:val="nil"/>
              <w:bottom w:val="nil"/>
              <w:right w:val="nil"/>
            </w:tcBorders>
            <w:shd w:val="clear" w:color="auto" w:fill="auto"/>
            <w:vAlign w:val="center"/>
          </w:tcPr>
          <w:p w14:paraId="29B3B489"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47</w:t>
            </w:r>
          </w:p>
        </w:tc>
        <w:tc>
          <w:tcPr>
            <w:tcW w:w="1319" w:type="dxa"/>
            <w:gridSpan w:val="2"/>
            <w:tcBorders>
              <w:top w:val="nil"/>
              <w:left w:val="nil"/>
              <w:bottom w:val="nil"/>
              <w:right w:val="nil"/>
            </w:tcBorders>
            <w:shd w:val="clear" w:color="auto" w:fill="auto"/>
            <w:vAlign w:val="center"/>
          </w:tcPr>
          <w:p w14:paraId="6E21B92B"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50</w:t>
            </w:r>
          </w:p>
        </w:tc>
        <w:tc>
          <w:tcPr>
            <w:tcW w:w="1363" w:type="dxa"/>
            <w:gridSpan w:val="2"/>
            <w:tcBorders>
              <w:top w:val="nil"/>
              <w:left w:val="nil"/>
              <w:bottom w:val="nil"/>
              <w:right w:val="nil"/>
            </w:tcBorders>
            <w:shd w:val="clear" w:color="auto" w:fill="auto"/>
            <w:vAlign w:val="center"/>
          </w:tcPr>
          <w:p w14:paraId="1EC998D0"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42</w:t>
            </w:r>
          </w:p>
        </w:tc>
        <w:tc>
          <w:tcPr>
            <w:tcW w:w="1349" w:type="dxa"/>
            <w:gridSpan w:val="2"/>
            <w:tcBorders>
              <w:top w:val="nil"/>
              <w:left w:val="nil"/>
              <w:bottom w:val="nil"/>
              <w:right w:val="nil"/>
            </w:tcBorders>
            <w:shd w:val="clear" w:color="auto" w:fill="auto"/>
            <w:vAlign w:val="center"/>
          </w:tcPr>
          <w:p w14:paraId="36F83682"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49</w:t>
            </w:r>
          </w:p>
        </w:tc>
        <w:tc>
          <w:tcPr>
            <w:tcW w:w="1733" w:type="dxa"/>
            <w:gridSpan w:val="2"/>
            <w:tcBorders>
              <w:top w:val="nil"/>
              <w:left w:val="nil"/>
              <w:bottom w:val="nil"/>
              <w:right w:val="nil"/>
            </w:tcBorders>
            <w:shd w:val="clear" w:color="auto" w:fill="auto"/>
            <w:vAlign w:val="center"/>
          </w:tcPr>
          <w:p w14:paraId="6B4FF5FC"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47</w:t>
            </w:r>
          </w:p>
        </w:tc>
      </w:tr>
      <w:tr w:rsidR="00990F02" w:rsidRPr="00990F02" w14:paraId="28EFAC32" w14:textId="77777777" w:rsidTr="00990F02">
        <w:trPr>
          <w:trHeight w:val="292"/>
        </w:trPr>
        <w:tc>
          <w:tcPr>
            <w:tcW w:w="2109" w:type="dxa"/>
            <w:gridSpan w:val="2"/>
            <w:tcBorders>
              <w:top w:val="nil"/>
              <w:left w:val="nil"/>
              <w:bottom w:val="nil"/>
              <w:right w:val="nil"/>
            </w:tcBorders>
            <w:shd w:val="clear" w:color="auto" w:fill="auto"/>
            <w:vAlign w:val="center"/>
          </w:tcPr>
          <w:p w14:paraId="19771409" w14:textId="77777777" w:rsidR="00772A8A" w:rsidRPr="00990F02" w:rsidRDefault="00772A8A" w:rsidP="00990F02">
            <w:pPr>
              <w:spacing w:after="0" w:line="240" w:lineRule="auto"/>
              <w:jc w:val="both"/>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n (zero-dose)</w:t>
            </w:r>
          </w:p>
        </w:tc>
        <w:tc>
          <w:tcPr>
            <w:tcW w:w="1496" w:type="dxa"/>
            <w:gridSpan w:val="2"/>
            <w:tcBorders>
              <w:top w:val="nil"/>
              <w:left w:val="nil"/>
              <w:bottom w:val="nil"/>
              <w:right w:val="nil"/>
            </w:tcBorders>
            <w:shd w:val="clear" w:color="auto" w:fill="auto"/>
            <w:vAlign w:val="center"/>
          </w:tcPr>
          <w:p w14:paraId="08485ACA"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0</w:t>
            </w:r>
          </w:p>
        </w:tc>
        <w:tc>
          <w:tcPr>
            <w:tcW w:w="1288" w:type="dxa"/>
            <w:gridSpan w:val="2"/>
            <w:tcBorders>
              <w:top w:val="nil"/>
              <w:left w:val="nil"/>
              <w:bottom w:val="nil"/>
              <w:right w:val="nil"/>
            </w:tcBorders>
            <w:shd w:val="clear" w:color="auto" w:fill="auto"/>
            <w:vAlign w:val="center"/>
          </w:tcPr>
          <w:p w14:paraId="5ACFAFBA"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0</w:t>
            </w:r>
          </w:p>
        </w:tc>
        <w:tc>
          <w:tcPr>
            <w:tcW w:w="1409" w:type="dxa"/>
            <w:gridSpan w:val="2"/>
            <w:tcBorders>
              <w:top w:val="nil"/>
              <w:left w:val="nil"/>
              <w:bottom w:val="nil"/>
              <w:right w:val="nil"/>
            </w:tcBorders>
            <w:shd w:val="clear" w:color="auto" w:fill="auto"/>
            <w:vAlign w:val="center"/>
          </w:tcPr>
          <w:p w14:paraId="6C95632F"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4</w:t>
            </w:r>
          </w:p>
        </w:tc>
        <w:tc>
          <w:tcPr>
            <w:tcW w:w="1168" w:type="dxa"/>
            <w:gridSpan w:val="2"/>
            <w:tcBorders>
              <w:top w:val="nil"/>
              <w:left w:val="nil"/>
              <w:bottom w:val="nil"/>
              <w:right w:val="nil"/>
            </w:tcBorders>
            <w:shd w:val="clear" w:color="auto" w:fill="auto"/>
            <w:vAlign w:val="center"/>
          </w:tcPr>
          <w:p w14:paraId="3A0B0281"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0</w:t>
            </w:r>
          </w:p>
        </w:tc>
        <w:tc>
          <w:tcPr>
            <w:tcW w:w="1319" w:type="dxa"/>
            <w:gridSpan w:val="2"/>
            <w:tcBorders>
              <w:top w:val="nil"/>
              <w:left w:val="nil"/>
              <w:bottom w:val="nil"/>
              <w:right w:val="nil"/>
            </w:tcBorders>
            <w:shd w:val="clear" w:color="auto" w:fill="auto"/>
            <w:vAlign w:val="center"/>
          </w:tcPr>
          <w:p w14:paraId="536BCF3A"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0</w:t>
            </w:r>
          </w:p>
        </w:tc>
        <w:tc>
          <w:tcPr>
            <w:tcW w:w="1363" w:type="dxa"/>
            <w:gridSpan w:val="2"/>
            <w:tcBorders>
              <w:top w:val="nil"/>
              <w:left w:val="nil"/>
              <w:bottom w:val="nil"/>
              <w:right w:val="nil"/>
            </w:tcBorders>
            <w:shd w:val="clear" w:color="auto" w:fill="auto"/>
            <w:vAlign w:val="center"/>
          </w:tcPr>
          <w:p w14:paraId="69F9BF08"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0</w:t>
            </w:r>
          </w:p>
        </w:tc>
        <w:tc>
          <w:tcPr>
            <w:tcW w:w="1349" w:type="dxa"/>
            <w:gridSpan w:val="2"/>
            <w:tcBorders>
              <w:top w:val="nil"/>
              <w:left w:val="nil"/>
              <w:bottom w:val="nil"/>
              <w:right w:val="nil"/>
            </w:tcBorders>
            <w:shd w:val="clear" w:color="auto" w:fill="auto"/>
            <w:vAlign w:val="center"/>
          </w:tcPr>
          <w:p w14:paraId="2D228361"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0</w:t>
            </w:r>
          </w:p>
        </w:tc>
        <w:tc>
          <w:tcPr>
            <w:tcW w:w="1733" w:type="dxa"/>
            <w:gridSpan w:val="2"/>
            <w:tcBorders>
              <w:top w:val="nil"/>
              <w:left w:val="nil"/>
              <w:bottom w:val="nil"/>
              <w:right w:val="nil"/>
            </w:tcBorders>
            <w:shd w:val="clear" w:color="auto" w:fill="auto"/>
            <w:vAlign w:val="center"/>
          </w:tcPr>
          <w:p w14:paraId="2016E22D"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0</w:t>
            </w:r>
          </w:p>
        </w:tc>
      </w:tr>
      <w:tr w:rsidR="00990F02" w:rsidRPr="00990F02" w14:paraId="588FC316" w14:textId="77777777" w:rsidTr="00990F02">
        <w:trPr>
          <w:trHeight w:val="292"/>
        </w:trPr>
        <w:tc>
          <w:tcPr>
            <w:tcW w:w="2109" w:type="dxa"/>
            <w:gridSpan w:val="2"/>
            <w:tcBorders>
              <w:top w:val="nil"/>
              <w:left w:val="nil"/>
              <w:bottom w:val="nil"/>
              <w:right w:val="nil"/>
            </w:tcBorders>
            <w:shd w:val="clear" w:color="auto" w:fill="auto"/>
            <w:vAlign w:val="center"/>
          </w:tcPr>
          <w:p w14:paraId="0DADB775" w14:textId="77777777" w:rsidR="00772A8A" w:rsidRPr="00990F02" w:rsidRDefault="00772A8A" w:rsidP="00990F02">
            <w:pPr>
              <w:spacing w:after="0" w:line="240" w:lineRule="auto"/>
              <w:jc w:val="both"/>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OD (%)</w:t>
            </w:r>
          </w:p>
        </w:tc>
        <w:tc>
          <w:tcPr>
            <w:tcW w:w="1496" w:type="dxa"/>
            <w:gridSpan w:val="2"/>
            <w:tcBorders>
              <w:top w:val="nil"/>
              <w:left w:val="nil"/>
              <w:bottom w:val="nil"/>
              <w:right w:val="nil"/>
            </w:tcBorders>
            <w:shd w:val="clear" w:color="auto" w:fill="auto"/>
            <w:vAlign w:val="center"/>
          </w:tcPr>
          <w:p w14:paraId="5C63CD4F"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68 (47)</w:t>
            </w:r>
          </w:p>
        </w:tc>
        <w:tc>
          <w:tcPr>
            <w:tcW w:w="1288" w:type="dxa"/>
            <w:gridSpan w:val="2"/>
            <w:tcBorders>
              <w:top w:val="nil"/>
              <w:left w:val="nil"/>
              <w:bottom w:val="nil"/>
              <w:right w:val="nil"/>
            </w:tcBorders>
            <w:shd w:val="clear" w:color="auto" w:fill="auto"/>
            <w:vAlign w:val="center"/>
          </w:tcPr>
          <w:p w14:paraId="7BC82650"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64 (48)</w:t>
            </w:r>
          </w:p>
        </w:tc>
        <w:tc>
          <w:tcPr>
            <w:tcW w:w="1409" w:type="dxa"/>
            <w:gridSpan w:val="2"/>
            <w:tcBorders>
              <w:top w:val="nil"/>
              <w:left w:val="nil"/>
              <w:bottom w:val="nil"/>
              <w:right w:val="nil"/>
            </w:tcBorders>
            <w:shd w:val="clear" w:color="auto" w:fill="auto"/>
            <w:vAlign w:val="center"/>
          </w:tcPr>
          <w:p w14:paraId="4872CA5E"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35 (31)</w:t>
            </w:r>
          </w:p>
        </w:tc>
        <w:tc>
          <w:tcPr>
            <w:tcW w:w="1168" w:type="dxa"/>
            <w:gridSpan w:val="2"/>
            <w:tcBorders>
              <w:top w:val="nil"/>
              <w:left w:val="nil"/>
              <w:bottom w:val="nil"/>
              <w:right w:val="nil"/>
            </w:tcBorders>
            <w:shd w:val="clear" w:color="auto" w:fill="auto"/>
            <w:vAlign w:val="center"/>
          </w:tcPr>
          <w:p w14:paraId="76CA4300"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34 (12)</w:t>
            </w:r>
          </w:p>
        </w:tc>
        <w:tc>
          <w:tcPr>
            <w:tcW w:w="1319" w:type="dxa"/>
            <w:gridSpan w:val="2"/>
            <w:tcBorders>
              <w:top w:val="nil"/>
              <w:left w:val="nil"/>
              <w:bottom w:val="nil"/>
              <w:right w:val="nil"/>
            </w:tcBorders>
            <w:shd w:val="clear" w:color="auto" w:fill="auto"/>
            <w:vAlign w:val="center"/>
          </w:tcPr>
          <w:p w14:paraId="48794272"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32 (15)</w:t>
            </w:r>
          </w:p>
        </w:tc>
        <w:tc>
          <w:tcPr>
            <w:tcW w:w="1363" w:type="dxa"/>
            <w:gridSpan w:val="2"/>
            <w:tcBorders>
              <w:top w:val="nil"/>
              <w:left w:val="nil"/>
              <w:bottom w:val="nil"/>
              <w:right w:val="nil"/>
            </w:tcBorders>
            <w:shd w:val="clear" w:color="auto" w:fill="auto"/>
            <w:vAlign w:val="center"/>
          </w:tcPr>
          <w:p w14:paraId="6EF6FB88"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33 (30)</w:t>
            </w:r>
          </w:p>
        </w:tc>
        <w:tc>
          <w:tcPr>
            <w:tcW w:w="1349" w:type="dxa"/>
            <w:gridSpan w:val="2"/>
            <w:tcBorders>
              <w:top w:val="nil"/>
              <w:left w:val="nil"/>
              <w:bottom w:val="nil"/>
              <w:right w:val="nil"/>
            </w:tcBorders>
            <w:shd w:val="clear" w:color="auto" w:fill="auto"/>
            <w:vAlign w:val="center"/>
          </w:tcPr>
          <w:p w14:paraId="141C94BC"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30 (23)</w:t>
            </w:r>
          </w:p>
        </w:tc>
        <w:tc>
          <w:tcPr>
            <w:tcW w:w="1733" w:type="dxa"/>
            <w:gridSpan w:val="2"/>
            <w:tcBorders>
              <w:top w:val="nil"/>
              <w:left w:val="nil"/>
              <w:bottom w:val="nil"/>
              <w:right w:val="nil"/>
            </w:tcBorders>
            <w:shd w:val="clear" w:color="auto" w:fill="auto"/>
            <w:vAlign w:val="center"/>
          </w:tcPr>
          <w:p w14:paraId="27829B62"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41 (39)</w:t>
            </w:r>
          </w:p>
        </w:tc>
      </w:tr>
      <w:tr w:rsidR="00990F02" w:rsidRPr="00990F02" w14:paraId="237F407F" w14:textId="77777777" w:rsidTr="00990F02">
        <w:trPr>
          <w:trHeight w:val="292"/>
        </w:trPr>
        <w:tc>
          <w:tcPr>
            <w:tcW w:w="2109" w:type="dxa"/>
            <w:gridSpan w:val="2"/>
            <w:tcBorders>
              <w:top w:val="nil"/>
              <w:left w:val="nil"/>
              <w:bottom w:val="nil"/>
              <w:right w:val="nil"/>
            </w:tcBorders>
            <w:shd w:val="clear" w:color="auto" w:fill="auto"/>
            <w:vAlign w:val="center"/>
          </w:tcPr>
          <w:p w14:paraId="1E3BFD95" w14:textId="77777777" w:rsidR="00772A8A" w:rsidRPr="00990F02" w:rsidRDefault="00772A8A" w:rsidP="00990F02">
            <w:pPr>
              <w:spacing w:after="0" w:line="240" w:lineRule="auto"/>
              <w:jc w:val="both"/>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MAM D</w:t>
            </w:r>
            <w:r w:rsidRPr="00990F02">
              <w:rPr>
                <w:rFonts w:ascii="Times New Roman" w:eastAsia="Times New Roman" w:hAnsi="Times New Roman" w:cs="Times New Roman"/>
                <w:sz w:val="18"/>
                <w:szCs w:val="18"/>
                <w:vertAlign w:val="subscript"/>
              </w:rPr>
              <w:t xml:space="preserve">e </w:t>
            </w:r>
            <w:r w:rsidRPr="00990F02">
              <w:rPr>
                <w:rFonts w:ascii="Times New Roman" w:eastAsia="Times New Roman" w:hAnsi="Times New Roman" w:cs="Times New Roman"/>
                <w:sz w:val="18"/>
                <w:szCs w:val="18"/>
              </w:rPr>
              <w:t>(Gy)</w:t>
            </w:r>
          </w:p>
        </w:tc>
        <w:tc>
          <w:tcPr>
            <w:tcW w:w="1496" w:type="dxa"/>
            <w:gridSpan w:val="2"/>
            <w:tcBorders>
              <w:top w:val="nil"/>
              <w:left w:val="nil"/>
              <w:bottom w:val="nil"/>
              <w:right w:val="nil"/>
            </w:tcBorders>
            <w:shd w:val="clear" w:color="auto" w:fill="auto"/>
            <w:vAlign w:val="center"/>
          </w:tcPr>
          <w:p w14:paraId="7E7C07C1"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1.98±0.21</w:t>
            </w:r>
          </w:p>
        </w:tc>
        <w:tc>
          <w:tcPr>
            <w:tcW w:w="1288" w:type="dxa"/>
            <w:gridSpan w:val="2"/>
            <w:tcBorders>
              <w:top w:val="nil"/>
              <w:left w:val="nil"/>
              <w:bottom w:val="nil"/>
              <w:right w:val="nil"/>
            </w:tcBorders>
            <w:shd w:val="clear" w:color="auto" w:fill="auto"/>
            <w:vAlign w:val="center"/>
          </w:tcPr>
          <w:p w14:paraId="77427404"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7.95±0.61</w:t>
            </w:r>
          </w:p>
        </w:tc>
        <w:tc>
          <w:tcPr>
            <w:tcW w:w="1409" w:type="dxa"/>
            <w:gridSpan w:val="2"/>
            <w:tcBorders>
              <w:top w:val="nil"/>
              <w:left w:val="nil"/>
              <w:bottom w:val="nil"/>
              <w:right w:val="nil"/>
            </w:tcBorders>
            <w:shd w:val="clear" w:color="auto" w:fill="auto"/>
            <w:vAlign w:val="center"/>
          </w:tcPr>
          <w:p w14:paraId="4B69B5DD"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9.2±1.1</w:t>
            </w:r>
          </w:p>
        </w:tc>
        <w:tc>
          <w:tcPr>
            <w:tcW w:w="1168" w:type="dxa"/>
            <w:gridSpan w:val="2"/>
            <w:tcBorders>
              <w:top w:val="nil"/>
              <w:left w:val="nil"/>
              <w:bottom w:val="nil"/>
              <w:right w:val="nil"/>
            </w:tcBorders>
            <w:shd w:val="clear" w:color="auto" w:fill="auto"/>
            <w:vAlign w:val="center"/>
          </w:tcPr>
          <w:p w14:paraId="3172B53B"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50.31±3.76</w:t>
            </w:r>
          </w:p>
        </w:tc>
        <w:tc>
          <w:tcPr>
            <w:tcW w:w="1319" w:type="dxa"/>
            <w:gridSpan w:val="2"/>
            <w:tcBorders>
              <w:top w:val="nil"/>
              <w:left w:val="nil"/>
              <w:bottom w:val="nil"/>
              <w:right w:val="nil"/>
            </w:tcBorders>
            <w:shd w:val="clear" w:color="auto" w:fill="auto"/>
            <w:vAlign w:val="center"/>
          </w:tcPr>
          <w:p w14:paraId="189F5906"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82.87</w:t>
            </w:r>
            <w:r w:rsidRPr="00990F02">
              <w:rPr>
                <w:rFonts w:ascii="Times New Roman" w:eastAsia="Times New Roman" w:hAnsi="Times New Roman" w:cs="Times New Roman"/>
                <w:bCs/>
                <w:sz w:val="18"/>
                <w:szCs w:val="18"/>
              </w:rPr>
              <w:t>±8.75</w:t>
            </w:r>
          </w:p>
        </w:tc>
        <w:tc>
          <w:tcPr>
            <w:tcW w:w="1363" w:type="dxa"/>
            <w:gridSpan w:val="2"/>
            <w:tcBorders>
              <w:top w:val="nil"/>
              <w:left w:val="nil"/>
              <w:bottom w:val="nil"/>
              <w:right w:val="nil"/>
            </w:tcBorders>
            <w:shd w:val="clear" w:color="auto" w:fill="auto"/>
            <w:vAlign w:val="center"/>
          </w:tcPr>
          <w:p w14:paraId="342704AF"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87.9</w:t>
            </w:r>
            <w:r w:rsidRPr="00990F02">
              <w:rPr>
                <w:rFonts w:ascii="Times New Roman" w:eastAsia="Times New Roman" w:hAnsi="Times New Roman" w:cs="Times New Roman"/>
                <w:bCs/>
                <w:sz w:val="18"/>
                <w:szCs w:val="18"/>
              </w:rPr>
              <w:t>±8.0</w:t>
            </w:r>
          </w:p>
        </w:tc>
        <w:tc>
          <w:tcPr>
            <w:tcW w:w="1349" w:type="dxa"/>
            <w:gridSpan w:val="2"/>
            <w:tcBorders>
              <w:top w:val="nil"/>
              <w:left w:val="nil"/>
              <w:bottom w:val="nil"/>
              <w:right w:val="nil"/>
            </w:tcBorders>
            <w:shd w:val="clear" w:color="auto" w:fill="auto"/>
            <w:vAlign w:val="center"/>
          </w:tcPr>
          <w:p w14:paraId="57EB8EAE"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140.2</w:t>
            </w:r>
            <w:r w:rsidRPr="00990F02">
              <w:rPr>
                <w:rFonts w:ascii="Times New Roman" w:eastAsia="Times New Roman" w:hAnsi="Times New Roman" w:cs="Times New Roman"/>
                <w:bCs/>
                <w:sz w:val="18"/>
                <w:szCs w:val="18"/>
              </w:rPr>
              <w:t>±17.8</w:t>
            </w:r>
          </w:p>
        </w:tc>
        <w:tc>
          <w:tcPr>
            <w:tcW w:w="1733" w:type="dxa"/>
            <w:gridSpan w:val="2"/>
            <w:tcBorders>
              <w:top w:val="nil"/>
              <w:left w:val="nil"/>
              <w:bottom w:val="nil"/>
              <w:right w:val="nil"/>
            </w:tcBorders>
            <w:shd w:val="clear" w:color="auto" w:fill="auto"/>
            <w:vAlign w:val="center"/>
          </w:tcPr>
          <w:p w14:paraId="02CD92A4"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103.3</w:t>
            </w:r>
            <w:r w:rsidRPr="00990F02">
              <w:rPr>
                <w:rFonts w:ascii="Times New Roman" w:eastAsia="Times New Roman" w:hAnsi="Times New Roman" w:cs="Times New Roman"/>
                <w:bCs/>
                <w:sz w:val="18"/>
                <w:szCs w:val="18"/>
              </w:rPr>
              <w:t>±13.7</w:t>
            </w:r>
          </w:p>
        </w:tc>
      </w:tr>
      <w:tr w:rsidR="00990F02" w:rsidRPr="00990F02" w14:paraId="482F9128" w14:textId="77777777" w:rsidTr="00990F02">
        <w:trPr>
          <w:trHeight w:val="292"/>
        </w:trPr>
        <w:tc>
          <w:tcPr>
            <w:tcW w:w="2109" w:type="dxa"/>
            <w:gridSpan w:val="2"/>
            <w:tcBorders>
              <w:top w:val="nil"/>
              <w:left w:val="nil"/>
              <w:bottom w:val="nil"/>
              <w:right w:val="nil"/>
            </w:tcBorders>
            <w:shd w:val="clear" w:color="auto" w:fill="auto"/>
            <w:vAlign w:val="center"/>
          </w:tcPr>
          <w:p w14:paraId="63DA1457" w14:textId="77777777" w:rsidR="00772A8A" w:rsidRPr="00990F02" w:rsidRDefault="00772A8A" w:rsidP="00990F02">
            <w:pPr>
              <w:spacing w:after="0" w:line="240" w:lineRule="auto"/>
              <w:jc w:val="both"/>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CAM D</w:t>
            </w:r>
            <w:r w:rsidRPr="00990F02">
              <w:rPr>
                <w:rFonts w:ascii="Times New Roman" w:eastAsia="Times New Roman" w:hAnsi="Times New Roman" w:cs="Times New Roman"/>
                <w:sz w:val="18"/>
                <w:szCs w:val="18"/>
                <w:vertAlign w:val="subscript"/>
              </w:rPr>
              <w:t>e</w:t>
            </w:r>
            <w:r w:rsidRPr="00990F02">
              <w:rPr>
                <w:rFonts w:ascii="Times New Roman" w:eastAsia="Times New Roman" w:hAnsi="Times New Roman" w:cs="Times New Roman"/>
                <w:sz w:val="18"/>
                <w:szCs w:val="18"/>
              </w:rPr>
              <w:t xml:space="preserve"> (Gy) </w:t>
            </w:r>
          </w:p>
        </w:tc>
        <w:tc>
          <w:tcPr>
            <w:tcW w:w="1496" w:type="dxa"/>
            <w:gridSpan w:val="2"/>
            <w:tcBorders>
              <w:top w:val="nil"/>
              <w:left w:val="nil"/>
              <w:bottom w:val="nil"/>
              <w:right w:val="nil"/>
            </w:tcBorders>
            <w:shd w:val="clear" w:color="auto" w:fill="auto"/>
            <w:vAlign w:val="center"/>
          </w:tcPr>
          <w:p w14:paraId="404B3408" w14:textId="77777777" w:rsidR="00772A8A" w:rsidRPr="00990F02" w:rsidRDefault="00772A8A" w:rsidP="00990F02">
            <w:pPr>
              <w:spacing w:after="0" w:line="240" w:lineRule="auto"/>
              <w:jc w:val="center"/>
              <w:rPr>
                <w:rFonts w:ascii="Times New Roman" w:eastAsia="Times New Roman" w:hAnsi="Times New Roman" w:cs="Times New Roman"/>
                <w:b/>
                <w:sz w:val="18"/>
                <w:szCs w:val="18"/>
              </w:rPr>
            </w:pPr>
            <w:r w:rsidRPr="00990F02">
              <w:rPr>
                <w:rFonts w:ascii="Times New Roman" w:eastAsia="Times New Roman" w:hAnsi="Times New Roman" w:cs="Times New Roman"/>
                <w:b/>
                <w:sz w:val="18"/>
                <w:szCs w:val="18"/>
              </w:rPr>
              <w:t>11.22±0.47</w:t>
            </w:r>
          </w:p>
        </w:tc>
        <w:tc>
          <w:tcPr>
            <w:tcW w:w="1288" w:type="dxa"/>
            <w:gridSpan w:val="2"/>
            <w:tcBorders>
              <w:top w:val="nil"/>
              <w:left w:val="nil"/>
              <w:bottom w:val="nil"/>
              <w:right w:val="nil"/>
            </w:tcBorders>
            <w:shd w:val="clear" w:color="auto" w:fill="auto"/>
            <w:vAlign w:val="center"/>
          </w:tcPr>
          <w:p w14:paraId="2017FC5D" w14:textId="77777777" w:rsidR="00772A8A" w:rsidRPr="00990F02" w:rsidRDefault="00772A8A" w:rsidP="00990F02">
            <w:pPr>
              <w:spacing w:after="0" w:line="240" w:lineRule="auto"/>
              <w:jc w:val="center"/>
              <w:rPr>
                <w:rFonts w:ascii="Times New Roman" w:eastAsia="Times New Roman" w:hAnsi="Times New Roman" w:cs="Times New Roman"/>
                <w:b/>
                <w:bCs/>
                <w:sz w:val="18"/>
                <w:szCs w:val="18"/>
              </w:rPr>
            </w:pPr>
            <w:r w:rsidRPr="00990F02">
              <w:rPr>
                <w:rFonts w:ascii="Times New Roman" w:eastAsia="Times New Roman" w:hAnsi="Times New Roman" w:cs="Times New Roman"/>
                <w:b/>
                <w:bCs/>
                <w:sz w:val="18"/>
                <w:szCs w:val="18"/>
              </w:rPr>
              <w:t>18.56±0.85</w:t>
            </w:r>
          </w:p>
        </w:tc>
        <w:tc>
          <w:tcPr>
            <w:tcW w:w="1409" w:type="dxa"/>
            <w:gridSpan w:val="2"/>
            <w:tcBorders>
              <w:top w:val="nil"/>
              <w:left w:val="nil"/>
              <w:bottom w:val="nil"/>
              <w:right w:val="nil"/>
            </w:tcBorders>
            <w:shd w:val="clear" w:color="auto" w:fill="auto"/>
            <w:vAlign w:val="center"/>
          </w:tcPr>
          <w:p w14:paraId="53392D03" w14:textId="77777777" w:rsidR="00772A8A" w:rsidRPr="00990F02" w:rsidRDefault="00772A8A" w:rsidP="00990F02">
            <w:pPr>
              <w:spacing w:after="0" w:line="240" w:lineRule="auto"/>
              <w:jc w:val="center"/>
              <w:rPr>
                <w:rFonts w:ascii="Times New Roman" w:eastAsia="Times New Roman" w:hAnsi="Times New Roman" w:cs="Times New Roman"/>
                <w:b/>
                <w:bCs/>
                <w:sz w:val="18"/>
                <w:szCs w:val="18"/>
              </w:rPr>
            </w:pPr>
            <w:r w:rsidRPr="00990F02">
              <w:rPr>
                <w:rFonts w:ascii="Times New Roman" w:eastAsia="Times New Roman" w:hAnsi="Times New Roman" w:cs="Times New Roman"/>
                <w:b/>
                <w:bCs/>
                <w:sz w:val="18"/>
                <w:szCs w:val="18"/>
              </w:rPr>
              <w:t>41.82±3.32</w:t>
            </w:r>
          </w:p>
        </w:tc>
        <w:tc>
          <w:tcPr>
            <w:tcW w:w="1168" w:type="dxa"/>
            <w:gridSpan w:val="2"/>
            <w:tcBorders>
              <w:top w:val="nil"/>
              <w:left w:val="nil"/>
              <w:bottom w:val="nil"/>
              <w:right w:val="nil"/>
            </w:tcBorders>
            <w:shd w:val="clear" w:color="auto" w:fill="auto"/>
            <w:vAlign w:val="center"/>
          </w:tcPr>
          <w:p w14:paraId="5380B2E4" w14:textId="77777777" w:rsidR="00772A8A" w:rsidRPr="00990F02" w:rsidRDefault="00772A8A" w:rsidP="00990F02">
            <w:pPr>
              <w:spacing w:after="0" w:line="240" w:lineRule="auto"/>
              <w:jc w:val="center"/>
              <w:rPr>
                <w:rFonts w:ascii="Times New Roman" w:eastAsia="Times New Roman" w:hAnsi="Times New Roman" w:cs="Times New Roman"/>
                <w:b/>
                <w:bCs/>
                <w:sz w:val="18"/>
                <w:szCs w:val="18"/>
              </w:rPr>
            </w:pPr>
            <w:r w:rsidRPr="00990F02">
              <w:rPr>
                <w:rFonts w:ascii="Times New Roman" w:eastAsia="Times New Roman" w:hAnsi="Times New Roman" w:cs="Times New Roman"/>
                <w:b/>
                <w:bCs/>
                <w:sz w:val="18"/>
                <w:szCs w:val="18"/>
              </w:rPr>
              <w:t>75.98±2.84</w:t>
            </w:r>
          </w:p>
        </w:tc>
        <w:tc>
          <w:tcPr>
            <w:tcW w:w="1319" w:type="dxa"/>
            <w:gridSpan w:val="2"/>
            <w:tcBorders>
              <w:top w:val="nil"/>
              <w:left w:val="nil"/>
              <w:bottom w:val="nil"/>
              <w:right w:val="nil"/>
            </w:tcBorders>
            <w:shd w:val="clear" w:color="auto" w:fill="auto"/>
            <w:vAlign w:val="center"/>
          </w:tcPr>
          <w:p w14:paraId="0B5BB6C3" w14:textId="77777777" w:rsidR="00772A8A" w:rsidRPr="00990F02" w:rsidRDefault="00772A8A" w:rsidP="00990F02">
            <w:pPr>
              <w:spacing w:after="0" w:line="240" w:lineRule="auto"/>
              <w:jc w:val="center"/>
              <w:rPr>
                <w:rFonts w:ascii="Times New Roman" w:eastAsia="Times New Roman" w:hAnsi="Times New Roman" w:cs="Times New Roman"/>
                <w:b/>
                <w:bCs/>
                <w:sz w:val="18"/>
                <w:szCs w:val="18"/>
              </w:rPr>
            </w:pPr>
            <w:r w:rsidRPr="00990F02">
              <w:rPr>
                <w:rFonts w:ascii="Times New Roman" w:eastAsia="Times New Roman" w:hAnsi="Times New Roman" w:cs="Times New Roman"/>
                <w:b/>
                <w:bCs/>
                <w:sz w:val="18"/>
                <w:szCs w:val="18"/>
              </w:rPr>
              <w:t>93.93±4.07</w:t>
            </w:r>
          </w:p>
        </w:tc>
        <w:tc>
          <w:tcPr>
            <w:tcW w:w="1363" w:type="dxa"/>
            <w:gridSpan w:val="2"/>
            <w:tcBorders>
              <w:top w:val="nil"/>
              <w:left w:val="nil"/>
              <w:bottom w:val="nil"/>
              <w:right w:val="nil"/>
            </w:tcBorders>
            <w:shd w:val="clear" w:color="auto" w:fill="auto"/>
            <w:vAlign w:val="center"/>
          </w:tcPr>
          <w:p w14:paraId="587F19D3"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b/>
                <w:sz w:val="18"/>
                <w:szCs w:val="18"/>
              </w:rPr>
              <w:t>123.6±4.9</w:t>
            </w:r>
          </w:p>
        </w:tc>
        <w:tc>
          <w:tcPr>
            <w:tcW w:w="1349" w:type="dxa"/>
            <w:gridSpan w:val="2"/>
            <w:tcBorders>
              <w:top w:val="nil"/>
              <w:left w:val="nil"/>
              <w:bottom w:val="nil"/>
              <w:right w:val="nil"/>
            </w:tcBorders>
            <w:shd w:val="clear" w:color="auto" w:fill="auto"/>
            <w:vAlign w:val="center"/>
          </w:tcPr>
          <w:p w14:paraId="1F0E9C54"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b/>
                <w:sz w:val="18"/>
                <w:szCs w:val="18"/>
              </w:rPr>
              <w:t>169.4±8.6</w:t>
            </w:r>
          </w:p>
        </w:tc>
        <w:tc>
          <w:tcPr>
            <w:tcW w:w="1733" w:type="dxa"/>
            <w:gridSpan w:val="2"/>
            <w:tcBorders>
              <w:top w:val="nil"/>
              <w:left w:val="nil"/>
              <w:bottom w:val="nil"/>
              <w:right w:val="nil"/>
            </w:tcBorders>
            <w:shd w:val="clear" w:color="auto" w:fill="auto"/>
            <w:vAlign w:val="center"/>
          </w:tcPr>
          <w:p w14:paraId="0E9012D8" w14:textId="77777777" w:rsidR="00772A8A" w:rsidRPr="00990F02" w:rsidRDefault="00772A8A" w:rsidP="00990F02">
            <w:pPr>
              <w:spacing w:after="0" w:line="240" w:lineRule="auto"/>
              <w:jc w:val="center"/>
              <w:rPr>
                <w:rFonts w:ascii="Times New Roman" w:eastAsia="Times New Roman" w:hAnsi="Times New Roman" w:cs="Times New Roman"/>
                <w:b/>
                <w:bCs/>
                <w:sz w:val="18"/>
                <w:szCs w:val="18"/>
              </w:rPr>
            </w:pPr>
            <w:r w:rsidRPr="00990F02">
              <w:rPr>
                <w:rFonts w:ascii="Times New Roman" w:eastAsia="Times New Roman" w:hAnsi="Times New Roman" w:cs="Times New Roman"/>
                <w:b/>
                <w:bCs/>
                <w:sz w:val="18"/>
                <w:szCs w:val="18"/>
              </w:rPr>
              <w:t>184.9±13.6</w:t>
            </w:r>
          </w:p>
        </w:tc>
      </w:tr>
      <w:tr w:rsidR="00990F02" w:rsidRPr="00990F02" w14:paraId="7A65291D" w14:textId="77777777" w:rsidTr="00990F02">
        <w:trPr>
          <w:trHeight w:val="305"/>
        </w:trPr>
        <w:tc>
          <w:tcPr>
            <w:tcW w:w="2109" w:type="dxa"/>
            <w:gridSpan w:val="2"/>
            <w:tcBorders>
              <w:top w:val="nil"/>
              <w:left w:val="nil"/>
              <w:bottom w:val="single" w:sz="8" w:space="0" w:color="000000"/>
              <w:right w:val="nil"/>
            </w:tcBorders>
            <w:shd w:val="clear" w:color="auto" w:fill="auto"/>
            <w:vAlign w:val="center"/>
          </w:tcPr>
          <w:p w14:paraId="63E07735" w14:textId="77777777" w:rsidR="00772A8A" w:rsidRPr="00990F02" w:rsidRDefault="00772A8A" w:rsidP="00990F02">
            <w:pPr>
              <w:spacing w:after="0" w:line="240" w:lineRule="auto"/>
              <w:jc w:val="both"/>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FMM D</w:t>
            </w:r>
            <w:r w:rsidRPr="00990F02">
              <w:rPr>
                <w:rFonts w:ascii="Times New Roman" w:eastAsia="Times New Roman" w:hAnsi="Times New Roman" w:cs="Times New Roman"/>
                <w:sz w:val="18"/>
                <w:szCs w:val="18"/>
                <w:vertAlign w:val="subscript"/>
              </w:rPr>
              <w:t>e</w:t>
            </w:r>
            <w:r w:rsidRPr="00990F02">
              <w:rPr>
                <w:rFonts w:ascii="Times New Roman" w:eastAsia="Times New Roman" w:hAnsi="Times New Roman" w:cs="Times New Roman"/>
                <w:sz w:val="18"/>
                <w:szCs w:val="18"/>
              </w:rPr>
              <w:t xml:space="preserve"> (Gy)</w:t>
            </w:r>
          </w:p>
        </w:tc>
        <w:tc>
          <w:tcPr>
            <w:tcW w:w="1496" w:type="dxa"/>
            <w:gridSpan w:val="2"/>
            <w:tcBorders>
              <w:top w:val="nil"/>
              <w:left w:val="nil"/>
              <w:bottom w:val="single" w:sz="8" w:space="0" w:color="000000"/>
              <w:right w:val="nil"/>
            </w:tcBorders>
            <w:shd w:val="clear" w:color="auto" w:fill="auto"/>
            <w:vAlign w:val="center"/>
          </w:tcPr>
          <w:p w14:paraId="354A17A1" w14:textId="77777777" w:rsidR="00772A8A" w:rsidRPr="00990F02" w:rsidRDefault="00772A8A" w:rsidP="00990F02">
            <w:pPr>
              <w:spacing w:after="0" w:line="240" w:lineRule="auto"/>
              <w:jc w:val="center"/>
              <w:rPr>
                <w:rFonts w:ascii="Times New Roman" w:eastAsia="Times New Roman" w:hAnsi="Times New Roman" w:cs="Times New Roman"/>
                <w:b/>
                <w:sz w:val="18"/>
                <w:szCs w:val="18"/>
              </w:rPr>
            </w:pPr>
            <w:r w:rsidRPr="00990F02">
              <w:rPr>
                <w:rFonts w:ascii="Times New Roman" w:eastAsia="Times New Roman" w:hAnsi="Times New Roman" w:cs="Times New Roman"/>
                <w:bCs/>
                <w:sz w:val="18"/>
                <w:szCs w:val="18"/>
              </w:rPr>
              <w:t>12.65±0.51</w:t>
            </w:r>
          </w:p>
        </w:tc>
        <w:tc>
          <w:tcPr>
            <w:tcW w:w="1288" w:type="dxa"/>
            <w:gridSpan w:val="2"/>
            <w:tcBorders>
              <w:top w:val="nil"/>
              <w:left w:val="nil"/>
              <w:bottom w:val="single" w:sz="8" w:space="0" w:color="000000"/>
              <w:right w:val="nil"/>
            </w:tcBorders>
            <w:shd w:val="clear" w:color="auto" w:fill="auto"/>
            <w:vAlign w:val="center"/>
          </w:tcPr>
          <w:p w14:paraId="76793A20" w14:textId="77777777" w:rsidR="00772A8A" w:rsidRPr="00990F02" w:rsidRDefault="00772A8A" w:rsidP="00990F02">
            <w:pPr>
              <w:spacing w:after="0" w:line="240" w:lineRule="auto"/>
              <w:jc w:val="center"/>
              <w:rPr>
                <w:rFonts w:ascii="Times New Roman" w:eastAsia="Times New Roman" w:hAnsi="Times New Roman" w:cs="Times New Roman"/>
                <w:bCs/>
                <w:sz w:val="18"/>
                <w:szCs w:val="18"/>
              </w:rPr>
            </w:pPr>
            <w:r w:rsidRPr="00990F02">
              <w:rPr>
                <w:rFonts w:ascii="Times New Roman" w:eastAsia="Times New Roman" w:hAnsi="Times New Roman" w:cs="Times New Roman"/>
                <w:bCs/>
                <w:sz w:val="18"/>
                <w:szCs w:val="18"/>
              </w:rPr>
              <w:t>15.15±0.94</w:t>
            </w:r>
          </w:p>
        </w:tc>
        <w:tc>
          <w:tcPr>
            <w:tcW w:w="1409" w:type="dxa"/>
            <w:gridSpan w:val="2"/>
            <w:tcBorders>
              <w:top w:val="nil"/>
              <w:left w:val="nil"/>
              <w:bottom w:val="single" w:sz="8" w:space="0" w:color="000000"/>
              <w:right w:val="nil"/>
            </w:tcBorders>
            <w:shd w:val="clear" w:color="auto" w:fill="auto"/>
            <w:vAlign w:val="center"/>
          </w:tcPr>
          <w:p w14:paraId="23B7D823"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60.26±6.64</w:t>
            </w:r>
          </w:p>
        </w:tc>
        <w:tc>
          <w:tcPr>
            <w:tcW w:w="1168" w:type="dxa"/>
            <w:gridSpan w:val="2"/>
            <w:tcBorders>
              <w:top w:val="nil"/>
              <w:left w:val="nil"/>
              <w:bottom w:val="single" w:sz="8" w:space="0" w:color="000000"/>
              <w:right w:val="nil"/>
            </w:tcBorders>
            <w:shd w:val="clear" w:color="auto" w:fill="auto"/>
            <w:vAlign w:val="center"/>
          </w:tcPr>
          <w:p w14:paraId="5EEB6997" w14:textId="77777777" w:rsidR="00772A8A" w:rsidRPr="00990F02" w:rsidRDefault="00772A8A" w:rsidP="00990F02">
            <w:pPr>
              <w:spacing w:after="0" w:line="240" w:lineRule="auto"/>
              <w:jc w:val="center"/>
              <w:rPr>
                <w:rFonts w:ascii="Times New Roman" w:eastAsia="Times New Roman" w:hAnsi="Times New Roman" w:cs="Times New Roman"/>
                <w:bCs/>
                <w:sz w:val="18"/>
                <w:szCs w:val="18"/>
              </w:rPr>
            </w:pPr>
            <w:r w:rsidRPr="00990F02">
              <w:rPr>
                <w:rFonts w:ascii="Times New Roman" w:eastAsia="Times New Roman" w:hAnsi="Times New Roman" w:cs="Times New Roman"/>
                <w:bCs/>
                <w:sz w:val="18"/>
                <w:szCs w:val="18"/>
              </w:rPr>
              <w:t>83.16±2.66</w:t>
            </w:r>
          </w:p>
        </w:tc>
        <w:tc>
          <w:tcPr>
            <w:tcW w:w="1319" w:type="dxa"/>
            <w:gridSpan w:val="2"/>
            <w:tcBorders>
              <w:top w:val="nil"/>
              <w:left w:val="nil"/>
              <w:bottom w:val="single" w:sz="8" w:space="0" w:color="000000"/>
              <w:right w:val="nil"/>
            </w:tcBorders>
            <w:shd w:val="clear" w:color="auto" w:fill="auto"/>
            <w:vAlign w:val="center"/>
          </w:tcPr>
          <w:p w14:paraId="083EAC83" w14:textId="77777777" w:rsidR="00772A8A" w:rsidRPr="00990F02" w:rsidRDefault="00772A8A" w:rsidP="00990F02">
            <w:pPr>
              <w:spacing w:after="0" w:line="240" w:lineRule="auto"/>
              <w:jc w:val="center"/>
              <w:rPr>
                <w:rFonts w:ascii="Times New Roman" w:eastAsia="Times New Roman" w:hAnsi="Times New Roman" w:cs="Times New Roman"/>
                <w:b/>
                <w:sz w:val="18"/>
                <w:szCs w:val="18"/>
              </w:rPr>
            </w:pPr>
            <w:r w:rsidRPr="00990F02">
              <w:rPr>
                <w:rFonts w:ascii="Times New Roman" w:eastAsia="Times New Roman" w:hAnsi="Times New Roman" w:cs="Times New Roman"/>
                <w:bCs/>
                <w:sz w:val="18"/>
                <w:szCs w:val="18"/>
              </w:rPr>
              <w:t>89.49±4.15</w:t>
            </w:r>
          </w:p>
        </w:tc>
        <w:tc>
          <w:tcPr>
            <w:tcW w:w="1363" w:type="dxa"/>
            <w:gridSpan w:val="2"/>
            <w:tcBorders>
              <w:top w:val="nil"/>
              <w:left w:val="nil"/>
              <w:bottom w:val="single" w:sz="8" w:space="0" w:color="000000"/>
              <w:right w:val="nil"/>
            </w:tcBorders>
            <w:shd w:val="clear" w:color="auto" w:fill="auto"/>
            <w:vAlign w:val="center"/>
          </w:tcPr>
          <w:p w14:paraId="676CCB38" w14:textId="77777777" w:rsidR="00772A8A" w:rsidRPr="00990F02" w:rsidRDefault="00772A8A" w:rsidP="00990F02">
            <w:pPr>
              <w:spacing w:after="0" w:line="240" w:lineRule="auto"/>
              <w:jc w:val="center"/>
              <w:rPr>
                <w:rFonts w:ascii="Times New Roman" w:eastAsia="Times New Roman" w:hAnsi="Times New Roman" w:cs="Times New Roman"/>
                <w:bCs/>
                <w:sz w:val="18"/>
                <w:szCs w:val="18"/>
              </w:rPr>
            </w:pPr>
            <w:r w:rsidRPr="00990F02">
              <w:rPr>
                <w:rFonts w:ascii="Times New Roman" w:eastAsia="Times New Roman" w:hAnsi="Times New Roman" w:cs="Times New Roman"/>
                <w:bCs/>
                <w:sz w:val="18"/>
                <w:szCs w:val="18"/>
              </w:rPr>
              <w:t>99.2±6.2</w:t>
            </w:r>
          </w:p>
        </w:tc>
        <w:tc>
          <w:tcPr>
            <w:tcW w:w="1349" w:type="dxa"/>
            <w:gridSpan w:val="2"/>
            <w:tcBorders>
              <w:top w:val="nil"/>
              <w:left w:val="nil"/>
              <w:bottom w:val="single" w:sz="8" w:space="0" w:color="000000"/>
              <w:right w:val="nil"/>
            </w:tcBorders>
            <w:shd w:val="clear" w:color="auto" w:fill="auto"/>
            <w:vAlign w:val="center"/>
          </w:tcPr>
          <w:p w14:paraId="53BD14EF" w14:textId="77777777" w:rsidR="00772A8A" w:rsidRPr="00990F02" w:rsidRDefault="00772A8A" w:rsidP="00990F02">
            <w:pPr>
              <w:spacing w:after="0" w:line="240" w:lineRule="auto"/>
              <w:jc w:val="center"/>
              <w:rPr>
                <w:rFonts w:ascii="Times New Roman" w:eastAsia="Times New Roman" w:hAnsi="Times New Roman" w:cs="Times New Roman"/>
                <w:bCs/>
                <w:sz w:val="18"/>
                <w:szCs w:val="18"/>
              </w:rPr>
            </w:pPr>
            <w:r w:rsidRPr="00990F02">
              <w:rPr>
                <w:rFonts w:ascii="Times New Roman" w:eastAsia="Times New Roman" w:hAnsi="Times New Roman" w:cs="Times New Roman"/>
                <w:bCs/>
                <w:sz w:val="18"/>
                <w:szCs w:val="18"/>
              </w:rPr>
              <w:t>250</w:t>
            </w:r>
            <w:r w:rsidRPr="00990F02">
              <w:rPr>
                <w:rFonts w:ascii="Times New Roman" w:eastAsia="Times New Roman" w:hAnsi="Times New Roman" w:cs="Times New Roman"/>
                <w:sz w:val="18"/>
                <w:szCs w:val="18"/>
              </w:rPr>
              <w:t>±36</w:t>
            </w:r>
          </w:p>
        </w:tc>
        <w:tc>
          <w:tcPr>
            <w:tcW w:w="1733" w:type="dxa"/>
            <w:gridSpan w:val="2"/>
            <w:tcBorders>
              <w:top w:val="nil"/>
              <w:left w:val="nil"/>
              <w:bottom w:val="single" w:sz="8" w:space="0" w:color="000000"/>
              <w:right w:val="nil"/>
            </w:tcBorders>
            <w:shd w:val="clear" w:color="auto" w:fill="auto"/>
            <w:vAlign w:val="center"/>
          </w:tcPr>
          <w:p w14:paraId="17D8FCC1" w14:textId="77777777" w:rsidR="00772A8A" w:rsidRPr="00990F02" w:rsidRDefault="00772A8A"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231.9</w:t>
            </w:r>
            <w:r w:rsidRPr="00990F02">
              <w:rPr>
                <w:rFonts w:ascii="Times New Roman" w:eastAsia="Times New Roman" w:hAnsi="Times New Roman" w:cs="Times New Roman"/>
                <w:bCs/>
                <w:sz w:val="18"/>
                <w:szCs w:val="18"/>
              </w:rPr>
              <w:t>±13.8</w:t>
            </w:r>
          </w:p>
        </w:tc>
      </w:tr>
      <w:tr w:rsidR="00990F02" w:rsidRPr="00990F02" w14:paraId="61205B5F" w14:textId="77777777" w:rsidTr="00990F02">
        <w:trPr>
          <w:trHeight w:val="254"/>
        </w:trPr>
        <w:tc>
          <w:tcPr>
            <w:tcW w:w="2109" w:type="dxa"/>
            <w:gridSpan w:val="2"/>
            <w:tcBorders>
              <w:top w:val="nil"/>
              <w:left w:val="nil"/>
              <w:bottom w:val="nil"/>
              <w:right w:val="nil"/>
            </w:tcBorders>
            <w:shd w:val="clear" w:color="auto" w:fill="auto"/>
            <w:vAlign w:val="center"/>
          </w:tcPr>
          <w:p w14:paraId="03E6F62F" w14:textId="77777777" w:rsidR="00BC252B" w:rsidRPr="00990F02" w:rsidRDefault="00BC252B" w:rsidP="00990F02">
            <w:pPr>
              <w:spacing w:after="0" w:line="240" w:lineRule="auto"/>
              <w:jc w:val="both"/>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Internal dose rate (μGy/a)</w:t>
            </w:r>
          </w:p>
        </w:tc>
        <w:tc>
          <w:tcPr>
            <w:tcW w:w="1496" w:type="dxa"/>
            <w:gridSpan w:val="2"/>
            <w:tcBorders>
              <w:top w:val="nil"/>
              <w:left w:val="nil"/>
              <w:bottom w:val="nil"/>
              <w:right w:val="nil"/>
            </w:tcBorders>
            <w:shd w:val="clear" w:color="auto" w:fill="auto"/>
            <w:vAlign w:val="center"/>
          </w:tcPr>
          <w:p w14:paraId="4E7F240B" w14:textId="72C82A82"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30±1</w:t>
            </w:r>
          </w:p>
        </w:tc>
        <w:tc>
          <w:tcPr>
            <w:tcW w:w="1288" w:type="dxa"/>
            <w:gridSpan w:val="2"/>
            <w:tcBorders>
              <w:top w:val="nil"/>
              <w:left w:val="nil"/>
              <w:bottom w:val="nil"/>
              <w:right w:val="nil"/>
            </w:tcBorders>
            <w:shd w:val="clear" w:color="auto" w:fill="auto"/>
            <w:vAlign w:val="center"/>
          </w:tcPr>
          <w:p w14:paraId="7E9691F5" w14:textId="1B88E084"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30±1</w:t>
            </w:r>
          </w:p>
        </w:tc>
        <w:tc>
          <w:tcPr>
            <w:tcW w:w="1409" w:type="dxa"/>
            <w:gridSpan w:val="2"/>
            <w:tcBorders>
              <w:top w:val="nil"/>
              <w:left w:val="nil"/>
              <w:bottom w:val="nil"/>
              <w:right w:val="nil"/>
            </w:tcBorders>
            <w:shd w:val="clear" w:color="auto" w:fill="auto"/>
            <w:vAlign w:val="center"/>
          </w:tcPr>
          <w:p w14:paraId="716A6DA5" w14:textId="176AD573"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30±1</w:t>
            </w:r>
          </w:p>
        </w:tc>
        <w:tc>
          <w:tcPr>
            <w:tcW w:w="1168" w:type="dxa"/>
            <w:gridSpan w:val="2"/>
            <w:tcBorders>
              <w:top w:val="nil"/>
              <w:left w:val="nil"/>
              <w:bottom w:val="nil"/>
              <w:right w:val="nil"/>
            </w:tcBorders>
            <w:shd w:val="clear" w:color="auto" w:fill="auto"/>
            <w:vAlign w:val="center"/>
          </w:tcPr>
          <w:p w14:paraId="1AFD46B5" w14:textId="161C420F"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30±1</w:t>
            </w:r>
          </w:p>
        </w:tc>
        <w:tc>
          <w:tcPr>
            <w:tcW w:w="1319" w:type="dxa"/>
            <w:gridSpan w:val="2"/>
            <w:tcBorders>
              <w:top w:val="nil"/>
              <w:left w:val="nil"/>
              <w:bottom w:val="nil"/>
              <w:right w:val="nil"/>
            </w:tcBorders>
            <w:shd w:val="clear" w:color="auto" w:fill="auto"/>
            <w:vAlign w:val="center"/>
          </w:tcPr>
          <w:p w14:paraId="018E59A9" w14:textId="228A62B2"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30±1</w:t>
            </w:r>
          </w:p>
        </w:tc>
        <w:tc>
          <w:tcPr>
            <w:tcW w:w="1363" w:type="dxa"/>
            <w:gridSpan w:val="2"/>
            <w:tcBorders>
              <w:top w:val="nil"/>
              <w:left w:val="nil"/>
              <w:bottom w:val="nil"/>
              <w:right w:val="nil"/>
            </w:tcBorders>
            <w:shd w:val="clear" w:color="auto" w:fill="auto"/>
            <w:vAlign w:val="center"/>
          </w:tcPr>
          <w:p w14:paraId="4D125BF2" w14:textId="3CBA0E09"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30±1</w:t>
            </w:r>
          </w:p>
        </w:tc>
        <w:tc>
          <w:tcPr>
            <w:tcW w:w="1349" w:type="dxa"/>
            <w:gridSpan w:val="2"/>
            <w:tcBorders>
              <w:top w:val="nil"/>
              <w:left w:val="nil"/>
              <w:bottom w:val="nil"/>
              <w:right w:val="nil"/>
            </w:tcBorders>
            <w:shd w:val="clear" w:color="auto" w:fill="auto"/>
            <w:vAlign w:val="center"/>
          </w:tcPr>
          <w:p w14:paraId="545E2B8E" w14:textId="08787A5D"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30±1</w:t>
            </w:r>
          </w:p>
        </w:tc>
        <w:tc>
          <w:tcPr>
            <w:tcW w:w="1733" w:type="dxa"/>
            <w:gridSpan w:val="2"/>
            <w:tcBorders>
              <w:top w:val="nil"/>
              <w:left w:val="nil"/>
              <w:bottom w:val="nil"/>
              <w:right w:val="nil"/>
            </w:tcBorders>
            <w:shd w:val="clear" w:color="auto" w:fill="auto"/>
            <w:vAlign w:val="center"/>
          </w:tcPr>
          <w:p w14:paraId="3BB9C752" w14:textId="06609FDC"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30±1</w:t>
            </w:r>
          </w:p>
        </w:tc>
      </w:tr>
      <w:tr w:rsidR="00990F02" w:rsidRPr="00990F02" w14:paraId="7F6A0940" w14:textId="77777777" w:rsidTr="00990F02">
        <w:trPr>
          <w:trHeight w:val="254"/>
        </w:trPr>
        <w:tc>
          <w:tcPr>
            <w:tcW w:w="2109" w:type="dxa"/>
            <w:gridSpan w:val="2"/>
            <w:tcBorders>
              <w:top w:val="nil"/>
              <w:left w:val="nil"/>
              <w:bottom w:val="nil"/>
              <w:right w:val="nil"/>
            </w:tcBorders>
            <w:shd w:val="clear" w:color="auto" w:fill="auto"/>
            <w:vAlign w:val="center"/>
          </w:tcPr>
          <w:p w14:paraId="315E2966" w14:textId="77777777" w:rsidR="00BC252B" w:rsidRPr="00990F02" w:rsidRDefault="00BC252B" w:rsidP="00990F02">
            <w:pPr>
              <w:spacing w:after="0" w:line="240" w:lineRule="auto"/>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Alpha dose rate (μGy/a)</w:t>
            </w:r>
          </w:p>
        </w:tc>
        <w:tc>
          <w:tcPr>
            <w:tcW w:w="1496" w:type="dxa"/>
            <w:gridSpan w:val="2"/>
            <w:tcBorders>
              <w:top w:val="nil"/>
              <w:left w:val="nil"/>
              <w:bottom w:val="nil"/>
              <w:right w:val="nil"/>
            </w:tcBorders>
            <w:shd w:val="clear" w:color="auto" w:fill="auto"/>
            <w:vAlign w:val="center"/>
          </w:tcPr>
          <w:p w14:paraId="0466F863" w14:textId="05794993"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16±2</w:t>
            </w:r>
          </w:p>
        </w:tc>
        <w:tc>
          <w:tcPr>
            <w:tcW w:w="1288" w:type="dxa"/>
            <w:gridSpan w:val="2"/>
            <w:tcBorders>
              <w:top w:val="nil"/>
              <w:left w:val="nil"/>
              <w:bottom w:val="nil"/>
              <w:right w:val="nil"/>
            </w:tcBorders>
            <w:shd w:val="clear" w:color="auto" w:fill="auto"/>
            <w:vAlign w:val="center"/>
          </w:tcPr>
          <w:p w14:paraId="7D53A8A1" w14:textId="5F8E7817"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16±2</w:t>
            </w:r>
          </w:p>
        </w:tc>
        <w:tc>
          <w:tcPr>
            <w:tcW w:w="1409" w:type="dxa"/>
            <w:gridSpan w:val="2"/>
            <w:tcBorders>
              <w:top w:val="nil"/>
              <w:left w:val="nil"/>
              <w:bottom w:val="nil"/>
              <w:right w:val="nil"/>
            </w:tcBorders>
            <w:shd w:val="clear" w:color="auto" w:fill="auto"/>
            <w:vAlign w:val="center"/>
          </w:tcPr>
          <w:p w14:paraId="0D793150" w14:textId="195D1C99"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22±2</w:t>
            </w:r>
          </w:p>
        </w:tc>
        <w:tc>
          <w:tcPr>
            <w:tcW w:w="1168" w:type="dxa"/>
            <w:gridSpan w:val="2"/>
            <w:tcBorders>
              <w:top w:val="nil"/>
              <w:left w:val="nil"/>
              <w:bottom w:val="nil"/>
              <w:right w:val="nil"/>
            </w:tcBorders>
            <w:shd w:val="clear" w:color="auto" w:fill="auto"/>
            <w:vAlign w:val="center"/>
          </w:tcPr>
          <w:p w14:paraId="7D65713F" w14:textId="4C8B0BAC"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26±3</w:t>
            </w:r>
          </w:p>
        </w:tc>
        <w:tc>
          <w:tcPr>
            <w:tcW w:w="1319" w:type="dxa"/>
            <w:gridSpan w:val="2"/>
            <w:tcBorders>
              <w:top w:val="nil"/>
              <w:left w:val="nil"/>
              <w:bottom w:val="nil"/>
              <w:right w:val="nil"/>
            </w:tcBorders>
            <w:shd w:val="clear" w:color="auto" w:fill="auto"/>
            <w:vAlign w:val="center"/>
          </w:tcPr>
          <w:p w14:paraId="37B67E04" w14:textId="2AC43276"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23±2</w:t>
            </w:r>
          </w:p>
        </w:tc>
        <w:tc>
          <w:tcPr>
            <w:tcW w:w="1363" w:type="dxa"/>
            <w:gridSpan w:val="2"/>
            <w:tcBorders>
              <w:top w:val="nil"/>
              <w:left w:val="nil"/>
              <w:bottom w:val="nil"/>
              <w:right w:val="nil"/>
            </w:tcBorders>
            <w:shd w:val="clear" w:color="auto" w:fill="auto"/>
            <w:vAlign w:val="center"/>
          </w:tcPr>
          <w:p w14:paraId="6F0D2A4E" w14:textId="36DDAD04"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22±2</w:t>
            </w:r>
          </w:p>
        </w:tc>
        <w:tc>
          <w:tcPr>
            <w:tcW w:w="1349" w:type="dxa"/>
            <w:gridSpan w:val="2"/>
            <w:tcBorders>
              <w:top w:val="nil"/>
              <w:left w:val="nil"/>
              <w:bottom w:val="nil"/>
              <w:right w:val="nil"/>
            </w:tcBorders>
            <w:shd w:val="clear" w:color="auto" w:fill="auto"/>
            <w:vAlign w:val="center"/>
          </w:tcPr>
          <w:p w14:paraId="671CDDC8" w14:textId="3B82858F"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22±2</w:t>
            </w:r>
          </w:p>
        </w:tc>
        <w:tc>
          <w:tcPr>
            <w:tcW w:w="1733" w:type="dxa"/>
            <w:gridSpan w:val="2"/>
            <w:tcBorders>
              <w:top w:val="nil"/>
              <w:left w:val="nil"/>
              <w:bottom w:val="nil"/>
              <w:right w:val="nil"/>
            </w:tcBorders>
            <w:shd w:val="clear" w:color="auto" w:fill="auto"/>
            <w:vAlign w:val="center"/>
          </w:tcPr>
          <w:p w14:paraId="59752DC7" w14:textId="5E80C74B"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21±2</w:t>
            </w:r>
          </w:p>
        </w:tc>
      </w:tr>
      <w:tr w:rsidR="00990F02" w:rsidRPr="00990F02" w14:paraId="209690CA" w14:textId="77777777" w:rsidTr="00990F02">
        <w:trPr>
          <w:trHeight w:val="254"/>
        </w:trPr>
        <w:tc>
          <w:tcPr>
            <w:tcW w:w="2109" w:type="dxa"/>
            <w:gridSpan w:val="2"/>
            <w:tcBorders>
              <w:top w:val="nil"/>
              <w:left w:val="nil"/>
              <w:bottom w:val="nil"/>
              <w:right w:val="nil"/>
            </w:tcBorders>
            <w:shd w:val="clear" w:color="auto" w:fill="auto"/>
            <w:vAlign w:val="center"/>
          </w:tcPr>
          <w:p w14:paraId="21F1D3EA" w14:textId="77777777" w:rsidR="00BC252B" w:rsidRPr="00990F02" w:rsidRDefault="00BC252B" w:rsidP="00990F02">
            <w:pPr>
              <w:spacing w:after="0" w:line="240" w:lineRule="auto"/>
              <w:jc w:val="both"/>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 xml:space="preserve">Beta dose rate (μGy/a) </w:t>
            </w:r>
          </w:p>
        </w:tc>
        <w:tc>
          <w:tcPr>
            <w:tcW w:w="1496" w:type="dxa"/>
            <w:gridSpan w:val="2"/>
            <w:tcBorders>
              <w:top w:val="nil"/>
              <w:left w:val="nil"/>
              <w:bottom w:val="nil"/>
              <w:right w:val="nil"/>
            </w:tcBorders>
            <w:shd w:val="clear" w:color="auto" w:fill="auto"/>
            <w:vAlign w:val="center"/>
          </w:tcPr>
          <w:p w14:paraId="555B6EA1" w14:textId="6D53833A"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297±25</w:t>
            </w:r>
          </w:p>
        </w:tc>
        <w:tc>
          <w:tcPr>
            <w:tcW w:w="1288" w:type="dxa"/>
            <w:gridSpan w:val="2"/>
            <w:tcBorders>
              <w:top w:val="nil"/>
              <w:left w:val="nil"/>
              <w:bottom w:val="nil"/>
              <w:right w:val="nil"/>
            </w:tcBorders>
            <w:shd w:val="clear" w:color="auto" w:fill="auto"/>
            <w:vAlign w:val="center"/>
          </w:tcPr>
          <w:p w14:paraId="2FB0004A" w14:textId="2AE36E67"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290±25</w:t>
            </w:r>
          </w:p>
        </w:tc>
        <w:tc>
          <w:tcPr>
            <w:tcW w:w="1409" w:type="dxa"/>
            <w:gridSpan w:val="2"/>
            <w:tcBorders>
              <w:top w:val="nil"/>
              <w:left w:val="nil"/>
              <w:bottom w:val="nil"/>
              <w:right w:val="nil"/>
            </w:tcBorders>
            <w:shd w:val="clear" w:color="auto" w:fill="auto"/>
            <w:vAlign w:val="center"/>
          </w:tcPr>
          <w:p w14:paraId="0E07DCA5" w14:textId="48E1935D"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394±27</w:t>
            </w:r>
          </w:p>
        </w:tc>
        <w:tc>
          <w:tcPr>
            <w:tcW w:w="1168" w:type="dxa"/>
            <w:gridSpan w:val="2"/>
            <w:tcBorders>
              <w:top w:val="nil"/>
              <w:left w:val="nil"/>
              <w:bottom w:val="nil"/>
              <w:right w:val="nil"/>
            </w:tcBorders>
            <w:shd w:val="clear" w:color="auto" w:fill="auto"/>
            <w:vAlign w:val="center"/>
          </w:tcPr>
          <w:p w14:paraId="5EA85D89" w14:textId="5BF4CBD5"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478±33</w:t>
            </w:r>
          </w:p>
        </w:tc>
        <w:tc>
          <w:tcPr>
            <w:tcW w:w="1319" w:type="dxa"/>
            <w:gridSpan w:val="2"/>
            <w:tcBorders>
              <w:top w:val="nil"/>
              <w:left w:val="nil"/>
              <w:bottom w:val="nil"/>
              <w:right w:val="nil"/>
            </w:tcBorders>
            <w:shd w:val="clear" w:color="auto" w:fill="auto"/>
            <w:vAlign w:val="center"/>
          </w:tcPr>
          <w:p w14:paraId="7C19486D" w14:textId="036F5596"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428±28</w:t>
            </w:r>
          </w:p>
        </w:tc>
        <w:tc>
          <w:tcPr>
            <w:tcW w:w="1363" w:type="dxa"/>
            <w:gridSpan w:val="2"/>
            <w:tcBorders>
              <w:top w:val="nil"/>
              <w:left w:val="nil"/>
              <w:bottom w:val="nil"/>
              <w:right w:val="nil"/>
            </w:tcBorders>
            <w:shd w:val="clear" w:color="auto" w:fill="auto"/>
            <w:vAlign w:val="center"/>
          </w:tcPr>
          <w:p w14:paraId="70FC80DF" w14:textId="7EE910BA"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395±27</w:t>
            </w:r>
          </w:p>
        </w:tc>
        <w:tc>
          <w:tcPr>
            <w:tcW w:w="1349" w:type="dxa"/>
            <w:gridSpan w:val="2"/>
            <w:tcBorders>
              <w:top w:val="nil"/>
              <w:left w:val="nil"/>
              <w:bottom w:val="nil"/>
              <w:right w:val="nil"/>
            </w:tcBorders>
            <w:shd w:val="clear" w:color="auto" w:fill="auto"/>
            <w:vAlign w:val="center"/>
          </w:tcPr>
          <w:p w14:paraId="21E8CDD8" w14:textId="30A8C824"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403±27</w:t>
            </w:r>
          </w:p>
        </w:tc>
        <w:tc>
          <w:tcPr>
            <w:tcW w:w="1733" w:type="dxa"/>
            <w:gridSpan w:val="2"/>
            <w:tcBorders>
              <w:top w:val="nil"/>
              <w:left w:val="nil"/>
              <w:bottom w:val="nil"/>
              <w:right w:val="nil"/>
            </w:tcBorders>
            <w:shd w:val="clear" w:color="auto" w:fill="auto"/>
            <w:vAlign w:val="center"/>
          </w:tcPr>
          <w:p w14:paraId="7B2DA16B" w14:textId="2EA771BE"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395±27</w:t>
            </w:r>
          </w:p>
        </w:tc>
      </w:tr>
      <w:tr w:rsidR="00990F02" w:rsidRPr="00990F02" w14:paraId="7952A275" w14:textId="77777777" w:rsidTr="00990F02">
        <w:trPr>
          <w:trHeight w:val="254"/>
        </w:trPr>
        <w:tc>
          <w:tcPr>
            <w:tcW w:w="2109" w:type="dxa"/>
            <w:gridSpan w:val="2"/>
            <w:tcBorders>
              <w:top w:val="nil"/>
              <w:left w:val="nil"/>
              <w:bottom w:val="nil"/>
              <w:right w:val="nil"/>
            </w:tcBorders>
            <w:shd w:val="clear" w:color="auto" w:fill="auto"/>
            <w:vAlign w:val="center"/>
          </w:tcPr>
          <w:p w14:paraId="4B3D663B" w14:textId="77777777" w:rsidR="00BC252B" w:rsidRPr="00990F02" w:rsidRDefault="00BC252B" w:rsidP="00990F02">
            <w:pPr>
              <w:spacing w:after="0" w:line="240" w:lineRule="auto"/>
              <w:jc w:val="both"/>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Gamma dose rate (μGy/a)</w:t>
            </w:r>
          </w:p>
        </w:tc>
        <w:tc>
          <w:tcPr>
            <w:tcW w:w="1496" w:type="dxa"/>
            <w:gridSpan w:val="2"/>
            <w:tcBorders>
              <w:top w:val="nil"/>
              <w:left w:val="nil"/>
              <w:bottom w:val="nil"/>
              <w:right w:val="nil"/>
            </w:tcBorders>
            <w:shd w:val="clear" w:color="auto" w:fill="auto"/>
            <w:vAlign w:val="center"/>
          </w:tcPr>
          <w:p w14:paraId="0D87BEE7" w14:textId="61DB8164"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403±36</w:t>
            </w:r>
          </w:p>
        </w:tc>
        <w:tc>
          <w:tcPr>
            <w:tcW w:w="1288" w:type="dxa"/>
            <w:gridSpan w:val="2"/>
            <w:tcBorders>
              <w:top w:val="nil"/>
              <w:left w:val="nil"/>
              <w:bottom w:val="nil"/>
              <w:right w:val="nil"/>
            </w:tcBorders>
            <w:shd w:val="clear" w:color="auto" w:fill="auto"/>
            <w:vAlign w:val="center"/>
          </w:tcPr>
          <w:p w14:paraId="2BB352C0" w14:textId="258B07BB"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411±36</w:t>
            </w:r>
          </w:p>
        </w:tc>
        <w:tc>
          <w:tcPr>
            <w:tcW w:w="1409" w:type="dxa"/>
            <w:gridSpan w:val="2"/>
            <w:tcBorders>
              <w:top w:val="nil"/>
              <w:left w:val="nil"/>
              <w:bottom w:val="nil"/>
              <w:right w:val="nil"/>
            </w:tcBorders>
            <w:shd w:val="clear" w:color="auto" w:fill="auto"/>
            <w:vAlign w:val="center"/>
          </w:tcPr>
          <w:p w14:paraId="197A5762" w14:textId="149E7DD2"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563±31</w:t>
            </w:r>
          </w:p>
        </w:tc>
        <w:tc>
          <w:tcPr>
            <w:tcW w:w="1168" w:type="dxa"/>
            <w:gridSpan w:val="2"/>
            <w:tcBorders>
              <w:top w:val="nil"/>
              <w:left w:val="nil"/>
              <w:bottom w:val="nil"/>
              <w:right w:val="nil"/>
            </w:tcBorders>
            <w:shd w:val="clear" w:color="auto" w:fill="auto"/>
            <w:vAlign w:val="center"/>
          </w:tcPr>
          <w:p w14:paraId="057716F5" w14:textId="01F72AD9"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682±37</w:t>
            </w:r>
          </w:p>
        </w:tc>
        <w:tc>
          <w:tcPr>
            <w:tcW w:w="1319" w:type="dxa"/>
            <w:gridSpan w:val="2"/>
            <w:tcBorders>
              <w:top w:val="nil"/>
              <w:left w:val="nil"/>
              <w:bottom w:val="nil"/>
              <w:right w:val="nil"/>
            </w:tcBorders>
            <w:shd w:val="clear" w:color="auto" w:fill="auto"/>
            <w:vAlign w:val="center"/>
          </w:tcPr>
          <w:p w14:paraId="44B86C00" w14:textId="0C581555"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600±32</w:t>
            </w:r>
          </w:p>
        </w:tc>
        <w:tc>
          <w:tcPr>
            <w:tcW w:w="1363" w:type="dxa"/>
            <w:gridSpan w:val="2"/>
            <w:tcBorders>
              <w:top w:val="nil"/>
              <w:left w:val="nil"/>
              <w:bottom w:val="nil"/>
              <w:right w:val="nil"/>
            </w:tcBorders>
            <w:shd w:val="clear" w:color="auto" w:fill="auto"/>
            <w:vAlign w:val="center"/>
          </w:tcPr>
          <w:p w14:paraId="72142246" w14:textId="1FEBD95D"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580±31</w:t>
            </w:r>
          </w:p>
        </w:tc>
        <w:tc>
          <w:tcPr>
            <w:tcW w:w="1349" w:type="dxa"/>
            <w:gridSpan w:val="2"/>
            <w:tcBorders>
              <w:top w:val="nil"/>
              <w:left w:val="nil"/>
              <w:bottom w:val="nil"/>
              <w:right w:val="nil"/>
            </w:tcBorders>
            <w:shd w:val="clear" w:color="auto" w:fill="auto"/>
            <w:vAlign w:val="center"/>
          </w:tcPr>
          <w:p w14:paraId="0973D550" w14:textId="004F7D62"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580±31</w:t>
            </w:r>
          </w:p>
        </w:tc>
        <w:tc>
          <w:tcPr>
            <w:tcW w:w="1733" w:type="dxa"/>
            <w:gridSpan w:val="2"/>
            <w:tcBorders>
              <w:top w:val="nil"/>
              <w:left w:val="nil"/>
              <w:bottom w:val="nil"/>
              <w:right w:val="nil"/>
            </w:tcBorders>
            <w:shd w:val="clear" w:color="auto" w:fill="auto"/>
            <w:vAlign w:val="center"/>
          </w:tcPr>
          <w:p w14:paraId="3BCB1788" w14:textId="367DC065"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561±30</w:t>
            </w:r>
          </w:p>
        </w:tc>
      </w:tr>
      <w:tr w:rsidR="00990F02" w:rsidRPr="00990F02" w14:paraId="223F96CE" w14:textId="77777777" w:rsidTr="00990F02">
        <w:trPr>
          <w:trHeight w:val="254"/>
        </w:trPr>
        <w:tc>
          <w:tcPr>
            <w:tcW w:w="2109" w:type="dxa"/>
            <w:gridSpan w:val="2"/>
            <w:tcBorders>
              <w:top w:val="nil"/>
              <w:left w:val="nil"/>
              <w:bottom w:val="nil"/>
              <w:right w:val="nil"/>
            </w:tcBorders>
            <w:shd w:val="clear" w:color="auto" w:fill="auto"/>
            <w:vAlign w:val="center"/>
          </w:tcPr>
          <w:p w14:paraId="722F4B7A" w14:textId="77777777" w:rsidR="00BC252B" w:rsidRPr="00990F02" w:rsidRDefault="00BC252B" w:rsidP="00990F02">
            <w:pPr>
              <w:spacing w:after="0" w:line="240" w:lineRule="auto"/>
              <w:jc w:val="both"/>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Cosmic dose rate (μGy/a)</w:t>
            </w:r>
          </w:p>
        </w:tc>
        <w:tc>
          <w:tcPr>
            <w:tcW w:w="1496" w:type="dxa"/>
            <w:gridSpan w:val="2"/>
            <w:tcBorders>
              <w:top w:val="nil"/>
              <w:left w:val="nil"/>
              <w:bottom w:val="nil"/>
              <w:right w:val="nil"/>
            </w:tcBorders>
            <w:shd w:val="clear" w:color="auto" w:fill="auto"/>
            <w:vAlign w:val="center"/>
          </w:tcPr>
          <w:p w14:paraId="1B6F7398" w14:textId="3932E2AA"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177±18</w:t>
            </w:r>
          </w:p>
        </w:tc>
        <w:tc>
          <w:tcPr>
            <w:tcW w:w="1288" w:type="dxa"/>
            <w:gridSpan w:val="2"/>
            <w:tcBorders>
              <w:top w:val="nil"/>
              <w:left w:val="nil"/>
              <w:bottom w:val="nil"/>
              <w:right w:val="nil"/>
            </w:tcBorders>
            <w:shd w:val="clear" w:color="auto" w:fill="auto"/>
            <w:vAlign w:val="center"/>
          </w:tcPr>
          <w:p w14:paraId="1DB253D4" w14:textId="6C0093BD"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170±17</w:t>
            </w:r>
          </w:p>
        </w:tc>
        <w:tc>
          <w:tcPr>
            <w:tcW w:w="1409" w:type="dxa"/>
            <w:gridSpan w:val="2"/>
            <w:tcBorders>
              <w:top w:val="nil"/>
              <w:left w:val="nil"/>
              <w:bottom w:val="nil"/>
              <w:right w:val="nil"/>
            </w:tcBorders>
            <w:shd w:val="clear" w:color="auto" w:fill="auto"/>
            <w:vAlign w:val="center"/>
          </w:tcPr>
          <w:p w14:paraId="5D46BC0A" w14:textId="7E746657"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176±18</w:t>
            </w:r>
          </w:p>
        </w:tc>
        <w:tc>
          <w:tcPr>
            <w:tcW w:w="1168" w:type="dxa"/>
            <w:gridSpan w:val="2"/>
            <w:tcBorders>
              <w:top w:val="nil"/>
              <w:left w:val="nil"/>
              <w:bottom w:val="nil"/>
              <w:right w:val="nil"/>
            </w:tcBorders>
            <w:shd w:val="clear" w:color="auto" w:fill="auto"/>
            <w:vAlign w:val="center"/>
          </w:tcPr>
          <w:p w14:paraId="7DA8A52B" w14:textId="236FB489"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168±17</w:t>
            </w:r>
          </w:p>
        </w:tc>
        <w:tc>
          <w:tcPr>
            <w:tcW w:w="1319" w:type="dxa"/>
            <w:gridSpan w:val="2"/>
            <w:tcBorders>
              <w:top w:val="nil"/>
              <w:left w:val="nil"/>
              <w:bottom w:val="nil"/>
              <w:right w:val="nil"/>
            </w:tcBorders>
            <w:shd w:val="clear" w:color="auto" w:fill="auto"/>
            <w:vAlign w:val="center"/>
          </w:tcPr>
          <w:p w14:paraId="49D56525" w14:textId="7D57907A"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154±15</w:t>
            </w:r>
          </w:p>
        </w:tc>
        <w:tc>
          <w:tcPr>
            <w:tcW w:w="1363" w:type="dxa"/>
            <w:gridSpan w:val="2"/>
            <w:tcBorders>
              <w:top w:val="nil"/>
              <w:left w:val="nil"/>
              <w:bottom w:val="nil"/>
              <w:right w:val="nil"/>
            </w:tcBorders>
            <w:shd w:val="clear" w:color="auto" w:fill="auto"/>
            <w:vAlign w:val="center"/>
          </w:tcPr>
          <w:p w14:paraId="1A962678" w14:textId="163EA0E2"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140±14</w:t>
            </w:r>
          </w:p>
        </w:tc>
        <w:tc>
          <w:tcPr>
            <w:tcW w:w="1349" w:type="dxa"/>
            <w:gridSpan w:val="2"/>
            <w:tcBorders>
              <w:top w:val="nil"/>
              <w:left w:val="nil"/>
              <w:bottom w:val="nil"/>
              <w:right w:val="nil"/>
            </w:tcBorders>
            <w:shd w:val="clear" w:color="auto" w:fill="auto"/>
            <w:vAlign w:val="center"/>
          </w:tcPr>
          <w:p w14:paraId="0D4E7DE6" w14:textId="7BB94013"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123±12</w:t>
            </w:r>
          </w:p>
        </w:tc>
        <w:tc>
          <w:tcPr>
            <w:tcW w:w="1733" w:type="dxa"/>
            <w:gridSpan w:val="2"/>
            <w:tcBorders>
              <w:top w:val="nil"/>
              <w:left w:val="nil"/>
              <w:bottom w:val="nil"/>
              <w:right w:val="nil"/>
            </w:tcBorders>
            <w:shd w:val="clear" w:color="auto" w:fill="auto"/>
            <w:vAlign w:val="center"/>
          </w:tcPr>
          <w:p w14:paraId="17408BCB" w14:textId="7390A8FC"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109±11</w:t>
            </w:r>
          </w:p>
        </w:tc>
      </w:tr>
      <w:tr w:rsidR="00990F02" w:rsidRPr="00990F02" w14:paraId="6A073974" w14:textId="77777777" w:rsidTr="00990F02">
        <w:trPr>
          <w:trHeight w:val="254"/>
        </w:trPr>
        <w:tc>
          <w:tcPr>
            <w:tcW w:w="2109" w:type="dxa"/>
            <w:gridSpan w:val="2"/>
            <w:tcBorders>
              <w:top w:val="nil"/>
              <w:left w:val="nil"/>
              <w:bottom w:val="nil"/>
              <w:right w:val="nil"/>
            </w:tcBorders>
            <w:shd w:val="clear" w:color="auto" w:fill="auto"/>
            <w:vAlign w:val="center"/>
          </w:tcPr>
          <w:p w14:paraId="7C892F2E" w14:textId="77777777" w:rsidR="00BC252B" w:rsidRPr="00990F02" w:rsidRDefault="00BC252B" w:rsidP="00990F02">
            <w:pPr>
              <w:spacing w:after="0" w:line="240" w:lineRule="auto"/>
              <w:jc w:val="both"/>
              <w:rPr>
                <w:rFonts w:ascii="Times New Roman" w:eastAsia="Times New Roman" w:hAnsi="Times New Roman" w:cs="Times New Roman"/>
                <w:sz w:val="18"/>
                <w:szCs w:val="18"/>
              </w:rPr>
            </w:pPr>
            <w:r w:rsidRPr="00990F02">
              <w:rPr>
                <w:rFonts w:ascii="Times New Roman" w:eastAsia="Times New Roman" w:hAnsi="Times New Roman" w:cs="Times New Roman"/>
                <w:sz w:val="18"/>
                <w:szCs w:val="18"/>
              </w:rPr>
              <w:t>Total dose rate (μGy/a)</w:t>
            </w:r>
          </w:p>
        </w:tc>
        <w:tc>
          <w:tcPr>
            <w:tcW w:w="1496" w:type="dxa"/>
            <w:gridSpan w:val="2"/>
            <w:tcBorders>
              <w:top w:val="nil"/>
              <w:left w:val="nil"/>
              <w:bottom w:val="nil"/>
              <w:right w:val="nil"/>
            </w:tcBorders>
            <w:shd w:val="clear" w:color="auto" w:fill="auto"/>
            <w:vAlign w:val="center"/>
          </w:tcPr>
          <w:p w14:paraId="35E3E974" w14:textId="3E2CCF67"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923±48</w:t>
            </w:r>
          </w:p>
        </w:tc>
        <w:tc>
          <w:tcPr>
            <w:tcW w:w="1288" w:type="dxa"/>
            <w:gridSpan w:val="2"/>
            <w:tcBorders>
              <w:top w:val="nil"/>
              <w:left w:val="nil"/>
              <w:bottom w:val="nil"/>
              <w:right w:val="nil"/>
            </w:tcBorders>
            <w:shd w:val="clear" w:color="auto" w:fill="auto"/>
            <w:vAlign w:val="center"/>
          </w:tcPr>
          <w:p w14:paraId="037FD6CB" w14:textId="47193572"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917±48</w:t>
            </w:r>
          </w:p>
        </w:tc>
        <w:tc>
          <w:tcPr>
            <w:tcW w:w="1409" w:type="dxa"/>
            <w:gridSpan w:val="2"/>
            <w:tcBorders>
              <w:top w:val="nil"/>
              <w:left w:val="nil"/>
              <w:bottom w:val="nil"/>
              <w:right w:val="nil"/>
            </w:tcBorders>
            <w:shd w:val="clear" w:color="auto" w:fill="auto"/>
            <w:vAlign w:val="center"/>
          </w:tcPr>
          <w:p w14:paraId="5A5FE071" w14:textId="61DA4E15"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1185±46</w:t>
            </w:r>
          </w:p>
        </w:tc>
        <w:tc>
          <w:tcPr>
            <w:tcW w:w="1168" w:type="dxa"/>
            <w:gridSpan w:val="2"/>
            <w:tcBorders>
              <w:top w:val="nil"/>
              <w:left w:val="nil"/>
              <w:bottom w:val="nil"/>
              <w:right w:val="nil"/>
            </w:tcBorders>
            <w:shd w:val="clear" w:color="auto" w:fill="auto"/>
            <w:vAlign w:val="center"/>
          </w:tcPr>
          <w:p w14:paraId="2B323FD2" w14:textId="05CD9FD7"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1385±53</w:t>
            </w:r>
          </w:p>
        </w:tc>
        <w:tc>
          <w:tcPr>
            <w:tcW w:w="1319" w:type="dxa"/>
            <w:gridSpan w:val="2"/>
            <w:tcBorders>
              <w:top w:val="nil"/>
              <w:left w:val="nil"/>
              <w:bottom w:val="nil"/>
              <w:right w:val="nil"/>
            </w:tcBorders>
            <w:shd w:val="clear" w:color="auto" w:fill="auto"/>
            <w:vAlign w:val="center"/>
          </w:tcPr>
          <w:p w14:paraId="41C71CED" w14:textId="259B1FBD"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1234±47</w:t>
            </w:r>
          </w:p>
        </w:tc>
        <w:tc>
          <w:tcPr>
            <w:tcW w:w="1363" w:type="dxa"/>
            <w:gridSpan w:val="2"/>
            <w:tcBorders>
              <w:top w:val="nil"/>
              <w:left w:val="nil"/>
              <w:bottom w:val="nil"/>
              <w:right w:val="nil"/>
            </w:tcBorders>
            <w:shd w:val="clear" w:color="auto" w:fill="auto"/>
            <w:vAlign w:val="center"/>
          </w:tcPr>
          <w:p w14:paraId="0EAD8E70" w14:textId="41710883"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1167±45</w:t>
            </w:r>
          </w:p>
        </w:tc>
        <w:tc>
          <w:tcPr>
            <w:tcW w:w="1349" w:type="dxa"/>
            <w:gridSpan w:val="2"/>
            <w:tcBorders>
              <w:top w:val="nil"/>
              <w:left w:val="nil"/>
              <w:bottom w:val="nil"/>
              <w:right w:val="nil"/>
            </w:tcBorders>
            <w:shd w:val="clear" w:color="auto" w:fill="auto"/>
            <w:vAlign w:val="center"/>
          </w:tcPr>
          <w:p w14:paraId="333E061A" w14:textId="132CB7A6"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1158±44</w:t>
            </w:r>
          </w:p>
        </w:tc>
        <w:tc>
          <w:tcPr>
            <w:tcW w:w="1733" w:type="dxa"/>
            <w:gridSpan w:val="2"/>
            <w:tcBorders>
              <w:top w:val="nil"/>
              <w:left w:val="nil"/>
              <w:bottom w:val="nil"/>
              <w:right w:val="nil"/>
            </w:tcBorders>
            <w:shd w:val="clear" w:color="auto" w:fill="auto"/>
            <w:vAlign w:val="center"/>
          </w:tcPr>
          <w:p w14:paraId="6D7CDBC0" w14:textId="24950EF2" w:rsidR="00BC252B" w:rsidRPr="00990F02" w:rsidRDefault="00BC252B" w:rsidP="00990F02">
            <w:pPr>
              <w:spacing w:after="0" w:line="240" w:lineRule="auto"/>
              <w:jc w:val="center"/>
              <w:rPr>
                <w:rFonts w:ascii="Times New Roman" w:eastAsia="Times New Roman" w:hAnsi="Times New Roman" w:cs="Times New Roman"/>
                <w:sz w:val="18"/>
                <w:szCs w:val="18"/>
              </w:rPr>
            </w:pPr>
            <w:r w:rsidRPr="00990F02">
              <w:rPr>
                <w:rFonts w:ascii="Times New Roman" w:eastAsia="Times New Roman" w:hAnsi="Times New Roman" w:cs="Times New Roman"/>
                <w:color w:val="000000"/>
                <w:sz w:val="18"/>
                <w:szCs w:val="18"/>
              </w:rPr>
              <w:t>1116±43</w:t>
            </w:r>
          </w:p>
        </w:tc>
      </w:tr>
      <w:tr w:rsidR="00990F02" w:rsidRPr="00990F02" w14:paraId="72C39644" w14:textId="77777777" w:rsidTr="00990F02">
        <w:trPr>
          <w:trHeight w:val="272"/>
        </w:trPr>
        <w:tc>
          <w:tcPr>
            <w:tcW w:w="2109" w:type="dxa"/>
            <w:gridSpan w:val="2"/>
            <w:tcBorders>
              <w:top w:val="nil"/>
              <w:left w:val="nil"/>
              <w:bottom w:val="nil"/>
              <w:right w:val="nil"/>
            </w:tcBorders>
            <w:shd w:val="clear" w:color="auto" w:fill="auto"/>
            <w:vAlign w:val="center"/>
          </w:tcPr>
          <w:p w14:paraId="6E539696" w14:textId="77777777" w:rsidR="00772A8A" w:rsidRPr="00990F02" w:rsidRDefault="00772A8A" w:rsidP="00990F02">
            <w:pPr>
              <w:spacing w:after="0" w:line="240" w:lineRule="auto"/>
              <w:jc w:val="both"/>
              <w:rPr>
                <w:rFonts w:ascii="Times New Roman" w:eastAsia="Times New Roman" w:hAnsi="Times New Roman" w:cs="Times New Roman"/>
                <w:b/>
                <w:sz w:val="18"/>
                <w:szCs w:val="18"/>
              </w:rPr>
            </w:pPr>
            <w:r w:rsidRPr="00990F02">
              <w:rPr>
                <w:rFonts w:ascii="Times New Roman" w:eastAsia="Times New Roman" w:hAnsi="Times New Roman" w:cs="Times New Roman"/>
                <w:b/>
                <w:sz w:val="18"/>
                <w:szCs w:val="18"/>
              </w:rPr>
              <w:t>Age (ka) OSL</w:t>
            </w:r>
          </w:p>
        </w:tc>
        <w:tc>
          <w:tcPr>
            <w:tcW w:w="1496" w:type="dxa"/>
            <w:gridSpan w:val="2"/>
            <w:tcBorders>
              <w:top w:val="nil"/>
              <w:left w:val="nil"/>
              <w:bottom w:val="nil"/>
              <w:right w:val="nil"/>
            </w:tcBorders>
            <w:shd w:val="clear" w:color="auto" w:fill="auto"/>
            <w:vAlign w:val="center"/>
          </w:tcPr>
          <w:p w14:paraId="17C4DE53" w14:textId="77777777" w:rsidR="00772A8A" w:rsidRPr="00990F02" w:rsidRDefault="00772A8A" w:rsidP="00990F02">
            <w:pPr>
              <w:spacing w:after="0" w:line="240" w:lineRule="auto"/>
              <w:jc w:val="center"/>
              <w:rPr>
                <w:rFonts w:ascii="Times New Roman" w:eastAsia="Times New Roman" w:hAnsi="Times New Roman" w:cs="Times New Roman"/>
                <w:b/>
                <w:sz w:val="18"/>
                <w:szCs w:val="18"/>
              </w:rPr>
            </w:pPr>
            <w:r w:rsidRPr="00990F02">
              <w:rPr>
                <w:rFonts w:ascii="Times New Roman" w:eastAsia="Times New Roman" w:hAnsi="Times New Roman" w:cs="Times New Roman"/>
                <w:b/>
                <w:sz w:val="18"/>
                <w:szCs w:val="18"/>
              </w:rPr>
              <w:t>12±1</w:t>
            </w:r>
          </w:p>
        </w:tc>
        <w:tc>
          <w:tcPr>
            <w:tcW w:w="1288" w:type="dxa"/>
            <w:gridSpan w:val="2"/>
            <w:tcBorders>
              <w:top w:val="nil"/>
              <w:left w:val="nil"/>
              <w:bottom w:val="nil"/>
              <w:right w:val="nil"/>
            </w:tcBorders>
            <w:shd w:val="clear" w:color="auto" w:fill="auto"/>
            <w:vAlign w:val="center"/>
          </w:tcPr>
          <w:p w14:paraId="7691C3EE" w14:textId="3EB020C5" w:rsidR="00772A8A" w:rsidRPr="00990F02" w:rsidRDefault="0007680D" w:rsidP="00990F02">
            <w:pPr>
              <w:spacing w:after="0" w:line="240" w:lineRule="auto"/>
              <w:jc w:val="center"/>
              <w:rPr>
                <w:rFonts w:ascii="Times New Roman" w:eastAsia="Times New Roman" w:hAnsi="Times New Roman" w:cs="Times New Roman"/>
                <w:b/>
                <w:sz w:val="18"/>
                <w:szCs w:val="18"/>
              </w:rPr>
            </w:pPr>
            <w:r w:rsidRPr="00990F02">
              <w:rPr>
                <w:rFonts w:ascii="Times New Roman" w:eastAsia="Times New Roman" w:hAnsi="Times New Roman" w:cs="Times New Roman"/>
                <w:b/>
                <w:sz w:val="18"/>
                <w:szCs w:val="18"/>
              </w:rPr>
              <w:t>20</w:t>
            </w:r>
            <w:r w:rsidR="00772A8A" w:rsidRPr="00990F02">
              <w:rPr>
                <w:rFonts w:ascii="Times New Roman" w:eastAsia="Times New Roman" w:hAnsi="Times New Roman" w:cs="Times New Roman"/>
                <w:b/>
                <w:sz w:val="18"/>
                <w:szCs w:val="18"/>
              </w:rPr>
              <w:t>±1</w:t>
            </w:r>
          </w:p>
        </w:tc>
        <w:tc>
          <w:tcPr>
            <w:tcW w:w="1409" w:type="dxa"/>
            <w:gridSpan w:val="2"/>
            <w:tcBorders>
              <w:top w:val="nil"/>
              <w:left w:val="nil"/>
              <w:bottom w:val="nil"/>
              <w:right w:val="nil"/>
            </w:tcBorders>
            <w:shd w:val="clear" w:color="auto" w:fill="auto"/>
            <w:vAlign w:val="center"/>
          </w:tcPr>
          <w:p w14:paraId="511680FD" w14:textId="2738358C" w:rsidR="00772A8A" w:rsidRPr="00990F02" w:rsidRDefault="00772A8A" w:rsidP="00990F02">
            <w:pPr>
              <w:spacing w:after="0" w:line="240" w:lineRule="auto"/>
              <w:jc w:val="center"/>
              <w:rPr>
                <w:rFonts w:ascii="Times New Roman" w:eastAsia="Times New Roman" w:hAnsi="Times New Roman" w:cs="Times New Roman"/>
                <w:b/>
                <w:sz w:val="18"/>
                <w:szCs w:val="18"/>
              </w:rPr>
            </w:pPr>
            <w:r w:rsidRPr="00990F02">
              <w:rPr>
                <w:rFonts w:ascii="Times New Roman" w:eastAsia="Times New Roman" w:hAnsi="Times New Roman" w:cs="Times New Roman"/>
                <w:b/>
                <w:sz w:val="18"/>
                <w:szCs w:val="18"/>
              </w:rPr>
              <w:t>3</w:t>
            </w:r>
            <w:r w:rsidR="0007680D" w:rsidRPr="00990F02">
              <w:rPr>
                <w:rFonts w:ascii="Times New Roman" w:eastAsia="Times New Roman" w:hAnsi="Times New Roman" w:cs="Times New Roman"/>
                <w:b/>
                <w:sz w:val="18"/>
                <w:szCs w:val="18"/>
              </w:rPr>
              <w:t>5</w:t>
            </w:r>
            <w:r w:rsidRPr="00990F02">
              <w:rPr>
                <w:rFonts w:ascii="Times New Roman" w:eastAsia="Times New Roman" w:hAnsi="Times New Roman" w:cs="Times New Roman"/>
                <w:b/>
                <w:sz w:val="18"/>
                <w:szCs w:val="18"/>
              </w:rPr>
              <w:t>±</w:t>
            </w:r>
            <w:r w:rsidR="00900096" w:rsidRPr="00990F02">
              <w:rPr>
                <w:rFonts w:ascii="Times New Roman" w:eastAsia="Times New Roman" w:hAnsi="Times New Roman" w:cs="Times New Roman"/>
                <w:b/>
                <w:sz w:val="18"/>
                <w:szCs w:val="18"/>
              </w:rPr>
              <w:t>3</w:t>
            </w:r>
          </w:p>
        </w:tc>
        <w:tc>
          <w:tcPr>
            <w:tcW w:w="1168" w:type="dxa"/>
            <w:gridSpan w:val="2"/>
            <w:tcBorders>
              <w:top w:val="nil"/>
              <w:left w:val="nil"/>
              <w:bottom w:val="nil"/>
              <w:right w:val="nil"/>
            </w:tcBorders>
            <w:shd w:val="clear" w:color="auto" w:fill="auto"/>
            <w:vAlign w:val="center"/>
          </w:tcPr>
          <w:p w14:paraId="675F49BE" w14:textId="1C6CAAF4" w:rsidR="00772A8A" w:rsidRPr="00990F02" w:rsidRDefault="00772A8A" w:rsidP="00990F02">
            <w:pPr>
              <w:spacing w:after="0" w:line="240" w:lineRule="auto"/>
              <w:jc w:val="center"/>
              <w:rPr>
                <w:rFonts w:ascii="Times New Roman" w:eastAsia="Times New Roman" w:hAnsi="Times New Roman" w:cs="Times New Roman"/>
                <w:b/>
                <w:sz w:val="18"/>
                <w:szCs w:val="18"/>
              </w:rPr>
            </w:pPr>
            <w:r w:rsidRPr="00990F02">
              <w:rPr>
                <w:rFonts w:ascii="Times New Roman" w:eastAsia="Times New Roman" w:hAnsi="Times New Roman" w:cs="Times New Roman"/>
                <w:b/>
                <w:sz w:val="18"/>
                <w:szCs w:val="18"/>
              </w:rPr>
              <w:t>5</w:t>
            </w:r>
            <w:r w:rsidR="00900096" w:rsidRPr="00990F02">
              <w:rPr>
                <w:rFonts w:ascii="Times New Roman" w:eastAsia="Times New Roman" w:hAnsi="Times New Roman" w:cs="Times New Roman"/>
                <w:b/>
                <w:sz w:val="18"/>
                <w:szCs w:val="18"/>
              </w:rPr>
              <w:t>5</w:t>
            </w:r>
            <w:r w:rsidRPr="00990F02">
              <w:rPr>
                <w:rFonts w:ascii="Times New Roman" w:eastAsia="Times New Roman" w:hAnsi="Times New Roman" w:cs="Times New Roman"/>
                <w:b/>
                <w:sz w:val="18"/>
                <w:szCs w:val="18"/>
              </w:rPr>
              <w:t>±3</w:t>
            </w:r>
          </w:p>
        </w:tc>
        <w:tc>
          <w:tcPr>
            <w:tcW w:w="1319" w:type="dxa"/>
            <w:gridSpan w:val="2"/>
            <w:tcBorders>
              <w:top w:val="nil"/>
              <w:left w:val="nil"/>
              <w:bottom w:val="nil"/>
              <w:right w:val="nil"/>
            </w:tcBorders>
            <w:shd w:val="clear" w:color="auto" w:fill="auto"/>
            <w:vAlign w:val="center"/>
          </w:tcPr>
          <w:p w14:paraId="4D9CE413" w14:textId="6BD2C056" w:rsidR="00772A8A" w:rsidRPr="00990F02" w:rsidRDefault="00772A8A" w:rsidP="00990F02">
            <w:pPr>
              <w:spacing w:after="0" w:line="240" w:lineRule="auto"/>
              <w:jc w:val="center"/>
              <w:rPr>
                <w:rFonts w:ascii="Times New Roman" w:eastAsia="Times New Roman" w:hAnsi="Times New Roman" w:cs="Times New Roman"/>
                <w:b/>
                <w:sz w:val="18"/>
                <w:szCs w:val="18"/>
              </w:rPr>
            </w:pPr>
            <w:r w:rsidRPr="00990F02">
              <w:rPr>
                <w:rFonts w:ascii="Times New Roman" w:eastAsia="Times New Roman" w:hAnsi="Times New Roman" w:cs="Times New Roman"/>
                <w:b/>
                <w:sz w:val="18"/>
                <w:szCs w:val="18"/>
              </w:rPr>
              <w:t>7</w:t>
            </w:r>
            <w:r w:rsidR="00900096" w:rsidRPr="00990F02">
              <w:rPr>
                <w:rFonts w:ascii="Times New Roman" w:eastAsia="Times New Roman" w:hAnsi="Times New Roman" w:cs="Times New Roman"/>
                <w:b/>
                <w:sz w:val="18"/>
                <w:szCs w:val="18"/>
              </w:rPr>
              <w:t>6</w:t>
            </w:r>
            <w:r w:rsidRPr="00990F02">
              <w:rPr>
                <w:rFonts w:ascii="Times New Roman" w:eastAsia="Times New Roman" w:hAnsi="Times New Roman" w:cs="Times New Roman"/>
                <w:bCs/>
                <w:sz w:val="18"/>
                <w:szCs w:val="18"/>
              </w:rPr>
              <w:t>±</w:t>
            </w:r>
            <w:r w:rsidR="00900096" w:rsidRPr="00990F02">
              <w:rPr>
                <w:rFonts w:ascii="Times New Roman" w:eastAsia="Times New Roman" w:hAnsi="Times New Roman" w:cs="Times New Roman"/>
                <w:bCs/>
                <w:sz w:val="18"/>
                <w:szCs w:val="18"/>
              </w:rPr>
              <w:t>4</w:t>
            </w:r>
          </w:p>
        </w:tc>
        <w:tc>
          <w:tcPr>
            <w:tcW w:w="1363" w:type="dxa"/>
            <w:gridSpan w:val="2"/>
            <w:tcBorders>
              <w:top w:val="nil"/>
              <w:left w:val="nil"/>
              <w:bottom w:val="nil"/>
              <w:right w:val="nil"/>
            </w:tcBorders>
            <w:shd w:val="clear" w:color="auto" w:fill="auto"/>
            <w:vAlign w:val="center"/>
          </w:tcPr>
          <w:p w14:paraId="16E695E1" w14:textId="04B3BF99" w:rsidR="00772A8A" w:rsidRPr="00990F02" w:rsidRDefault="00772A8A" w:rsidP="00990F02">
            <w:pPr>
              <w:spacing w:after="0" w:line="240" w:lineRule="auto"/>
              <w:jc w:val="center"/>
              <w:rPr>
                <w:rFonts w:ascii="Times New Roman" w:eastAsia="Times New Roman" w:hAnsi="Times New Roman" w:cs="Times New Roman"/>
                <w:b/>
                <w:iCs/>
                <w:sz w:val="18"/>
                <w:szCs w:val="18"/>
              </w:rPr>
            </w:pPr>
            <w:r w:rsidRPr="00990F02">
              <w:rPr>
                <w:rFonts w:ascii="Times New Roman" w:eastAsia="Times New Roman" w:hAnsi="Times New Roman" w:cs="Times New Roman"/>
                <w:b/>
                <w:iCs/>
                <w:sz w:val="18"/>
                <w:szCs w:val="18"/>
              </w:rPr>
              <w:t>10</w:t>
            </w:r>
            <w:r w:rsidR="00900096" w:rsidRPr="00990F02">
              <w:rPr>
                <w:rFonts w:ascii="Times New Roman" w:eastAsia="Times New Roman" w:hAnsi="Times New Roman" w:cs="Times New Roman"/>
                <w:b/>
                <w:iCs/>
                <w:sz w:val="18"/>
                <w:szCs w:val="18"/>
              </w:rPr>
              <w:t>6</w:t>
            </w:r>
            <w:r w:rsidRPr="00990F02">
              <w:rPr>
                <w:rFonts w:ascii="Times New Roman" w:eastAsia="Times New Roman" w:hAnsi="Times New Roman" w:cs="Times New Roman"/>
                <w:b/>
                <w:iCs/>
                <w:sz w:val="18"/>
                <w:szCs w:val="18"/>
              </w:rPr>
              <w:t>±6</w:t>
            </w:r>
          </w:p>
        </w:tc>
        <w:tc>
          <w:tcPr>
            <w:tcW w:w="1349" w:type="dxa"/>
            <w:gridSpan w:val="2"/>
            <w:tcBorders>
              <w:top w:val="nil"/>
              <w:left w:val="nil"/>
              <w:bottom w:val="nil"/>
              <w:right w:val="nil"/>
            </w:tcBorders>
            <w:shd w:val="clear" w:color="auto" w:fill="auto"/>
            <w:vAlign w:val="center"/>
          </w:tcPr>
          <w:p w14:paraId="27109E93" w14:textId="6EF233A7" w:rsidR="00772A8A" w:rsidRPr="00990F02" w:rsidRDefault="00772A8A" w:rsidP="00990F02">
            <w:pPr>
              <w:spacing w:after="0" w:line="240" w:lineRule="auto"/>
              <w:jc w:val="center"/>
              <w:rPr>
                <w:rFonts w:ascii="Times New Roman" w:eastAsia="Times New Roman" w:hAnsi="Times New Roman" w:cs="Times New Roman"/>
                <w:b/>
                <w:iCs/>
                <w:sz w:val="18"/>
                <w:szCs w:val="18"/>
              </w:rPr>
            </w:pPr>
            <w:r w:rsidRPr="00990F02">
              <w:rPr>
                <w:rFonts w:ascii="Times New Roman" w:eastAsia="Times New Roman" w:hAnsi="Times New Roman" w:cs="Times New Roman"/>
                <w:b/>
                <w:iCs/>
                <w:sz w:val="18"/>
                <w:szCs w:val="18"/>
              </w:rPr>
              <w:t>14</w:t>
            </w:r>
            <w:r w:rsidR="00900096" w:rsidRPr="00990F02">
              <w:rPr>
                <w:rFonts w:ascii="Times New Roman" w:eastAsia="Times New Roman" w:hAnsi="Times New Roman" w:cs="Times New Roman"/>
                <w:b/>
                <w:iCs/>
                <w:sz w:val="18"/>
                <w:szCs w:val="18"/>
              </w:rPr>
              <w:t>6</w:t>
            </w:r>
            <w:r w:rsidRPr="00990F02">
              <w:rPr>
                <w:rFonts w:ascii="Times New Roman" w:eastAsia="Times New Roman" w:hAnsi="Times New Roman" w:cs="Times New Roman"/>
                <w:b/>
                <w:iCs/>
                <w:sz w:val="18"/>
                <w:szCs w:val="18"/>
              </w:rPr>
              <w:t>±9</w:t>
            </w:r>
          </w:p>
        </w:tc>
        <w:tc>
          <w:tcPr>
            <w:tcW w:w="1733" w:type="dxa"/>
            <w:gridSpan w:val="2"/>
            <w:tcBorders>
              <w:top w:val="nil"/>
              <w:left w:val="nil"/>
              <w:bottom w:val="nil"/>
              <w:right w:val="nil"/>
            </w:tcBorders>
            <w:shd w:val="clear" w:color="auto" w:fill="auto"/>
            <w:vAlign w:val="center"/>
          </w:tcPr>
          <w:p w14:paraId="43A02BF8" w14:textId="7D240E69" w:rsidR="00772A8A" w:rsidRPr="00990F02" w:rsidRDefault="00772A8A" w:rsidP="00990F02">
            <w:pPr>
              <w:spacing w:after="0" w:line="240" w:lineRule="auto"/>
              <w:jc w:val="center"/>
              <w:rPr>
                <w:rFonts w:ascii="Times New Roman" w:eastAsia="Times New Roman" w:hAnsi="Times New Roman" w:cs="Times New Roman"/>
                <w:b/>
                <w:iCs/>
                <w:sz w:val="18"/>
                <w:szCs w:val="18"/>
              </w:rPr>
            </w:pPr>
            <w:r w:rsidRPr="00990F02">
              <w:rPr>
                <w:rFonts w:ascii="Times New Roman" w:eastAsia="Times New Roman" w:hAnsi="Times New Roman" w:cs="Times New Roman"/>
                <w:b/>
                <w:iCs/>
                <w:sz w:val="18"/>
                <w:szCs w:val="18"/>
              </w:rPr>
              <w:t>16</w:t>
            </w:r>
            <w:r w:rsidR="00900096" w:rsidRPr="00990F02">
              <w:rPr>
                <w:rFonts w:ascii="Times New Roman" w:eastAsia="Times New Roman" w:hAnsi="Times New Roman" w:cs="Times New Roman"/>
                <w:b/>
                <w:iCs/>
                <w:sz w:val="18"/>
                <w:szCs w:val="18"/>
              </w:rPr>
              <w:t>6</w:t>
            </w:r>
            <w:r w:rsidRPr="00990F02">
              <w:rPr>
                <w:rFonts w:ascii="Times New Roman" w:eastAsia="Times New Roman" w:hAnsi="Times New Roman" w:cs="Times New Roman"/>
                <w:b/>
                <w:iCs/>
                <w:sz w:val="18"/>
                <w:szCs w:val="18"/>
              </w:rPr>
              <w:t>±1</w:t>
            </w:r>
            <w:r w:rsidR="00105E4B" w:rsidRPr="00990F02">
              <w:rPr>
                <w:rFonts w:ascii="Times New Roman" w:eastAsia="Times New Roman" w:hAnsi="Times New Roman" w:cs="Times New Roman"/>
                <w:b/>
                <w:iCs/>
                <w:sz w:val="18"/>
                <w:szCs w:val="18"/>
              </w:rPr>
              <w:t>4</w:t>
            </w:r>
          </w:p>
        </w:tc>
      </w:tr>
    </w:tbl>
    <w:p w14:paraId="5468B25A" w14:textId="77777777" w:rsidR="00772A8A" w:rsidRPr="005F44EF" w:rsidRDefault="00772A8A" w:rsidP="00990F02">
      <w:pPr>
        <w:spacing w:after="0" w:line="240" w:lineRule="auto"/>
        <w:jc w:val="both"/>
        <w:rPr>
          <w:rFonts w:ascii="Times New Roman" w:eastAsia="Times New Roman" w:hAnsi="Times New Roman" w:cs="Times New Roman"/>
          <w:b/>
          <w:sz w:val="24"/>
          <w:szCs w:val="24"/>
        </w:rPr>
      </w:pPr>
    </w:p>
    <w:p w14:paraId="76C2A353" w14:textId="63FECD43" w:rsidR="00772A8A" w:rsidRPr="005F44EF" w:rsidRDefault="00772A8A">
      <w:pPr>
        <w:pBdr>
          <w:top w:val="nil"/>
          <w:left w:val="nil"/>
          <w:bottom w:val="nil"/>
          <w:right w:val="nil"/>
          <w:between w:val="nil"/>
        </w:pBdr>
        <w:spacing w:after="200" w:line="276" w:lineRule="auto"/>
        <w:rPr>
          <w:rFonts w:ascii="Times New Roman" w:eastAsia="Times New Roman" w:hAnsi="Times New Roman" w:cs="Times New Roman"/>
          <w:color w:val="404040"/>
          <w:sz w:val="24"/>
          <w:szCs w:val="24"/>
        </w:rPr>
        <w:sectPr w:rsidR="00772A8A" w:rsidRPr="005F44EF" w:rsidSect="00FD119E">
          <w:pgSz w:w="15840" w:h="12240" w:orient="landscape"/>
          <w:pgMar w:top="1134" w:right="1417" w:bottom="1417" w:left="1417" w:header="720" w:footer="720" w:gutter="0"/>
          <w:lnNumType w:countBy="1" w:restart="continuous"/>
          <w:cols w:space="720"/>
          <w:docGrid w:linePitch="299"/>
        </w:sectPr>
      </w:pPr>
      <w:bookmarkStart w:id="87" w:name="_4i7ojhp" w:colFirst="0" w:colLast="0"/>
      <w:bookmarkEnd w:id="87"/>
    </w:p>
    <w:p w14:paraId="6D534583" w14:textId="42E3F9BD" w:rsidR="000B6E33" w:rsidRPr="005F44EF" w:rsidRDefault="000B6E33" w:rsidP="000B6E33">
      <w:pPr>
        <w:spacing w:after="0" w:line="276" w:lineRule="auto"/>
        <w:jc w:val="both"/>
        <w:rPr>
          <w:rFonts w:ascii="Times New Roman" w:eastAsia="Times New Roman" w:hAnsi="Times New Roman" w:cs="Times New Roman"/>
          <w:sz w:val="24"/>
          <w:szCs w:val="24"/>
        </w:rPr>
      </w:pPr>
      <w:bookmarkStart w:id="88" w:name="_Hlk170654772"/>
      <w:r w:rsidRPr="005F44EF">
        <w:rPr>
          <w:rFonts w:ascii="Times New Roman" w:eastAsia="Times New Roman" w:hAnsi="Times New Roman" w:cs="Times New Roman"/>
          <w:b/>
          <w:sz w:val="24"/>
          <w:szCs w:val="24"/>
        </w:rPr>
        <w:lastRenderedPageBreak/>
        <w:t xml:space="preserve">Table </w:t>
      </w:r>
      <w:r w:rsidR="00CE003E" w:rsidRPr="005F44EF">
        <w:rPr>
          <w:rFonts w:ascii="Times New Roman" w:eastAsia="Times New Roman" w:hAnsi="Times New Roman" w:cs="Times New Roman"/>
          <w:b/>
          <w:sz w:val="24"/>
          <w:szCs w:val="24"/>
        </w:rPr>
        <w:t>S9</w:t>
      </w:r>
      <w:r w:rsidRPr="005F44EF">
        <w:rPr>
          <w:rFonts w:ascii="Times New Roman" w:eastAsia="Times New Roman" w:hAnsi="Times New Roman" w:cs="Times New Roman"/>
          <w:b/>
          <w:sz w:val="24"/>
          <w:szCs w:val="24"/>
        </w:rPr>
        <w:t xml:space="preserve">: </w:t>
      </w:r>
      <w:r w:rsidRPr="005F44EF">
        <w:rPr>
          <w:rFonts w:ascii="Times New Roman" w:eastAsia="Times New Roman" w:hAnsi="Times New Roman" w:cs="Times New Roman"/>
          <w:sz w:val="24"/>
          <w:szCs w:val="24"/>
        </w:rPr>
        <w:t>ESR age estimates derived from Al and Ti centres and dose rate components. Errors are displayed at 1 sigma.</w:t>
      </w:r>
      <w:r w:rsidR="00F13DB5" w:rsidRPr="005F44EF">
        <w:rPr>
          <w:rFonts w:ascii="Times New Roman" w:eastAsia="Times New Roman" w:hAnsi="Times New Roman" w:cs="Times New Roman"/>
          <w:sz w:val="24"/>
          <w:szCs w:val="24"/>
        </w:rPr>
        <w:t xml:space="preserve"> In bold the data</w:t>
      </w:r>
      <w:r w:rsidR="009F2035" w:rsidRPr="005F44EF">
        <w:rPr>
          <w:rFonts w:ascii="Times New Roman" w:eastAsia="Times New Roman" w:hAnsi="Times New Roman" w:cs="Times New Roman"/>
          <w:sz w:val="24"/>
          <w:szCs w:val="24"/>
        </w:rPr>
        <w:t xml:space="preserve"> selected for the final ESR ages. </w:t>
      </w:r>
    </w:p>
    <w:bookmarkEnd w:id="88"/>
    <w:p w14:paraId="2E9EA827" w14:textId="77777777" w:rsidR="000B6E33" w:rsidRPr="005F44EF" w:rsidRDefault="000B6E33" w:rsidP="000B6E33">
      <w:pPr>
        <w:spacing w:after="0" w:line="276" w:lineRule="auto"/>
        <w:jc w:val="both"/>
        <w:rPr>
          <w:rFonts w:ascii="Times New Roman" w:eastAsia="Times New Roman" w:hAnsi="Times New Roman" w:cs="Times New Roman"/>
          <w:sz w:val="24"/>
          <w:szCs w:val="24"/>
        </w:rPr>
      </w:pPr>
    </w:p>
    <w:tbl>
      <w:tblPr>
        <w:tblStyle w:val="a4"/>
        <w:tblW w:w="13464" w:type="dxa"/>
        <w:tblLayout w:type="fixed"/>
        <w:tblLook w:val="0400" w:firstRow="0" w:lastRow="0" w:firstColumn="0" w:lastColumn="0" w:noHBand="0" w:noVBand="1"/>
      </w:tblPr>
      <w:tblGrid>
        <w:gridCol w:w="5509"/>
        <w:gridCol w:w="1426"/>
        <w:gridCol w:w="1482"/>
        <w:gridCol w:w="1768"/>
        <w:gridCol w:w="1682"/>
        <w:gridCol w:w="1597"/>
      </w:tblGrid>
      <w:tr w:rsidR="000B6E33" w:rsidRPr="005F44EF" w14:paraId="67045222" w14:textId="77777777" w:rsidTr="00CB46BD">
        <w:trPr>
          <w:trHeight w:val="583"/>
        </w:trPr>
        <w:tc>
          <w:tcPr>
            <w:tcW w:w="5509" w:type="dxa"/>
            <w:tcBorders>
              <w:top w:val="single" w:sz="8" w:space="0" w:color="000000"/>
              <w:left w:val="nil"/>
              <w:bottom w:val="nil"/>
              <w:right w:val="nil"/>
            </w:tcBorders>
            <w:shd w:val="clear" w:color="auto" w:fill="D9D9D9" w:themeFill="background1" w:themeFillShade="D9"/>
            <w:vAlign w:val="center"/>
          </w:tcPr>
          <w:p w14:paraId="17A5B9DC" w14:textId="77777777" w:rsidR="000B6E33" w:rsidRPr="005F44EF" w:rsidRDefault="000B6E33" w:rsidP="002E6AB5">
            <w:pPr>
              <w:spacing w:after="0" w:line="276" w:lineRule="auto"/>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SAMPLE</w:t>
            </w:r>
          </w:p>
        </w:tc>
        <w:tc>
          <w:tcPr>
            <w:tcW w:w="1426" w:type="dxa"/>
            <w:tcBorders>
              <w:top w:val="single" w:sz="8" w:space="0" w:color="000000"/>
              <w:left w:val="nil"/>
              <w:bottom w:val="nil"/>
              <w:right w:val="nil"/>
            </w:tcBorders>
            <w:shd w:val="clear" w:color="auto" w:fill="D9D9D9" w:themeFill="background1" w:themeFillShade="D9"/>
            <w:vAlign w:val="center"/>
          </w:tcPr>
          <w:p w14:paraId="4BD7F0A8" w14:textId="77777777" w:rsidR="000B6E33" w:rsidRPr="005F44EF" w:rsidRDefault="000B6E33" w:rsidP="00CB46BD">
            <w:pPr>
              <w:spacing w:after="0" w:line="276"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ANY20-03</w:t>
            </w:r>
          </w:p>
        </w:tc>
        <w:tc>
          <w:tcPr>
            <w:tcW w:w="1482" w:type="dxa"/>
            <w:tcBorders>
              <w:top w:val="single" w:sz="8" w:space="0" w:color="000000"/>
              <w:left w:val="nil"/>
              <w:bottom w:val="nil"/>
              <w:right w:val="nil"/>
            </w:tcBorders>
            <w:shd w:val="clear" w:color="auto" w:fill="D9D9D9" w:themeFill="background1" w:themeFillShade="D9"/>
            <w:vAlign w:val="center"/>
          </w:tcPr>
          <w:p w14:paraId="36383EAA" w14:textId="77777777" w:rsidR="000B6E33" w:rsidRPr="005F44EF" w:rsidRDefault="000B6E33" w:rsidP="00CB46BD">
            <w:pPr>
              <w:spacing w:after="0" w:line="276"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ANY20-04</w:t>
            </w:r>
          </w:p>
        </w:tc>
        <w:tc>
          <w:tcPr>
            <w:tcW w:w="1768" w:type="dxa"/>
            <w:tcBorders>
              <w:top w:val="single" w:sz="8" w:space="0" w:color="000000"/>
              <w:left w:val="nil"/>
              <w:bottom w:val="nil"/>
              <w:right w:val="nil"/>
            </w:tcBorders>
            <w:shd w:val="clear" w:color="auto" w:fill="D9D9D9" w:themeFill="background1" w:themeFillShade="D9"/>
            <w:vAlign w:val="center"/>
          </w:tcPr>
          <w:p w14:paraId="26C8CD3C" w14:textId="77777777" w:rsidR="000B6E33" w:rsidRPr="005F44EF" w:rsidRDefault="000B6E33" w:rsidP="00CB46BD">
            <w:pPr>
              <w:spacing w:after="0" w:line="276"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ANY20-05</w:t>
            </w:r>
          </w:p>
        </w:tc>
        <w:tc>
          <w:tcPr>
            <w:tcW w:w="1682" w:type="dxa"/>
            <w:tcBorders>
              <w:top w:val="single" w:sz="8" w:space="0" w:color="000000"/>
              <w:left w:val="nil"/>
              <w:bottom w:val="nil"/>
              <w:right w:val="nil"/>
            </w:tcBorders>
            <w:shd w:val="clear" w:color="auto" w:fill="D9D9D9" w:themeFill="background1" w:themeFillShade="D9"/>
            <w:vAlign w:val="center"/>
          </w:tcPr>
          <w:p w14:paraId="00764999" w14:textId="77777777" w:rsidR="000B6E33" w:rsidRPr="005F44EF" w:rsidRDefault="000B6E33" w:rsidP="00CB46BD">
            <w:pPr>
              <w:spacing w:after="0" w:line="276"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ANY20-08</w:t>
            </w:r>
          </w:p>
        </w:tc>
        <w:tc>
          <w:tcPr>
            <w:tcW w:w="1597" w:type="dxa"/>
            <w:tcBorders>
              <w:top w:val="single" w:sz="8" w:space="0" w:color="000000"/>
              <w:left w:val="nil"/>
              <w:bottom w:val="nil"/>
              <w:right w:val="nil"/>
            </w:tcBorders>
            <w:shd w:val="clear" w:color="auto" w:fill="D9D9D9" w:themeFill="background1" w:themeFillShade="D9"/>
            <w:vAlign w:val="center"/>
          </w:tcPr>
          <w:p w14:paraId="54F21B0B" w14:textId="77777777" w:rsidR="000B6E33" w:rsidRPr="005F44EF" w:rsidRDefault="000B6E33" w:rsidP="00CB46BD">
            <w:pPr>
              <w:spacing w:after="0" w:line="276"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ANY20-09</w:t>
            </w:r>
          </w:p>
        </w:tc>
      </w:tr>
      <w:tr w:rsidR="000B6E33" w:rsidRPr="005F44EF" w14:paraId="48B73F35" w14:textId="77777777" w:rsidTr="00CB46BD">
        <w:trPr>
          <w:trHeight w:val="283"/>
        </w:trPr>
        <w:tc>
          <w:tcPr>
            <w:tcW w:w="5509" w:type="dxa"/>
            <w:tcBorders>
              <w:top w:val="single" w:sz="8" w:space="0" w:color="000000"/>
              <w:left w:val="nil"/>
              <w:right w:val="nil"/>
            </w:tcBorders>
            <w:shd w:val="clear" w:color="auto" w:fill="auto"/>
            <w:vAlign w:val="center"/>
          </w:tcPr>
          <w:p w14:paraId="2BCFBF30" w14:textId="77777777" w:rsidR="000B6E33" w:rsidRPr="005F44EF" w:rsidRDefault="000B6E33" w:rsidP="00CB46BD">
            <w:pPr>
              <w:spacing w:after="0" w:line="276" w:lineRule="auto"/>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Depth (m)</w:t>
            </w:r>
          </w:p>
        </w:tc>
        <w:tc>
          <w:tcPr>
            <w:tcW w:w="1426" w:type="dxa"/>
            <w:tcBorders>
              <w:top w:val="single" w:sz="8" w:space="0" w:color="000000"/>
              <w:left w:val="nil"/>
              <w:right w:val="nil"/>
            </w:tcBorders>
            <w:shd w:val="clear" w:color="auto" w:fill="auto"/>
            <w:vAlign w:val="center"/>
          </w:tcPr>
          <w:p w14:paraId="5BE6704C" w14:textId="6FAA7852" w:rsidR="000B6E33" w:rsidRPr="005F44EF" w:rsidRDefault="000B6E33"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1.15±0.12</w:t>
            </w:r>
          </w:p>
        </w:tc>
        <w:tc>
          <w:tcPr>
            <w:tcW w:w="1482" w:type="dxa"/>
            <w:tcBorders>
              <w:top w:val="single" w:sz="8" w:space="0" w:color="000000"/>
              <w:left w:val="nil"/>
              <w:right w:val="nil"/>
            </w:tcBorders>
            <w:shd w:val="clear" w:color="auto" w:fill="auto"/>
            <w:vAlign w:val="center"/>
          </w:tcPr>
          <w:p w14:paraId="326F07F9" w14:textId="79D6E476" w:rsidR="000B6E33" w:rsidRPr="005F44EF" w:rsidRDefault="000B6E33"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0.9 ±0.09</w:t>
            </w:r>
          </w:p>
        </w:tc>
        <w:tc>
          <w:tcPr>
            <w:tcW w:w="1768" w:type="dxa"/>
            <w:tcBorders>
              <w:top w:val="single" w:sz="8" w:space="0" w:color="000000"/>
              <w:left w:val="nil"/>
              <w:right w:val="nil"/>
            </w:tcBorders>
            <w:shd w:val="clear" w:color="auto" w:fill="auto"/>
            <w:vAlign w:val="center"/>
          </w:tcPr>
          <w:p w14:paraId="6891B8AA" w14:textId="6DFA29C5" w:rsidR="000B6E33" w:rsidRPr="005F44EF" w:rsidRDefault="000B6E33"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1.24±0.12</w:t>
            </w:r>
          </w:p>
        </w:tc>
        <w:tc>
          <w:tcPr>
            <w:tcW w:w="1682" w:type="dxa"/>
            <w:tcBorders>
              <w:top w:val="single" w:sz="8" w:space="0" w:color="000000"/>
              <w:left w:val="nil"/>
              <w:right w:val="nil"/>
            </w:tcBorders>
            <w:shd w:val="clear" w:color="auto" w:fill="auto"/>
            <w:vAlign w:val="center"/>
          </w:tcPr>
          <w:p w14:paraId="39665076" w14:textId="65722E48" w:rsidR="000B6E33" w:rsidRPr="005F44EF" w:rsidRDefault="000B6E33"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3.6±0.36</w:t>
            </w:r>
          </w:p>
        </w:tc>
        <w:tc>
          <w:tcPr>
            <w:tcW w:w="1597" w:type="dxa"/>
            <w:tcBorders>
              <w:top w:val="single" w:sz="8" w:space="0" w:color="000000"/>
              <w:left w:val="nil"/>
              <w:right w:val="nil"/>
            </w:tcBorders>
            <w:shd w:val="clear" w:color="auto" w:fill="auto"/>
            <w:vAlign w:val="center"/>
          </w:tcPr>
          <w:p w14:paraId="25299EA1" w14:textId="3B3DEA4C" w:rsidR="000B6E33" w:rsidRPr="005F44EF" w:rsidRDefault="000B6E33"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4.6±0.46</w:t>
            </w:r>
          </w:p>
        </w:tc>
      </w:tr>
      <w:tr w:rsidR="00F25965" w:rsidRPr="005F44EF" w14:paraId="733D10B0" w14:textId="77777777" w:rsidTr="00CB46BD">
        <w:trPr>
          <w:trHeight w:val="323"/>
        </w:trPr>
        <w:tc>
          <w:tcPr>
            <w:tcW w:w="5509" w:type="dxa"/>
            <w:tcBorders>
              <w:left w:val="nil"/>
              <w:right w:val="nil"/>
            </w:tcBorders>
            <w:shd w:val="clear" w:color="auto" w:fill="auto"/>
            <w:vAlign w:val="center"/>
          </w:tcPr>
          <w:p w14:paraId="3900C15A" w14:textId="5370B162" w:rsidR="00F25965" w:rsidRPr="005F44EF" w:rsidRDefault="00FE5E12" w:rsidP="00CB46BD">
            <w:pPr>
              <w:spacing w:after="0" w:line="276" w:lineRule="auto"/>
              <w:rPr>
                <w:rFonts w:ascii="Times New Roman" w:eastAsia="Times New Roman" w:hAnsi="Times New Roman" w:cs="Times New Roman"/>
                <w:color w:val="000000"/>
                <w:sz w:val="18"/>
                <w:szCs w:val="18"/>
              </w:rPr>
            </w:pPr>
            <w:r w:rsidRPr="005F44EF">
              <w:rPr>
                <w:rFonts w:ascii="Times New Roman" w:eastAsia="Times New Roman" w:hAnsi="Times New Roman" w:cs="Times New Roman"/>
                <w:sz w:val="18"/>
                <w:szCs w:val="18"/>
              </w:rPr>
              <w:t>Water content (dry weight %)</w:t>
            </w:r>
          </w:p>
        </w:tc>
        <w:tc>
          <w:tcPr>
            <w:tcW w:w="1426" w:type="dxa"/>
            <w:tcBorders>
              <w:left w:val="nil"/>
              <w:right w:val="nil"/>
            </w:tcBorders>
            <w:shd w:val="clear" w:color="auto" w:fill="auto"/>
            <w:vAlign w:val="center"/>
          </w:tcPr>
          <w:p w14:paraId="6D065F27" w14:textId="5D65AD74" w:rsidR="00F25965" w:rsidRPr="005F44EF" w:rsidRDefault="00F25965"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15±5</w:t>
            </w:r>
          </w:p>
        </w:tc>
        <w:tc>
          <w:tcPr>
            <w:tcW w:w="1482" w:type="dxa"/>
            <w:tcBorders>
              <w:left w:val="nil"/>
              <w:right w:val="nil"/>
            </w:tcBorders>
            <w:shd w:val="clear" w:color="auto" w:fill="auto"/>
            <w:vAlign w:val="center"/>
          </w:tcPr>
          <w:p w14:paraId="287D439F" w14:textId="20BC19B4" w:rsidR="00F25965" w:rsidRPr="005F44EF" w:rsidRDefault="00F25965"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18±5</w:t>
            </w:r>
          </w:p>
        </w:tc>
        <w:tc>
          <w:tcPr>
            <w:tcW w:w="1768" w:type="dxa"/>
            <w:tcBorders>
              <w:left w:val="nil"/>
              <w:right w:val="nil"/>
            </w:tcBorders>
            <w:shd w:val="clear" w:color="auto" w:fill="auto"/>
            <w:vAlign w:val="center"/>
          </w:tcPr>
          <w:p w14:paraId="6897E654" w14:textId="6B32CAB5" w:rsidR="00F25965" w:rsidRPr="005F44EF" w:rsidRDefault="00F25965"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19 ± 5</w:t>
            </w:r>
          </w:p>
        </w:tc>
        <w:tc>
          <w:tcPr>
            <w:tcW w:w="1682" w:type="dxa"/>
            <w:tcBorders>
              <w:left w:val="nil"/>
              <w:right w:val="nil"/>
            </w:tcBorders>
            <w:shd w:val="clear" w:color="auto" w:fill="auto"/>
            <w:vAlign w:val="center"/>
          </w:tcPr>
          <w:p w14:paraId="266C0DDE" w14:textId="48E67947" w:rsidR="00F25965" w:rsidRPr="005F44EF" w:rsidRDefault="00F25965"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19± 5</w:t>
            </w:r>
          </w:p>
        </w:tc>
        <w:tc>
          <w:tcPr>
            <w:tcW w:w="1597" w:type="dxa"/>
            <w:tcBorders>
              <w:left w:val="nil"/>
              <w:right w:val="nil"/>
            </w:tcBorders>
            <w:shd w:val="clear" w:color="auto" w:fill="auto"/>
            <w:vAlign w:val="center"/>
          </w:tcPr>
          <w:p w14:paraId="1A5CBFF6" w14:textId="1468694F" w:rsidR="00F25965" w:rsidRPr="005F44EF" w:rsidRDefault="00F25965"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19±5</w:t>
            </w:r>
          </w:p>
        </w:tc>
      </w:tr>
      <w:tr w:rsidR="000B6E33" w:rsidRPr="005F44EF" w14:paraId="4C29286D" w14:textId="77777777" w:rsidTr="00CB46BD">
        <w:trPr>
          <w:trHeight w:val="271"/>
        </w:trPr>
        <w:tc>
          <w:tcPr>
            <w:tcW w:w="5509" w:type="dxa"/>
            <w:tcBorders>
              <w:left w:val="nil"/>
              <w:bottom w:val="nil"/>
              <w:right w:val="nil"/>
            </w:tcBorders>
            <w:shd w:val="clear" w:color="auto" w:fill="auto"/>
            <w:vAlign w:val="center"/>
          </w:tcPr>
          <w:p w14:paraId="08B6255B" w14:textId="77777777" w:rsidR="000B6E33" w:rsidRPr="005F44EF" w:rsidRDefault="000B6E33" w:rsidP="00CB46BD">
            <w:pPr>
              <w:spacing w:after="0" w:line="276" w:lineRule="auto"/>
              <w:rPr>
                <w:rFonts w:ascii="Times New Roman" w:eastAsia="Times New Roman" w:hAnsi="Times New Roman" w:cs="Times New Roman"/>
                <w:color w:val="000000"/>
                <w:sz w:val="18"/>
                <w:szCs w:val="18"/>
              </w:rPr>
            </w:pPr>
          </w:p>
        </w:tc>
        <w:tc>
          <w:tcPr>
            <w:tcW w:w="1426" w:type="dxa"/>
            <w:tcBorders>
              <w:left w:val="nil"/>
              <w:bottom w:val="nil"/>
              <w:right w:val="nil"/>
            </w:tcBorders>
            <w:shd w:val="clear" w:color="auto" w:fill="auto"/>
            <w:vAlign w:val="center"/>
          </w:tcPr>
          <w:p w14:paraId="4EC3B972" w14:textId="77777777" w:rsidR="000B6E33" w:rsidRPr="005F44EF" w:rsidRDefault="000B6E33" w:rsidP="00CB46BD">
            <w:pPr>
              <w:spacing w:after="0" w:line="276" w:lineRule="auto"/>
              <w:jc w:val="center"/>
              <w:rPr>
                <w:rFonts w:ascii="Times New Roman" w:eastAsia="Times New Roman" w:hAnsi="Times New Roman" w:cs="Times New Roman"/>
                <w:sz w:val="18"/>
                <w:szCs w:val="18"/>
              </w:rPr>
            </w:pPr>
          </w:p>
        </w:tc>
        <w:tc>
          <w:tcPr>
            <w:tcW w:w="1482" w:type="dxa"/>
            <w:tcBorders>
              <w:left w:val="nil"/>
              <w:bottom w:val="nil"/>
              <w:right w:val="nil"/>
            </w:tcBorders>
            <w:shd w:val="clear" w:color="auto" w:fill="auto"/>
            <w:vAlign w:val="center"/>
          </w:tcPr>
          <w:p w14:paraId="45AE3CC1" w14:textId="77777777" w:rsidR="000B6E33" w:rsidRPr="005F44EF" w:rsidRDefault="000B6E33" w:rsidP="00CB46BD">
            <w:pPr>
              <w:spacing w:after="0" w:line="276" w:lineRule="auto"/>
              <w:jc w:val="center"/>
              <w:rPr>
                <w:rFonts w:ascii="Times New Roman" w:eastAsia="Times New Roman" w:hAnsi="Times New Roman" w:cs="Times New Roman"/>
                <w:sz w:val="18"/>
                <w:szCs w:val="18"/>
              </w:rPr>
            </w:pPr>
          </w:p>
        </w:tc>
        <w:tc>
          <w:tcPr>
            <w:tcW w:w="1768" w:type="dxa"/>
            <w:tcBorders>
              <w:left w:val="nil"/>
              <w:bottom w:val="nil"/>
              <w:right w:val="nil"/>
            </w:tcBorders>
            <w:shd w:val="clear" w:color="auto" w:fill="auto"/>
            <w:vAlign w:val="center"/>
          </w:tcPr>
          <w:p w14:paraId="485D98FF" w14:textId="77777777" w:rsidR="000B6E33" w:rsidRPr="005F44EF" w:rsidRDefault="000B6E33" w:rsidP="00CB46BD">
            <w:pPr>
              <w:spacing w:after="0" w:line="276" w:lineRule="auto"/>
              <w:jc w:val="center"/>
              <w:rPr>
                <w:rFonts w:ascii="Times New Roman" w:eastAsia="Times New Roman" w:hAnsi="Times New Roman" w:cs="Times New Roman"/>
                <w:sz w:val="18"/>
                <w:szCs w:val="18"/>
              </w:rPr>
            </w:pPr>
          </w:p>
        </w:tc>
        <w:tc>
          <w:tcPr>
            <w:tcW w:w="1682" w:type="dxa"/>
            <w:tcBorders>
              <w:left w:val="nil"/>
              <w:bottom w:val="nil"/>
              <w:right w:val="nil"/>
            </w:tcBorders>
            <w:shd w:val="clear" w:color="auto" w:fill="auto"/>
            <w:vAlign w:val="center"/>
          </w:tcPr>
          <w:p w14:paraId="49C34328" w14:textId="77777777" w:rsidR="000B6E33" w:rsidRPr="005F44EF" w:rsidRDefault="000B6E33" w:rsidP="00CB46BD">
            <w:pPr>
              <w:spacing w:after="0" w:line="276" w:lineRule="auto"/>
              <w:jc w:val="center"/>
              <w:rPr>
                <w:rFonts w:ascii="Times New Roman" w:eastAsia="Times New Roman" w:hAnsi="Times New Roman" w:cs="Times New Roman"/>
                <w:sz w:val="18"/>
                <w:szCs w:val="18"/>
              </w:rPr>
            </w:pPr>
          </w:p>
        </w:tc>
        <w:tc>
          <w:tcPr>
            <w:tcW w:w="1597" w:type="dxa"/>
            <w:tcBorders>
              <w:left w:val="nil"/>
              <w:bottom w:val="nil"/>
              <w:right w:val="nil"/>
            </w:tcBorders>
            <w:shd w:val="clear" w:color="auto" w:fill="auto"/>
            <w:vAlign w:val="center"/>
          </w:tcPr>
          <w:p w14:paraId="62F42B2C" w14:textId="77777777" w:rsidR="000B6E33" w:rsidRPr="005F44EF" w:rsidRDefault="000B6E33" w:rsidP="00CB46BD">
            <w:pPr>
              <w:spacing w:after="0" w:line="276" w:lineRule="auto"/>
              <w:jc w:val="center"/>
              <w:rPr>
                <w:rFonts w:ascii="Times New Roman" w:eastAsia="Times New Roman" w:hAnsi="Times New Roman" w:cs="Times New Roman"/>
                <w:sz w:val="18"/>
                <w:szCs w:val="18"/>
              </w:rPr>
            </w:pPr>
          </w:p>
        </w:tc>
      </w:tr>
      <w:tr w:rsidR="000B6E33" w:rsidRPr="005F44EF" w14:paraId="5649727E" w14:textId="77777777" w:rsidTr="00CB46BD">
        <w:trPr>
          <w:trHeight w:val="310"/>
        </w:trPr>
        <w:tc>
          <w:tcPr>
            <w:tcW w:w="5509" w:type="dxa"/>
            <w:tcBorders>
              <w:top w:val="nil"/>
              <w:left w:val="nil"/>
              <w:bottom w:val="nil"/>
              <w:right w:val="nil"/>
            </w:tcBorders>
            <w:shd w:val="clear" w:color="auto" w:fill="auto"/>
            <w:vAlign w:val="center"/>
          </w:tcPr>
          <w:p w14:paraId="6200B796" w14:textId="0BE5588A" w:rsidR="000B6E33" w:rsidRPr="005F44EF" w:rsidRDefault="000B6E33" w:rsidP="00CB46BD">
            <w:pPr>
              <w:spacing w:after="0" w:line="276" w:lineRule="auto"/>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D</w:t>
            </w:r>
            <w:r w:rsidRPr="005F44EF">
              <w:rPr>
                <w:rFonts w:ascii="Times New Roman" w:eastAsia="Times New Roman" w:hAnsi="Times New Roman" w:cs="Times New Roman"/>
                <w:color w:val="000000"/>
                <w:sz w:val="18"/>
                <w:szCs w:val="18"/>
                <w:vertAlign w:val="subscript"/>
              </w:rPr>
              <w:t>e</w:t>
            </w:r>
            <w:r w:rsidRPr="005F44EF">
              <w:rPr>
                <w:rFonts w:ascii="Times New Roman" w:eastAsia="Times New Roman" w:hAnsi="Times New Roman" w:cs="Times New Roman"/>
                <w:color w:val="000000"/>
                <w:sz w:val="18"/>
                <w:szCs w:val="18"/>
              </w:rPr>
              <w:t xml:space="preserve"> (Gy) Al</w:t>
            </w:r>
          </w:p>
        </w:tc>
        <w:tc>
          <w:tcPr>
            <w:tcW w:w="1426" w:type="dxa"/>
            <w:tcBorders>
              <w:top w:val="nil"/>
              <w:left w:val="nil"/>
              <w:bottom w:val="nil"/>
              <w:right w:val="nil"/>
            </w:tcBorders>
            <w:shd w:val="clear" w:color="auto" w:fill="auto"/>
            <w:vAlign w:val="center"/>
          </w:tcPr>
          <w:p w14:paraId="508FD51A" w14:textId="6FFFE84F" w:rsidR="000B6E33" w:rsidRPr="005F44EF" w:rsidRDefault="000B6E33"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684±180</w:t>
            </w:r>
          </w:p>
        </w:tc>
        <w:tc>
          <w:tcPr>
            <w:tcW w:w="1482" w:type="dxa"/>
            <w:tcBorders>
              <w:top w:val="nil"/>
              <w:left w:val="nil"/>
              <w:bottom w:val="nil"/>
              <w:right w:val="nil"/>
            </w:tcBorders>
            <w:shd w:val="clear" w:color="auto" w:fill="auto"/>
            <w:vAlign w:val="center"/>
          </w:tcPr>
          <w:p w14:paraId="38EF1798" w14:textId="180642EA" w:rsidR="000B6E33" w:rsidRPr="005F44EF" w:rsidRDefault="000B6E33"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810±257</w:t>
            </w:r>
          </w:p>
        </w:tc>
        <w:tc>
          <w:tcPr>
            <w:tcW w:w="1768" w:type="dxa"/>
            <w:tcBorders>
              <w:top w:val="nil"/>
              <w:left w:val="nil"/>
              <w:bottom w:val="nil"/>
              <w:right w:val="nil"/>
            </w:tcBorders>
            <w:shd w:val="clear" w:color="auto" w:fill="auto"/>
            <w:vAlign w:val="center"/>
          </w:tcPr>
          <w:p w14:paraId="4768F131" w14:textId="4C83093A" w:rsidR="000B6E33" w:rsidRPr="005F44EF" w:rsidRDefault="000B6E33"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1203±158</w:t>
            </w:r>
          </w:p>
        </w:tc>
        <w:tc>
          <w:tcPr>
            <w:tcW w:w="1682" w:type="dxa"/>
            <w:tcBorders>
              <w:top w:val="nil"/>
              <w:left w:val="nil"/>
              <w:bottom w:val="nil"/>
              <w:right w:val="nil"/>
            </w:tcBorders>
            <w:shd w:val="clear" w:color="auto" w:fill="auto"/>
            <w:vAlign w:val="center"/>
          </w:tcPr>
          <w:p w14:paraId="1FF9CFE0" w14:textId="2C874980" w:rsidR="000B6E33" w:rsidRPr="005F44EF" w:rsidRDefault="000B6E33"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1438±263</w:t>
            </w:r>
          </w:p>
        </w:tc>
        <w:tc>
          <w:tcPr>
            <w:tcW w:w="1597" w:type="dxa"/>
            <w:tcBorders>
              <w:top w:val="nil"/>
              <w:left w:val="nil"/>
              <w:bottom w:val="nil"/>
              <w:right w:val="nil"/>
            </w:tcBorders>
            <w:shd w:val="clear" w:color="auto" w:fill="auto"/>
            <w:vAlign w:val="center"/>
          </w:tcPr>
          <w:p w14:paraId="4DA88D81" w14:textId="002D6C48" w:rsidR="000B6E33" w:rsidRPr="005F44EF" w:rsidRDefault="000B6E33"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1260±248</w:t>
            </w:r>
          </w:p>
        </w:tc>
      </w:tr>
      <w:tr w:rsidR="000B6E33" w:rsidRPr="005F44EF" w14:paraId="7BC78018" w14:textId="77777777" w:rsidTr="00CB46BD">
        <w:trPr>
          <w:trHeight w:val="310"/>
        </w:trPr>
        <w:tc>
          <w:tcPr>
            <w:tcW w:w="5509" w:type="dxa"/>
            <w:tcBorders>
              <w:top w:val="nil"/>
              <w:left w:val="nil"/>
              <w:bottom w:val="nil"/>
              <w:right w:val="nil"/>
            </w:tcBorders>
            <w:shd w:val="clear" w:color="auto" w:fill="auto"/>
            <w:vAlign w:val="center"/>
          </w:tcPr>
          <w:p w14:paraId="5ABA2370" w14:textId="7F15B983" w:rsidR="000B6E33" w:rsidRPr="005F44EF" w:rsidRDefault="000B6E33" w:rsidP="00CB46BD">
            <w:pPr>
              <w:spacing w:after="0" w:line="276" w:lineRule="auto"/>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D</w:t>
            </w:r>
            <w:r w:rsidRPr="005F44EF">
              <w:rPr>
                <w:rFonts w:ascii="Times New Roman" w:eastAsia="Times New Roman" w:hAnsi="Times New Roman" w:cs="Times New Roman"/>
                <w:color w:val="000000"/>
                <w:sz w:val="18"/>
                <w:szCs w:val="18"/>
                <w:vertAlign w:val="subscript"/>
              </w:rPr>
              <w:t>e</w:t>
            </w:r>
            <w:r w:rsidRPr="005F44EF">
              <w:rPr>
                <w:rFonts w:ascii="Times New Roman" w:eastAsia="Times New Roman" w:hAnsi="Times New Roman" w:cs="Times New Roman"/>
                <w:color w:val="000000"/>
                <w:sz w:val="18"/>
                <w:szCs w:val="18"/>
              </w:rPr>
              <w:t xml:space="preserve"> (Gy) Ti-</w:t>
            </w:r>
            <w:r w:rsidR="006752E6">
              <w:rPr>
                <w:rFonts w:ascii="Times New Roman" w:eastAsia="Times New Roman" w:hAnsi="Times New Roman" w:cs="Times New Roman"/>
                <w:color w:val="000000"/>
                <w:sz w:val="18"/>
                <w:szCs w:val="18"/>
              </w:rPr>
              <w:t>mix</w:t>
            </w:r>
            <w:r w:rsidRPr="005F44EF">
              <w:rPr>
                <w:rFonts w:ascii="Times New Roman" w:eastAsia="Times New Roman" w:hAnsi="Times New Roman" w:cs="Times New Roman"/>
                <w:color w:val="000000"/>
                <w:sz w:val="18"/>
                <w:szCs w:val="18"/>
              </w:rPr>
              <w:t xml:space="preserve"> (SSE W-1/I²; D</w:t>
            </w:r>
            <w:r w:rsidRPr="0087094D">
              <w:rPr>
                <w:rFonts w:ascii="Times New Roman" w:eastAsia="Times New Roman" w:hAnsi="Times New Roman" w:cs="Times New Roman"/>
                <w:color w:val="000000"/>
                <w:sz w:val="18"/>
                <w:szCs w:val="18"/>
                <w:vertAlign w:val="subscript"/>
              </w:rPr>
              <w:t>max</w:t>
            </w:r>
            <w:r w:rsidRPr="005F44EF">
              <w:rPr>
                <w:rFonts w:ascii="Times New Roman" w:eastAsia="Times New Roman" w:hAnsi="Times New Roman" w:cs="Times New Roman"/>
                <w:color w:val="000000"/>
                <w:sz w:val="18"/>
                <w:szCs w:val="18"/>
              </w:rPr>
              <w:t>=4.5 kGy)</w:t>
            </w:r>
          </w:p>
        </w:tc>
        <w:tc>
          <w:tcPr>
            <w:tcW w:w="1426" w:type="dxa"/>
            <w:tcBorders>
              <w:top w:val="nil"/>
              <w:left w:val="nil"/>
              <w:bottom w:val="nil"/>
              <w:right w:val="nil"/>
            </w:tcBorders>
            <w:shd w:val="clear" w:color="auto" w:fill="auto"/>
            <w:vAlign w:val="center"/>
          </w:tcPr>
          <w:p w14:paraId="31EE6D75" w14:textId="246233F5" w:rsidR="000B6E33" w:rsidRPr="005F44EF" w:rsidRDefault="000B6E33"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542±39</w:t>
            </w:r>
          </w:p>
        </w:tc>
        <w:tc>
          <w:tcPr>
            <w:tcW w:w="1482" w:type="dxa"/>
            <w:tcBorders>
              <w:top w:val="nil"/>
              <w:left w:val="nil"/>
              <w:bottom w:val="nil"/>
              <w:right w:val="nil"/>
            </w:tcBorders>
            <w:shd w:val="clear" w:color="auto" w:fill="auto"/>
            <w:vAlign w:val="center"/>
          </w:tcPr>
          <w:p w14:paraId="22E9FF51" w14:textId="701FBA2F" w:rsidR="000B6E33" w:rsidRPr="005F44EF" w:rsidRDefault="000B6E33"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562±66</w:t>
            </w:r>
          </w:p>
        </w:tc>
        <w:tc>
          <w:tcPr>
            <w:tcW w:w="1768" w:type="dxa"/>
            <w:tcBorders>
              <w:top w:val="nil"/>
              <w:left w:val="nil"/>
              <w:bottom w:val="nil"/>
              <w:right w:val="nil"/>
            </w:tcBorders>
            <w:shd w:val="clear" w:color="auto" w:fill="auto"/>
            <w:vAlign w:val="center"/>
          </w:tcPr>
          <w:p w14:paraId="05F489CA" w14:textId="118AA432" w:rsidR="000B6E33" w:rsidRPr="005F44EF" w:rsidRDefault="000B6E33"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634±34</w:t>
            </w:r>
          </w:p>
        </w:tc>
        <w:tc>
          <w:tcPr>
            <w:tcW w:w="1682" w:type="dxa"/>
            <w:tcBorders>
              <w:top w:val="nil"/>
              <w:left w:val="nil"/>
              <w:bottom w:val="nil"/>
              <w:right w:val="nil"/>
            </w:tcBorders>
            <w:shd w:val="clear" w:color="auto" w:fill="auto"/>
            <w:vAlign w:val="center"/>
          </w:tcPr>
          <w:p w14:paraId="1156C92D" w14:textId="5C734118" w:rsidR="000B6E33" w:rsidRPr="005F44EF" w:rsidRDefault="000B6E33"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1196±120</w:t>
            </w:r>
          </w:p>
        </w:tc>
        <w:tc>
          <w:tcPr>
            <w:tcW w:w="1597" w:type="dxa"/>
            <w:tcBorders>
              <w:top w:val="nil"/>
              <w:left w:val="nil"/>
              <w:bottom w:val="nil"/>
              <w:right w:val="nil"/>
            </w:tcBorders>
            <w:shd w:val="clear" w:color="auto" w:fill="auto"/>
            <w:vAlign w:val="center"/>
          </w:tcPr>
          <w:p w14:paraId="49707F11" w14:textId="3CB8D5DD" w:rsidR="000B6E33" w:rsidRPr="005F44EF" w:rsidRDefault="000B6E33"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1116±80</w:t>
            </w:r>
          </w:p>
        </w:tc>
      </w:tr>
      <w:tr w:rsidR="000B6E33" w:rsidRPr="005F44EF" w14:paraId="1EB387DE" w14:textId="77777777" w:rsidTr="00CB46BD">
        <w:trPr>
          <w:trHeight w:val="310"/>
        </w:trPr>
        <w:tc>
          <w:tcPr>
            <w:tcW w:w="5509" w:type="dxa"/>
            <w:tcBorders>
              <w:top w:val="nil"/>
              <w:left w:val="nil"/>
              <w:bottom w:val="nil"/>
              <w:right w:val="nil"/>
            </w:tcBorders>
            <w:shd w:val="clear" w:color="auto" w:fill="auto"/>
            <w:vAlign w:val="center"/>
          </w:tcPr>
          <w:p w14:paraId="2F8A1F84" w14:textId="77777777" w:rsidR="000B6E33" w:rsidRPr="005F44EF" w:rsidRDefault="000B6E33" w:rsidP="00CB46BD">
            <w:pPr>
              <w:spacing w:after="0" w:line="276" w:lineRule="auto"/>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D</w:t>
            </w:r>
            <w:r w:rsidRPr="005F44EF">
              <w:rPr>
                <w:rFonts w:ascii="Times New Roman" w:eastAsia="Times New Roman" w:hAnsi="Times New Roman" w:cs="Times New Roman"/>
                <w:b/>
                <w:color w:val="000000"/>
                <w:sz w:val="18"/>
                <w:szCs w:val="18"/>
                <w:vertAlign w:val="subscript"/>
              </w:rPr>
              <w:t>e</w:t>
            </w:r>
            <w:r w:rsidRPr="005F44EF">
              <w:rPr>
                <w:rFonts w:ascii="Times New Roman" w:eastAsia="Times New Roman" w:hAnsi="Times New Roman" w:cs="Times New Roman"/>
                <w:b/>
                <w:color w:val="000000"/>
                <w:sz w:val="18"/>
                <w:szCs w:val="18"/>
              </w:rPr>
              <w:t xml:space="preserve"> (Gy) Ti-H (SSE W-1/I²; D</w:t>
            </w:r>
            <w:r w:rsidRPr="0087094D">
              <w:rPr>
                <w:rFonts w:ascii="Times New Roman" w:eastAsia="Times New Roman" w:hAnsi="Times New Roman" w:cs="Times New Roman"/>
                <w:b/>
                <w:color w:val="000000"/>
                <w:sz w:val="18"/>
                <w:szCs w:val="18"/>
                <w:vertAlign w:val="subscript"/>
              </w:rPr>
              <w:t>max</w:t>
            </w:r>
            <w:r w:rsidRPr="005F44EF">
              <w:rPr>
                <w:rFonts w:ascii="Times New Roman" w:eastAsia="Times New Roman" w:hAnsi="Times New Roman" w:cs="Times New Roman"/>
                <w:b/>
                <w:color w:val="000000"/>
                <w:sz w:val="18"/>
                <w:szCs w:val="18"/>
              </w:rPr>
              <w:t>=4.5 kGy)</w:t>
            </w:r>
          </w:p>
        </w:tc>
        <w:tc>
          <w:tcPr>
            <w:tcW w:w="1426" w:type="dxa"/>
            <w:tcBorders>
              <w:top w:val="nil"/>
              <w:left w:val="nil"/>
              <w:bottom w:val="nil"/>
              <w:right w:val="nil"/>
            </w:tcBorders>
            <w:shd w:val="clear" w:color="auto" w:fill="auto"/>
            <w:vAlign w:val="center"/>
          </w:tcPr>
          <w:p w14:paraId="60E7DC19" w14:textId="178E3754" w:rsidR="000B6E33" w:rsidRPr="005F44EF" w:rsidRDefault="000B6E33" w:rsidP="00CB46BD">
            <w:pPr>
              <w:spacing w:after="0" w:line="276" w:lineRule="auto"/>
              <w:jc w:val="center"/>
              <w:rPr>
                <w:rFonts w:ascii="Times New Roman" w:eastAsia="Times New Roman" w:hAnsi="Times New Roman" w:cs="Times New Roman"/>
                <w:b/>
                <w:sz w:val="18"/>
                <w:szCs w:val="18"/>
              </w:rPr>
            </w:pPr>
            <w:r w:rsidRPr="005F44EF">
              <w:rPr>
                <w:rFonts w:ascii="Times New Roman" w:eastAsia="Times New Roman" w:hAnsi="Times New Roman" w:cs="Times New Roman"/>
                <w:b/>
                <w:sz w:val="18"/>
                <w:szCs w:val="18"/>
              </w:rPr>
              <w:t>47±15</w:t>
            </w:r>
          </w:p>
        </w:tc>
        <w:tc>
          <w:tcPr>
            <w:tcW w:w="1482" w:type="dxa"/>
            <w:tcBorders>
              <w:top w:val="nil"/>
              <w:left w:val="nil"/>
              <w:bottom w:val="nil"/>
              <w:right w:val="nil"/>
            </w:tcBorders>
            <w:shd w:val="clear" w:color="auto" w:fill="auto"/>
            <w:vAlign w:val="center"/>
          </w:tcPr>
          <w:p w14:paraId="39F3A06C" w14:textId="3B45CCE5" w:rsidR="000B6E33" w:rsidRPr="005F44EF" w:rsidRDefault="000B6E33" w:rsidP="00CB46BD">
            <w:pPr>
              <w:spacing w:after="0" w:line="276" w:lineRule="auto"/>
              <w:jc w:val="center"/>
              <w:rPr>
                <w:rFonts w:ascii="Times New Roman" w:eastAsia="Times New Roman" w:hAnsi="Times New Roman" w:cs="Times New Roman"/>
                <w:b/>
                <w:sz w:val="18"/>
                <w:szCs w:val="18"/>
              </w:rPr>
            </w:pPr>
            <w:r w:rsidRPr="005F44EF">
              <w:rPr>
                <w:rFonts w:ascii="Times New Roman" w:eastAsia="Times New Roman" w:hAnsi="Times New Roman" w:cs="Times New Roman"/>
                <w:b/>
                <w:sz w:val="18"/>
                <w:szCs w:val="18"/>
              </w:rPr>
              <w:t>52±22</w:t>
            </w:r>
          </w:p>
        </w:tc>
        <w:tc>
          <w:tcPr>
            <w:tcW w:w="1768" w:type="dxa"/>
            <w:tcBorders>
              <w:top w:val="nil"/>
              <w:left w:val="nil"/>
              <w:bottom w:val="nil"/>
              <w:right w:val="nil"/>
            </w:tcBorders>
            <w:shd w:val="clear" w:color="auto" w:fill="auto"/>
            <w:vAlign w:val="center"/>
          </w:tcPr>
          <w:p w14:paraId="525E13F1" w14:textId="7CC3690A" w:rsidR="000B6E33" w:rsidRPr="005F44EF" w:rsidRDefault="000B6E33" w:rsidP="00CB46BD">
            <w:pPr>
              <w:spacing w:after="0" w:line="276" w:lineRule="auto"/>
              <w:jc w:val="center"/>
              <w:rPr>
                <w:rFonts w:ascii="Times New Roman" w:eastAsia="Times New Roman" w:hAnsi="Times New Roman" w:cs="Times New Roman"/>
                <w:b/>
                <w:sz w:val="18"/>
                <w:szCs w:val="18"/>
              </w:rPr>
            </w:pPr>
            <w:r w:rsidRPr="005F44EF">
              <w:rPr>
                <w:rFonts w:ascii="Times New Roman" w:eastAsia="Times New Roman" w:hAnsi="Times New Roman" w:cs="Times New Roman"/>
                <w:b/>
                <w:sz w:val="18"/>
                <w:szCs w:val="18"/>
              </w:rPr>
              <w:t>107±25</w:t>
            </w:r>
          </w:p>
        </w:tc>
        <w:tc>
          <w:tcPr>
            <w:tcW w:w="1682" w:type="dxa"/>
            <w:tcBorders>
              <w:top w:val="nil"/>
              <w:left w:val="nil"/>
              <w:bottom w:val="nil"/>
              <w:right w:val="nil"/>
            </w:tcBorders>
            <w:shd w:val="clear" w:color="auto" w:fill="auto"/>
            <w:vAlign w:val="center"/>
          </w:tcPr>
          <w:p w14:paraId="7E2FF40A" w14:textId="3012B0C6" w:rsidR="000B6E33" w:rsidRPr="005F44EF" w:rsidRDefault="00F13DB5" w:rsidP="00CB46BD">
            <w:pPr>
              <w:jc w:val="center"/>
              <w:rPr>
                <w:rFonts w:ascii="Times New Roman" w:eastAsia="Times New Roman" w:hAnsi="Times New Roman" w:cs="Times New Roman"/>
                <w:b/>
                <w:sz w:val="18"/>
                <w:szCs w:val="18"/>
              </w:rPr>
            </w:pPr>
            <w:r w:rsidRPr="005F44EF">
              <w:rPr>
                <w:rFonts w:ascii="Times New Roman" w:hAnsi="Times New Roman" w:cs="Times New Roman"/>
                <w:b/>
                <w:iCs/>
                <w:sz w:val="18"/>
                <w:szCs w:val="18"/>
              </w:rPr>
              <w:t>240±86</w:t>
            </w:r>
          </w:p>
        </w:tc>
        <w:tc>
          <w:tcPr>
            <w:tcW w:w="1597" w:type="dxa"/>
            <w:tcBorders>
              <w:top w:val="nil"/>
              <w:left w:val="nil"/>
              <w:bottom w:val="nil"/>
              <w:right w:val="nil"/>
            </w:tcBorders>
            <w:shd w:val="clear" w:color="auto" w:fill="auto"/>
            <w:vAlign w:val="center"/>
          </w:tcPr>
          <w:p w14:paraId="10B22EA1" w14:textId="19E0E09A" w:rsidR="000B6E33" w:rsidRPr="005F44EF" w:rsidRDefault="00F13DB5" w:rsidP="00CB46BD">
            <w:pPr>
              <w:jc w:val="center"/>
              <w:rPr>
                <w:rFonts w:ascii="Times New Roman" w:eastAsia="Times New Roman" w:hAnsi="Times New Roman" w:cs="Times New Roman"/>
                <w:b/>
                <w:sz w:val="18"/>
                <w:szCs w:val="18"/>
              </w:rPr>
            </w:pPr>
            <w:r w:rsidRPr="005F44EF">
              <w:rPr>
                <w:rFonts w:ascii="Times New Roman" w:hAnsi="Times New Roman" w:cs="Times New Roman"/>
                <w:b/>
                <w:iCs/>
                <w:sz w:val="18"/>
                <w:szCs w:val="18"/>
              </w:rPr>
              <w:t>253±75</w:t>
            </w:r>
          </w:p>
        </w:tc>
      </w:tr>
      <w:tr w:rsidR="00EC1F11" w:rsidRPr="005F44EF" w14:paraId="1B06CDD3" w14:textId="77777777" w:rsidTr="00CB46BD">
        <w:trPr>
          <w:trHeight w:val="271"/>
        </w:trPr>
        <w:tc>
          <w:tcPr>
            <w:tcW w:w="5509" w:type="dxa"/>
            <w:tcBorders>
              <w:top w:val="nil"/>
              <w:left w:val="nil"/>
              <w:bottom w:val="nil"/>
              <w:right w:val="nil"/>
            </w:tcBorders>
            <w:shd w:val="clear" w:color="auto" w:fill="auto"/>
            <w:vAlign w:val="center"/>
          </w:tcPr>
          <w:p w14:paraId="68701E05" w14:textId="77777777" w:rsidR="00EC1F11" w:rsidRPr="005F44EF" w:rsidRDefault="00EC1F11" w:rsidP="00CB46BD">
            <w:pPr>
              <w:spacing w:after="0" w:line="276" w:lineRule="auto"/>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Internal dose rate (μGy/a)</w:t>
            </w:r>
          </w:p>
        </w:tc>
        <w:tc>
          <w:tcPr>
            <w:tcW w:w="1426" w:type="dxa"/>
            <w:tcBorders>
              <w:top w:val="nil"/>
              <w:left w:val="nil"/>
              <w:bottom w:val="nil"/>
              <w:right w:val="nil"/>
            </w:tcBorders>
            <w:shd w:val="clear" w:color="auto" w:fill="auto"/>
            <w:vAlign w:val="center"/>
          </w:tcPr>
          <w:p w14:paraId="303CA5DF" w14:textId="58246429"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30±1</w:t>
            </w:r>
          </w:p>
        </w:tc>
        <w:tc>
          <w:tcPr>
            <w:tcW w:w="1482" w:type="dxa"/>
            <w:tcBorders>
              <w:top w:val="nil"/>
              <w:left w:val="nil"/>
              <w:bottom w:val="nil"/>
              <w:right w:val="nil"/>
            </w:tcBorders>
            <w:shd w:val="clear" w:color="auto" w:fill="auto"/>
            <w:vAlign w:val="center"/>
          </w:tcPr>
          <w:p w14:paraId="21B41FC0" w14:textId="072350A4"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30±1</w:t>
            </w:r>
          </w:p>
        </w:tc>
        <w:tc>
          <w:tcPr>
            <w:tcW w:w="1768" w:type="dxa"/>
            <w:tcBorders>
              <w:top w:val="nil"/>
              <w:left w:val="nil"/>
              <w:bottom w:val="nil"/>
              <w:right w:val="nil"/>
            </w:tcBorders>
            <w:shd w:val="clear" w:color="auto" w:fill="auto"/>
            <w:vAlign w:val="center"/>
          </w:tcPr>
          <w:p w14:paraId="1632C405" w14:textId="70D94B96"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30±1</w:t>
            </w:r>
          </w:p>
        </w:tc>
        <w:tc>
          <w:tcPr>
            <w:tcW w:w="1682" w:type="dxa"/>
            <w:tcBorders>
              <w:top w:val="nil"/>
              <w:left w:val="nil"/>
              <w:bottom w:val="nil"/>
              <w:right w:val="nil"/>
            </w:tcBorders>
            <w:shd w:val="clear" w:color="auto" w:fill="auto"/>
            <w:vAlign w:val="center"/>
          </w:tcPr>
          <w:p w14:paraId="3496C14B" w14:textId="5B35B98B"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30±1</w:t>
            </w:r>
          </w:p>
        </w:tc>
        <w:tc>
          <w:tcPr>
            <w:tcW w:w="1597" w:type="dxa"/>
            <w:tcBorders>
              <w:top w:val="nil"/>
              <w:left w:val="nil"/>
              <w:bottom w:val="nil"/>
              <w:right w:val="nil"/>
            </w:tcBorders>
            <w:shd w:val="clear" w:color="auto" w:fill="auto"/>
            <w:vAlign w:val="center"/>
          </w:tcPr>
          <w:p w14:paraId="16822D0B" w14:textId="371BF3AC"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30±1</w:t>
            </w:r>
          </w:p>
        </w:tc>
      </w:tr>
      <w:tr w:rsidR="00EC1F11" w:rsidRPr="005F44EF" w14:paraId="52AB6400" w14:textId="77777777" w:rsidTr="00CB46BD">
        <w:trPr>
          <w:trHeight w:val="271"/>
        </w:trPr>
        <w:tc>
          <w:tcPr>
            <w:tcW w:w="5509" w:type="dxa"/>
            <w:tcBorders>
              <w:top w:val="nil"/>
              <w:left w:val="nil"/>
              <w:bottom w:val="nil"/>
              <w:right w:val="nil"/>
            </w:tcBorders>
            <w:shd w:val="clear" w:color="auto" w:fill="auto"/>
            <w:vAlign w:val="center"/>
          </w:tcPr>
          <w:p w14:paraId="6F12CE6C" w14:textId="77777777" w:rsidR="00EC1F11" w:rsidRPr="005F44EF" w:rsidRDefault="00EC1F11" w:rsidP="00CB46BD">
            <w:pPr>
              <w:spacing w:after="0" w:line="276" w:lineRule="auto"/>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Alpha dose rate (μGy/a)</w:t>
            </w:r>
          </w:p>
        </w:tc>
        <w:tc>
          <w:tcPr>
            <w:tcW w:w="1426" w:type="dxa"/>
            <w:tcBorders>
              <w:top w:val="nil"/>
              <w:left w:val="nil"/>
              <w:bottom w:val="nil"/>
              <w:right w:val="nil"/>
            </w:tcBorders>
            <w:shd w:val="clear" w:color="auto" w:fill="auto"/>
            <w:vAlign w:val="center"/>
          </w:tcPr>
          <w:p w14:paraId="3F85FCF8" w14:textId="465FCFB9"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16±2</w:t>
            </w:r>
          </w:p>
        </w:tc>
        <w:tc>
          <w:tcPr>
            <w:tcW w:w="1482" w:type="dxa"/>
            <w:tcBorders>
              <w:top w:val="nil"/>
              <w:left w:val="nil"/>
              <w:bottom w:val="nil"/>
              <w:right w:val="nil"/>
            </w:tcBorders>
            <w:shd w:val="clear" w:color="auto" w:fill="auto"/>
            <w:vAlign w:val="center"/>
          </w:tcPr>
          <w:p w14:paraId="12469A20" w14:textId="64B0B58F"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22±2</w:t>
            </w:r>
          </w:p>
        </w:tc>
        <w:tc>
          <w:tcPr>
            <w:tcW w:w="1768" w:type="dxa"/>
            <w:tcBorders>
              <w:top w:val="nil"/>
              <w:left w:val="nil"/>
              <w:bottom w:val="nil"/>
              <w:right w:val="nil"/>
            </w:tcBorders>
            <w:shd w:val="clear" w:color="auto" w:fill="auto"/>
            <w:vAlign w:val="center"/>
          </w:tcPr>
          <w:p w14:paraId="399383E9" w14:textId="6A32287B"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26±3</w:t>
            </w:r>
          </w:p>
        </w:tc>
        <w:tc>
          <w:tcPr>
            <w:tcW w:w="1682" w:type="dxa"/>
            <w:tcBorders>
              <w:top w:val="nil"/>
              <w:left w:val="nil"/>
              <w:bottom w:val="nil"/>
              <w:right w:val="nil"/>
            </w:tcBorders>
            <w:shd w:val="clear" w:color="auto" w:fill="auto"/>
            <w:vAlign w:val="center"/>
          </w:tcPr>
          <w:p w14:paraId="6B3843A7" w14:textId="2147E85A"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22±2</w:t>
            </w:r>
          </w:p>
        </w:tc>
        <w:tc>
          <w:tcPr>
            <w:tcW w:w="1597" w:type="dxa"/>
            <w:tcBorders>
              <w:top w:val="nil"/>
              <w:left w:val="nil"/>
              <w:bottom w:val="nil"/>
              <w:right w:val="nil"/>
            </w:tcBorders>
            <w:shd w:val="clear" w:color="auto" w:fill="auto"/>
            <w:vAlign w:val="center"/>
          </w:tcPr>
          <w:p w14:paraId="68885ED8" w14:textId="5EA98D39"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21±2</w:t>
            </w:r>
          </w:p>
        </w:tc>
      </w:tr>
      <w:tr w:rsidR="00EC1F11" w:rsidRPr="005F44EF" w14:paraId="1B40A10B" w14:textId="77777777" w:rsidTr="00CB46BD">
        <w:trPr>
          <w:trHeight w:val="271"/>
        </w:trPr>
        <w:tc>
          <w:tcPr>
            <w:tcW w:w="5509" w:type="dxa"/>
            <w:tcBorders>
              <w:top w:val="nil"/>
              <w:left w:val="nil"/>
              <w:bottom w:val="nil"/>
              <w:right w:val="nil"/>
            </w:tcBorders>
            <w:shd w:val="clear" w:color="auto" w:fill="auto"/>
            <w:vAlign w:val="center"/>
          </w:tcPr>
          <w:p w14:paraId="1428448C" w14:textId="788257A8" w:rsidR="00EC1F11" w:rsidRPr="005F44EF" w:rsidRDefault="00EC1F11" w:rsidP="00CB46BD">
            <w:pPr>
              <w:spacing w:after="0" w:line="276" w:lineRule="auto"/>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Beta dose rate (μGy/a)</w:t>
            </w:r>
          </w:p>
        </w:tc>
        <w:tc>
          <w:tcPr>
            <w:tcW w:w="1426" w:type="dxa"/>
            <w:tcBorders>
              <w:top w:val="nil"/>
              <w:left w:val="nil"/>
              <w:bottom w:val="nil"/>
              <w:right w:val="nil"/>
            </w:tcBorders>
            <w:shd w:val="clear" w:color="auto" w:fill="auto"/>
            <w:vAlign w:val="center"/>
          </w:tcPr>
          <w:p w14:paraId="67DA5B97" w14:textId="299BBD51"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290±25</w:t>
            </w:r>
          </w:p>
        </w:tc>
        <w:tc>
          <w:tcPr>
            <w:tcW w:w="1482" w:type="dxa"/>
            <w:tcBorders>
              <w:top w:val="nil"/>
              <w:left w:val="nil"/>
              <w:bottom w:val="nil"/>
              <w:right w:val="nil"/>
            </w:tcBorders>
            <w:shd w:val="clear" w:color="auto" w:fill="auto"/>
            <w:vAlign w:val="center"/>
          </w:tcPr>
          <w:p w14:paraId="3EF89A8E" w14:textId="1A15854F"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394±27</w:t>
            </w:r>
          </w:p>
        </w:tc>
        <w:tc>
          <w:tcPr>
            <w:tcW w:w="1768" w:type="dxa"/>
            <w:tcBorders>
              <w:top w:val="nil"/>
              <w:left w:val="nil"/>
              <w:bottom w:val="nil"/>
              <w:right w:val="nil"/>
            </w:tcBorders>
            <w:shd w:val="clear" w:color="auto" w:fill="auto"/>
            <w:vAlign w:val="center"/>
          </w:tcPr>
          <w:p w14:paraId="624E063C" w14:textId="70216C68"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478±33</w:t>
            </w:r>
          </w:p>
        </w:tc>
        <w:tc>
          <w:tcPr>
            <w:tcW w:w="1682" w:type="dxa"/>
            <w:tcBorders>
              <w:top w:val="nil"/>
              <w:left w:val="nil"/>
              <w:bottom w:val="nil"/>
              <w:right w:val="nil"/>
            </w:tcBorders>
            <w:shd w:val="clear" w:color="auto" w:fill="auto"/>
            <w:vAlign w:val="center"/>
          </w:tcPr>
          <w:p w14:paraId="66522507" w14:textId="4D48B549"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403±27</w:t>
            </w:r>
          </w:p>
        </w:tc>
        <w:tc>
          <w:tcPr>
            <w:tcW w:w="1597" w:type="dxa"/>
            <w:tcBorders>
              <w:top w:val="nil"/>
              <w:left w:val="nil"/>
              <w:bottom w:val="nil"/>
              <w:right w:val="nil"/>
            </w:tcBorders>
            <w:shd w:val="clear" w:color="auto" w:fill="auto"/>
            <w:vAlign w:val="center"/>
          </w:tcPr>
          <w:p w14:paraId="786379B2" w14:textId="795F93BF"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395±27</w:t>
            </w:r>
          </w:p>
        </w:tc>
      </w:tr>
      <w:tr w:rsidR="00EC1F11" w:rsidRPr="005F44EF" w14:paraId="4B848876" w14:textId="77777777" w:rsidTr="00CB46BD">
        <w:trPr>
          <w:trHeight w:val="271"/>
        </w:trPr>
        <w:tc>
          <w:tcPr>
            <w:tcW w:w="5509" w:type="dxa"/>
            <w:tcBorders>
              <w:top w:val="nil"/>
              <w:left w:val="nil"/>
              <w:bottom w:val="nil"/>
              <w:right w:val="nil"/>
            </w:tcBorders>
            <w:shd w:val="clear" w:color="auto" w:fill="auto"/>
            <w:vAlign w:val="center"/>
          </w:tcPr>
          <w:p w14:paraId="196EF4BF" w14:textId="77777777" w:rsidR="00EC1F11" w:rsidRPr="005F44EF" w:rsidRDefault="00EC1F11" w:rsidP="00CB46BD">
            <w:pPr>
              <w:spacing w:after="0" w:line="276" w:lineRule="auto"/>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Gamma dose rate (μGy/a)</w:t>
            </w:r>
          </w:p>
        </w:tc>
        <w:tc>
          <w:tcPr>
            <w:tcW w:w="1426" w:type="dxa"/>
            <w:tcBorders>
              <w:top w:val="nil"/>
              <w:left w:val="nil"/>
              <w:bottom w:val="nil"/>
              <w:right w:val="nil"/>
            </w:tcBorders>
            <w:shd w:val="clear" w:color="auto" w:fill="auto"/>
            <w:vAlign w:val="center"/>
          </w:tcPr>
          <w:p w14:paraId="50AFFD61" w14:textId="62B40B9C"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411±36</w:t>
            </w:r>
          </w:p>
        </w:tc>
        <w:tc>
          <w:tcPr>
            <w:tcW w:w="1482" w:type="dxa"/>
            <w:tcBorders>
              <w:top w:val="nil"/>
              <w:left w:val="nil"/>
              <w:bottom w:val="nil"/>
              <w:right w:val="nil"/>
            </w:tcBorders>
            <w:shd w:val="clear" w:color="auto" w:fill="auto"/>
            <w:vAlign w:val="center"/>
          </w:tcPr>
          <w:p w14:paraId="0A9862B6" w14:textId="24D225EB"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563±31</w:t>
            </w:r>
          </w:p>
        </w:tc>
        <w:tc>
          <w:tcPr>
            <w:tcW w:w="1768" w:type="dxa"/>
            <w:tcBorders>
              <w:top w:val="nil"/>
              <w:left w:val="nil"/>
              <w:bottom w:val="nil"/>
              <w:right w:val="nil"/>
            </w:tcBorders>
            <w:shd w:val="clear" w:color="auto" w:fill="auto"/>
            <w:vAlign w:val="center"/>
          </w:tcPr>
          <w:p w14:paraId="130F85E2" w14:textId="0AB6970C"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682±37</w:t>
            </w:r>
          </w:p>
        </w:tc>
        <w:tc>
          <w:tcPr>
            <w:tcW w:w="1682" w:type="dxa"/>
            <w:tcBorders>
              <w:top w:val="nil"/>
              <w:left w:val="nil"/>
              <w:bottom w:val="nil"/>
              <w:right w:val="nil"/>
            </w:tcBorders>
            <w:shd w:val="clear" w:color="auto" w:fill="auto"/>
            <w:vAlign w:val="center"/>
          </w:tcPr>
          <w:p w14:paraId="558FF78E" w14:textId="19CD6328"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580±31</w:t>
            </w:r>
          </w:p>
        </w:tc>
        <w:tc>
          <w:tcPr>
            <w:tcW w:w="1597" w:type="dxa"/>
            <w:tcBorders>
              <w:top w:val="nil"/>
              <w:left w:val="nil"/>
              <w:bottom w:val="nil"/>
              <w:right w:val="nil"/>
            </w:tcBorders>
            <w:shd w:val="clear" w:color="auto" w:fill="auto"/>
            <w:vAlign w:val="center"/>
          </w:tcPr>
          <w:p w14:paraId="0F18F53B" w14:textId="7761A70E"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561±30</w:t>
            </w:r>
          </w:p>
        </w:tc>
      </w:tr>
      <w:tr w:rsidR="00EC1F11" w:rsidRPr="005F44EF" w14:paraId="3F1DF45B" w14:textId="77777777" w:rsidTr="00CB46BD">
        <w:trPr>
          <w:trHeight w:val="271"/>
        </w:trPr>
        <w:tc>
          <w:tcPr>
            <w:tcW w:w="5509" w:type="dxa"/>
            <w:tcBorders>
              <w:top w:val="nil"/>
              <w:left w:val="nil"/>
              <w:bottom w:val="nil"/>
              <w:right w:val="nil"/>
            </w:tcBorders>
            <w:shd w:val="clear" w:color="auto" w:fill="auto"/>
            <w:vAlign w:val="center"/>
          </w:tcPr>
          <w:p w14:paraId="36740144" w14:textId="77777777" w:rsidR="00EC1F11" w:rsidRPr="005F44EF" w:rsidRDefault="00EC1F11" w:rsidP="00CB46BD">
            <w:pPr>
              <w:spacing w:after="0" w:line="276" w:lineRule="auto"/>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Cosmic dose rate (μGy/a)</w:t>
            </w:r>
          </w:p>
        </w:tc>
        <w:tc>
          <w:tcPr>
            <w:tcW w:w="1426" w:type="dxa"/>
            <w:tcBorders>
              <w:top w:val="nil"/>
              <w:left w:val="nil"/>
              <w:bottom w:val="nil"/>
              <w:right w:val="nil"/>
            </w:tcBorders>
            <w:shd w:val="clear" w:color="auto" w:fill="auto"/>
            <w:vAlign w:val="center"/>
          </w:tcPr>
          <w:p w14:paraId="1B6164D9" w14:textId="7852C6C2"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170±17</w:t>
            </w:r>
          </w:p>
        </w:tc>
        <w:tc>
          <w:tcPr>
            <w:tcW w:w="1482" w:type="dxa"/>
            <w:tcBorders>
              <w:top w:val="nil"/>
              <w:left w:val="nil"/>
              <w:bottom w:val="nil"/>
              <w:right w:val="nil"/>
            </w:tcBorders>
            <w:shd w:val="clear" w:color="auto" w:fill="auto"/>
            <w:vAlign w:val="center"/>
          </w:tcPr>
          <w:p w14:paraId="026695D4" w14:textId="06FC179C"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176±18</w:t>
            </w:r>
          </w:p>
        </w:tc>
        <w:tc>
          <w:tcPr>
            <w:tcW w:w="1768" w:type="dxa"/>
            <w:tcBorders>
              <w:top w:val="nil"/>
              <w:left w:val="nil"/>
              <w:bottom w:val="nil"/>
              <w:right w:val="nil"/>
            </w:tcBorders>
            <w:shd w:val="clear" w:color="auto" w:fill="auto"/>
            <w:vAlign w:val="center"/>
          </w:tcPr>
          <w:p w14:paraId="348E93F3" w14:textId="0223EFF1"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168±17</w:t>
            </w:r>
          </w:p>
        </w:tc>
        <w:tc>
          <w:tcPr>
            <w:tcW w:w="1682" w:type="dxa"/>
            <w:tcBorders>
              <w:top w:val="nil"/>
              <w:left w:val="nil"/>
              <w:bottom w:val="nil"/>
              <w:right w:val="nil"/>
            </w:tcBorders>
            <w:shd w:val="clear" w:color="auto" w:fill="auto"/>
            <w:vAlign w:val="center"/>
          </w:tcPr>
          <w:p w14:paraId="5CCE9204" w14:textId="37B8AAD9"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123±12</w:t>
            </w:r>
          </w:p>
        </w:tc>
        <w:tc>
          <w:tcPr>
            <w:tcW w:w="1597" w:type="dxa"/>
            <w:tcBorders>
              <w:top w:val="nil"/>
              <w:left w:val="nil"/>
              <w:bottom w:val="nil"/>
              <w:right w:val="nil"/>
            </w:tcBorders>
            <w:shd w:val="clear" w:color="auto" w:fill="auto"/>
            <w:vAlign w:val="center"/>
          </w:tcPr>
          <w:p w14:paraId="7BC491E5" w14:textId="427F0673"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109±11</w:t>
            </w:r>
          </w:p>
        </w:tc>
      </w:tr>
      <w:tr w:rsidR="00EC1F11" w:rsidRPr="005F44EF" w14:paraId="59477327" w14:textId="77777777" w:rsidTr="00CB46BD">
        <w:trPr>
          <w:trHeight w:val="271"/>
        </w:trPr>
        <w:tc>
          <w:tcPr>
            <w:tcW w:w="5509" w:type="dxa"/>
            <w:tcBorders>
              <w:top w:val="nil"/>
              <w:left w:val="nil"/>
              <w:bottom w:val="nil"/>
              <w:right w:val="nil"/>
            </w:tcBorders>
            <w:shd w:val="clear" w:color="auto" w:fill="auto"/>
            <w:vAlign w:val="center"/>
          </w:tcPr>
          <w:p w14:paraId="7B340BC4" w14:textId="77777777" w:rsidR="00EC1F11" w:rsidRPr="005F44EF" w:rsidRDefault="00EC1F11" w:rsidP="00CB46BD">
            <w:pPr>
              <w:spacing w:after="0" w:line="276" w:lineRule="auto"/>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Total dose rate (μGy/a)</w:t>
            </w:r>
          </w:p>
        </w:tc>
        <w:tc>
          <w:tcPr>
            <w:tcW w:w="1426" w:type="dxa"/>
            <w:tcBorders>
              <w:top w:val="nil"/>
              <w:left w:val="nil"/>
              <w:bottom w:val="nil"/>
              <w:right w:val="nil"/>
            </w:tcBorders>
            <w:shd w:val="clear" w:color="auto" w:fill="auto"/>
            <w:vAlign w:val="center"/>
          </w:tcPr>
          <w:p w14:paraId="16B44DB3" w14:textId="1E273C6D"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917±48</w:t>
            </w:r>
          </w:p>
        </w:tc>
        <w:tc>
          <w:tcPr>
            <w:tcW w:w="1482" w:type="dxa"/>
            <w:tcBorders>
              <w:top w:val="nil"/>
              <w:left w:val="nil"/>
              <w:bottom w:val="nil"/>
              <w:right w:val="nil"/>
            </w:tcBorders>
            <w:shd w:val="clear" w:color="auto" w:fill="auto"/>
            <w:vAlign w:val="center"/>
          </w:tcPr>
          <w:p w14:paraId="1E158A4C" w14:textId="0060EA3A"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1185±46</w:t>
            </w:r>
          </w:p>
        </w:tc>
        <w:tc>
          <w:tcPr>
            <w:tcW w:w="1768" w:type="dxa"/>
            <w:tcBorders>
              <w:top w:val="nil"/>
              <w:left w:val="nil"/>
              <w:bottom w:val="nil"/>
              <w:right w:val="nil"/>
            </w:tcBorders>
            <w:shd w:val="clear" w:color="auto" w:fill="auto"/>
            <w:vAlign w:val="center"/>
          </w:tcPr>
          <w:p w14:paraId="3B6736EA" w14:textId="65E7023B"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1385±53</w:t>
            </w:r>
          </w:p>
        </w:tc>
        <w:tc>
          <w:tcPr>
            <w:tcW w:w="1682" w:type="dxa"/>
            <w:tcBorders>
              <w:top w:val="nil"/>
              <w:left w:val="nil"/>
              <w:bottom w:val="nil"/>
              <w:right w:val="nil"/>
            </w:tcBorders>
            <w:shd w:val="clear" w:color="auto" w:fill="auto"/>
            <w:vAlign w:val="center"/>
          </w:tcPr>
          <w:p w14:paraId="01B2766B" w14:textId="6A4D89EB"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1158±44</w:t>
            </w:r>
          </w:p>
        </w:tc>
        <w:tc>
          <w:tcPr>
            <w:tcW w:w="1597" w:type="dxa"/>
            <w:tcBorders>
              <w:top w:val="nil"/>
              <w:left w:val="nil"/>
              <w:bottom w:val="nil"/>
              <w:right w:val="nil"/>
            </w:tcBorders>
            <w:shd w:val="clear" w:color="auto" w:fill="auto"/>
            <w:vAlign w:val="center"/>
          </w:tcPr>
          <w:p w14:paraId="36759E52" w14:textId="5D1D26E6" w:rsidR="00EC1F11" w:rsidRPr="005F44EF" w:rsidRDefault="00EC1F11"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1116±43</w:t>
            </w:r>
          </w:p>
        </w:tc>
      </w:tr>
      <w:tr w:rsidR="00CB46BD" w:rsidRPr="005F44EF" w14:paraId="7D4AF119" w14:textId="77777777" w:rsidTr="00602009">
        <w:trPr>
          <w:trHeight w:val="271"/>
        </w:trPr>
        <w:tc>
          <w:tcPr>
            <w:tcW w:w="13464" w:type="dxa"/>
            <w:gridSpan w:val="6"/>
            <w:tcBorders>
              <w:top w:val="nil"/>
              <w:left w:val="nil"/>
              <w:bottom w:val="nil"/>
              <w:right w:val="nil"/>
            </w:tcBorders>
            <w:shd w:val="clear" w:color="auto" w:fill="auto"/>
            <w:vAlign w:val="center"/>
          </w:tcPr>
          <w:p w14:paraId="669856E8" w14:textId="77777777" w:rsidR="00CB46BD" w:rsidRPr="005F44EF" w:rsidRDefault="00CB46BD" w:rsidP="00CB46BD">
            <w:pPr>
              <w:spacing w:after="0" w:line="276" w:lineRule="auto"/>
              <w:rPr>
                <w:rFonts w:ascii="Times New Roman" w:eastAsia="Times New Roman" w:hAnsi="Times New Roman" w:cs="Times New Roman"/>
                <w:sz w:val="18"/>
                <w:szCs w:val="18"/>
              </w:rPr>
            </w:pPr>
          </w:p>
        </w:tc>
      </w:tr>
      <w:tr w:rsidR="000B6E33" w:rsidRPr="005F44EF" w14:paraId="720C15A2" w14:textId="77777777" w:rsidTr="00CB46BD">
        <w:trPr>
          <w:trHeight w:val="271"/>
        </w:trPr>
        <w:tc>
          <w:tcPr>
            <w:tcW w:w="5509" w:type="dxa"/>
            <w:tcBorders>
              <w:top w:val="nil"/>
              <w:left w:val="nil"/>
              <w:bottom w:val="nil"/>
              <w:right w:val="nil"/>
            </w:tcBorders>
            <w:shd w:val="clear" w:color="auto" w:fill="auto"/>
            <w:vAlign w:val="center"/>
          </w:tcPr>
          <w:p w14:paraId="3F103EB9" w14:textId="3B69CAB5" w:rsidR="000B6E33" w:rsidRPr="005F44EF" w:rsidRDefault="000B6E33" w:rsidP="00CB46BD">
            <w:pPr>
              <w:spacing w:after="0" w:line="276" w:lineRule="auto"/>
              <w:rPr>
                <w:rFonts w:ascii="Times New Roman" w:eastAsia="Times New Roman" w:hAnsi="Times New Roman" w:cs="Times New Roman"/>
                <w:color w:val="000000"/>
                <w:sz w:val="18"/>
                <w:szCs w:val="18"/>
              </w:rPr>
            </w:pPr>
            <w:bookmarkStart w:id="89" w:name="_Hlk170840977"/>
            <w:r w:rsidRPr="005F44EF">
              <w:rPr>
                <w:rFonts w:ascii="Times New Roman" w:eastAsia="Times New Roman" w:hAnsi="Times New Roman" w:cs="Times New Roman"/>
                <w:color w:val="000000"/>
                <w:sz w:val="18"/>
                <w:szCs w:val="18"/>
              </w:rPr>
              <w:t>Age (ka) Al</w:t>
            </w:r>
          </w:p>
        </w:tc>
        <w:tc>
          <w:tcPr>
            <w:tcW w:w="1426" w:type="dxa"/>
            <w:tcBorders>
              <w:top w:val="nil"/>
              <w:left w:val="nil"/>
              <w:bottom w:val="nil"/>
              <w:right w:val="nil"/>
            </w:tcBorders>
            <w:shd w:val="clear" w:color="auto" w:fill="auto"/>
            <w:vAlign w:val="center"/>
          </w:tcPr>
          <w:p w14:paraId="6D4315BF" w14:textId="5AD5C814" w:rsidR="000B6E33" w:rsidRPr="005F44EF" w:rsidRDefault="00EC4212"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746</w:t>
            </w:r>
            <w:r w:rsidR="000B6E33" w:rsidRPr="005F44EF">
              <w:rPr>
                <w:rFonts w:ascii="Times New Roman" w:eastAsia="Times New Roman" w:hAnsi="Times New Roman" w:cs="Times New Roman"/>
                <w:color w:val="000000"/>
                <w:sz w:val="18"/>
                <w:szCs w:val="18"/>
              </w:rPr>
              <w:t>±</w:t>
            </w:r>
            <w:r w:rsidRPr="005F44EF">
              <w:rPr>
                <w:rFonts w:ascii="Times New Roman" w:eastAsia="Times New Roman" w:hAnsi="Times New Roman" w:cs="Times New Roman"/>
                <w:color w:val="000000"/>
                <w:sz w:val="18"/>
                <w:szCs w:val="18"/>
              </w:rPr>
              <w:t>200</w:t>
            </w:r>
          </w:p>
        </w:tc>
        <w:tc>
          <w:tcPr>
            <w:tcW w:w="1482" w:type="dxa"/>
            <w:tcBorders>
              <w:top w:val="nil"/>
              <w:left w:val="nil"/>
              <w:bottom w:val="nil"/>
              <w:right w:val="nil"/>
            </w:tcBorders>
            <w:shd w:val="clear" w:color="auto" w:fill="auto"/>
            <w:vAlign w:val="center"/>
          </w:tcPr>
          <w:p w14:paraId="41A638B9" w14:textId="447712B2" w:rsidR="000B6E33" w:rsidRPr="005F44EF" w:rsidRDefault="00EC4212"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684</w:t>
            </w:r>
            <w:r w:rsidR="000B6E33" w:rsidRPr="005F44EF">
              <w:rPr>
                <w:rFonts w:ascii="Times New Roman" w:eastAsia="Times New Roman" w:hAnsi="Times New Roman" w:cs="Times New Roman"/>
                <w:color w:val="000000"/>
                <w:sz w:val="18"/>
                <w:szCs w:val="18"/>
              </w:rPr>
              <w:t>±</w:t>
            </w:r>
            <w:r w:rsidRPr="005F44EF">
              <w:rPr>
                <w:rFonts w:ascii="Times New Roman" w:eastAsia="Times New Roman" w:hAnsi="Times New Roman" w:cs="Times New Roman"/>
                <w:color w:val="000000"/>
                <w:sz w:val="18"/>
                <w:szCs w:val="18"/>
              </w:rPr>
              <w:t>218</w:t>
            </w:r>
          </w:p>
        </w:tc>
        <w:tc>
          <w:tcPr>
            <w:tcW w:w="1768" w:type="dxa"/>
            <w:tcBorders>
              <w:top w:val="nil"/>
              <w:left w:val="nil"/>
              <w:bottom w:val="nil"/>
              <w:right w:val="nil"/>
            </w:tcBorders>
            <w:shd w:val="clear" w:color="auto" w:fill="auto"/>
            <w:vAlign w:val="center"/>
          </w:tcPr>
          <w:p w14:paraId="20DAE042" w14:textId="6D15E2D2" w:rsidR="000B6E33" w:rsidRPr="005F44EF" w:rsidRDefault="00EC4212"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869</w:t>
            </w:r>
            <w:r w:rsidR="000B6E33" w:rsidRPr="005F44EF">
              <w:rPr>
                <w:rFonts w:ascii="Times New Roman" w:eastAsia="Times New Roman" w:hAnsi="Times New Roman" w:cs="Times New Roman"/>
                <w:color w:val="000000"/>
                <w:sz w:val="18"/>
                <w:szCs w:val="18"/>
              </w:rPr>
              <w:t>±</w:t>
            </w:r>
            <w:r w:rsidRPr="005F44EF">
              <w:rPr>
                <w:rFonts w:ascii="Times New Roman" w:eastAsia="Times New Roman" w:hAnsi="Times New Roman" w:cs="Times New Roman"/>
                <w:color w:val="000000"/>
                <w:sz w:val="18"/>
                <w:szCs w:val="18"/>
              </w:rPr>
              <w:t>119</w:t>
            </w:r>
          </w:p>
        </w:tc>
        <w:tc>
          <w:tcPr>
            <w:tcW w:w="1682" w:type="dxa"/>
            <w:tcBorders>
              <w:top w:val="nil"/>
              <w:left w:val="nil"/>
              <w:bottom w:val="nil"/>
              <w:right w:val="nil"/>
            </w:tcBorders>
            <w:shd w:val="clear" w:color="auto" w:fill="auto"/>
            <w:vAlign w:val="center"/>
          </w:tcPr>
          <w:p w14:paraId="07DA0FA8" w14:textId="7B45D80B" w:rsidR="000B6E33" w:rsidRPr="005F44EF" w:rsidRDefault="00EC4212"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1242</w:t>
            </w:r>
            <w:r w:rsidR="000B6E33" w:rsidRPr="005F44EF">
              <w:rPr>
                <w:rFonts w:ascii="Times New Roman" w:eastAsia="Times New Roman" w:hAnsi="Times New Roman" w:cs="Times New Roman"/>
                <w:color w:val="000000"/>
                <w:sz w:val="18"/>
                <w:szCs w:val="18"/>
              </w:rPr>
              <w:t>±</w:t>
            </w:r>
            <w:r w:rsidRPr="005F44EF">
              <w:rPr>
                <w:rFonts w:ascii="Times New Roman" w:eastAsia="Times New Roman" w:hAnsi="Times New Roman" w:cs="Times New Roman"/>
                <w:color w:val="000000"/>
                <w:sz w:val="18"/>
                <w:szCs w:val="18"/>
              </w:rPr>
              <w:t>232</w:t>
            </w:r>
          </w:p>
        </w:tc>
        <w:tc>
          <w:tcPr>
            <w:tcW w:w="1597" w:type="dxa"/>
            <w:tcBorders>
              <w:top w:val="nil"/>
              <w:left w:val="nil"/>
              <w:bottom w:val="nil"/>
              <w:right w:val="nil"/>
            </w:tcBorders>
            <w:shd w:val="clear" w:color="auto" w:fill="auto"/>
            <w:vAlign w:val="center"/>
          </w:tcPr>
          <w:p w14:paraId="5397650A" w14:textId="7CB16F2D" w:rsidR="000B6E33" w:rsidRPr="005F44EF" w:rsidRDefault="00EC4212"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1129</w:t>
            </w:r>
            <w:r w:rsidR="000B6E33" w:rsidRPr="005F44EF">
              <w:rPr>
                <w:rFonts w:ascii="Times New Roman" w:eastAsia="Times New Roman" w:hAnsi="Times New Roman" w:cs="Times New Roman"/>
                <w:color w:val="000000"/>
                <w:sz w:val="18"/>
                <w:szCs w:val="18"/>
              </w:rPr>
              <w:t>±</w:t>
            </w:r>
            <w:r w:rsidRPr="005F44EF">
              <w:rPr>
                <w:rFonts w:ascii="Times New Roman" w:eastAsia="Times New Roman" w:hAnsi="Times New Roman" w:cs="Times New Roman"/>
                <w:color w:val="000000"/>
                <w:sz w:val="18"/>
                <w:szCs w:val="18"/>
              </w:rPr>
              <w:t>226</w:t>
            </w:r>
          </w:p>
        </w:tc>
      </w:tr>
      <w:tr w:rsidR="000B6E33" w:rsidRPr="005F44EF" w14:paraId="022E48C9" w14:textId="77777777" w:rsidTr="00CB46BD">
        <w:trPr>
          <w:trHeight w:val="310"/>
        </w:trPr>
        <w:tc>
          <w:tcPr>
            <w:tcW w:w="5509" w:type="dxa"/>
            <w:tcBorders>
              <w:top w:val="nil"/>
              <w:left w:val="nil"/>
              <w:bottom w:val="nil"/>
              <w:right w:val="nil"/>
            </w:tcBorders>
            <w:shd w:val="clear" w:color="auto" w:fill="auto"/>
            <w:vAlign w:val="center"/>
          </w:tcPr>
          <w:p w14:paraId="54A6E25C" w14:textId="04240531" w:rsidR="000B6E33" w:rsidRPr="005F44EF" w:rsidRDefault="000B6E33" w:rsidP="00CB46BD">
            <w:pPr>
              <w:spacing w:after="0" w:line="276" w:lineRule="auto"/>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Age (ka) Ti-</w:t>
            </w:r>
            <w:r w:rsidR="006752E6">
              <w:rPr>
                <w:rFonts w:ascii="Times New Roman" w:eastAsia="Times New Roman" w:hAnsi="Times New Roman" w:cs="Times New Roman"/>
                <w:color w:val="000000"/>
                <w:sz w:val="18"/>
                <w:szCs w:val="18"/>
              </w:rPr>
              <w:t>mix</w:t>
            </w:r>
            <w:r w:rsidRPr="005F44EF">
              <w:rPr>
                <w:rFonts w:ascii="Times New Roman" w:eastAsia="Times New Roman" w:hAnsi="Times New Roman" w:cs="Times New Roman"/>
                <w:color w:val="000000"/>
                <w:sz w:val="18"/>
                <w:szCs w:val="18"/>
              </w:rPr>
              <w:t xml:space="preserve"> (SSE W-1/I², D</w:t>
            </w:r>
            <w:r w:rsidRPr="005F44EF">
              <w:rPr>
                <w:rFonts w:ascii="Times New Roman" w:eastAsia="Times New Roman" w:hAnsi="Times New Roman" w:cs="Times New Roman"/>
                <w:color w:val="000000"/>
                <w:sz w:val="18"/>
                <w:szCs w:val="18"/>
                <w:vertAlign w:val="subscript"/>
              </w:rPr>
              <w:t>max</w:t>
            </w:r>
            <w:r w:rsidRPr="005F44EF">
              <w:rPr>
                <w:rFonts w:ascii="Times New Roman" w:eastAsia="Times New Roman" w:hAnsi="Times New Roman" w:cs="Times New Roman"/>
                <w:color w:val="000000"/>
                <w:sz w:val="18"/>
                <w:szCs w:val="18"/>
              </w:rPr>
              <w:t>=4.5 kGy)</w:t>
            </w:r>
          </w:p>
        </w:tc>
        <w:tc>
          <w:tcPr>
            <w:tcW w:w="1426" w:type="dxa"/>
            <w:tcBorders>
              <w:top w:val="nil"/>
              <w:left w:val="nil"/>
              <w:bottom w:val="nil"/>
              <w:right w:val="nil"/>
            </w:tcBorders>
            <w:shd w:val="clear" w:color="auto" w:fill="auto"/>
            <w:vAlign w:val="center"/>
          </w:tcPr>
          <w:p w14:paraId="2146BCAA" w14:textId="70EADAE4" w:rsidR="000B6E33" w:rsidRPr="005F44EF" w:rsidRDefault="0068235E"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591</w:t>
            </w:r>
            <w:r w:rsidR="000B6E33" w:rsidRPr="005F44EF">
              <w:rPr>
                <w:rFonts w:ascii="Times New Roman" w:eastAsia="Times New Roman" w:hAnsi="Times New Roman" w:cs="Times New Roman"/>
                <w:color w:val="000000"/>
                <w:sz w:val="18"/>
                <w:szCs w:val="18"/>
              </w:rPr>
              <w:t>±</w:t>
            </w:r>
            <w:r w:rsidRPr="005F44EF">
              <w:rPr>
                <w:rFonts w:ascii="Times New Roman" w:eastAsia="Times New Roman" w:hAnsi="Times New Roman" w:cs="Times New Roman"/>
                <w:color w:val="000000"/>
                <w:sz w:val="18"/>
                <w:szCs w:val="18"/>
              </w:rPr>
              <w:t>53</w:t>
            </w:r>
          </w:p>
        </w:tc>
        <w:tc>
          <w:tcPr>
            <w:tcW w:w="1482" w:type="dxa"/>
            <w:tcBorders>
              <w:top w:val="nil"/>
              <w:left w:val="nil"/>
              <w:bottom w:val="nil"/>
              <w:right w:val="nil"/>
            </w:tcBorders>
            <w:shd w:val="clear" w:color="auto" w:fill="auto"/>
            <w:vAlign w:val="center"/>
          </w:tcPr>
          <w:p w14:paraId="31C0860C" w14:textId="6158A64F" w:rsidR="000B6E33" w:rsidRPr="005F44EF" w:rsidRDefault="0068235E"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474</w:t>
            </w:r>
            <w:r w:rsidR="000B6E33" w:rsidRPr="005F44EF">
              <w:rPr>
                <w:rFonts w:ascii="Times New Roman" w:eastAsia="Times New Roman" w:hAnsi="Times New Roman" w:cs="Times New Roman"/>
                <w:color w:val="000000"/>
                <w:sz w:val="18"/>
                <w:szCs w:val="18"/>
              </w:rPr>
              <w:t>±</w:t>
            </w:r>
            <w:r w:rsidRPr="005F44EF">
              <w:rPr>
                <w:rFonts w:ascii="Times New Roman" w:eastAsia="Times New Roman" w:hAnsi="Times New Roman" w:cs="Times New Roman"/>
                <w:color w:val="000000"/>
                <w:sz w:val="18"/>
                <w:szCs w:val="18"/>
              </w:rPr>
              <w:t>59</w:t>
            </w:r>
          </w:p>
        </w:tc>
        <w:tc>
          <w:tcPr>
            <w:tcW w:w="1768" w:type="dxa"/>
            <w:tcBorders>
              <w:top w:val="nil"/>
              <w:left w:val="nil"/>
              <w:bottom w:val="nil"/>
              <w:right w:val="nil"/>
            </w:tcBorders>
            <w:shd w:val="clear" w:color="auto" w:fill="auto"/>
            <w:vAlign w:val="center"/>
          </w:tcPr>
          <w:p w14:paraId="41E34E5B" w14:textId="59F71392" w:rsidR="000B6E33" w:rsidRPr="005F44EF" w:rsidRDefault="0068235E"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458</w:t>
            </w:r>
            <w:r w:rsidR="000B6E33" w:rsidRPr="005F44EF">
              <w:rPr>
                <w:rFonts w:ascii="Times New Roman" w:eastAsia="Times New Roman" w:hAnsi="Times New Roman" w:cs="Times New Roman"/>
                <w:color w:val="000000"/>
                <w:sz w:val="18"/>
                <w:szCs w:val="18"/>
              </w:rPr>
              <w:t>±</w:t>
            </w:r>
            <w:r w:rsidRPr="005F44EF">
              <w:rPr>
                <w:rFonts w:ascii="Times New Roman" w:eastAsia="Times New Roman" w:hAnsi="Times New Roman" w:cs="Times New Roman"/>
                <w:color w:val="000000"/>
                <w:sz w:val="18"/>
                <w:szCs w:val="18"/>
              </w:rPr>
              <w:t>30</w:t>
            </w:r>
          </w:p>
        </w:tc>
        <w:tc>
          <w:tcPr>
            <w:tcW w:w="1682" w:type="dxa"/>
            <w:tcBorders>
              <w:top w:val="nil"/>
              <w:left w:val="nil"/>
              <w:bottom w:val="nil"/>
              <w:right w:val="nil"/>
            </w:tcBorders>
            <w:shd w:val="clear" w:color="auto" w:fill="auto"/>
            <w:vAlign w:val="center"/>
          </w:tcPr>
          <w:p w14:paraId="4841C449" w14:textId="4386AC71" w:rsidR="000B6E33" w:rsidRPr="005F44EF" w:rsidRDefault="000B6E33"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w:t>
            </w:r>
            <w:r w:rsidR="0068235E" w:rsidRPr="005F44EF">
              <w:rPr>
                <w:rFonts w:ascii="Times New Roman" w:eastAsia="Times New Roman" w:hAnsi="Times New Roman" w:cs="Times New Roman"/>
                <w:color w:val="000000"/>
                <w:sz w:val="18"/>
                <w:szCs w:val="18"/>
              </w:rPr>
              <w:t>033</w:t>
            </w:r>
            <w:r w:rsidRPr="005F44EF">
              <w:rPr>
                <w:rFonts w:ascii="Times New Roman" w:eastAsia="Times New Roman" w:hAnsi="Times New Roman" w:cs="Times New Roman"/>
                <w:color w:val="000000"/>
                <w:sz w:val="18"/>
                <w:szCs w:val="18"/>
              </w:rPr>
              <w:t>±</w:t>
            </w:r>
            <w:r w:rsidR="0068235E" w:rsidRPr="005F44EF">
              <w:rPr>
                <w:rFonts w:ascii="Times New Roman" w:eastAsia="Times New Roman" w:hAnsi="Times New Roman" w:cs="Times New Roman"/>
                <w:color w:val="000000"/>
                <w:sz w:val="18"/>
                <w:szCs w:val="18"/>
              </w:rPr>
              <w:t>111</w:t>
            </w:r>
          </w:p>
        </w:tc>
        <w:tc>
          <w:tcPr>
            <w:tcW w:w="1597" w:type="dxa"/>
            <w:tcBorders>
              <w:top w:val="nil"/>
              <w:left w:val="nil"/>
              <w:bottom w:val="nil"/>
              <w:right w:val="nil"/>
            </w:tcBorders>
            <w:shd w:val="clear" w:color="auto" w:fill="auto"/>
            <w:vAlign w:val="center"/>
          </w:tcPr>
          <w:p w14:paraId="1E140C73" w14:textId="7B657575" w:rsidR="000B6E33" w:rsidRPr="005F44EF" w:rsidRDefault="0068235E" w:rsidP="00CB46BD">
            <w:pPr>
              <w:spacing w:after="0" w:line="276" w:lineRule="auto"/>
              <w:jc w:val="center"/>
              <w:rPr>
                <w:rFonts w:ascii="Times New Roman" w:eastAsia="Times New Roman" w:hAnsi="Times New Roman" w:cs="Times New Roman"/>
                <w:color w:val="000000"/>
                <w:sz w:val="18"/>
                <w:szCs w:val="18"/>
              </w:rPr>
            </w:pPr>
            <w:r w:rsidRPr="005F44EF">
              <w:rPr>
                <w:rFonts w:ascii="Times New Roman" w:eastAsia="Times New Roman" w:hAnsi="Times New Roman" w:cs="Times New Roman"/>
                <w:color w:val="000000"/>
                <w:sz w:val="18"/>
                <w:szCs w:val="18"/>
              </w:rPr>
              <w:t>1000</w:t>
            </w:r>
            <w:r w:rsidR="000B6E33" w:rsidRPr="005F44EF">
              <w:rPr>
                <w:rFonts w:ascii="Times New Roman" w:eastAsia="Times New Roman" w:hAnsi="Times New Roman" w:cs="Times New Roman"/>
                <w:color w:val="000000"/>
                <w:sz w:val="18"/>
                <w:szCs w:val="18"/>
              </w:rPr>
              <w:t>±</w:t>
            </w:r>
            <w:r w:rsidR="00EC4212" w:rsidRPr="005F44EF">
              <w:rPr>
                <w:rFonts w:ascii="Times New Roman" w:eastAsia="Times New Roman" w:hAnsi="Times New Roman" w:cs="Times New Roman"/>
                <w:color w:val="000000"/>
                <w:sz w:val="18"/>
                <w:szCs w:val="18"/>
              </w:rPr>
              <w:t>81</w:t>
            </w:r>
          </w:p>
        </w:tc>
      </w:tr>
      <w:tr w:rsidR="000B6E33" w:rsidRPr="005F44EF" w14:paraId="26EB050A" w14:textId="77777777" w:rsidTr="00CB46BD">
        <w:trPr>
          <w:trHeight w:val="310"/>
        </w:trPr>
        <w:tc>
          <w:tcPr>
            <w:tcW w:w="5509" w:type="dxa"/>
            <w:tcBorders>
              <w:top w:val="nil"/>
              <w:left w:val="nil"/>
              <w:bottom w:val="nil"/>
              <w:right w:val="nil"/>
            </w:tcBorders>
            <w:shd w:val="clear" w:color="auto" w:fill="auto"/>
            <w:vAlign w:val="center"/>
          </w:tcPr>
          <w:p w14:paraId="44AAF28E" w14:textId="77777777" w:rsidR="000B6E33" w:rsidRPr="005F44EF" w:rsidRDefault="000B6E33" w:rsidP="00CB46BD">
            <w:pPr>
              <w:spacing w:after="0" w:line="276" w:lineRule="auto"/>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Age (ka) Ti-H (SSE W-1/I², D</w:t>
            </w:r>
            <w:r w:rsidRPr="005F44EF">
              <w:rPr>
                <w:rFonts w:ascii="Times New Roman" w:eastAsia="Times New Roman" w:hAnsi="Times New Roman" w:cs="Times New Roman"/>
                <w:b/>
                <w:color w:val="000000"/>
                <w:sz w:val="18"/>
                <w:szCs w:val="18"/>
                <w:vertAlign w:val="subscript"/>
              </w:rPr>
              <w:t>max</w:t>
            </w:r>
            <w:r w:rsidRPr="005F44EF">
              <w:rPr>
                <w:rFonts w:ascii="Times New Roman" w:eastAsia="Times New Roman" w:hAnsi="Times New Roman" w:cs="Times New Roman"/>
                <w:b/>
                <w:color w:val="000000"/>
                <w:sz w:val="18"/>
                <w:szCs w:val="18"/>
              </w:rPr>
              <w:t>=4.5 kGy)</w:t>
            </w:r>
          </w:p>
        </w:tc>
        <w:tc>
          <w:tcPr>
            <w:tcW w:w="1426" w:type="dxa"/>
            <w:tcBorders>
              <w:top w:val="nil"/>
              <w:left w:val="nil"/>
              <w:bottom w:val="nil"/>
              <w:right w:val="nil"/>
            </w:tcBorders>
            <w:shd w:val="clear" w:color="auto" w:fill="auto"/>
            <w:vAlign w:val="center"/>
          </w:tcPr>
          <w:p w14:paraId="6D27F984" w14:textId="1B921651" w:rsidR="000B6E33" w:rsidRPr="005F44EF" w:rsidRDefault="00B57872" w:rsidP="00CB46BD">
            <w:pPr>
              <w:spacing w:after="0" w:line="276"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51</w:t>
            </w:r>
            <w:r w:rsidR="000B6E33" w:rsidRPr="005F44EF">
              <w:rPr>
                <w:rFonts w:ascii="Times New Roman" w:eastAsia="Times New Roman" w:hAnsi="Times New Roman" w:cs="Times New Roman"/>
                <w:b/>
                <w:color w:val="000000"/>
                <w:sz w:val="18"/>
                <w:szCs w:val="18"/>
              </w:rPr>
              <w:t>±</w:t>
            </w:r>
            <w:r w:rsidRPr="005F44EF">
              <w:rPr>
                <w:rFonts w:ascii="Times New Roman" w:eastAsia="Times New Roman" w:hAnsi="Times New Roman" w:cs="Times New Roman"/>
                <w:b/>
                <w:color w:val="000000"/>
                <w:sz w:val="18"/>
                <w:szCs w:val="18"/>
              </w:rPr>
              <w:t>17</w:t>
            </w:r>
          </w:p>
        </w:tc>
        <w:tc>
          <w:tcPr>
            <w:tcW w:w="1482" w:type="dxa"/>
            <w:tcBorders>
              <w:top w:val="nil"/>
              <w:left w:val="nil"/>
              <w:bottom w:val="nil"/>
              <w:right w:val="nil"/>
            </w:tcBorders>
            <w:shd w:val="clear" w:color="auto" w:fill="auto"/>
            <w:vAlign w:val="center"/>
          </w:tcPr>
          <w:p w14:paraId="319C3C2F" w14:textId="7FC302E5" w:rsidR="000B6E33" w:rsidRPr="005F44EF" w:rsidRDefault="00B57872" w:rsidP="00CB46BD">
            <w:pPr>
              <w:spacing w:after="0" w:line="276"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44</w:t>
            </w:r>
            <w:r w:rsidR="000B6E33" w:rsidRPr="005F44EF">
              <w:rPr>
                <w:rFonts w:ascii="Times New Roman" w:eastAsia="Times New Roman" w:hAnsi="Times New Roman" w:cs="Times New Roman"/>
                <w:b/>
                <w:color w:val="000000"/>
                <w:sz w:val="18"/>
                <w:szCs w:val="18"/>
              </w:rPr>
              <w:t>±</w:t>
            </w:r>
            <w:r w:rsidRPr="005F44EF">
              <w:rPr>
                <w:rFonts w:ascii="Times New Roman" w:eastAsia="Times New Roman" w:hAnsi="Times New Roman" w:cs="Times New Roman"/>
                <w:b/>
                <w:color w:val="000000"/>
                <w:sz w:val="18"/>
                <w:szCs w:val="18"/>
              </w:rPr>
              <w:t>19</w:t>
            </w:r>
          </w:p>
        </w:tc>
        <w:tc>
          <w:tcPr>
            <w:tcW w:w="1768" w:type="dxa"/>
            <w:tcBorders>
              <w:top w:val="nil"/>
              <w:left w:val="nil"/>
              <w:bottom w:val="nil"/>
              <w:right w:val="nil"/>
            </w:tcBorders>
            <w:shd w:val="clear" w:color="auto" w:fill="auto"/>
            <w:vAlign w:val="center"/>
          </w:tcPr>
          <w:p w14:paraId="51BD9B09" w14:textId="4D8FD072" w:rsidR="000B6E33" w:rsidRPr="005F44EF" w:rsidRDefault="000B6E33" w:rsidP="00CB46BD">
            <w:pPr>
              <w:spacing w:after="0" w:line="276"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7</w:t>
            </w:r>
            <w:r w:rsidR="00B57872" w:rsidRPr="005F44EF">
              <w:rPr>
                <w:rFonts w:ascii="Times New Roman" w:eastAsia="Times New Roman" w:hAnsi="Times New Roman" w:cs="Times New Roman"/>
                <w:b/>
                <w:color w:val="000000"/>
                <w:sz w:val="18"/>
                <w:szCs w:val="18"/>
              </w:rPr>
              <w:t>7</w:t>
            </w:r>
            <w:r w:rsidRPr="005F44EF">
              <w:rPr>
                <w:rFonts w:ascii="Times New Roman" w:eastAsia="Times New Roman" w:hAnsi="Times New Roman" w:cs="Times New Roman"/>
                <w:b/>
                <w:color w:val="000000"/>
                <w:sz w:val="18"/>
                <w:szCs w:val="18"/>
              </w:rPr>
              <w:t>±</w:t>
            </w:r>
            <w:r w:rsidR="00B57872" w:rsidRPr="005F44EF">
              <w:rPr>
                <w:rFonts w:ascii="Times New Roman" w:eastAsia="Times New Roman" w:hAnsi="Times New Roman" w:cs="Times New Roman"/>
                <w:b/>
                <w:color w:val="000000"/>
                <w:sz w:val="18"/>
                <w:szCs w:val="18"/>
              </w:rPr>
              <w:t>18</w:t>
            </w:r>
          </w:p>
        </w:tc>
        <w:tc>
          <w:tcPr>
            <w:tcW w:w="1682" w:type="dxa"/>
            <w:tcBorders>
              <w:top w:val="nil"/>
              <w:left w:val="nil"/>
              <w:bottom w:val="nil"/>
              <w:right w:val="nil"/>
            </w:tcBorders>
            <w:shd w:val="clear" w:color="auto" w:fill="auto"/>
            <w:vAlign w:val="center"/>
          </w:tcPr>
          <w:p w14:paraId="71F17871" w14:textId="6BEED542" w:rsidR="000B6E33" w:rsidRPr="005F44EF" w:rsidRDefault="00B57872" w:rsidP="00CB46BD">
            <w:pPr>
              <w:spacing w:after="0" w:line="276"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207</w:t>
            </w:r>
            <w:r w:rsidR="000B6E33" w:rsidRPr="005F44EF">
              <w:rPr>
                <w:rFonts w:ascii="Times New Roman" w:eastAsia="Times New Roman" w:hAnsi="Times New Roman" w:cs="Times New Roman"/>
                <w:b/>
                <w:color w:val="000000"/>
                <w:sz w:val="18"/>
                <w:szCs w:val="18"/>
              </w:rPr>
              <w:t>±</w:t>
            </w:r>
            <w:r w:rsidRPr="005F44EF">
              <w:rPr>
                <w:rFonts w:ascii="Times New Roman" w:eastAsia="Times New Roman" w:hAnsi="Times New Roman" w:cs="Times New Roman"/>
                <w:b/>
                <w:color w:val="000000"/>
                <w:sz w:val="18"/>
                <w:szCs w:val="18"/>
              </w:rPr>
              <w:t>75</w:t>
            </w:r>
          </w:p>
        </w:tc>
        <w:tc>
          <w:tcPr>
            <w:tcW w:w="1597" w:type="dxa"/>
            <w:tcBorders>
              <w:top w:val="nil"/>
              <w:left w:val="nil"/>
              <w:bottom w:val="nil"/>
              <w:right w:val="nil"/>
            </w:tcBorders>
            <w:shd w:val="clear" w:color="auto" w:fill="auto"/>
            <w:vAlign w:val="center"/>
          </w:tcPr>
          <w:p w14:paraId="57A66E87" w14:textId="6E86A3A6" w:rsidR="000B6E33" w:rsidRPr="005F44EF" w:rsidRDefault="00B57872" w:rsidP="00CB46BD">
            <w:pPr>
              <w:spacing w:after="0" w:line="276" w:lineRule="auto"/>
              <w:jc w:val="center"/>
              <w:rPr>
                <w:rFonts w:ascii="Times New Roman" w:eastAsia="Times New Roman" w:hAnsi="Times New Roman" w:cs="Times New Roman"/>
                <w:b/>
                <w:color w:val="000000"/>
                <w:sz w:val="18"/>
                <w:szCs w:val="18"/>
              </w:rPr>
            </w:pPr>
            <w:r w:rsidRPr="005F44EF">
              <w:rPr>
                <w:rFonts w:ascii="Times New Roman" w:eastAsia="Times New Roman" w:hAnsi="Times New Roman" w:cs="Times New Roman"/>
                <w:b/>
                <w:color w:val="000000"/>
                <w:sz w:val="18"/>
                <w:szCs w:val="18"/>
              </w:rPr>
              <w:t>227</w:t>
            </w:r>
            <w:r w:rsidR="000B6E33" w:rsidRPr="005F44EF">
              <w:rPr>
                <w:rFonts w:ascii="Times New Roman" w:eastAsia="Times New Roman" w:hAnsi="Times New Roman" w:cs="Times New Roman"/>
                <w:b/>
                <w:color w:val="000000"/>
                <w:sz w:val="18"/>
                <w:szCs w:val="18"/>
              </w:rPr>
              <w:t>±</w:t>
            </w:r>
            <w:r w:rsidRPr="005F44EF">
              <w:rPr>
                <w:rFonts w:ascii="Times New Roman" w:eastAsia="Times New Roman" w:hAnsi="Times New Roman" w:cs="Times New Roman"/>
                <w:b/>
                <w:color w:val="000000"/>
                <w:sz w:val="18"/>
                <w:szCs w:val="18"/>
              </w:rPr>
              <w:t>68</w:t>
            </w:r>
          </w:p>
        </w:tc>
      </w:tr>
      <w:bookmarkEnd w:id="89"/>
    </w:tbl>
    <w:p w14:paraId="19E7E158" w14:textId="77777777" w:rsidR="000B6E33" w:rsidRPr="005F44EF" w:rsidRDefault="000B6E33">
      <w:pPr>
        <w:spacing w:after="0" w:line="276" w:lineRule="auto"/>
        <w:jc w:val="both"/>
        <w:rPr>
          <w:rFonts w:ascii="Times New Roman" w:eastAsia="Times New Roman" w:hAnsi="Times New Roman" w:cs="Times New Roman"/>
          <w:b/>
          <w:sz w:val="24"/>
          <w:szCs w:val="24"/>
        </w:rPr>
      </w:pPr>
    </w:p>
    <w:p w14:paraId="2BC7B725" w14:textId="77777777" w:rsidR="00BC02D4" w:rsidRDefault="00BC02D4">
      <w:pPr>
        <w:spacing w:after="0" w:line="276" w:lineRule="auto"/>
        <w:jc w:val="both"/>
        <w:rPr>
          <w:rFonts w:ascii="Times New Roman" w:eastAsia="Times New Roman" w:hAnsi="Times New Roman" w:cs="Times New Roman"/>
          <w:b/>
          <w:color w:val="000000"/>
          <w:sz w:val="24"/>
          <w:szCs w:val="20"/>
          <w:lang w:val="en-US"/>
        </w:rPr>
      </w:pPr>
      <w:bookmarkStart w:id="90" w:name="_1y810tw" w:colFirst="0" w:colLast="0"/>
      <w:bookmarkStart w:id="91" w:name="_Hlk170654804"/>
      <w:bookmarkEnd w:id="90"/>
    </w:p>
    <w:p w14:paraId="55872004" w14:textId="77777777" w:rsidR="00BC02D4" w:rsidRDefault="00BC02D4">
      <w:pPr>
        <w:spacing w:after="0" w:line="276" w:lineRule="auto"/>
        <w:jc w:val="both"/>
        <w:rPr>
          <w:rFonts w:ascii="Times New Roman" w:eastAsia="Times New Roman" w:hAnsi="Times New Roman" w:cs="Times New Roman"/>
          <w:b/>
          <w:color w:val="000000"/>
          <w:sz w:val="24"/>
          <w:szCs w:val="20"/>
          <w:lang w:val="en-US"/>
        </w:rPr>
      </w:pPr>
    </w:p>
    <w:p w14:paraId="5ED30E5E" w14:textId="77777777" w:rsidR="00BC02D4" w:rsidRDefault="00BC02D4">
      <w:pPr>
        <w:spacing w:after="0" w:line="276" w:lineRule="auto"/>
        <w:jc w:val="both"/>
        <w:rPr>
          <w:rFonts w:ascii="Times New Roman" w:eastAsia="Times New Roman" w:hAnsi="Times New Roman" w:cs="Times New Roman"/>
          <w:b/>
          <w:color w:val="000000"/>
          <w:sz w:val="24"/>
          <w:szCs w:val="20"/>
          <w:lang w:val="en-US"/>
        </w:rPr>
      </w:pPr>
    </w:p>
    <w:p w14:paraId="25AE3D8E" w14:textId="77777777" w:rsidR="00BC02D4" w:rsidRDefault="00BC02D4">
      <w:pPr>
        <w:spacing w:after="0" w:line="276" w:lineRule="auto"/>
        <w:jc w:val="both"/>
        <w:rPr>
          <w:rFonts w:ascii="Times New Roman" w:eastAsia="Times New Roman" w:hAnsi="Times New Roman" w:cs="Times New Roman"/>
          <w:b/>
          <w:color w:val="000000"/>
          <w:sz w:val="24"/>
          <w:szCs w:val="20"/>
          <w:lang w:val="en-US"/>
        </w:rPr>
      </w:pPr>
    </w:p>
    <w:p w14:paraId="2F27C0D9" w14:textId="77777777" w:rsidR="00BC02D4" w:rsidRDefault="00BC02D4">
      <w:pPr>
        <w:spacing w:after="0" w:line="276" w:lineRule="auto"/>
        <w:jc w:val="both"/>
        <w:rPr>
          <w:rFonts w:ascii="Times New Roman" w:eastAsia="Times New Roman" w:hAnsi="Times New Roman" w:cs="Times New Roman"/>
          <w:b/>
          <w:color w:val="000000"/>
          <w:sz w:val="24"/>
          <w:szCs w:val="20"/>
          <w:lang w:val="en-US"/>
        </w:rPr>
      </w:pPr>
    </w:p>
    <w:p w14:paraId="1E39804E" w14:textId="77777777" w:rsidR="00BC02D4" w:rsidRDefault="00BC02D4">
      <w:pPr>
        <w:spacing w:after="0" w:line="276" w:lineRule="auto"/>
        <w:jc w:val="both"/>
        <w:rPr>
          <w:rFonts w:ascii="Times New Roman" w:eastAsia="Times New Roman" w:hAnsi="Times New Roman" w:cs="Times New Roman"/>
          <w:b/>
          <w:color w:val="000000"/>
          <w:sz w:val="24"/>
          <w:szCs w:val="20"/>
          <w:lang w:val="en-US"/>
        </w:rPr>
      </w:pPr>
    </w:p>
    <w:p w14:paraId="68FEDFF2" w14:textId="77777777" w:rsidR="00BC02D4" w:rsidRDefault="00BC02D4">
      <w:pPr>
        <w:spacing w:after="0" w:line="276" w:lineRule="auto"/>
        <w:jc w:val="both"/>
        <w:rPr>
          <w:rFonts w:ascii="Times New Roman" w:eastAsia="Times New Roman" w:hAnsi="Times New Roman" w:cs="Times New Roman"/>
          <w:b/>
          <w:color w:val="000000"/>
          <w:sz w:val="24"/>
          <w:szCs w:val="20"/>
          <w:lang w:val="en-US"/>
        </w:rPr>
      </w:pPr>
    </w:p>
    <w:p w14:paraId="3EF3E23E" w14:textId="77777777" w:rsidR="00167772" w:rsidRDefault="00167772">
      <w:pPr>
        <w:spacing w:after="0" w:line="276" w:lineRule="auto"/>
        <w:jc w:val="both"/>
        <w:rPr>
          <w:rFonts w:ascii="Times New Roman" w:eastAsia="Times New Roman" w:hAnsi="Times New Roman" w:cs="Times New Roman"/>
          <w:b/>
          <w:color w:val="000000"/>
          <w:sz w:val="24"/>
          <w:szCs w:val="20"/>
          <w:lang w:val="en-US"/>
        </w:rPr>
        <w:sectPr w:rsidR="00167772" w:rsidSect="00167772">
          <w:pgSz w:w="15840" w:h="12240" w:orient="landscape"/>
          <w:pgMar w:top="1417" w:right="1417" w:bottom="1417" w:left="1134" w:header="720" w:footer="720" w:gutter="0"/>
          <w:lnNumType w:countBy="1" w:restart="continuous"/>
          <w:cols w:space="720"/>
          <w:docGrid w:linePitch="299"/>
        </w:sectPr>
      </w:pPr>
    </w:p>
    <w:p w14:paraId="12F95BA2" w14:textId="11B25DAA" w:rsidR="00772A78" w:rsidRDefault="009D3E4D">
      <w:pPr>
        <w:spacing w:after="0" w:line="276" w:lineRule="auto"/>
        <w:jc w:val="both"/>
        <w:rPr>
          <w:rFonts w:ascii="Times New Roman" w:eastAsia="Times New Roman" w:hAnsi="Times New Roman" w:cs="Times New Roman"/>
          <w:color w:val="000000"/>
          <w:sz w:val="24"/>
          <w:szCs w:val="20"/>
        </w:rPr>
      </w:pPr>
      <w:r w:rsidRPr="005F44EF">
        <w:rPr>
          <w:rFonts w:ascii="Times New Roman" w:eastAsia="Times New Roman" w:hAnsi="Times New Roman" w:cs="Times New Roman"/>
          <w:b/>
          <w:color w:val="000000"/>
          <w:sz w:val="24"/>
          <w:szCs w:val="20"/>
          <w:lang w:val="en-US"/>
        </w:rPr>
        <w:lastRenderedPageBreak/>
        <w:t>Figure S</w:t>
      </w:r>
      <w:r w:rsidR="00CE003E" w:rsidRPr="005F44EF">
        <w:rPr>
          <w:rFonts w:ascii="Times New Roman" w:eastAsia="Times New Roman" w:hAnsi="Times New Roman" w:cs="Times New Roman"/>
          <w:b/>
          <w:color w:val="000000"/>
          <w:sz w:val="24"/>
          <w:szCs w:val="20"/>
          <w:lang w:val="en-US"/>
        </w:rPr>
        <w:t>14</w:t>
      </w:r>
      <w:r w:rsidRPr="005F44EF">
        <w:rPr>
          <w:rFonts w:ascii="Times New Roman" w:eastAsia="Times New Roman" w:hAnsi="Times New Roman" w:cs="Times New Roman"/>
          <w:b/>
          <w:color w:val="000000"/>
          <w:sz w:val="24"/>
          <w:szCs w:val="20"/>
          <w:lang w:val="en-US"/>
        </w:rPr>
        <w:t>:</w:t>
      </w:r>
      <w:r w:rsidRPr="005F44EF">
        <w:rPr>
          <w:rFonts w:ascii="Times New Roman" w:eastAsia="Times New Roman" w:hAnsi="Times New Roman" w:cs="Times New Roman"/>
          <w:color w:val="000000"/>
          <w:sz w:val="24"/>
          <w:szCs w:val="20"/>
          <w:lang w:val="en-US"/>
        </w:rPr>
        <w:t xml:space="preserve"> </w:t>
      </w:r>
      <w:r w:rsidR="007D67BD" w:rsidRPr="005F44EF">
        <w:rPr>
          <w:rFonts w:ascii="Times New Roman" w:eastAsia="Times New Roman" w:hAnsi="Times New Roman" w:cs="Times New Roman"/>
          <w:color w:val="000000"/>
          <w:sz w:val="24"/>
          <w:szCs w:val="20"/>
          <w:lang w:val="en-US"/>
        </w:rPr>
        <w:t>SA-</w:t>
      </w:r>
      <w:r w:rsidRPr="005F44EF">
        <w:rPr>
          <w:rFonts w:ascii="Times New Roman" w:eastAsia="Times New Roman" w:hAnsi="Times New Roman" w:cs="Times New Roman"/>
          <w:color w:val="000000"/>
          <w:sz w:val="24"/>
          <w:szCs w:val="20"/>
          <w:lang w:val="en-US"/>
        </w:rPr>
        <w:t>OSL</w:t>
      </w:r>
      <w:r w:rsidR="00FA0B04">
        <w:rPr>
          <w:rFonts w:ascii="Times New Roman" w:eastAsia="Times New Roman" w:hAnsi="Times New Roman" w:cs="Times New Roman"/>
          <w:color w:val="000000"/>
          <w:sz w:val="24"/>
          <w:szCs w:val="20"/>
          <w:lang w:val="en-US"/>
        </w:rPr>
        <w:t xml:space="preserve">, SG-OSL </w:t>
      </w:r>
      <w:r w:rsidRPr="005F44EF">
        <w:rPr>
          <w:rFonts w:ascii="Times New Roman" w:eastAsia="Times New Roman" w:hAnsi="Times New Roman" w:cs="Times New Roman"/>
          <w:color w:val="000000"/>
          <w:sz w:val="24"/>
          <w:szCs w:val="20"/>
          <w:lang w:val="en-US"/>
        </w:rPr>
        <w:t>and ESR ages var</w:t>
      </w:r>
      <w:r w:rsidR="00E76AF9" w:rsidRPr="005F44EF">
        <w:rPr>
          <w:rFonts w:ascii="Times New Roman" w:eastAsia="Times New Roman" w:hAnsi="Times New Roman" w:cs="Times New Roman"/>
          <w:color w:val="000000"/>
          <w:sz w:val="24"/>
          <w:szCs w:val="20"/>
          <w:lang w:val="en-US"/>
        </w:rPr>
        <w:t>iation depending on the various WC values.</w:t>
      </w:r>
      <w:bookmarkEnd w:id="91"/>
      <w:r w:rsidR="00E76AF9" w:rsidRPr="005F44EF">
        <w:rPr>
          <w:rFonts w:ascii="Times New Roman" w:eastAsia="Times New Roman" w:hAnsi="Times New Roman" w:cs="Times New Roman"/>
          <w:color w:val="000000"/>
          <w:sz w:val="24"/>
          <w:szCs w:val="20"/>
          <w:lang w:val="en-US"/>
        </w:rPr>
        <w:t xml:space="preserve"> The ages calculated with the present-day moisture are in </w:t>
      </w:r>
      <w:r w:rsidR="007D67BD" w:rsidRPr="005F44EF">
        <w:rPr>
          <w:rFonts w:ascii="Times New Roman" w:eastAsia="Times New Roman" w:hAnsi="Times New Roman" w:cs="Times New Roman"/>
          <w:color w:val="000000"/>
          <w:sz w:val="24"/>
          <w:szCs w:val="20"/>
          <w:lang w:val="en-US"/>
        </w:rPr>
        <w:t xml:space="preserve">purple </w:t>
      </w:r>
      <w:r w:rsidR="00E76AF9" w:rsidRPr="005F44EF">
        <w:rPr>
          <w:rFonts w:ascii="Times New Roman" w:eastAsia="Times New Roman" w:hAnsi="Times New Roman" w:cs="Times New Roman"/>
          <w:color w:val="000000"/>
          <w:sz w:val="24"/>
          <w:szCs w:val="20"/>
          <w:lang w:val="en-US"/>
        </w:rPr>
        <w:t>and those calculated with the t</w:t>
      </w:r>
      <w:proofErr w:type="spellStart"/>
      <w:r w:rsidR="00E76AF9" w:rsidRPr="005F44EF">
        <w:rPr>
          <w:rFonts w:ascii="Times New Roman" w:eastAsia="Times New Roman" w:hAnsi="Times New Roman" w:cs="Times New Roman"/>
          <w:color w:val="000000"/>
          <w:sz w:val="24"/>
          <w:szCs w:val="20"/>
        </w:rPr>
        <w:t>ime</w:t>
      </w:r>
      <w:proofErr w:type="spellEnd"/>
      <w:r w:rsidR="00E76AF9" w:rsidRPr="005F44EF">
        <w:rPr>
          <w:rFonts w:ascii="Times New Roman" w:eastAsia="Times New Roman" w:hAnsi="Times New Roman" w:cs="Times New Roman"/>
          <w:color w:val="000000"/>
          <w:sz w:val="24"/>
          <w:szCs w:val="20"/>
        </w:rPr>
        <w:t xml:space="preserve">-averaged moisture content (%) determined in </w:t>
      </w:r>
      <w:r w:rsidR="00E76AF9" w:rsidRPr="005F44EF">
        <w:rPr>
          <w:rFonts w:ascii="Times New Roman" w:eastAsia="Times New Roman" w:hAnsi="Times New Roman" w:cs="Times New Roman"/>
          <w:b/>
          <w:color w:val="000000"/>
          <w:sz w:val="24"/>
          <w:szCs w:val="20"/>
        </w:rPr>
        <w:t>Table S</w:t>
      </w:r>
      <w:r w:rsidR="00F13DB5" w:rsidRPr="005F44EF">
        <w:rPr>
          <w:rFonts w:ascii="Times New Roman" w:eastAsia="Times New Roman" w:hAnsi="Times New Roman" w:cs="Times New Roman"/>
          <w:b/>
          <w:color w:val="000000"/>
          <w:sz w:val="24"/>
          <w:szCs w:val="20"/>
        </w:rPr>
        <w:t>3</w:t>
      </w:r>
      <w:r w:rsidR="00E76AF9" w:rsidRPr="005F44EF">
        <w:rPr>
          <w:rFonts w:ascii="Times New Roman" w:eastAsia="Times New Roman" w:hAnsi="Times New Roman" w:cs="Times New Roman"/>
          <w:color w:val="000000"/>
          <w:sz w:val="24"/>
          <w:szCs w:val="20"/>
        </w:rPr>
        <w:t xml:space="preserve"> are in green. </w:t>
      </w:r>
    </w:p>
    <w:p w14:paraId="3E6CDF55" w14:textId="0456C524" w:rsidR="00EE3F7F" w:rsidRDefault="00EE3F7F">
      <w:pPr>
        <w:spacing w:after="0" w:line="276" w:lineRule="auto"/>
        <w:jc w:val="both"/>
        <w:rPr>
          <w:rFonts w:ascii="Times New Roman" w:eastAsia="Times New Roman" w:hAnsi="Times New Roman" w:cs="Times New Roman"/>
          <w:color w:val="000000"/>
          <w:sz w:val="24"/>
          <w:szCs w:val="20"/>
        </w:rPr>
      </w:pPr>
    </w:p>
    <w:p w14:paraId="6C2EC7DC" w14:textId="5DE01697" w:rsidR="00772A78" w:rsidRDefault="006B429C">
      <w:pPr>
        <w:spacing w:after="0" w:line="276" w:lineRule="auto"/>
        <w:jc w:val="both"/>
        <w:rPr>
          <w:rFonts w:ascii="Times New Roman" w:eastAsia="Times New Roman" w:hAnsi="Times New Roman" w:cs="Times New Roman"/>
          <w:color w:val="000000"/>
          <w:sz w:val="24"/>
          <w:szCs w:val="20"/>
          <w:lang w:val="en-US"/>
        </w:rPr>
      </w:pPr>
      <w:r>
        <w:rPr>
          <w:rFonts w:ascii="Times New Roman" w:eastAsia="Times New Roman" w:hAnsi="Times New Roman" w:cs="Times New Roman"/>
          <w:noProof/>
          <w:color w:val="000000"/>
          <w:sz w:val="24"/>
          <w:szCs w:val="20"/>
          <w:lang w:val="en-AU" w:eastAsia="en-AU"/>
        </w:rPr>
        <w:drawing>
          <wp:inline distT="0" distB="0" distL="0" distR="0" wp14:anchorId="78CF941D" wp14:editId="27FD5138">
            <wp:extent cx="5972810" cy="6991985"/>
            <wp:effectExtent l="0" t="0" r="889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WC test sensitivity - Anyama paper 3rd version-01.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72810" cy="6991985"/>
                    </a:xfrm>
                    <a:prstGeom prst="rect">
                      <a:avLst/>
                    </a:prstGeom>
                  </pic:spPr>
                </pic:pic>
              </a:graphicData>
            </a:graphic>
          </wp:inline>
        </w:drawing>
      </w:r>
    </w:p>
    <w:p w14:paraId="36961990" w14:textId="77777777" w:rsidR="00220F7B" w:rsidRDefault="00220F7B">
      <w:pPr>
        <w:spacing w:after="0" w:line="276" w:lineRule="auto"/>
        <w:jc w:val="both"/>
        <w:rPr>
          <w:rFonts w:ascii="Times New Roman" w:eastAsia="Times New Roman" w:hAnsi="Times New Roman" w:cs="Times New Roman"/>
          <w:color w:val="000000"/>
          <w:sz w:val="24"/>
          <w:szCs w:val="20"/>
          <w:lang w:val="en-US"/>
        </w:rPr>
      </w:pPr>
    </w:p>
    <w:p w14:paraId="08F9E74D" w14:textId="0BF238F4" w:rsidR="00772A78" w:rsidRDefault="00772A78">
      <w:pPr>
        <w:spacing w:after="0" w:line="276" w:lineRule="auto"/>
        <w:jc w:val="both"/>
        <w:rPr>
          <w:rFonts w:ascii="Times New Roman" w:eastAsia="Times New Roman" w:hAnsi="Times New Roman" w:cs="Times New Roman"/>
          <w:color w:val="000000"/>
          <w:sz w:val="24"/>
          <w:szCs w:val="20"/>
          <w:lang w:val="en-US"/>
        </w:rPr>
      </w:pPr>
    </w:p>
    <w:p w14:paraId="04CA593E" w14:textId="6BF75A12" w:rsidR="00250DE1" w:rsidRDefault="001A6BF0">
      <w:pPr>
        <w:spacing w:after="0" w:line="276" w:lineRule="auto"/>
        <w:jc w:val="both"/>
        <w:rPr>
          <w:rFonts w:ascii="Times New Roman" w:eastAsia="Times New Roman" w:hAnsi="Times New Roman" w:cs="Times New Roman"/>
          <w:color w:val="000000"/>
          <w:sz w:val="24"/>
          <w:szCs w:val="24"/>
          <w:lang w:val="en-US"/>
        </w:rPr>
      </w:pPr>
      <w:bookmarkStart w:id="92" w:name="_Hlk170654822"/>
      <w:r w:rsidRPr="005F44EF">
        <w:rPr>
          <w:rFonts w:ascii="Times New Roman" w:eastAsia="Times New Roman" w:hAnsi="Times New Roman" w:cs="Times New Roman"/>
          <w:b/>
          <w:color w:val="000000"/>
          <w:sz w:val="24"/>
          <w:szCs w:val="24"/>
          <w:lang w:val="en-US"/>
        </w:rPr>
        <w:lastRenderedPageBreak/>
        <w:t>Table S10</w:t>
      </w:r>
      <w:r w:rsidRPr="005F44EF">
        <w:rPr>
          <w:rFonts w:ascii="Times New Roman" w:eastAsia="Times New Roman" w:hAnsi="Times New Roman" w:cs="Times New Roman"/>
          <w:color w:val="000000"/>
          <w:sz w:val="24"/>
          <w:szCs w:val="24"/>
          <w:lang w:val="en-US"/>
        </w:rPr>
        <w:t xml:space="preserve">: </w:t>
      </w:r>
      <w:r w:rsidR="00EA58DA">
        <w:rPr>
          <w:rFonts w:ascii="Times New Roman" w:eastAsia="Times New Roman" w:hAnsi="Times New Roman" w:cs="Times New Roman"/>
          <w:color w:val="000000"/>
          <w:sz w:val="24"/>
          <w:szCs w:val="24"/>
          <w:lang w:val="en-US"/>
        </w:rPr>
        <w:t xml:space="preserve">SG-OSL </w:t>
      </w:r>
      <w:r w:rsidRPr="005F44EF">
        <w:rPr>
          <w:rFonts w:ascii="Times New Roman" w:eastAsia="Times New Roman" w:hAnsi="Times New Roman" w:cs="Times New Roman"/>
          <w:color w:val="000000"/>
          <w:sz w:val="24"/>
          <w:szCs w:val="24"/>
          <w:lang w:val="en-US"/>
        </w:rPr>
        <w:t xml:space="preserve">ages recalculated with </w:t>
      </w:r>
      <w:r w:rsidR="002B2F2A">
        <w:rPr>
          <w:rFonts w:ascii="Times New Roman" w:eastAsia="Times New Roman" w:hAnsi="Times New Roman" w:cs="Times New Roman"/>
          <w:color w:val="000000"/>
          <w:sz w:val="24"/>
          <w:szCs w:val="24"/>
          <w:lang w:val="en-US"/>
        </w:rPr>
        <w:t>various long-term water content (</w:t>
      </w:r>
      <w:r w:rsidR="002B2F2A" w:rsidRPr="005F44EF">
        <w:rPr>
          <w:rFonts w:ascii="Times New Roman" w:eastAsia="Times New Roman" w:hAnsi="Times New Roman" w:cs="Times New Roman"/>
          <w:color w:val="000000"/>
          <w:sz w:val="24"/>
          <w:szCs w:val="24"/>
          <w:lang w:val="en-US"/>
        </w:rPr>
        <w:t>WC</w:t>
      </w:r>
      <w:r w:rsidR="002B2F2A">
        <w:rPr>
          <w:rFonts w:ascii="Times New Roman" w:eastAsia="Times New Roman" w:hAnsi="Times New Roman" w:cs="Times New Roman"/>
          <w:color w:val="000000"/>
          <w:sz w:val="24"/>
          <w:szCs w:val="24"/>
          <w:lang w:val="en-US"/>
        </w:rPr>
        <w:t>) values</w:t>
      </w:r>
      <w:r w:rsidR="00F24010">
        <w:rPr>
          <w:rFonts w:ascii="Times New Roman" w:eastAsia="Times New Roman" w:hAnsi="Times New Roman" w:cs="Times New Roman"/>
          <w:color w:val="000000"/>
          <w:sz w:val="24"/>
          <w:szCs w:val="24"/>
          <w:lang w:val="en-US"/>
        </w:rPr>
        <w:t xml:space="preserve"> </w:t>
      </w:r>
      <w:r w:rsidRPr="005F44EF">
        <w:rPr>
          <w:rFonts w:ascii="Times New Roman" w:eastAsia="Times New Roman" w:hAnsi="Times New Roman" w:cs="Times New Roman"/>
          <w:color w:val="000000"/>
          <w:sz w:val="24"/>
          <w:szCs w:val="24"/>
          <w:lang w:val="en-US"/>
        </w:rPr>
        <w:t>WC (%</w:t>
      </w:r>
      <w:r w:rsidR="002B2F2A">
        <w:rPr>
          <w:rFonts w:ascii="Times New Roman" w:eastAsia="Times New Roman" w:hAnsi="Times New Roman" w:cs="Times New Roman"/>
          <w:color w:val="000000"/>
          <w:sz w:val="24"/>
          <w:szCs w:val="24"/>
          <w:lang w:val="en-US"/>
        </w:rPr>
        <w:t xml:space="preserve"> dry weight</w:t>
      </w:r>
      <w:r w:rsidRPr="005F44EF">
        <w:rPr>
          <w:rFonts w:ascii="Times New Roman" w:eastAsia="Times New Roman" w:hAnsi="Times New Roman" w:cs="Times New Roman"/>
          <w:color w:val="000000"/>
          <w:sz w:val="24"/>
          <w:szCs w:val="24"/>
          <w:lang w:val="en-US"/>
        </w:rPr>
        <w:t xml:space="preserve">). </w:t>
      </w:r>
      <w:bookmarkEnd w:id="92"/>
    </w:p>
    <w:p w14:paraId="641C3D43" w14:textId="7F665EA5" w:rsidR="00D217EA" w:rsidRDefault="00D217EA">
      <w:pPr>
        <w:spacing w:after="0" w:line="276" w:lineRule="auto"/>
        <w:jc w:val="both"/>
        <w:rPr>
          <w:rFonts w:ascii="Times New Roman" w:eastAsia="Times New Roman" w:hAnsi="Times New Roman" w:cs="Times New Roman"/>
          <w:color w:val="000000"/>
          <w:sz w:val="24"/>
          <w:szCs w:val="24"/>
          <w:lang w:val="en-US"/>
        </w:rPr>
      </w:pPr>
    </w:p>
    <w:tbl>
      <w:tblPr>
        <w:tblW w:w="8177" w:type="dxa"/>
        <w:tblCellMar>
          <w:left w:w="70" w:type="dxa"/>
          <w:right w:w="70" w:type="dxa"/>
        </w:tblCellMar>
        <w:tblLook w:val="04A0" w:firstRow="1" w:lastRow="0" w:firstColumn="1" w:lastColumn="0" w:noHBand="0" w:noVBand="1"/>
      </w:tblPr>
      <w:tblGrid>
        <w:gridCol w:w="1318"/>
        <w:gridCol w:w="2932"/>
        <w:gridCol w:w="1291"/>
        <w:gridCol w:w="1318"/>
        <w:gridCol w:w="1318"/>
      </w:tblGrid>
      <w:tr w:rsidR="006B429C" w:rsidRPr="006B429C" w14:paraId="2B76EF2A" w14:textId="77777777" w:rsidTr="0087094D">
        <w:trPr>
          <w:trHeight w:val="268"/>
        </w:trPr>
        <w:tc>
          <w:tcPr>
            <w:tcW w:w="1318" w:type="dxa"/>
            <w:tcBorders>
              <w:top w:val="single" w:sz="4" w:space="0" w:color="auto"/>
              <w:left w:val="nil"/>
              <w:bottom w:val="nil"/>
              <w:right w:val="nil"/>
            </w:tcBorders>
            <w:shd w:val="clear" w:color="auto" w:fill="D9D9D9" w:themeFill="background1" w:themeFillShade="D9"/>
            <w:noWrap/>
            <w:vAlign w:val="center"/>
            <w:hideMark/>
          </w:tcPr>
          <w:p w14:paraId="4FC36AD7" w14:textId="77777777" w:rsidR="006B429C" w:rsidRPr="0087094D" w:rsidRDefault="006B429C" w:rsidP="0087094D">
            <w:pPr>
              <w:spacing w:after="0" w:line="240" w:lineRule="auto"/>
              <w:jc w:val="center"/>
              <w:rPr>
                <w:rFonts w:ascii="Times New Roman" w:eastAsia="Times New Roman" w:hAnsi="Times New Roman" w:cs="Times New Roman"/>
                <w:sz w:val="24"/>
                <w:szCs w:val="24"/>
                <w:lang w:val="en-US"/>
              </w:rPr>
            </w:pPr>
          </w:p>
        </w:tc>
        <w:tc>
          <w:tcPr>
            <w:tcW w:w="2932" w:type="dxa"/>
            <w:tcBorders>
              <w:top w:val="single" w:sz="4" w:space="0" w:color="auto"/>
              <w:left w:val="nil"/>
              <w:bottom w:val="nil"/>
              <w:right w:val="nil"/>
            </w:tcBorders>
            <w:shd w:val="clear" w:color="auto" w:fill="D9D9D9" w:themeFill="background1" w:themeFillShade="D9"/>
            <w:noWrap/>
            <w:vAlign w:val="center"/>
            <w:hideMark/>
          </w:tcPr>
          <w:p w14:paraId="16E693B9" w14:textId="77777777" w:rsidR="006B429C" w:rsidRPr="0087094D" w:rsidRDefault="006B429C" w:rsidP="0087094D">
            <w:pPr>
              <w:spacing w:after="0" w:line="240" w:lineRule="auto"/>
              <w:jc w:val="center"/>
              <w:rPr>
                <w:rFonts w:ascii="Times New Roman" w:eastAsia="Times New Roman" w:hAnsi="Times New Roman" w:cs="Times New Roman"/>
                <w:sz w:val="20"/>
                <w:szCs w:val="20"/>
                <w:lang w:val="en-US"/>
              </w:rPr>
            </w:pPr>
          </w:p>
        </w:tc>
        <w:tc>
          <w:tcPr>
            <w:tcW w:w="1291" w:type="dxa"/>
            <w:tcBorders>
              <w:top w:val="single" w:sz="4" w:space="0" w:color="auto"/>
              <w:left w:val="nil"/>
              <w:bottom w:val="nil"/>
              <w:right w:val="nil"/>
            </w:tcBorders>
            <w:shd w:val="clear" w:color="auto" w:fill="D9D9D9" w:themeFill="background1" w:themeFillShade="D9"/>
            <w:noWrap/>
            <w:vAlign w:val="center"/>
            <w:hideMark/>
          </w:tcPr>
          <w:p w14:paraId="26BDDCFA" w14:textId="77777777" w:rsidR="006B429C" w:rsidRPr="0087094D" w:rsidRDefault="006B429C" w:rsidP="0087094D">
            <w:pPr>
              <w:spacing w:after="0" w:line="240" w:lineRule="auto"/>
              <w:jc w:val="center"/>
              <w:rPr>
                <w:rFonts w:ascii="Times New Roman" w:eastAsia="Times New Roman" w:hAnsi="Times New Roman" w:cs="Times New Roman"/>
                <w:sz w:val="20"/>
                <w:szCs w:val="20"/>
                <w:lang w:val="en-US"/>
              </w:rPr>
            </w:pPr>
          </w:p>
        </w:tc>
        <w:tc>
          <w:tcPr>
            <w:tcW w:w="2636" w:type="dxa"/>
            <w:gridSpan w:val="2"/>
            <w:tcBorders>
              <w:top w:val="single" w:sz="4" w:space="0" w:color="auto"/>
              <w:left w:val="nil"/>
              <w:bottom w:val="nil"/>
              <w:right w:val="nil"/>
            </w:tcBorders>
            <w:shd w:val="clear" w:color="auto" w:fill="D9D9D9" w:themeFill="background1" w:themeFillShade="D9"/>
            <w:noWrap/>
            <w:vAlign w:val="center"/>
          </w:tcPr>
          <w:p w14:paraId="2AD43EB8" w14:textId="66ECB30C" w:rsidR="006B429C" w:rsidRPr="0087094D" w:rsidRDefault="006B429C" w:rsidP="00D217EA">
            <w:pPr>
              <w:spacing w:after="0" w:line="240" w:lineRule="auto"/>
              <w:jc w:val="center"/>
              <w:rPr>
                <w:rFonts w:ascii="Times New Roman" w:eastAsia="Times New Roman" w:hAnsi="Times New Roman" w:cs="Times New Roman"/>
                <w:sz w:val="18"/>
                <w:szCs w:val="18"/>
                <w:lang w:val="en-US"/>
              </w:rPr>
            </w:pPr>
          </w:p>
        </w:tc>
      </w:tr>
      <w:tr w:rsidR="006B429C" w:rsidRPr="00D217EA" w14:paraId="3765DC10" w14:textId="77777777" w:rsidTr="0087094D">
        <w:trPr>
          <w:trHeight w:val="268"/>
        </w:trPr>
        <w:tc>
          <w:tcPr>
            <w:tcW w:w="1318" w:type="dxa"/>
            <w:tcBorders>
              <w:top w:val="nil"/>
              <w:left w:val="nil"/>
              <w:bottom w:val="single" w:sz="4" w:space="0" w:color="auto"/>
              <w:right w:val="nil"/>
            </w:tcBorders>
            <w:shd w:val="clear" w:color="auto" w:fill="D9D9D9" w:themeFill="background1" w:themeFillShade="D9"/>
            <w:vAlign w:val="center"/>
            <w:hideMark/>
          </w:tcPr>
          <w:p w14:paraId="0CC1DB54" w14:textId="77777777" w:rsidR="006B429C" w:rsidRPr="0087094D" w:rsidRDefault="006B429C" w:rsidP="0087094D">
            <w:pPr>
              <w:spacing w:after="0" w:line="240" w:lineRule="auto"/>
              <w:jc w:val="center"/>
              <w:rPr>
                <w:rFonts w:ascii="Times New Roman" w:eastAsia="Times New Roman" w:hAnsi="Times New Roman" w:cs="Times New Roman"/>
                <w:sz w:val="18"/>
                <w:szCs w:val="18"/>
                <w:lang w:val="fr-FR"/>
              </w:rPr>
            </w:pPr>
            <w:proofErr w:type="spellStart"/>
            <w:r w:rsidRPr="0087094D">
              <w:rPr>
                <w:rFonts w:ascii="Times New Roman" w:eastAsia="Times New Roman" w:hAnsi="Times New Roman" w:cs="Times New Roman"/>
                <w:sz w:val="18"/>
                <w:szCs w:val="18"/>
                <w:lang w:val="fr-FR"/>
              </w:rPr>
              <w:t>Sample</w:t>
            </w:r>
            <w:proofErr w:type="spellEnd"/>
            <w:r w:rsidRPr="0087094D">
              <w:rPr>
                <w:rFonts w:ascii="Times New Roman" w:eastAsia="Times New Roman" w:hAnsi="Times New Roman" w:cs="Times New Roman"/>
                <w:sz w:val="18"/>
                <w:szCs w:val="18"/>
                <w:lang w:val="fr-FR"/>
              </w:rPr>
              <w:t xml:space="preserve"> ID</w:t>
            </w:r>
          </w:p>
        </w:tc>
        <w:tc>
          <w:tcPr>
            <w:tcW w:w="2932" w:type="dxa"/>
            <w:tcBorders>
              <w:top w:val="nil"/>
              <w:left w:val="nil"/>
              <w:bottom w:val="single" w:sz="4" w:space="0" w:color="auto"/>
              <w:right w:val="nil"/>
            </w:tcBorders>
            <w:shd w:val="clear" w:color="auto" w:fill="D9D9D9" w:themeFill="background1" w:themeFillShade="D9"/>
            <w:vAlign w:val="center"/>
            <w:hideMark/>
          </w:tcPr>
          <w:p w14:paraId="0407DA6B"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 xml:space="preserve">WC (% dry </w:t>
            </w:r>
            <w:proofErr w:type="spellStart"/>
            <w:r w:rsidRPr="0087094D">
              <w:rPr>
                <w:rFonts w:ascii="Times New Roman" w:eastAsia="Times New Roman" w:hAnsi="Times New Roman" w:cs="Times New Roman"/>
                <w:sz w:val="18"/>
                <w:szCs w:val="18"/>
                <w:lang w:val="fr-FR"/>
              </w:rPr>
              <w:t>weight</w:t>
            </w:r>
            <w:proofErr w:type="spellEnd"/>
            <w:r w:rsidRPr="0087094D">
              <w:rPr>
                <w:rFonts w:ascii="Times New Roman" w:eastAsia="Times New Roman" w:hAnsi="Times New Roman" w:cs="Times New Roman"/>
                <w:sz w:val="18"/>
                <w:szCs w:val="18"/>
                <w:lang w:val="fr-FR"/>
              </w:rPr>
              <w:t>)</w:t>
            </w:r>
          </w:p>
        </w:tc>
        <w:tc>
          <w:tcPr>
            <w:tcW w:w="1291" w:type="dxa"/>
            <w:tcBorders>
              <w:top w:val="nil"/>
              <w:left w:val="nil"/>
              <w:bottom w:val="single" w:sz="4" w:space="0" w:color="auto"/>
              <w:right w:val="nil"/>
            </w:tcBorders>
            <w:shd w:val="clear" w:color="auto" w:fill="D9D9D9" w:themeFill="background1" w:themeFillShade="D9"/>
            <w:vAlign w:val="center"/>
            <w:hideMark/>
          </w:tcPr>
          <w:p w14:paraId="3C52F77D"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proofErr w:type="spellStart"/>
            <w:proofErr w:type="gramStart"/>
            <w:r w:rsidRPr="0087094D">
              <w:rPr>
                <w:rFonts w:ascii="Times New Roman" w:eastAsia="Times New Roman" w:hAnsi="Times New Roman" w:cs="Times New Roman"/>
                <w:sz w:val="18"/>
                <w:szCs w:val="18"/>
                <w:lang w:val="fr-FR"/>
              </w:rPr>
              <w:t>err</w:t>
            </w:r>
            <w:proofErr w:type="spellEnd"/>
            <w:proofErr w:type="gramEnd"/>
            <w:r w:rsidRPr="0087094D">
              <w:rPr>
                <w:rFonts w:ascii="Times New Roman" w:eastAsia="Times New Roman" w:hAnsi="Times New Roman" w:cs="Times New Roman"/>
                <w:sz w:val="18"/>
                <w:szCs w:val="18"/>
                <w:lang w:val="fr-FR"/>
              </w:rPr>
              <w:t xml:space="preserve"> (%)</w:t>
            </w:r>
          </w:p>
        </w:tc>
        <w:tc>
          <w:tcPr>
            <w:tcW w:w="1318" w:type="dxa"/>
            <w:tcBorders>
              <w:top w:val="nil"/>
              <w:left w:val="nil"/>
              <w:bottom w:val="single" w:sz="4" w:space="0" w:color="auto"/>
              <w:right w:val="nil"/>
            </w:tcBorders>
            <w:shd w:val="clear" w:color="auto" w:fill="D9D9D9" w:themeFill="background1" w:themeFillShade="D9"/>
            <w:vAlign w:val="center"/>
            <w:hideMark/>
          </w:tcPr>
          <w:p w14:paraId="7FBAA413" w14:textId="128D079A"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Pr>
                <w:rFonts w:ascii="Times New Roman" w:eastAsia="Times New Roman" w:hAnsi="Times New Roman" w:cs="Times New Roman"/>
                <w:sz w:val="18"/>
                <w:szCs w:val="18"/>
                <w:lang w:val="fr-FR"/>
              </w:rPr>
              <w:t xml:space="preserve">SG-OSL </w:t>
            </w:r>
            <w:proofErr w:type="spellStart"/>
            <w:r>
              <w:rPr>
                <w:rFonts w:ascii="Times New Roman" w:eastAsia="Times New Roman" w:hAnsi="Times New Roman" w:cs="Times New Roman"/>
                <w:sz w:val="18"/>
                <w:szCs w:val="18"/>
                <w:lang w:val="fr-FR"/>
              </w:rPr>
              <w:t>a</w:t>
            </w:r>
            <w:r w:rsidRPr="0087094D">
              <w:rPr>
                <w:rFonts w:ascii="Times New Roman" w:eastAsia="Times New Roman" w:hAnsi="Times New Roman" w:cs="Times New Roman"/>
                <w:sz w:val="18"/>
                <w:szCs w:val="18"/>
                <w:lang w:val="fr-FR"/>
              </w:rPr>
              <w:t>ge</w:t>
            </w:r>
            <w:proofErr w:type="spellEnd"/>
            <w:r>
              <w:rPr>
                <w:rFonts w:ascii="Times New Roman" w:eastAsia="Times New Roman" w:hAnsi="Times New Roman" w:cs="Times New Roman"/>
                <w:sz w:val="18"/>
                <w:szCs w:val="18"/>
                <w:lang w:val="fr-FR"/>
              </w:rPr>
              <w:t xml:space="preserve"> </w:t>
            </w:r>
            <w:r w:rsidRPr="0087094D">
              <w:rPr>
                <w:rFonts w:ascii="Times New Roman" w:eastAsia="Times New Roman" w:hAnsi="Times New Roman" w:cs="Times New Roman"/>
                <w:sz w:val="18"/>
                <w:szCs w:val="18"/>
                <w:lang w:val="fr-FR"/>
              </w:rPr>
              <w:t>(ka)</w:t>
            </w:r>
          </w:p>
        </w:tc>
        <w:tc>
          <w:tcPr>
            <w:tcW w:w="1318" w:type="dxa"/>
            <w:tcBorders>
              <w:top w:val="nil"/>
              <w:left w:val="nil"/>
              <w:bottom w:val="single" w:sz="4" w:space="0" w:color="auto"/>
              <w:right w:val="nil"/>
            </w:tcBorders>
            <w:shd w:val="clear" w:color="auto" w:fill="D9D9D9" w:themeFill="background1" w:themeFillShade="D9"/>
            <w:vAlign w:val="center"/>
          </w:tcPr>
          <w:p w14:paraId="36355760" w14:textId="73671682"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proofErr w:type="spellStart"/>
            <w:proofErr w:type="gramStart"/>
            <w:r w:rsidRPr="003870EC">
              <w:rPr>
                <w:rFonts w:ascii="Times New Roman" w:eastAsia="Times New Roman" w:hAnsi="Times New Roman" w:cs="Times New Roman"/>
                <w:sz w:val="18"/>
                <w:szCs w:val="18"/>
                <w:lang w:val="fr-FR"/>
              </w:rPr>
              <w:t>err</w:t>
            </w:r>
            <w:proofErr w:type="spellEnd"/>
            <w:proofErr w:type="gramEnd"/>
            <w:r w:rsidRPr="003870EC">
              <w:rPr>
                <w:rFonts w:ascii="Times New Roman" w:eastAsia="Times New Roman" w:hAnsi="Times New Roman" w:cs="Times New Roman"/>
                <w:sz w:val="18"/>
                <w:szCs w:val="18"/>
                <w:lang w:val="fr-FR"/>
              </w:rPr>
              <w:t xml:space="preserve"> (ka)</w:t>
            </w:r>
          </w:p>
        </w:tc>
      </w:tr>
      <w:tr w:rsidR="006B429C" w:rsidRPr="00D217EA" w14:paraId="5FC7C6A8" w14:textId="77777777" w:rsidTr="0087094D">
        <w:trPr>
          <w:trHeight w:val="268"/>
        </w:trPr>
        <w:tc>
          <w:tcPr>
            <w:tcW w:w="1318" w:type="dxa"/>
            <w:tcBorders>
              <w:top w:val="single" w:sz="4" w:space="0" w:color="auto"/>
              <w:left w:val="nil"/>
              <w:bottom w:val="nil"/>
              <w:right w:val="nil"/>
            </w:tcBorders>
            <w:shd w:val="clear" w:color="auto" w:fill="auto"/>
            <w:vAlign w:val="center"/>
            <w:hideMark/>
          </w:tcPr>
          <w:p w14:paraId="59B811A6"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ANY02</w:t>
            </w:r>
          </w:p>
        </w:tc>
        <w:tc>
          <w:tcPr>
            <w:tcW w:w="2932" w:type="dxa"/>
            <w:tcBorders>
              <w:top w:val="single" w:sz="4" w:space="0" w:color="auto"/>
              <w:left w:val="nil"/>
              <w:bottom w:val="nil"/>
              <w:right w:val="nil"/>
            </w:tcBorders>
            <w:shd w:val="clear" w:color="auto" w:fill="auto"/>
            <w:noWrap/>
            <w:vAlign w:val="center"/>
            <w:hideMark/>
          </w:tcPr>
          <w:p w14:paraId="058A0438"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3.2</w:t>
            </w:r>
          </w:p>
        </w:tc>
        <w:tc>
          <w:tcPr>
            <w:tcW w:w="1291" w:type="dxa"/>
            <w:tcBorders>
              <w:top w:val="single" w:sz="4" w:space="0" w:color="auto"/>
              <w:left w:val="nil"/>
              <w:bottom w:val="nil"/>
              <w:right w:val="nil"/>
            </w:tcBorders>
            <w:shd w:val="clear" w:color="auto" w:fill="auto"/>
            <w:noWrap/>
            <w:vAlign w:val="center"/>
            <w:hideMark/>
          </w:tcPr>
          <w:p w14:paraId="1AD095F0"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single" w:sz="4" w:space="0" w:color="auto"/>
              <w:left w:val="nil"/>
              <w:bottom w:val="nil"/>
              <w:right w:val="nil"/>
            </w:tcBorders>
            <w:shd w:val="clear" w:color="auto" w:fill="auto"/>
            <w:noWrap/>
            <w:vAlign w:val="center"/>
            <w:hideMark/>
          </w:tcPr>
          <w:p w14:paraId="1CD05214"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11</w:t>
            </w:r>
          </w:p>
        </w:tc>
        <w:tc>
          <w:tcPr>
            <w:tcW w:w="1318" w:type="dxa"/>
            <w:tcBorders>
              <w:top w:val="single" w:sz="4" w:space="0" w:color="auto"/>
              <w:left w:val="nil"/>
              <w:bottom w:val="nil"/>
              <w:right w:val="nil"/>
            </w:tcBorders>
            <w:shd w:val="clear" w:color="auto" w:fill="auto"/>
            <w:noWrap/>
            <w:vAlign w:val="center"/>
            <w:hideMark/>
          </w:tcPr>
          <w:p w14:paraId="7EE98607" w14:textId="77777777" w:rsidR="006B429C" w:rsidRPr="0087094D" w:rsidRDefault="006B429C" w:rsidP="00E21E58">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2</w:t>
            </w:r>
          </w:p>
        </w:tc>
      </w:tr>
      <w:tr w:rsidR="006B429C" w:rsidRPr="00D217EA" w14:paraId="63B7DC23" w14:textId="77777777" w:rsidTr="0087094D">
        <w:trPr>
          <w:trHeight w:val="268"/>
        </w:trPr>
        <w:tc>
          <w:tcPr>
            <w:tcW w:w="1318" w:type="dxa"/>
            <w:vMerge w:val="restart"/>
            <w:tcBorders>
              <w:top w:val="nil"/>
              <w:left w:val="nil"/>
              <w:bottom w:val="single" w:sz="4" w:space="0" w:color="000000"/>
              <w:right w:val="nil"/>
            </w:tcBorders>
            <w:shd w:val="clear" w:color="auto" w:fill="auto"/>
            <w:vAlign w:val="center"/>
            <w:hideMark/>
          </w:tcPr>
          <w:p w14:paraId="0E1D0EA6"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Unit C</w:t>
            </w:r>
          </w:p>
        </w:tc>
        <w:tc>
          <w:tcPr>
            <w:tcW w:w="2932" w:type="dxa"/>
            <w:tcBorders>
              <w:top w:val="nil"/>
              <w:left w:val="nil"/>
              <w:bottom w:val="nil"/>
              <w:right w:val="nil"/>
            </w:tcBorders>
            <w:shd w:val="clear" w:color="auto" w:fill="auto"/>
            <w:noWrap/>
            <w:vAlign w:val="center"/>
            <w:hideMark/>
          </w:tcPr>
          <w:p w14:paraId="0BC7B433"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9</w:t>
            </w:r>
          </w:p>
        </w:tc>
        <w:tc>
          <w:tcPr>
            <w:tcW w:w="1291" w:type="dxa"/>
            <w:tcBorders>
              <w:top w:val="nil"/>
              <w:left w:val="nil"/>
              <w:bottom w:val="nil"/>
              <w:right w:val="nil"/>
            </w:tcBorders>
            <w:shd w:val="clear" w:color="auto" w:fill="auto"/>
            <w:noWrap/>
            <w:vAlign w:val="center"/>
            <w:hideMark/>
          </w:tcPr>
          <w:p w14:paraId="0758BD5B"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09FA5359"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12</w:t>
            </w:r>
          </w:p>
        </w:tc>
        <w:tc>
          <w:tcPr>
            <w:tcW w:w="1318" w:type="dxa"/>
            <w:tcBorders>
              <w:top w:val="nil"/>
              <w:left w:val="nil"/>
              <w:bottom w:val="nil"/>
              <w:right w:val="nil"/>
            </w:tcBorders>
            <w:shd w:val="clear" w:color="auto" w:fill="auto"/>
            <w:noWrap/>
            <w:vAlign w:val="center"/>
            <w:hideMark/>
          </w:tcPr>
          <w:p w14:paraId="635C3706" w14:textId="77777777" w:rsidR="006B429C" w:rsidRPr="0087094D" w:rsidRDefault="006B429C" w:rsidP="00E21E58">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2</w:t>
            </w:r>
          </w:p>
        </w:tc>
      </w:tr>
      <w:tr w:rsidR="006B429C" w:rsidRPr="00D217EA" w14:paraId="5A883D14" w14:textId="77777777" w:rsidTr="0087094D">
        <w:trPr>
          <w:trHeight w:val="268"/>
        </w:trPr>
        <w:tc>
          <w:tcPr>
            <w:tcW w:w="1318" w:type="dxa"/>
            <w:vMerge/>
            <w:tcBorders>
              <w:top w:val="nil"/>
              <w:left w:val="nil"/>
              <w:bottom w:val="single" w:sz="4" w:space="0" w:color="000000"/>
              <w:right w:val="nil"/>
            </w:tcBorders>
            <w:vAlign w:val="center"/>
            <w:hideMark/>
          </w:tcPr>
          <w:p w14:paraId="1F850754" w14:textId="77777777" w:rsidR="006B429C" w:rsidRPr="0087094D" w:rsidRDefault="006B429C" w:rsidP="0087094D">
            <w:pPr>
              <w:spacing w:after="0" w:line="240" w:lineRule="auto"/>
              <w:jc w:val="center"/>
              <w:rPr>
                <w:rFonts w:ascii="Times New Roman" w:eastAsia="Times New Roman" w:hAnsi="Times New Roman" w:cs="Times New Roman"/>
                <w:sz w:val="18"/>
                <w:szCs w:val="18"/>
                <w:lang w:val="fr-FR"/>
              </w:rPr>
            </w:pPr>
          </w:p>
        </w:tc>
        <w:tc>
          <w:tcPr>
            <w:tcW w:w="2932" w:type="dxa"/>
            <w:tcBorders>
              <w:top w:val="nil"/>
              <w:left w:val="nil"/>
              <w:bottom w:val="nil"/>
              <w:right w:val="nil"/>
            </w:tcBorders>
            <w:shd w:val="clear" w:color="auto" w:fill="auto"/>
            <w:noWrap/>
            <w:vAlign w:val="center"/>
            <w:hideMark/>
          </w:tcPr>
          <w:p w14:paraId="4D76E879"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10</w:t>
            </w:r>
          </w:p>
        </w:tc>
        <w:tc>
          <w:tcPr>
            <w:tcW w:w="1291" w:type="dxa"/>
            <w:tcBorders>
              <w:top w:val="nil"/>
              <w:left w:val="nil"/>
              <w:bottom w:val="nil"/>
              <w:right w:val="nil"/>
            </w:tcBorders>
            <w:shd w:val="clear" w:color="auto" w:fill="auto"/>
            <w:noWrap/>
            <w:vAlign w:val="center"/>
            <w:hideMark/>
          </w:tcPr>
          <w:p w14:paraId="65C14452"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58252001" w14:textId="77777777" w:rsidR="006B429C" w:rsidRPr="0087094D" w:rsidRDefault="006B429C" w:rsidP="000C7D61">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12</w:t>
            </w:r>
          </w:p>
        </w:tc>
        <w:tc>
          <w:tcPr>
            <w:tcW w:w="1318" w:type="dxa"/>
            <w:tcBorders>
              <w:top w:val="nil"/>
              <w:left w:val="nil"/>
              <w:bottom w:val="nil"/>
              <w:right w:val="nil"/>
            </w:tcBorders>
            <w:shd w:val="clear" w:color="auto" w:fill="auto"/>
            <w:noWrap/>
            <w:vAlign w:val="center"/>
            <w:hideMark/>
          </w:tcPr>
          <w:p w14:paraId="23499FE8"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2</w:t>
            </w:r>
          </w:p>
        </w:tc>
      </w:tr>
      <w:tr w:rsidR="006B429C" w:rsidRPr="00D217EA" w14:paraId="37EA63BD" w14:textId="77777777" w:rsidTr="0087094D">
        <w:trPr>
          <w:trHeight w:val="268"/>
        </w:trPr>
        <w:tc>
          <w:tcPr>
            <w:tcW w:w="1318" w:type="dxa"/>
            <w:vMerge/>
            <w:tcBorders>
              <w:top w:val="nil"/>
              <w:left w:val="nil"/>
              <w:bottom w:val="single" w:sz="4" w:space="0" w:color="000000"/>
              <w:right w:val="nil"/>
            </w:tcBorders>
            <w:vAlign w:val="center"/>
            <w:hideMark/>
          </w:tcPr>
          <w:p w14:paraId="379C1224" w14:textId="77777777" w:rsidR="006B429C" w:rsidRPr="0087094D" w:rsidRDefault="006B429C" w:rsidP="0087094D">
            <w:pPr>
              <w:spacing w:after="0" w:line="240" w:lineRule="auto"/>
              <w:jc w:val="center"/>
              <w:rPr>
                <w:rFonts w:ascii="Times New Roman" w:eastAsia="Times New Roman" w:hAnsi="Times New Roman" w:cs="Times New Roman"/>
                <w:sz w:val="18"/>
                <w:szCs w:val="18"/>
                <w:lang w:val="fr-FR"/>
              </w:rPr>
            </w:pPr>
          </w:p>
        </w:tc>
        <w:tc>
          <w:tcPr>
            <w:tcW w:w="2932" w:type="dxa"/>
            <w:tcBorders>
              <w:top w:val="nil"/>
              <w:left w:val="nil"/>
              <w:bottom w:val="nil"/>
              <w:right w:val="nil"/>
            </w:tcBorders>
            <w:shd w:val="clear" w:color="auto" w:fill="auto"/>
            <w:noWrap/>
            <w:vAlign w:val="center"/>
            <w:hideMark/>
          </w:tcPr>
          <w:p w14:paraId="7970BBCD"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15</w:t>
            </w:r>
          </w:p>
        </w:tc>
        <w:tc>
          <w:tcPr>
            <w:tcW w:w="1291" w:type="dxa"/>
            <w:tcBorders>
              <w:top w:val="nil"/>
              <w:left w:val="nil"/>
              <w:bottom w:val="nil"/>
              <w:right w:val="nil"/>
            </w:tcBorders>
            <w:shd w:val="clear" w:color="auto" w:fill="auto"/>
            <w:noWrap/>
            <w:vAlign w:val="center"/>
            <w:hideMark/>
          </w:tcPr>
          <w:p w14:paraId="74E1A7AC"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2774F3BE" w14:textId="77777777" w:rsidR="006B429C" w:rsidRPr="0087094D" w:rsidRDefault="006B429C" w:rsidP="000C7D61">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12</w:t>
            </w:r>
          </w:p>
        </w:tc>
        <w:tc>
          <w:tcPr>
            <w:tcW w:w="1318" w:type="dxa"/>
            <w:tcBorders>
              <w:top w:val="nil"/>
              <w:left w:val="nil"/>
              <w:bottom w:val="nil"/>
              <w:right w:val="nil"/>
            </w:tcBorders>
            <w:shd w:val="clear" w:color="auto" w:fill="auto"/>
            <w:noWrap/>
            <w:vAlign w:val="center"/>
            <w:hideMark/>
          </w:tcPr>
          <w:p w14:paraId="4CB78807"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2</w:t>
            </w:r>
          </w:p>
        </w:tc>
      </w:tr>
      <w:tr w:rsidR="006B429C" w:rsidRPr="00D217EA" w14:paraId="080C542F" w14:textId="77777777" w:rsidTr="0087094D">
        <w:trPr>
          <w:trHeight w:val="268"/>
        </w:trPr>
        <w:tc>
          <w:tcPr>
            <w:tcW w:w="1318" w:type="dxa"/>
            <w:vMerge/>
            <w:tcBorders>
              <w:top w:val="nil"/>
              <w:left w:val="nil"/>
              <w:bottom w:val="single" w:sz="4" w:space="0" w:color="000000"/>
              <w:right w:val="nil"/>
            </w:tcBorders>
            <w:vAlign w:val="center"/>
            <w:hideMark/>
          </w:tcPr>
          <w:p w14:paraId="3601126B" w14:textId="77777777" w:rsidR="006B429C" w:rsidRPr="0087094D" w:rsidRDefault="006B429C" w:rsidP="0087094D">
            <w:pPr>
              <w:spacing w:after="0" w:line="240" w:lineRule="auto"/>
              <w:jc w:val="center"/>
              <w:rPr>
                <w:rFonts w:ascii="Times New Roman" w:eastAsia="Times New Roman" w:hAnsi="Times New Roman" w:cs="Times New Roman"/>
                <w:sz w:val="18"/>
                <w:szCs w:val="18"/>
                <w:lang w:val="fr-FR"/>
              </w:rPr>
            </w:pPr>
          </w:p>
        </w:tc>
        <w:tc>
          <w:tcPr>
            <w:tcW w:w="2932" w:type="dxa"/>
            <w:tcBorders>
              <w:top w:val="nil"/>
              <w:left w:val="nil"/>
              <w:bottom w:val="single" w:sz="4" w:space="0" w:color="auto"/>
              <w:right w:val="nil"/>
            </w:tcBorders>
            <w:shd w:val="clear" w:color="auto" w:fill="auto"/>
            <w:noWrap/>
            <w:vAlign w:val="center"/>
            <w:hideMark/>
          </w:tcPr>
          <w:p w14:paraId="622C54A8"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20</w:t>
            </w:r>
          </w:p>
        </w:tc>
        <w:tc>
          <w:tcPr>
            <w:tcW w:w="1291" w:type="dxa"/>
            <w:tcBorders>
              <w:top w:val="nil"/>
              <w:left w:val="nil"/>
              <w:bottom w:val="single" w:sz="4" w:space="0" w:color="auto"/>
              <w:right w:val="nil"/>
            </w:tcBorders>
            <w:shd w:val="clear" w:color="auto" w:fill="auto"/>
            <w:noWrap/>
            <w:vAlign w:val="center"/>
            <w:hideMark/>
          </w:tcPr>
          <w:p w14:paraId="59B89D4D"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single" w:sz="4" w:space="0" w:color="auto"/>
              <w:right w:val="nil"/>
            </w:tcBorders>
            <w:shd w:val="clear" w:color="auto" w:fill="auto"/>
            <w:noWrap/>
            <w:vAlign w:val="center"/>
            <w:hideMark/>
          </w:tcPr>
          <w:p w14:paraId="58683BD6" w14:textId="77777777" w:rsidR="006B429C" w:rsidRPr="0087094D" w:rsidRDefault="006B429C" w:rsidP="000C7D61">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13</w:t>
            </w:r>
          </w:p>
        </w:tc>
        <w:tc>
          <w:tcPr>
            <w:tcW w:w="1318" w:type="dxa"/>
            <w:tcBorders>
              <w:top w:val="nil"/>
              <w:left w:val="nil"/>
              <w:bottom w:val="single" w:sz="4" w:space="0" w:color="auto"/>
              <w:right w:val="nil"/>
            </w:tcBorders>
            <w:shd w:val="clear" w:color="auto" w:fill="auto"/>
            <w:noWrap/>
            <w:vAlign w:val="center"/>
            <w:hideMark/>
          </w:tcPr>
          <w:p w14:paraId="31CC5CAE"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2</w:t>
            </w:r>
          </w:p>
        </w:tc>
      </w:tr>
      <w:tr w:rsidR="006B429C" w:rsidRPr="00D217EA" w14:paraId="48813C1C" w14:textId="77777777" w:rsidTr="0087094D">
        <w:trPr>
          <w:trHeight w:val="268"/>
        </w:trPr>
        <w:tc>
          <w:tcPr>
            <w:tcW w:w="1318" w:type="dxa"/>
            <w:tcBorders>
              <w:top w:val="nil"/>
              <w:left w:val="nil"/>
              <w:bottom w:val="nil"/>
              <w:right w:val="nil"/>
            </w:tcBorders>
            <w:shd w:val="clear" w:color="auto" w:fill="auto"/>
            <w:vAlign w:val="center"/>
            <w:hideMark/>
          </w:tcPr>
          <w:p w14:paraId="5C0641CD"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ANY03</w:t>
            </w:r>
          </w:p>
        </w:tc>
        <w:tc>
          <w:tcPr>
            <w:tcW w:w="2932" w:type="dxa"/>
            <w:tcBorders>
              <w:top w:val="nil"/>
              <w:left w:val="nil"/>
              <w:bottom w:val="nil"/>
              <w:right w:val="nil"/>
            </w:tcBorders>
            <w:shd w:val="clear" w:color="auto" w:fill="auto"/>
            <w:noWrap/>
            <w:vAlign w:val="center"/>
            <w:hideMark/>
          </w:tcPr>
          <w:p w14:paraId="77172E2F"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4.6</w:t>
            </w:r>
          </w:p>
        </w:tc>
        <w:tc>
          <w:tcPr>
            <w:tcW w:w="1291" w:type="dxa"/>
            <w:tcBorders>
              <w:top w:val="nil"/>
              <w:left w:val="nil"/>
              <w:bottom w:val="nil"/>
              <w:right w:val="nil"/>
            </w:tcBorders>
            <w:shd w:val="clear" w:color="auto" w:fill="auto"/>
            <w:noWrap/>
            <w:vAlign w:val="center"/>
            <w:hideMark/>
          </w:tcPr>
          <w:p w14:paraId="4F53C3AC"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4B24EA5E"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25</w:t>
            </w:r>
          </w:p>
        </w:tc>
        <w:tc>
          <w:tcPr>
            <w:tcW w:w="1318" w:type="dxa"/>
            <w:tcBorders>
              <w:top w:val="nil"/>
              <w:left w:val="nil"/>
              <w:bottom w:val="nil"/>
              <w:right w:val="nil"/>
            </w:tcBorders>
            <w:shd w:val="clear" w:color="auto" w:fill="auto"/>
            <w:noWrap/>
            <w:vAlign w:val="center"/>
            <w:hideMark/>
          </w:tcPr>
          <w:p w14:paraId="623FE6AC" w14:textId="77777777" w:rsidR="006B429C" w:rsidRPr="0087094D" w:rsidRDefault="006B429C" w:rsidP="00E21E58">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2</w:t>
            </w:r>
          </w:p>
        </w:tc>
      </w:tr>
      <w:tr w:rsidR="006B429C" w:rsidRPr="00D217EA" w14:paraId="3101F94C" w14:textId="77777777" w:rsidTr="0087094D">
        <w:trPr>
          <w:trHeight w:val="268"/>
        </w:trPr>
        <w:tc>
          <w:tcPr>
            <w:tcW w:w="1318" w:type="dxa"/>
            <w:vMerge w:val="restart"/>
            <w:tcBorders>
              <w:top w:val="nil"/>
              <w:left w:val="nil"/>
              <w:bottom w:val="single" w:sz="4" w:space="0" w:color="000000"/>
              <w:right w:val="nil"/>
            </w:tcBorders>
            <w:shd w:val="clear" w:color="auto" w:fill="auto"/>
            <w:vAlign w:val="center"/>
            <w:hideMark/>
          </w:tcPr>
          <w:p w14:paraId="20EBE008"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Unit C</w:t>
            </w:r>
          </w:p>
        </w:tc>
        <w:tc>
          <w:tcPr>
            <w:tcW w:w="2932" w:type="dxa"/>
            <w:tcBorders>
              <w:top w:val="nil"/>
              <w:left w:val="nil"/>
              <w:bottom w:val="nil"/>
              <w:right w:val="nil"/>
            </w:tcBorders>
            <w:shd w:val="clear" w:color="auto" w:fill="auto"/>
            <w:noWrap/>
            <w:vAlign w:val="center"/>
            <w:hideMark/>
          </w:tcPr>
          <w:p w14:paraId="13FE4EED"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10</w:t>
            </w:r>
          </w:p>
        </w:tc>
        <w:tc>
          <w:tcPr>
            <w:tcW w:w="1291" w:type="dxa"/>
            <w:tcBorders>
              <w:top w:val="nil"/>
              <w:left w:val="nil"/>
              <w:bottom w:val="nil"/>
              <w:right w:val="nil"/>
            </w:tcBorders>
            <w:shd w:val="clear" w:color="auto" w:fill="auto"/>
            <w:noWrap/>
            <w:vAlign w:val="center"/>
            <w:hideMark/>
          </w:tcPr>
          <w:p w14:paraId="1E26A088"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621D1AC5"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26</w:t>
            </w:r>
          </w:p>
        </w:tc>
        <w:tc>
          <w:tcPr>
            <w:tcW w:w="1318" w:type="dxa"/>
            <w:tcBorders>
              <w:top w:val="nil"/>
              <w:left w:val="nil"/>
              <w:bottom w:val="nil"/>
              <w:right w:val="nil"/>
            </w:tcBorders>
            <w:shd w:val="clear" w:color="auto" w:fill="auto"/>
            <w:noWrap/>
            <w:vAlign w:val="center"/>
            <w:hideMark/>
          </w:tcPr>
          <w:p w14:paraId="1198E125" w14:textId="77777777" w:rsidR="006B429C" w:rsidRPr="0087094D" w:rsidRDefault="006B429C" w:rsidP="00E21E58">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3</w:t>
            </w:r>
          </w:p>
        </w:tc>
      </w:tr>
      <w:tr w:rsidR="006B429C" w:rsidRPr="00D217EA" w14:paraId="254A8898" w14:textId="77777777" w:rsidTr="0087094D">
        <w:trPr>
          <w:trHeight w:val="268"/>
        </w:trPr>
        <w:tc>
          <w:tcPr>
            <w:tcW w:w="1318" w:type="dxa"/>
            <w:vMerge/>
            <w:tcBorders>
              <w:top w:val="nil"/>
              <w:left w:val="nil"/>
              <w:bottom w:val="single" w:sz="4" w:space="0" w:color="000000"/>
              <w:right w:val="nil"/>
            </w:tcBorders>
            <w:vAlign w:val="center"/>
            <w:hideMark/>
          </w:tcPr>
          <w:p w14:paraId="33C59C92" w14:textId="77777777" w:rsidR="006B429C" w:rsidRPr="0087094D" w:rsidRDefault="006B429C" w:rsidP="0087094D">
            <w:pPr>
              <w:spacing w:after="0" w:line="240" w:lineRule="auto"/>
              <w:jc w:val="center"/>
              <w:rPr>
                <w:rFonts w:ascii="Times New Roman" w:eastAsia="Times New Roman" w:hAnsi="Times New Roman" w:cs="Times New Roman"/>
                <w:sz w:val="18"/>
                <w:szCs w:val="18"/>
                <w:lang w:val="fr-FR"/>
              </w:rPr>
            </w:pPr>
          </w:p>
        </w:tc>
        <w:tc>
          <w:tcPr>
            <w:tcW w:w="2932" w:type="dxa"/>
            <w:tcBorders>
              <w:top w:val="nil"/>
              <w:left w:val="nil"/>
              <w:bottom w:val="nil"/>
              <w:right w:val="nil"/>
            </w:tcBorders>
            <w:shd w:val="clear" w:color="auto" w:fill="auto"/>
            <w:noWrap/>
            <w:vAlign w:val="center"/>
            <w:hideMark/>
          </w:tcPr>
          <w:p w14:paraId="3F145D36"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15</w:t>
            </w:r>
          </w:p>
        </w:tc>
        <w:tc>
          <w:tcPr>
            <w:tcW w:w="1291" w:type="dxa"/>
            <w:tcBorders>
              <w:top w:val="nil"/>
              <w:left w:val="nil"/>
              <w:bottom w:val="nil"/>
              <w:right w:val="nil"/>
            </w:tcBorders>
            <w:shd w:val="clear" w:color="auto" w:fill="auto"/>
            <w:noWrap/>
            <w:vAlign w:val="center"/>
            <w:hideMark/>
          </w:tcPr>
          <w:p w14:paraId="0B48C819"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62F44CCA" w14:textId="77777777" w:rsidR="006B429C" w:rsidRPr="0087094D" w:rsidRDefault="006B429C" w:rsidP="000C7D61">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27</w:t>
            </w:r>
          </w:p>
        </w:tc>
        <w:tc>
          <w:tcPr>
            <w:tcW w:w="1318" w:type="dxa"/>
            <w:tcBorders>
              <w:top w:val="nil"/>
              <w:left w:val="nil"/>
              <w:bottom w:val="nil"/>
              <w:right w:val="nil"/>
            </w:tcBorders>
            <w:shd w:val="clear" w:color="auto" w:fill="auto"/>
            <w:noWrap/>
            <w:vAlign w:val="center"/>
            <w:hideMark/>
          </w:tcPr>
          <w:p w14:paraId="5132CF60"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3</w:t>
            </w:r>
          </w:p>
        </w:tc>
      </w:tr>
      <w:tr w:rsidR="006B429C" w:rsidRPr="00D217EA" w14:paraId="0279FA75" w14:textId="77777777" w:rsidTr="0087094D">
        <w:trPr>
          <w:trHeight w:val="268"/>
        </w:trPr>
        <w:tc>
          <w:tcPr>
            <w:tcW w:w="1318" w:type="dxa"/>
            <w:vMerge/>
            <w:tcBorders>
              <w:top w:val="nil"/>
              <w:left w:val="nil"/>
              <w:bottom w:val="single" w:sz="4" w:space="0" w:color="000000"/>
              <w:right w:val="nil"/>
            </w:tcBorders>
            <w:vAlign w:val="center"/>
            <w:hideMark/>
          </w:tcPr>
          <w:p w14:paraId="3766E638" w14:textId="77777777" w:rsidR="006B429C" w:rsidRPr="0087094D" w:rsidRDefault="006B429C" w:rsidP="0087094D">
            <w:pPr>
              <w:spacing w:after="0" w:line="240" w:lineRule="auto"/>
              <w:jc w:val="center"/>
              <w:rPr>
                <w:rFonts w:ascii="Times New Roman" w:eastAsia="Times New Roman" w:hAnsi="Times New Roman" w:cs="Times New Roman"/>
                <w:sz w:val="18"/>
                <w:szCs w:val="18"/>
                <w:lang w:val="fr-FR"/>
              </w:rPr>
            </w:pPr>
          </w:p>
        </w:tc>
        <w:tc>
          <w:tcPr>
            <w:tcW w:w="2932" w:type="dxa"/>
            <w:tcBorders>
              <w:top w:val="nil"/>
              <w:left w:val="nil"/>
              <w:bottom w:val="single" w:sz="4" w:space="0" w:color="auto"/>
              <w:right w:val="nil"/>
            </w:tcBorders>
            <w:shd w:val="clear" w:color="auto" w:fill="auto"/>
            <w:noWrap/>
            <w:vAlign w:val="center"/>
            <w:hideMark/>
          </w:tcPr>
          <w:p w14:paraId="019AB243"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20</w:t>
            </w:r>
          </w:p>
        </w:tc>
        <w:tc>
          <w:tcPr>
            <w:tcW w:w="1291" w:type="dxa"/>
            <w:tcBorders>
              <w:top w:val="nil"/>
              <w:left w:val="nil"/>
              <w:bottom w:val="single" w:sz="4" w:space="0" w:color="auto"/>
              <w:right w:val="nil"/>
            </w:tcBorders>
            <w:shd w:val="clear" w:color="auto" w:fill="auto"/>
            <w:noWrap/>
            <w:vAlign w:val="center"/>
            <w:hideMark/>
          </w:tcPr>
          <w:p w14:paraId="26B5657F"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single" w:sz="4" w:space="0" w:color="auto"/>
              <w:right w:val="nil"/>
            </w:tcBorders>
            <w:shd w:val="clear" w:color="auto" w:fill="auto"/>
            <w:noWrap/>
            <w:vAlign w:val="center"/>
            <w:hideMark/>
          </w:tcPr>
          <w:p w14:paraId="4992108B" w14:textId="77777777" w:rsidR="006B429C" w:rsidRPr="0087094D" w:rsidRDefault="006B429C" w:rsidP="000C7D61">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28</w:t>
            </w:r>
          </w:p>
        </w:tc>
        <w:tc>
          <w:tcPr>
            <w:tcW w:w="1318" w:type="dxa"/>
            <w:tcBorders>
              <w:top w:val="nil"/>
              <w:left w:val="nil"/>
              <w:bottom w:val="single" w:sz="4" w:space="0" w:color="auto"/>
              <w:right w:val="nil"/>
            </w:tcBorders>
            <w:shd w:val="clear" w:color="auto" w:fill="auto"/>
            <w:noWrap/>
            <w:vAlign w:val="center"/>
            <w:hideMark/>
          </w:tcPr>
          <w:p w14:paraId="03919125"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3</w:t>
            </w:r>
          </w:p>
        </w:tc>
      </w:tr>
      <w:tr w:rsidR="006B429C" w:rsidRPr="00D217EA" w14:paraId="2522A3CB" w14:textId="77777777" w:rsidTr="0087094D">
        <w:trPr>
          <w:trHeight w:val="268"/>
        </w:trPr>
        <w:tc>
          <w:tcPr>
            <w:tcW w:w="1318" w:type="dxa"/>
            <w:tcBorders>
              <w:top w:val="nil"/>
              <w:left w:val="nil"/>
              <w:bottom w:val="nil"/>
              <w:right w:val="nil"/>
            </w:tcBorders>
            <w:shd w:val="clear" w:color="auto" w:fill="auto"/>
            <w:vAlign w:val="center"/>
            <w:hideMark/>
          </w:tcPr>
          <w:p w14:paraId="1C8A0EF5"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ANY04</w:t>
            </w:r>
          </w:p>
        </w:tc>
        <w:tc>
          <w:tcPr>
            <w:tcW w:w="2932" w:type="dxa"/>
            <w:tcBorders>
              <w:top w:val="nil"/>
              <w:left w:val="nil"/>
              <w:bottom w:val="nil"/>
              <w:right w:val="nil"/>
            </w:tcBorders>
            <w:shd w:val="clear" w:color="auto" w:fill="auto"/>
            <w:noWrap/>
            <w:vAlign w:val="center"/>
            <w:hideMark/>
          </w:tcPr>
          <w:p w14:paraId="776C862C"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10</w:t>
            </w:r>
          </w:p>
        </w:tc>
        <w:tc>
          <w:tcPr>
            <w:tcW w:w="1291" w:type="dxa"/>
            <w:tcBorders>
              <w:top w:val="nil"/>
              <w:left w:val="nil"/>
              <w:bottom w:val="nil"/>
              <w:right w:val="nil"/>
            </w:tcBorders>
            <w:shd w:val="clear" w:color="auto" w:fill="auto"/>
            <w:noWrap/>
            <w:vAlign w:val="center"/>
            <w:hideMark/>
          </w:tcPr>
          <w:p w14:paraId="19644D88"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7705384C"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52</w:t>
            </w:r>
          </w:p>
        </w:tc>
        <w:tc>
          <w:tcPr>
            <w:tcW w:w="1318" w:type="dxa"/>
            <w:tcBorders>
              <w:top w:val="nil"/>
              <w:left w:val="nil"/>
              <w:bottom w:val="nil"/>
              <w:right w:val="nil"/>
            </w:tcBorders>
            <w:shd w:val="clear" w:color="auto" w:fill="auto"/>
            <w:noWrap/>
            <w:vAlign w:val="center"/>
            <w:hideMark/>
          </w:tcPr>
          <w:p w14:paraId="1E4DAE41" w14:textId="77777777" w:rsidR="006B429C" w:rsidRPr="0087094D" w:rsidRDefault="006B429C" w:rsidP="00E21E58">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4</w:t>
            </w:r>
          </w:p>
        </w:tc>
      </w:tr>
      <w:tr w:rsidR="006B429C" w:rsidRPr="00D217EA" w14:paraId="35D8C2C9" w14:textId="77777777" w:rsidTr="0087094D">
        <w:trPr>
          <w:trHeight w:val="268"/>
        </w:trPr>
        <w:tc>
          <w:tcPr>
            <w:tcW w:w="1318" w:type="dxa"/>
            <w:vMerge w:val="restart"/>
            <w:tcBorders>
              <w:top w:val="nil"/>
              <w:left w:val="nil"/>
              <w:bottom w:val="single" w:sz="4" w:space="0" w:color="000000"/>
              <w:right w:val="nil"/>
            </w:tcBorders>
            <w:shd w:val="clear" w:color="auto" w:fill="auto"/>
            <w:vAlign w:val="center"/>
            <w:hideMark/>
          </w:tcPr>
          <w:p w14:paraId="3CF274B8"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Interface Unit C/D</w:t>
            </w:r>
          </w:p>
        </w:tc>
        <w:tc>
          <w:tcPr>
            <w:tcW w:w="2932" w:type="dxa"/>
            <w:tcBorders>
              <w:top w:val="nil"/>
              <w:left w:val="nil"/>
              <w:bottom w:val="nil"/>
              <w:right w:val="nil"/>
            </w:tcBorders>
            <w:shd w:val="clear" w:color="auto" w:fill="auto"/>
            <w:noWrap/>
            <w:vAlign w:val="center"/>
            <w:hideMark/>
          </w:tcPr>
          <w:p w14:paraId="3C7485BE"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10.3</w:t>
            </w:r>
          </w:p>
        </w:tc>
        <w:tc>
          <w:tcPr>
            <w:tcW w:w="1291" w:type="dxa"/>
            <w:tcBorders>
              <w:top w:val="nil"/>
              <w:left w:val="nil"/>
              <w:bottom w:val="nil"/>
              <w:right w:val="nil"/>
            </w:tcBorders>
            <w:shd w:val="clear" w:color="auto" w:fill="auto"/>
            <w:noWrap/>
            <w:vAlign w:val="center"/>
            <w:hideMark/>
          </w:tcPr>
          <w:p w14:paraId="5D3BAE20"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6F5A02B1"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52</w:t>
            </w:r>
          </w:p>
        </w:tc>
        <w:tc>
          <w:tcPr>
            <w:tcW w:w="1318" w:type="dxa"/>
            <w:tcBorders>
              <w:top w:val="nil"/>
              <w:left w:val="nil"/>
              <w:bottom w:val="nil"/>
              <w:right w:val="nil"/>
            </w:tcBorders>
            <w:shd w:val="clear" w:color="auto" w:fill="auto"/>
            <w:noWrap/>
            <w:vAlign w:val="center"/>
            <w:hideMark/>
          </w:tcPr>
          <w:p w14:paraId="6B2642AC" w14:textId="77777777" w:rsidR="006B429C" w:rsidRPr="0087094D" w:rsidRDefault="006B429C" w:rsidP="00E21E58">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4</w:t>
            </w:r>
          </w:p>
        </w:tc>
      </w:tr>
      <w:tr w:rsidR="006B429C" w:rsidRPr="00D217EA" w14:paraId="5EA28C22" w14:textId="77777777" w:rsidTr="0087094D">
        <w:trPr>
          <w:trHeight w:val="268"/>
        </w:trPr>
        <w:tc>
          <w:tcPr>
            <w:tcW w:w="1318" w:type="dxa"/>
            <w:vMerge/>
            <w:tcBorders>
              <w:top w:val="nil"/>
              <w:left w:val="nil"/>
              <w:bottom w:val="single" w:sz="4" w:space="0" w:color="000000"/>
              <w:right w:val="nil"/>
            </w:tcBorders>
            <w:vAlign w:val="center"/>
            <w:hideMark/>
          </w:tcPr>
          <w:p w14:paraId="57B56E10" w14:textId="77777777" w:rsidR="006B429C" w:rsidRPr="0087094D" w:rsidRDefault="006B429C" w:rsidP="0087094D">
            <w:pPr>
              <w:spacing w:after="0" w:line="240" w:lineRule="auto"/>
              <w:jc w:val="center"/>
              <w:rPr>
                <w:rFonts w:ascii="Times New Roman" w:eastAsia="Times New Roman" w:hAnsi="Times New Roman" w:cs="Times New Roman"/>
                <w:sz w:val="18"/>
                <w:szCs w:val="18"/>
                <w:lang w:val="fr-FR"/>
              </w:rPr>
            </w:pPr>
          </w:p>
        </w:tc>
        <w:tc>
          <w:tcPr>
            <w:tcW w:w="2932" w:type="dxa"/>
            <w:tcBorders>
              <w:top w:val="nil"/>
              <w:left w:val="nil"/>
              <w:bottom w:val="nil"/>
              <w:right w:val="nil"/>
            </w:tcBorders>
            <w:shd w:val="clear" w:color="auto" w:fill="auto"/>
            <w:noWrap/>
            <w:vAlign w:val="center"/>
            <w:hideMark/>
          </w:tcPr>
          <w:p w14:paraId="664C3BDE"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15</w:t>
            </w:r>
          </w:p>
        </w:tc>
        <w:tc>
          <w:tcPr>
            <w:tcW w:w="1291" w:type="dxa"/>
            <w:tcBorders>
              <w:top w:val="nil"/>
              <w:left w:val="nil"/>
              <w:bottom w:val="nil"/>
              <w:right w:val="nil"/>
            </w:tcBorders>
            <w:shd w:val="clear" w:color="auto" w:fill="auto"/>
            <w:noWrap/>
            <w:vAlign w:val="center"/>
            <w:hideMark/>
          </w:tcPr>
          <w:p w14:paraId="15A1AE9C"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24A820BE" w14:textId="77777777" w:rsidR="006B429C" w:rsidRPr="0087094D" w:rsidRDefault="006B429C" w:rsidP="000C7D61">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54</w:t>
            </w:r>
          </w:p>
        </w:tc>
        <w:tc>
          <w:tcPr>
            <w:tcW w:w="1318" w:type="dxa"/>
            <w:tcBorders>
              <w:top w:val="nil"/>
              <w:left w:val="nil"/>
              <w:bottom w:val="nil"/>
              <w:right w:val="nil"/>
            </w:tcBorders>
            <w:shd w:val="clear" w:color="auto" w:fill="auto"/>
            <w:noWrap/>
            <w:vAlign w:val="center"/>
            <w:hideMark/>
          </w:tcPr>
          <w:p w14:paraId="60FCD5CA"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4</w:t>
            </w:r>
          </w:p>
        </w:tc>
      </w:tr>
      <w:tr w:rsidR="006B429C" w:rsidRPr="00D217EA" w14:paraId="2AF13A34" w14:textId="77777777" w:rsidTr="0087094D">
        <w:trPr>
          <w:trHeight w:val="268"/>
        </w:trPr>
        <w:tc>
          <w:tcPr>
            <w:tcW w:w="1318" w:type="dxa"/>
            <w:vMerge/>
            <w:tcBorders>
              <w:top w:val="nil"/>
              <w:left w:val="nil"/>
              <w:bottom w:val="single" w:sz="4" w:space="0" w:color="000000"/>
              <w:right w:val="nil"/>
            </w:tcBorders>
            <w:vAlign w:val="center"/>
            <w:hideMark/>
          </w:tcPr>
          <w:p w14:paraId="1CE6E7D2" w14:textId="77777777" w:rsidR="006B429C" w:rsidRPr="0087094D" w:rsidRDefault="006B429C" w:rsidP="0087094D">
            <w:pPr>
              <w:spacing w:after="0" w:line="240" w:lineRule="auto"/>
              <w:jc w:val="center"/>
              <w:rPr>
                <w:rFonts w:ascii="Times New Roman" w:eastAsia="Times New Roman" w:hAnsi="Times New Roman" w:cs="Times New Roman"/>
                <w:sz w:val="18"/>
                <w:szCs w:val="18"/>
                <w:lang w:val="fr-FR"/>
              </w:rPr>
            </w:pPr>
          </w:p>
        </w:tc>
        <w:tc>
          <w:tcPr>
            <w:tcW w:w="2932" w:type="dxa"/>
            <w:tcBorders>
              <w:top w:val="nil"/>
              <w:left w:val="nil"/>
              <w:bottom w:val="nil"/>
              <w:right w:val="nil"/>
            </w:tcBorders>
            <w:shd w:val="clear" w:color="auto" w:fill="auto"/>
            <w:noWrap/>
            <w:vAlign w:val="center"/>
            <w:hideMark/>
          </w:tcPr>
          <w:p w14:paraId="6158133E"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18</w:t>
            </w:r>
          </w:p>
        </w:tc>
        <w:tc>
          <w:tcPr>
            <w:tcW w:w="1291" w:type="dxa"/>
            <w:tcBorders>
              <w:top w:val="nil"/>
              <w:left w:val="nil"/>
              <w:bottom w:val="nil"/>
              <w:right w:val="nil"/>
            </w:tcBorders>
            <w:shd w:val="clear" w:color="auto" w:fill="auto"/>
            <w:noWrap/>
            <w:vAlign w:val="center"/>
            <w:hideMark/>
          </w:tcPr>
          <w:p w14:paraId="0AE714F5"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6D60365E" w14:textId="77777777" w:rsidR="006B429C" w:rsidRPr="0087094D" w:rsidRDefault="006B429C" w:rsidP="000C7D61">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55</w:t>
            </w:r>
          </w:p>
        </w:tc>
        <w:tc>
          <w:tcPr>
            <w:tcW w:w="1318" w:type="dxa"/>
            <w:tcBorders>
              <w:top w:val="nil"/>
              <w:left w:val="nil"/>
              <w:bottom w:val="nil"/>
              <w:right w:val="nil"/>
            </w:tcBorders>
            <w:shd w:val="clear" w:color="auto" w:fill="auto"/>
            <w:noWrap/>
            <w:vAlign w:val="center"/>
            <w:hideMark/>
          </w:tcPr>
          <w:p w14:paraId="1F12AFDB"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4</w:t>
            </w:r>
          </w:p>
        </w:tc>
      </w:tr>
      <w:tr w:rsidR="006B429C" w:rsidRPr="00D217EA" w14:paraId="266F142E" w14:textId="77777777" w:rsidTr="0087094D">
        <w:trPr>
          <w:trHeight w:val="268"/>
        </w:trPr>
        <w:tc>
          <w:tcPr>
            <w:tcW w:w="1318" w:type="dxa"/>
            <w:vMerge/>
            <w:tcBorders>
              <w:top w:val="nil"/>
              <w:left w:val="nil"/>
              <w:bottom w:val="single" w:sz="4" w:space="0" w:color="000000"/>
              <w:right w:val="nil"/>
            </w:tcBorders>
            <w:vAlign w:val="center"/>
            <w:hideMark/>
          </w:tcPr>
          <w:p w14:paraId="0352A7F9" w14:textId="77777777" w:rsidR="006B429C" w:rsidRPr="0087094D" w:rsidRDefault="006B429C" w:rsidP="0087094D">
            <w:pPr>
              <w:spacing w:after="0" w:line="240" w:lineRule="auto"/>
              <w:jc w:val="center"/>
              <w:rPr>
                <w:rFonts w:ascii="Times New Roman" w:eastAsia="Times New Roman" w:hAnsi="Times New Roman" w:cs="Times New Roman"/>
                <w:sz w:val="18"/>
                <w:szCs w:val="18"/>
                <w:lang w:val="fr-FR"/>
              </w:rPr>
            </w:pPr>
          </w:p>
        </w:tc>
        <w:tc>
          <w:tcPr>
            <w:tcW w:w="2932" w:type="dxa"/>
            <w:tcBorders>
              <w:top w:val="nil"/>
              <w:left w:val="nil"/>
              <w:bottom w:val="single" w:sz="4" w:space="0" w:color="auto"/>
              <w:right w:val="nil"/>
            </w:tcBorders>
            <w:shd w:val="clear" w:color="auto" w:fill="auto"/>
            <w:noWrap/>
            <w:vAlign w:val="center"/>
            <w:hideMark/>
          </w:tcPr>
          <w:p w14:paraId="1502AF16"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20</w:t>
            </w:r>
          </w:p>
        </w:tc>
        <w:tc>
          <w:tcPr>
            <w:tcW w:w="1291" w:type="dxa"/>
            <w:tcBorders>
              <w:top w:val="nil"/>
              <w:left w:val="nil"/>
              <w:bottom w:val="single" w:sz="4" w:space="0" w:color="auto"/>
              <w:right w:val="nil"/>
            </w:tcBorders>
            <w:shd w:val="clear" w:color="auto" w:fill="auto"/>
            <w:noWrap/>
            <w:vAlign w:val="center"/>
            <w:hideMark/>
          </w:tcPr>
          <w:p w14:paraId="2303983E"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single" w:sz="4" w:space="0" w:color="auto"/>
              <w:right w:val="nil"/>
            </w:tcBorders>
            <w:shd w:val="clear" w:color="auto" w:fill="auto"/>
            <w:noWrap/>
            <w:vAlign w:val="center"/>
            <w:hideMark/>
          </w:tcPr>
          <w:p w14:paraId="64F9F3FD" w14:textId="77777777" w:rsidR="006B429C" w:rsidRPr="0087094D" w:rsidRDefault="006B429C" w:rsidP="000C7D61">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57</w:t>
            </w:r>
          </w:p>
        </w:tc>
        <w:tc>
          <w:tcPr>
            <w:tcW w:w="1318" w:type="dxa"/>
            <w:tcBorders>
              <w:top w:val="nil"/>
              <w:left w:val="nil"/>
              <w:bottom w:val="single" w:sz="4" w:space="0" w:color="auto"/>
              <w:right w:val="nil"/>
            </w:tcBorders>
            <w:shd w:val="clear" w:color="auto" w:fill="auto"/>
            <w:noWrap/>
            <w:vAlign w:val="center"/>
            <w:hideMark/>
          </w:tcPr>
          <w:p w14:paraId="64122054"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4</w:t>
            </w:r>
          </w:p>
        </w:tc>
      </w:tr>
      <w:tr w:rsidR="006B429C" w:rsidRPr="00D217EA" w14:paraId="657674B6" w14:textId="77777777" w:rsidTr="0087094D">
        <w:trPr>
          <w:trHeight w:val="268"/>
        </w:trPr>
        <w:tc>
          <w:tcPr>
            <w:tcW w:w="1318" w:type="dxa"/>
            <w:tcBorders>
              <w:top w:val="nil"/>
              <w:left w:val="nil"/>
              <w:bottom w:val="nil"/>
              <w:right w:val="nil"/>
            </w:tcBorders>
            <w:shd w:val="clear" w:color="auto" w:fill="auto"/>
            <w:vAlign w:val="center"/>
            <w:hideMark/>
          </w:tcPr>
          <w:p w14:paraId="0E65DE23"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ANY05</w:t>
            </w:r>
          </w:p>
        </w:tc>
        <w:tc>
          <w:tcPr>
            <w:tcW w:w="2932" w:type="dxa"/>
            <w:tcBorders>
              <w:top w:val="nil"/>
              <w:left w:val="nil"/>
              <w:bottom w:val="nil"/>
              <w:right w:val="nil"/>
            </w:tcBorders>
            <w:shd w:val="clear" w:color="auto" w:fill="auto"/>
            <w:noWrap/>
            <w:vAlign w:val="center"/>
            <w:hideMark/>
          </w:tcPr>
          <w:p w14:paraId="7507ABBE"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10</w:t>
            </w:r>
          </w:p>
        </w:tc>
        <w:tc>
          <w:tcPr>
            <w:tcW w:w="1291" w:type="dxa"/>
            <w:tcBorders>
              <w:top w:val="nil"/>
              <w:left w:val="nil"/>
              <w:bottom w:val="nil"/>
              <w:right w:val="nil"/>
            </w:tcBorders>
            <w:shd w:val="clear" w:color="auto" w:fill="auto"/>
            <w:noWrap/>
            <w:vAlign w:val="center"/>
            <w:hideMark/>
          </w:tcPr>
          <w:p w14:paraId="42549FB8"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20A542E7"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50</w:t>
            </w:r>
          </w:p>
        </w:tc>
        <w:tc>
          <w:tcPr>
            <w:tcW w:w="1318" w:type="dxa"/>
            <w:tcBorders>
              <w:top w:val="nil"/>
              <w:left w:val="nil"/>
              <w:bottom w:val="nil"/>
              <w:right w:val="nil"/>
            </w:tcBorders>
            <w:shd w:val="clear" w:color="auto" w:fill="auto"/>
            <w:noWrap/>
            <w:vAlign w:val="center"/>
            <w:hideMark/>
          </w:tcPr>
          <w:p w14:paraId="7F045D26" w14:textId="77777777" w:rsidR="006B429C" w:rsidRPr="0087094D" w:rsidRDefault="006B429C" w:rsidP="00E21E58">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8</w:t>
            </w:r>
          </w:p>
        </w:tc>
      </w:tr>
      <w:tr w:rsidR="006B429C" w:rsidRPr="00D217EA" w14:paraId="039E1697" w14:textId="77777777" w:rsidTr="0087094D">
        <w:trPr>
          <w:trHeight w:val="268"/>
        </w:trPr>
        <w:tc>
          <w:tcPr>
            <w:tcW w:w="1318" w:type="dxa"/>
            <w:vMerge w:val="restart"/>
            <w:tcBorders>
              <w:top w:val="nil"/>
              <w:left w:val="nil"/>
              <w:bottom w:val="single" w:sz="4" w:space="0" w:color="000000"/>
              <w:right w:val="nil"/>
            </w:tcBorders>
            <w:shd w:val="clear" w:color="auto" w:fill="auto"/>
            <w:noWrap/>
            <w:vAlign w:val="center"/>
            <w:hideMark/>
          </w:tcPr>
          <w:p w14:paraId="0C685857" w14:textId="77777777" w:rsidR="006B429C" w:rsidRPr="0087094D" w:rsidRDefault="006B429C" w:rsidP="00D217EA">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Unit D1</w:t>
            </w:r>
          </w:p>
        </w:tc>
        <w:tc>
          <w:tcPr>
            <w:tcW w:w="2932" w:type="dxa"/>
            <w:tcBorders>
              <w:top w:val="nil"/>
              <w:left w:val="nil"/>
              <w:bottom w:val="nil"/>
              <w:right w:val="nil"/>
            </w:tcBorders>
            <w:shd w:val="clear" w:color="auto" w:fill="auto"/>
            <w:noWrap/>
            <w:vAlign w:val="center"/>
            <w:hideMark/>
          </w:tcPr>
          <w:p w14:paraId="1A11BC80"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11.8</w:t>
            </w:r>
          </w:p>
        </w:tc>
        <w:tc>
          <w:tcPr>
            <w:tcW w:w="1291" w:type="dxa"/>
            <w:tcBorders>
              <w:top w:val="nil"/>
              <w:left w:val="nil"/>
              <w:bottom w:val="nil"/>
              <w:right w:val="nil"/>
            </w:tcBorders>
            <w:shd w:val="clear" w:color="auto" w:fill="auto"/>
            <w:noWrap/>
            <w:vAlign w:val="center"/>
            <w:hideMark/>
          </w:tcPr>
          <w:p w14:paraId="35794B80"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3DF7E160"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51</w:t>
            </w:r>
          </w:p>
        </w:tc>
        <w:tc>
          <w:tcPr>
            <w:tcW w:w="1318" w:type="dxa"/>
            <w:tcBorders>
              <w:top w:val="nil"/>
              <w:left w:val="nil"/>
              <w:bottom w:val="nil"/>
              <w:right w:val="nil"/>
            </w:tcBorders>
            <w:shd w:val="clear" w:color="auto" w:fill="auto"/>
            <w:noWrap/>
            <w:vAlign w:val="center"/>
            <w:hideMark/>
          </w:tcPr>
          <w:p w14:paraId="698DE52E" w14:textId="77777777" w:rsidR="006B429C" w:rsidRPr="0087094D" w:rsidRDefault="006B429C" w:rsidP="00E21E58">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8</w:t>
            </w:r>
          </w:p>
        </w:tc>
      </w:tr>
      <w:tr w:rsidR="006B429C" w:rsidRPr="00D217EA" w14:paraId="669210C4" w14:textId="77777777" w:rsidTr="0087094D">
        <w:trPr>
          <w:trHeight w:val="268"/>
        </w:trPr>
        <w:tc>
          <w:tcPr>
            <w:tcW w:w="1318" w:type="dxa"/>
            <w:vMerge/>
            <w:tcBorders>
              <w:top w:val="nil"/>
              <w:left w:val="nil"/>
              <w:bottom w:val="single" w:sz="4" w:space="0" w:color="000000"/>
              <w:right w:val="nil"/>
            </w:tcBorders>
            <w:vAlign w:val="center"/>
            <w:hideMark/>
          </w:tcPr>
          <w:p w14:paraId="62D56284" w14:textId="77777777" w:rsidR="006B429C" w:rsidRPr="0087094D" w:rsidRDefault="006B429C" w:rsidP="0087094D">
            <w:pPr>
              <w:spacing w:after="0" w:line="240" w:lineRule="auto"/>
              <w:jc w:val="center"/>
              <w:rPr>
                <w:rFonts w:ascii="Times New Roman" w:eastAsia="Times New Roman" w:hAnsi="Times New Roman" w:cs="Times New Roman"/>
                <w:color w:val="000000"/>
                <w:sz w:val="18"/>
                <w:szCs w:val="18"/>
                <w:lang w:val="fr-FR"/>
              </w:rPr>
            </w:pPr>
          </w:p>
        </w:tc>
        <w:tc>
          <w:tcPr>
            <w:tcW w:w="2932" w:type="dxa"/>
            <w:tcBorders>
              <w:top w:val="nil"/>
              <w:left w:val="nil"/>
              <w:bottom w:val="nil"/>
              <w:right w:val="nil"/>
            </w:tcBorders>
            <w:shd w:val="clear" w:color="auto" w:fill="auto"/>
            <w:noWrap/>
            <w:vAlign w:val="center"/>
            <w:hideMark/>
          </w:tcPr>
          <w:p w14:paraId="2F313C9E"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15</w:t>
            </w:r>
          </w:p>
        </w:tc>
        <w:tc>
          <w:tcPr>
            <w:tcW w:w="1291" w:type="dxa"/>
            <w:tcBorders>
              <w:top w:val="nil"/>
              <w:left w:val="nil"/>
              <w:bottom w:val="nil"/>
              <w:right w:val="nil"/>
            </w:tcBorders>
            <w:shd w:val="clear" w:color="auto" w:fill="auto"/>
            <w:noWrap/>
            <w:vAlign w:val="center"/>
            <w:hideMark/>
          </w:tcPr>
          <w:p w14:paraId="0EEF4B00"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265E0D7D" w14:textId="77777777" w:rsidR="006B429C" w:rsidRPr="0087094D" w:rsidRDefault="006B429C" w:rsidP="000C7D61">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53</w:t>
            </w:r>
          </w:p>
        </w:tc>
        <w:tc>
          <w:tcPr>
            <w:tcW w:w="1318" w:type="dxa"/>
            <w:tcBorders>
              <w:top w:val="nil"/>
              <w:left w:val="nil"/>
              <w:bottom w:val="nil"/>
              <w:right w:val="nil"/>
            </w:tcBorders>
            <w:shd w:val="clear" w:color="auto" w:fill="auto"/>
            <w:noWrap/>
            <w:vAlign w:val="center"/>
            <w:hideMark/>
          </w:tcPr>
          <w:p w14:paraId="013843EA"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8</w:t>
            </w:r>
          </w:p>
        </w:tc>
      </w:tr>
      <w:tr w:rsidR="006B429C" w:rsidRPr="00D217EA" w14:paraId="3CBD27F4" w14:textId="77777777" w:rsidTr="0087094D">
        <w:trPr>
          <w:trHeight w:val="268"/>
        </w:trPr>
        <w:tc>
          <w:tcPr>
            <w:tcW w:w="1318" w:type="dxa"/>
            <w:vMerge/>
            <w:tcBorders>
              <w:top w:val="nil"/>
              <w:left w:val="nil"/>
              <w:bottom w:val="single" w:sz="4" w:space="0" w:color="000000"/>
              <w:right w:val="nil"/>
            </w:tcBorders>
            <w:vAlign w:val="center"/>
            <w:hideMark/>
          </w:tcPr>
          <w:p w14:paraId="0C9A2838" w14:textId="77777777" w:rsidR="006B429C" w:rsidRPr="0087094D" w:rsidRDefault="006B429C" w:rsidP="0087094D">
            <w:pPr>
              <w:spacing w:after="0" w:line="240" w:lineRule="auto"/>
              <w:jc w:val="center"/>
              <w:rPr>
                <w:rFonts w:ascii="Times New Roman" w:eastAsia="Times New Roman" w:hAnsi="Times New Roman" w:cs="Times New Roman"/>
                <w:color w:val="000000"/>
                <w:sz w:val="18"/>
                <w:szCs w:val="18"/>
                <w:lang w:val="fr-FR"/>
              </w:rPr>
            </w:pPr>
          </w:p>
        </w:tc>
        <w:tc>
          <w:tcPr>
            <w:tcW w:w="2932" w:type="dxa"/>
            <w:tcBorders>
              <w:top w:val="nil"/>
              <w:left w:val="nil"/>
              <w:bottom w:val="nil"/>
              <w:right w:val="nil"/>
            </w:tcBorders>
            <w:shd w:val="clear" w:color="auto" w:fill="auto"/>
            <w:noWrap/>
            <w:vAlign w:val="center"/>
            <w:hideMark/>
          </w:tcPr>
          <w:p w14:paraId="11059256"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18</w:t>
            </w:r>
          </w:p>
        </w:tc>
        <w:tc>
          <w:tcPr>
            <w:tcW w:w="1291" w:type="dxa"/>
            <w:tcBorders>
              <w:top w:val="nil"/>
              <w:left w:val="nil"/>
              <w:bottom w:val="nil"/>
              <w:right w:val="nil"/>
            </w:tcBorders>
            <w:shd w:val="clear" w:color="auto" w:fill="auto"/>
            <w:noWrap/>
            <w:vAlign w:val="center"/>
            <w:hideMark/>
          </w:tcPr>
          <w:p w14:paraId="1DCBA43E"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3361D8BA" w14:textId="77777777" w:rsidR="006B429C" w:rsidRPr="0087094D" w:rsidRDefault="006B429C" w:rsidP="000C7D61">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54</w:t>
            </w:r>
          </w:p>
        </w:tc>
        <w:tc>
          <w:tcPr>
            <w:tcW w:w="1318" w:type="dxa"/>
            <w:tcBorders>
              <w:top w:val="nil"/>
              <w:left w:val="nil"/>
              <w:bottom w:val="nil"/>
              <w:right w:val="nil"/>
            </w:tcBorders>
            <w:shd w:val="clear" w:color="auto" w:fill="auto"/>
            <w:noWrap/>
            <w:vAlign w:val="center"/>
            <w:hideMark/>
          </w:tcPr>
          <w:p w14:paraId="4BC41742"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8</w:t>
            </w:r>
          </w:p>
        </w:tc>
      </w:tr>
      <w:tr w:rsidR="006B429C" w:rsidRPr="00D217EA" w14:paraId="56DE0B07" w14:textId="77777777" w:rsidTr="0087094D">
        <w:trPr>
          <w:trHeight w:val="268"/>
        </w:trPr>
        <w:tc>
          <w:tcPr>
            <w:tcW w:w="1318" w:type="dxa"/>
            <w:vMerge/>
            <w:tcBorders>
              <w:top w:val="nil"/>
              <w:left w:val="nil"/>
              <w:bottom w:val="single" w:sz="4" w:space="0" w:color="000000"/>
              <w:right w:val="nil"/>
            </w:tcBorders>
            <w:vAlign w:val="center"/>
            <w:hideMark/>
          </w:tcPr>
          <w:p w14:paraId="3FB28179" w14:textId="77777777" w:rsidR="006B429C" w:rsidRPr="0087094D" w:rsidRDefault="006B429C" w:rsidP="0087094D">
            <w:pPr>
              <w:spacing w:after="0" w:line="240" w:lineRule="auto"/>
              <w:jc w:val="center"/>
              <w:rPr>
                <w:rFonts w:ascii="Times New Roman" w:eastAsia="Times New Roman" w:hAnsi="Times New Roman" w:cs="Times New Roman"/>
                <w:color w:val="000000"/>
                <w:sz w:val="18"/>
                <w:szCs w:val="18"/>
                <w:lang w:val="fr-FR"/>
              </w:rPr>
            </w:pPr>
          </w:p>
        </w:tc>
        <w:tc>
          <w:tcPr>
            <w:tcW w:w="2932" w:type="dxa"/>
            <w:tcBorders>
              <w:top w:val="nil"/>
              <w:left w:val="nil"/>
              <w:bottom w:val="single" w:sz="4" w:space="0" w:color="auto"/>
              <w:right w:val="nil"/>
            </w:tcBorders>
            <w:shd w:val="clear" w:color="auto" w:fill="auto"/>
            <w:noWrap/>
            <w:vAlign w:val="center"/>
            <w:hideMark/>
          </w:tcPr>
          <w:p w14:paraId="3E1DE3E3"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20</w:t>
            </w:r>
          </w:p>
        </w:tc>
        <w:tc>
          <w:tcPr>
            <w:tcW w:w="1291" w:type="dxa"/>
            <w:tcBorders>
              <w:top w:val="nil"/>
              <w:left w:val="nil"/>
              <w:bottom w:val="single" w:sz="4" w:space="0" w:color="auto"/>
              <w:right w:val="nil"/>
            </w:tcBorders>
            <w:shd w:val="clear" w:color="auto" w:fill="auto"/>
            <w:noWrap/>
            <w:vAlign w:val="center"/>
            <w:hideMark/>
          </w:tcPr>
          <w:p w14:paraId="1BBC48A5"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single" w:sz="4" w:space="0" w:color="auto"/>
              <w:right w:val="nil"/>
            </w:tcBorders>
            <w:shd w:val="clear" w:color="auto" w:fill="auto"/>
            <w:noWrap/>
            <w:vAlign w:val="center"/>
            <w:hideMark/>
          </w:tcPr>
          <w:p w14:paraId="4D68E3DB" w14:textId="77777777" w:rsidR="006B429C" w:rsidRPr="0087094D" w:rsidRDefault="006B429C" w:rsidP="000C7D61">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55</w:t>
            </w:r>
          </w:p>
        </w:tc>
        <w:tc>
          <w:tcPr>
            <w:tcW w:w="1318" w:type="dxa"/>
            <w:tcBorders>
              <w:top w:val="nil"/>
              <w:left w:val="nil"/>
              <w:bottom w:val="single" w:sz="4" w:space="0" w:color="auto"/>
              <w:right w:val="nil"/>
            </w:tcBorders>
            <w:shd w:val="clear" w:color="auto" w:fill="auto"/>
            <w:noWrap/>
            <w:vAlign w:val="center"/>
            <w:hideMark/>
          </w:tcPr>
          <w:p w14:paraId="4BFA2804"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8</w:t>
            </w:r>
          </w:p>
        </w:tc>
      </w:tr>
      <w:tr w:rsidR="006B429C" w:rsidRPr="00D217EA" w14:paraId="49F49823" w14:textId="77777777" w:rsidTr="0087094D">
        <w:trPr>
          <w:trHeight w:val="268"/>
        </w:trPr>
        <w:tc>
          <w:tcPr>
            <w:tcW w:w="1318" w:type="dxa"/>
            <w:tcBorders>
              <w:top w:val="nil"/>
              <w:left w:val="nil"/>
              <w:bottom w:val="nil"/>
              <w:right w:val="nil"/>
            </w:tcBorders>
            <w:shd w:val="clear" w:color="auto" w:fill="auto"/>
            <w:vAlign w:val="center"/>
            <w:hideMark/>
          </w:tcPr>
          <w:p w14:paraId="1F59E2C3"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ANY06</w:t>
            </w:r>
          </w:p>
        </w:tc>
        <w:tc>
          <w:tcPr>
            <w:tcW w:w="2932" w:type="dxa"/>
            <w:tcBorders>
              <w:top w:val="nil"/>
              <w:left w:val="nil"/>
              <w:bottom w:val="nil"/>
              <w:right w:val="nil"/>
            </w:tcBorders>
            <w:shd w:val="clear" w:color="auto" w:fill="auto"/>
            <w:noWrap/>
            <w:vAlign w:val="center"/>
            <w:hideMark/>
          </w:tcPr>
          <w:p w14:paraId="565D16CC"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6.9</w:t>
            </w:r>
          </w:p>
        </w:tc>
        <w:tc>
          <w:tcPr>
            <w:tcW w:w="1291" w:type="dxa"/>
            <w:tcBorders>
              <w:top w:val="nil"/>
              <w:left w:val="nil"/>
              <w:bottom w:val="nil"/>
              <w:right w:val="nil"/>
            </w:tcBorders>
            <w:shd w:val="clear" w:color="auto" w:fill="auto"/>
            <w:noWrap/>
            <w:vAlign w:val="center"/>
            <w:hideMark/>
          </w:tcPr>
          <w:p w14:paraId="4C4086A5"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4CAA2301"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132</w:t>
            </w:r>
          </w:p>
        </w:tc>
        <w:tc>
          <w:tcPr>
            <w:tcW w:w="1318" w:type="dxa"/>
            <w:tcBorders>
              <w:top w:val="nil"/>
              <w:left w:val="nil"/>
              <w:bottom w:val="nil"/>
              <w:right w:val="nil"/>
            </w:tcBorders>
            <w:shd w:val="clear" w:color="auto" w:fill="auto"/>
            <w:noWrap/>
            <w:vAlign w:val="center"/>
            <w:hideMark/>
          </w:tcPr>
          <w:p w14:paraId="360DC969" w14:textId="77777777" w:rsidR="006B429C" w:rsidRPr="0087094D" w:rsidRDefault="006B429C" w:rsidP="00E21E58">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8</w:t>
            </w:r>
          </w:p>
        </w:tc>
      </w:tr>
      <w:tr w:rsidR="006B429C" w:rsidRPr="00D217EA" w14:paraId="0D097AB0" w14:textId="77777777" w:rsidTr="0087094D">
        <w:trPr>
          <w:trHeight w:val="268"/>
        </w:trPr>
        <w:tc>
          <w:tcPr>
            <w:tcW w:w="1318" w:type="dxa"/>
            <w:vMerge w:val="restart"/>
            <w:tcBorders>
              <w:top w:val="nil"/>
              <w:left w:val="nil"/>
              <w:bottom w:val="single" w:sz="4" w:space="0" w:color="000000"/>
              <w:right w:val="nil"/>
            </w:tcBorders>
            <w:shd w:val="clear" w:color="auto" w:fill="auto"/>
            <w:noWrap/>
            <w:vAlign w:val="center"/>
            <w:hideMark/>
          </w:tcPr>
          <w:p w14:paraId="477D4C22" w14:textId="77777777" w:rsidR="006B429C" w:rsidRPr="0087094D" w:rsidRDefault="006B429C" w:rsidP="00D217EA">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Unit D2</w:t>
            </w:r>
          </w:p>
        </w:tc>
        <w:tc>
          <w:tcPr>
            <w:tcW w:w="2932" w:type="dxa"/>
            <w:tcBorders>
              <w:top w:val="nil"/>
              <w:left w:val="nil"/>
              <w:bottom w:val="nil"/>
              <w:right w:val="nil"/>
            </w:tcBorders>
            <w:shd w:val="clear" w:color="auto" w:fill="auto"/>
            <w:noWrap/>
            <w:vAlign w:val="center"/>
            <w:hideMark/>
          </w:tcPr>
          <w:p w14:paraId="2CDE90E4"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10</w:t>
            </w:r>
          </w:p>
        </w:tc>
        <w:tc>
          <w:tcPr>
            <w:tcW w:w="1291" w:type="dxa"/>
            <w:tcBorders>
              <w:top w:val="nil"/>
              <w:left w:val="nil"/>
              <w:bottom w:val="nil"/>
              <w:right w:val="nil"/>
            </w:tcBorders>
            <w:shd w:val="clear" w:color="auto" w:fill="auto"/>
            <w:noWrap/>
            <w:vAlign w:val="center"/>
            <w:hideMark/>
          </w:tcPr>
          <w:p w14:paraId="71693AD0"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327D44EF"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137</w:t>
            </w:r>
          </w:p>
        </w:tc>
        <w:tc>
          <w:tcPr>
            <w:tcW w:w="1318" w:type="dxa"/>
            <w:tcBorders>
              <w:top w:val="nil"/>
              <w:left w:val="nil"/>
              <w:bottom w:val="nil"/>
              <w:right w:val="nil"/>
            </w:tcBorders>
            <w:shd w:val="clear" w:color="auto" w:fill="auto"/>
            <w:noWrap/>
            <w:vAlign w:val="center"/>
            <w:hideMark/>
          </w:tcPr>
          <w:p w14:paraId="0ACA46C4" w14:textId="77777777" w:rsidR="006B429C" w:rsidRPr="0087094D" w:rsidRDefault="006B429C" w:rsidP="00E21E58">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8</w:t>
            </w:r>
          </w:p>
        </w:tc>
      </w:tr>
      <w:tr w:rsidR="006B429C" w:rsidRPr="00D217EA" w14:paraId="571091E6" w14:textId="77777777" w:rsidTr="0087094D">
        <w:trPr>
          <w:trHeight w:val="268"/>
        </w:trPr>
        <w:tc>
          <w:tcPr>
            <w:tcW w:w="1318" w:type="dxa"/>
            <w:vMerge/>
            <w:tcBorders>
              <w:top w:val="nil"/>
              <w:left w:val="nil"/>
              <w:bottom w:val="single" w:sz="4" w:space="0" w:color="000000"/>
              <w:right w:val="nil"/>
            </w:tcBorders>
            <w:vAlign w:val="center"/>
            <w:hideMark/>
          </w:tcPr>
          <w:p w14:paraId="3FB46F3B" w14:textId="77777777" w:rsidR="006B429C" w:rsidRPr="0087094D" w:rsidRDefault="006B429C" w:rsidP="0087094D">
            <w:pPr>
              <w:spacing w:after="0" w:line="240" w:lineRule="auto"/>
              <w:jc w:val="center"/>
              <w:rPr>
                <w:rFonts w:ascii="Times New Roman" w:eastAsia="Times New Roman" w:hAnsi="Times New Roman" w:cs="Times New Roman"/>
                <w:color w:val="000000"/>
                <w:sz w:val="18"/>
                <w:szCs w:val="18"/>
                <w:lang w:val="fr-FR"/>
              </w:rPr>
            </w:pPr>
          </w:p>
        </w:tc>
        <w:tc>
          <w:tcPr>
            <w:tcW w:w="2932" w:type="dxa"/>
            <w:tcBorders>
              <w:top w:val="nil"/>
              <w:left w:val="nil"/>
              <w:bottom w:val="nil"/>
              <w:right w:val="nil"/>
            </w:tcBorders>
            <w:shd w:val="clear" w:color="auto" w:fill="auto"/>
            <w:noWrap/>
            <w:vAlign w:val="center"/>
            <w:hideMark/>
          </w:tcPr>
          <w:p w14:paraId="081BF43E"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15</w:t>
            </w:r>
          </w:p>
        </w:tc>
        <w:tc>
          <w:tcPr>
            <w:tcW w:w="1291" w:type="dxa"/>
            <w:tcBorders>
              <w:top w:val="nil"/>
              <w:left w:val="nil"/>
              <w:bottom w:val="nil"/>
              <w:right w:val="nil"/>
            </w:tcBorders>
            <w:shd w:val="clear" w:color="auto" w:fill="auto"/>
            <w:noWrap/>
            <w:vAlign w:val="center"/>
            <w:hideMark/>
          </w:tcPr>
          <w:p w14:paraId="33759EC7"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3637ECE2" w14:textId="77777777" w:rsidR="006B429C" w:rsidRPr="0087094D" w:rsidRDefault="006B429C" w:rsidP="000C7D61">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143</w:t>
            </w:r>
          </w:p>
        </w:tc>
        <w:tc>
          <w:tcPr>
            <w:tcW w:w="1318" w:type="dxa"/>
            <w:tcBorders>
              <w:top w:val="nil"/>
              <w:left w:val="nil"/>
              <w:bottom w:val="nil"/>
              <w:right w:val="nil"/>
            </w:tcBorders>
            <w:shd w:val="clear" w:color="auto" w:fill="auto"/>
            <w:noWrap/>
            <w:vAlign w:val="center"/>
            <w:hideMark/>
          </w:tcPr>
          <w:p w14:paraId="1A8763E9"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8</w:t>
            </w:r>
          </w:p>
        </w:tc>
      </w:tr>
      <w:tr w:rsidR="006B429C" w:rsidRPr="00D217EA" w14:paraId="2E771B9D" w14:textId="77777777" w:rsidTr="0087094D">
        <w:trPr>
          <w:trHeight w:val="268"/>
        </w:trPr>
        <w:tc>
          <w:tcPr>
            <w:tcW w:w="1318" w:type="dxa"/>
            <w:vMerge/>
            <w:tcBorders>
              <w:top w:val="nil"/>
              <w:left w:val="nil"/>
              <w:bottom w:val="single" w:sz="4" w:space="0" w:color="000000"/>
              <w:right w:val="nil"/>
            </w:tcBorders>
            <w:vAlign w:val="center"/>
            <w:hideMark/>
          </w:tcPr>
          <w:p w14:paraId="31B9FD7F" w14:textId="77777777" w:rsidR="006B429C" w:rsidRPr="0087094D" w:rsidRDefault="006B429C" w:rsidP="0087094D">
            <w:pPr>
              <w:spacing w:after="0" w:line="240" w:lineRule="auto"/>
              <w:jc w:val="center"/>
              <w:rPr>
                <w:rFonts w:ascii="Times New Roman" w:eastAsia="Times New Roman" w:hAnsi="Times New Roman" w:cs="Times New Roman"/>
                <w:color w:val="000000"/>
                <w:sz w:val="18"/>
                <w:szCs w:val="18"/>
                <w:lang w:val="fr-FR"/>
              </w:rPr>
            </w:pPr>
          </w:p>
        </w:tc>
        <w:tc>
          <w:tcPr>
            <w:tcW w:w="2932" w:type="dxa"/>
            <w:tcBorders>
              <w:top w:val="nil"/>
              <w:left w:val="nil"/>
              <w:bottom w:val="nil"/>
              <w:right w:val="nil"/>
            </w:tcBorders>
            <w:shd w:val="clear" w:color="auto" w:fill="auto"/>
            <w:noWrap/>
            <w:vAlign w:val="center"/>
            <w:hideMark/>
          </w:tcPr>
          <w:p w14:paraId="473EBBEA"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19</w:t>
            </w:r>
          </w:p>
        </w:tc>
        <w:tc>
          <w:tcPr>
            <w:tcW w:w="1291" w:type="dxa"/>
            <w:tcBorders>
              <w:top w:val="nil"/>
              <w:left w:val="nil"/>
              <w:bottom w:val="nil"/>
              <w:right w:val="nil"/>
            </w:tcBorders>
            <w:shd w:val="clear" w:color="auto" w:fill="auto"/>
            <w:noWrap/>
            <w:vAlign w:val="center"/>
            <w:hideMark/>
          </w:tcPr>
          <w:p w14:paraId="4CBBE47C"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263981A2" w14:textId="77777777" w:rsidR="006B429C" w:rsidRPr="0087094D" w:rsidRDefault="006B429C" w:rsidP="000C7D61">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148</w:t>
            </w:r>
          </w:p>
        </w:tc>
        <w:tc>
          <w:tcPr>
            <w:tcW w:w="1318" w:type="dxa"/>
            <w:tcBorders>
              <w:top w:val="nil"/>
              <w:left w:val="nil"/>
              <w:bottom w:val="nil"/>
              <w:right w:val="nil"/>
            </w:tcBorders>
            <w:shd w:val="clear" w:color="auto" w:fill="auto"/>
            <w:noWrap/>
            <w:vAlign w:val="center"/>
            <w:hideMark/>
          </w:tcPr>
          <w:p w14:paraId="072EEE42"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9</w:t>
            </w:r>
          </w:p>
        </w:tc>
      </w:tr>
      <w:tr w:rsidR="006B429C" w:rsidRPr="00D217EA" w14:paraId="56CE9989" w14:textId="77777777" w:rsidTr="0087094D">
        <w:trPr>
          <w:trHeight w:val="268"/>
        </w:trPr>
        <w:tc>
          <w:tcPr>
            <w:tcW w:w="1318" w:type="dxa"/>
            <w:vMerge/>
            <w:tcBorders>
              <w:top w:val="nil"/>
              <w:left w:val="nil"/>
              <w:bottom w:val="single" w:sz="4" w:space="0" w:color="000000"/>
              <w:right w:val="nil"/>
            </w:tcBorders>
            <w:vAlign w:val="center"/>
            <w:hideMark/>
          </w:tcPr>
          <w:p w14:paraId="2A6B345F" w14:textId="77777777" w:rsidR="006B429C" w:rsidRPr="0087094D" w:rsidRDefault="006B429C" w:rsidP="0087094D">
            <w:pPr>
              <w:spacing w:after="0" w:line="240" w:lineRule="auto"/>
              <w:jc w:val="center"/>
              <w:rPr>
                <w:rFonts w:ascii="Times New Roman" w:eastAsia="Times New Roman" w:hAnsi="Times New Roman" w:cs="Times New Roman"/>
                <w:color w:val="000000"/>
                <w:sz w:val="18"/>
                <w:szCs w:val="18"/>
                <w:lang w:val="fr-FR"/>
              </w:rPr>
            </w:pPr>
          </w:p>
        </w:tc>
        <w:tc>
          <w:tcPr>
            <w:tcW w:w="2932" w:type="dxa"/>
            <w:tcBorders>
              <w:top w:val="nil"/>
              <w:left w:val="nil"/>
              <w:bottom w:val="single" w:sz="4" w:space="0" w:color="auto"/>
              <w:right w:val="nil"/>
            </w:tcBorders>
            <w:shd w:val="clear" w:color="auto" w:fill="auto"/>
            <w:noWrap/>
            <w:vAlign w:val="center"/>
            <w:hideMark/>
          </w:tcPr>
          <w:p w14:paraId="6DC4EE49"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20</w:t>
            </w:r>
          </w:p>
        </w:tc>
        <w:tc>
          <w:tcPr>
            <w:tcW w:w="1291" w:type="dxa"/>
            <w:tcBorders>
              <w:top w:val="nil"/>
              <w:left w:val="nil"/>
              <w:bottom w:val="single" w:sz="4" w:space="0" w:color="auto"/>
              <w:right w:val="nil"/>
            </w:tcBorders>
            <w:shd w:val="clear" w:color="auto" w:fill="auto"/>
            <w:noWrap/>
            <w:vAlign w:val="center"/>
            <w:hideMark/>
          </w:tcPr>
          <w:p w14:paraId="36F65531"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single" w:sz="4" w:space="0" w:color="auto"/>
              <w:right w:val="nil"/>
            </w:tcBorders>
            <w:shd w:val="clear" w:color="auto" w:fill="auto"/>
            <w:noWrap/>
            <w:vAlign w:val="center"/>
            <w:hideMark/>
          </w:tcPr>
          <w:p w14:paraId="2A3DDFA9" w14:textId="77777777" w:rsidR="006B429C" w:rsidRPr="0087094D" w:rsidRDefault="006B429C" w:rsidP="000C7D61">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150</w:t>
            </w:r>
          </w:p>
        </w:tc>
        <w:tc>
          <w:tcPr>
            <w:tcW w:w="1318" w:type="dxa"/>
            <w:tcBorders>
              <w:top w:val="nil"/>
              <w:left w:val="nil"/>
              <w:bottom w:val="single" w:sz="4" w:space="0" w:color="auto"/>
              <w:right w:val="nil"/>
            </w:tcBorders>
            <w:shd w:val="clear" w:color="auto" w:fill="auto"/>
            <w:noWrap/>
            <w:vAlign w:val="center"/>
            <w:hideMark/>
          </w:tcPr>
          <w:p w14:paraId="22BA0E98"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9</w:t>
            </w:r>
          </w:p>
        </w:tc>
      </w:tr>
      <w:tr w:rsidR="006B429C" w:rsidRPr="00D217EA" w14:paraId="66BDE083" w14:textId="77777777" w:rsidTr="0087094D">
        <w:trPr>
          <w:trHeight w:val="268"/>
        </w:trPr>
        <w:tc>
          <w:tcPr>
            <w:tcW w:w="1318" w:type="dxa"/>
            <w:tcBorders>
              <w:top w:val="nil"/>
              <w:left w:val="nil"/>
              <w:bottom w:val="nil"/>
              <w:right w:val="nil"/>
            </w:tcBorders>
            <w:shd w:val="clear" w:color="auto" w:fill="auto"/>
            <w:vAlign w:val="center"/>
            <w:hideMark/>
          </w:tcPr>
          <w:p w14:paraId="4EE4FF13"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ANY07</w:t>
            </w:r>
          </w:p>
        </w:tc>
        <w:tc>
          <w:tcPr>
            <w:tcW w:w="2932" w:type="dxa"/>
            <w:tcBorders>
              <w:top w:val="nil"/>
              <w:left w:val="nil"/>
              <w:bottom w:val="nil"/>
              <w:right w:val="nil"/>
            </w:tcBorders>
            <w:shd w:val="clear" w:color="auto" w:fill="auto"/>
            <w:noWrap/>
            <w:vAlign w:val="center"/>
            <w:hideMark/>
          </w:tcPr>
          <w:p w14:paraId="421A61BB"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5.4</w:t>
            </w:r>
          </w:p>
        </w:tc>
        <w:tc>
          <w:tcPr>
            <w:tcW w:w="1291" w:type="dxa"/>
            <w:tcBorders>
              <w:top w:val="nil"/>
              <w:left w:val="nil"/>
              <w:bottom w:val="nil"/>
              <w:right w:val="nil"/>
            </w:tcBorders>
            <w:shd w:val="clear" w:color="auto" w:fill="auto"/>
            <w:noWrap/>
            <w:vAlign w:val="center"/>
            <w:hideMark/>
          </w:tcPr>
          <w:p w14:paraId="09241702"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3B9A5BDB"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118</w:t>
            </w:r>
          </w:p>
        </w:tc>
        <w:tc>
          <w:tcPr>
            <w:tcW w:w="1318" w:type="dxa"/>
            <w:tcBorders>
              <w:top w:val="nil"/>
              <w:left w:val="nil"/>
              <w:bottom w:val="nil"/>
              <w:right w:val="nil"/>
            </w:tcBorders>
            <w:shd w:val="clear" w:color="auto" w:fill="auto"/>
            <w:noWrap/>
            <w:vAlign w:val="center"/>
            <w:hideMark/>
          </w:tcPr>
          <w:p w14:paraId="2BC2AEEF" w14:textId="77777777" w:rsidR="006B429C" w:rsidRPr="0087094D" w:rsidRDefault="006B429C" w:rsidP="00E21E58">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7</w:t>
            </w:r>
          </w:p>
        </w:tc>
      </w:tr>
      <w:tr w:rsidR="006B429C" w:rsidRPr="00D217EA" w14:paraId="4164B3BE" w14:textId="77777777" w:rsidTr="0087094D">
        <w:trPr>
          <w:trHeight w:val="268"/>
        </w:trPr>
        <w:tc>
          <w:tcPr>
            <w:tcW w:w="1318" w:type="dxa"/>
            <w:vMerge w:val="restart"/>
            <w:tcBorders>
              <w:top w:val="nil"/>
              <w:left w:val="nil"/>
              <w:bottom w:val="single" w:sz="4" w:space="0" w:color="000000"/>
              <w:right w:val="nil"/>
            </w:tcBorders>
            <w:shd w:val="clear" w:color="auto" w:fill="auto"/>
            <w:noWrap/>
            <w:vAlign w:val="center"/>
            <w:hideMark/>
          </w:tcPr>
          <w:p w14:paraId="1D5AEBB1" w14:textId="77777777" w:rsidR="006B429C" w:rsidRPr="0087094D" w:rsidRDefault="006B429C" w:rsidP="00D217EA">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Unit D2</w:t>
            </w:r>
          </w:p>
        </w:tc>
        <w:tc>
          <w:tcPr>
            <w:tcW w:w="2932" w:type="dxa"/>
            <w:tcBorders>
              <w:top w:val="nil"/>
              <w:left w:val="nil"/>
              <w:bottom w:val="nil"/>
              <w:right w:val="nil"/>
            </w:tcBorders>
            <w:shd w:val="clear" w:color="auto" w:fill="auto"/>
            <w:noWrap/>
            <w:vAlign w:val="center"/>
            <w:hideMark/>
          </w:tcPr>
          <w:p w14:paraId="4410A092"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10</w:t>
            </w:r>
          </w:p>
        </w:tc>
        <w:tc>
          <w:tcPr>
            <w:tcW w:w="1291" w:type="dxa"/>
            <w:tcBorders>
              <w:top w:val="nil"/>
              <w:left w:val="nil"/>
              <w:bottom w:val="nil"/>
              <w:right w:val="nil"/>
            </w:tcBorders>
            <w:shd w:val="clear" w:color="auto" w:fill="auto"/>
            <w:noWrap/>
            <w:vAlign w:val="center"/>
            <w:hideMark/>
          </w:tcPr>
          <w:p w14:paraId="4CECCE84"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3510988A"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124</w:t>
            </w:r>
          </w:p>
        </w:tc>
        <w:tc>
          <w:tcPr>
            <w:tcW w:w="1318" w:type="dxa"/>
            <w:tcBorders>
              <w:top w:val="nil"/>
              <w:left w:val="nil"/>
              <w:bottom w:val="nil"/>
              <w:right w:val="nil"/>
            </w:tcBorders>
            <w:shd w:val="clear" w:color="auto" w:fill="auto"/>
            <w:noWrap/>
            <w:vAlign w:val="center"/>
            <w:hideMark/>
          </w:tcPr>
          <w:p w14:paraId="58B8B781" w14:textId="77777777" w:rsidR="006B429C" w:rsidRPr="0087094D" w:rsidRDefault="006B429C" w:rsidP="00E21E58">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7</w:t>
            </w:r>
          </w:p>
        </w:tc>
      </w:tr>
      <w:tr w:rsidR="006B429C" w:rsidRPr="00D217EA" w14:paraId="09BDA78A" w14:textId="77777777" w:rsidTr="0087094D">
        <w:trPr>
          <w:trHeight w:val="268"/>
        </w:trPr>
        <w:tc>
          <w:tcPr>
            <w:tcW w:w="1318" w:type="dxa"/>
            <w:vMerge/>
            <w:tcBorders>
              <w:top w:val="nil"/>
              <w:left w:val="nil"/>
              <w:bottom w:val="single" w:sz="4" w:space="0" w:color="000000"/>
              <w:right w:val="nil"/>
            </w:tcBorders>
            <w:vAlign w:val="center"/>
            <w:hideMark/>
          </w:tcPr>
          <w:p w14:paraId="4F505EBB" w14:textId="77777777" w:rsidR="006B429C" w:rsidRPr="0087094D" w:rsidRDefault="006B429C" w:rsidP="0087094D">
            <w:pPr>
              <w:spacing w:after="0" w:line="240" w:lineRule="auto"/>
              <w:jc w:val="center"/>
              <w:rPr>
                <w:rFonts w:ascii="Times New Roman" w:eastAsia="Times New Roman" w:hAnsi="Times New Roman" w:cs="Times New Roman"/>
                <w:color w:val="000000"/>
                <w:sz w:val="18"/>
                <w:szCs w:val="18"/>
                <w:lang w:val="fr-FR"/>
              </w:rPr>
            </w:pPr>
          </w:p>
        </w:tc>
        <w:tc>
          <w:tcPr>
            <w:tcW w:w="2932" w:type="dxa"/>
            <w:tcBorders>
              <w:top w:val="nil"/>
              <w:left w:val="nil"/>
              <w:bottom w:val="nil"/>
              <w:right w:val="nil"/>
            </w:tcBorders>
            <w:shd w:val="clear" w:color="auto" w:fill="auto"/>
            <w:noWrap/>
            <w:vAlign w:val="center"/>
            <w:hideMark/>
          </w:tcPr>
          <w:p w14:paraId="594F1C8D"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15</w:t>
            </w:r>
          </w:p>
        </w:tc>
        <w:tc>
          <w:tcPr>
            <w:tcW w:w="1291" w:type="dxa"/>
            <w:tcBorders>
              <w:top w:val="nil"/>
              <w:left w:val="nil"/>
              <w:bottom w:val="nil"/>
              <w:right w:val="nil"/>
            </w:tcBorders>
            <w:shd w:val="clear" w:color="auto" w:fill="auto"/>
            <w:noWrap/>
            <w:vAlign w:val="center"/>
            <w:hideMark/>
          </w:tcPr>
          <w:p w14:paraId="4B072749"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5FEA6F85" w14:textId="77777777" w:rsidR="006B429C" w:rsidRPr="0087094D" w:rsidRDefault="006B429C" w:rsidP="000C7D61">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129</w:t>
            </w:r>
          </w:p>
        </w:tc>
        <w:tc>
          <w:tcPr>
            <w:tcW w:w="1318" w:type="dxa"/>
            <w:tcBorders>
              <w:top w:val="nil"/>
              <w:left w:val="nil"/>
              <w:bottom w:val="nil"/>
              <w:right w:val="nil"/>
            </w:tcBorders>
            <w:shd w:val="clear" w:color="auto" w:fill="auto"/>
            <w:noWrap/>
            <w:vAlign w:val="center"/>
            <w:hideMark/>
          </w:tcPr>
          <w:p w14:paraId="3FC528DE"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7</w:t>
            </w:r>
          </w:p>
        </w:tc>
      </w:tr>
      <w:tr w:rsidR="006B429C" w:rsidRPr="00D217EA" w14:paraId="6F9FD268" w14:textId="77777777" w:rsidTr="0087094D">
        <w:trPr>
          <w:trHeight w:val="268"/>
        </w:trPr>
        <w:tc>
          <w:tcPr>
            <w:tcW w:w="1318" w:type="dxa"/>
            <w:vMerge/>
            <w:tcBorders>
              <w:top w:val="nil"/>
              <w:left w:val="nil"/>
              <w:bottom w:val="single" w:sz="4" w:space="0" w:color="000000"/>
              <w:right w:val="nil"/>
            </w:tcBorders>
            <w:vAlign w:val="center"/>
            <w:hideMark/>
          </w:tcPr>
          <w:p w14:paraId="4BD11945" w14:textId="77777777" w:rsidR="006B429C" w:rsidRPr="0087094D" w:rsidRDefault="006B429C" w:rsidP="0087094D">
            <w:pPr>
              <w:spacing w:after="0" w:line="240" w:lineRule="auto"/>
              <w:jc w:val="center"/>
              <w:rPr>
                <w:rFonts w:ascii="Times New Roman" w:eastAsia="Times New Roman" w:hAnsi="Times New Roman" w:cs="Times New Roman"/>
                <w:color w:val="000000"/>
                <w:sz w:val="18"/>
                <w:szCs w:val="18"/>
                <w:lang w:val="fr-FR"/>
              </w:rPr>
            </w:pPr>
          </w:p>
        </w:tc>
        <w:tc>
          <w:tcPr>
            <w:tcW w:w="2932" w:type="dxa"/>
            <w:tcBorders>
              <w:top w:val="nil"/>
              <w:left w:val="nil"/>
              <w:bottom w:val="nil"/>
              <w:right w:val="nil"/>
            </w:tcBorders>
            <w:shd w:val="clear" w:color="auto" w:fill="auto"/>
            <w:noWrap/>
            <w:vAlign w:val="center"/>
            <w:hideMark/>
          </w:tcPr>
          <w:p w14:paraId="2FC3587D"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19</w:t>
            </w:r>
          </w:p>
        </w:tc>
        <w:tc>
          <w:tcPr>
            <w:tcW w:w="1291" w:type="dxa"/>
            <w:tcBorders>
              <w:top w:val="nil"/>
              <w:left w:val="nil"/>
              <w:bottom w:val="nil"/>
              <w:right w:val="nil"/>
            </w:tcBorders>
            <w:shd w:val="clear" w:color="auto" w:fill="auto"/>
            <w:noWrap/>
            <w:vAlign w:val="center"/>
            <w:hideMark/>
          </w:tcPr>
          <w:p w14:paraId="742686E1"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0CB43C7D" w14:textId="77777777" w:rsidR="006B429C" w:rsidRPr="0087094D" w:rsidRDefault="006B429C" w:rsidP="000C7D61">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134</w:t>
            </w:r>
          </w:p>
        </w:tc>
        <w:tc>
          <w:tcPr>
            <w:tcW w:w="1318" w:type="dxa"/>
            <w:tcBorders>
              <w:top w:val="nil"/>
              <w:left w:val="nil"/>
              <w:bottom w:val="nil"/>
              <w:right w:val="nil"/>
            </w:tcBorders>
            <w:shd w:val="clear" w:color="auto" w:fill="auto"/>
            <w:noWrap/>
            <w:vAlign w:val="center"/>
            <w:hideMark/>
          </w:tcPr>
          <w:p w14:paraId="79814778"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7</w:t>
            </w:r>
          </w:p>
        </w:tc>
      </w:tr>
      <w:tr w:rsidR="006B429C" w:rsidRPr="00D217EA" w14:paraId="082655A3" w14:textId="77777777" w:rsidTr="0087094D">
        <w:trPr>
          <w:trHeight w:val="268"/>
        </w:trPr>
        <w:tc>
          <w:tcPr>
            <w:tcW w:w="1318" w:type="dxa"/>
            <w:vMerge/>
            <w:tcBorders>
              <w:top w:val="nil"/>
              <w:left w:val="nil"/>
              <w:bottom w:val="single" w:sz="4" w:space="0" w:color="000000"/>
              <w:right w:val="nil"/>
            </w:tcBorders>
            <w:vAlign w:val="center"/>
            <w:hideMark/>
          </w:tcPr>
          <w:p w14:paraId="6157DDE2" w14:textId="77777777" w:rsidR="006B429C" w:rsidRPr="0087094D" w:rsidRDefault="006B429C" w:rsidP="0087094D">
            <w:pPr>
              <w:spacing w:after="0" w:line="240" w:lineRule="auto"/>
              <w:jc w:val="center"/>
              <w:rPr>
                <w:rFonts w:ascii="Times New Roman" w:eastAsia="Times New Roman" w:hAnsi="Times New Roman" w:cs="Times New Roman"/>
                <w:color w:val="000000"/>
                <w:sz w:val="18"/>
                <w:szCs w:val="18"/>
                <w:lang w:val="fr-FR"/>
              </w:rPr>
            </w:pPr>
          </w:p>
        </w:tc>
        <w:tc>
          <w:tcPr>
            <w:tcW w:w="2932" w:type="dxa"/>
            <w:tcBorders>
              <w:top w:val="nil"/>
              <w:left w:val="nil"/>
              <w:bottom w:val="single" w:sz="4" w:space="0" w:color="auto"/>
              <w:right w:val="nil"/>
            </w:tcBorders>
            <w:shd w:val="clear" w:color="auto" w:fill="auto"/>
            <w:noWrap/>
            <w:vAlign w:val="center"/>
            <w:hideMark/>
          </w:tcPr>
          <w:p w14:paraId="02E81BEB"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20</w:t>
            </w:r>
          </w:p>
        </w:tc>
        <w:tc>
          <w:tcPr>
            <w:tcW w:w="1291" w:type="dxa"/>
            <w:tcBorders>
              <w:top w:val="nil"/>
              <w:left w:val="nil"/>
              <w:bottom w:val="single" w:sz="4" w:space="0" w:color="auto"/>
              <w:right w:val="nil"/>
            </w:tcBorders>
            <w:shd w:val="clear" w:color="auto" w:fill="auto"/>
            <w:noWrap/>
            <w:vAlign w:val="center"/>
            <w:hideMark/>
          </w:tcPr>
          <w:p w14:paraId="1D83C0AB"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single" w:sz="4" w:space="0" w:color="auto"/>
              <w:right w:val="nil"/>
            </w:tcBorders>
            <w:shd w:val="clear" w:color="auto" w:fill="auto"/>
            <w:noWrap/>
            <w:vAlign w:val="center"/>
            <w:hideMark/>
          </w:tcPr>
          <w:p w14:paraId="5C5F5F96" w14:textId="77777777" w:rsidR="006B429C" w:rsidRPr="0087094D" w:rsidRDefault="006B429C" w:rsidP="000C7D61">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135</w:t>
            </w:r>
          </w:p>
        </w:tc>
        <w:tc>
          <w:tcPr>
            <w:tcW w:w="1318" w:type="dxa"/>
            <w:tcBorders>
              <w:top w:val="nil"/>
              <w:left w:val="nil"/>
              <w:bottom w:val="single" w:sz="4" w:space="0" w:color="auto"/>
              <w:right w:val="nil"/>
            </w:tcBorders>
            <w:shd w:val="clear" w:color="auto" w:fill="auto"/>
            <w:noWrap/>
            <w:vAlign w:val="center"/>
            <w:hideMark/>
          </w:tcPr>
          <w:p w14:paraId="51E2E2DF"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7</w:t>
            </w:r>
          </w:p>
        </w:tc>
      </w:tr>
      <w:tr w:rsidR="006B429C" w:rsidRPr="00D217EA" w14:paraId="195BF266" w14:textId="77777777" w:rsidTr="0087094D">
        <w:trPr>
          <w:trHeight w:val="268"/>
        </w:trPr>
        <w:tc>
          <w:tcPr>
            <w:tcW w:w="1318" w:type="dxa"/>
            <w:tcBorders>
              <w:top w:val="nil"/>
              <w:left w:val="nil"/>
              <w:bottom w:val="nil"/>
              <w:right w:val="nil"/>
            </w:tcBorders>
            <w:shd w:val="clear" w:color="auto" w:fill="auto"/>
            <w:vAlign w:val="center"/>
            <w:hideMark/>
          </w:tcPr>
          <w:p w14:paraId="41B012C6"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ANY08</w:t>
            </w:r>
          </w:p>
        </w:tc>
        <w:tc>
          <w:tcPr>
            <w:tcW w:w="2932" w:type="dxa"/>
            <w:tcBorders>
              <w:top w:val="nil"/>
              <w:left w:val="nil"/>
              <w:bottom w:val="nil"/>
              <w:right w:val="nil"/>
            </w:tcBorders>
            <w:shd w:val="clear" w:color="auto" w:fill="auto"/>
            <w:noWrap/>
            <w:vAlign w:val="center"/>
            <w:hideMark/>
          </w:tcPr>
          <w:p w14:paraId="1ACD177D"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10</w:t>
            </w:r>
          </w:p>
        </w:tc>
        <w:tc>
          <w:tcPr>
            <w:tcW w:w="1291" w:type="dxa"/>
            <w:tcBorders>
              <w:top w:val="nil"/>
              <w:left w:val="nil"/>
              <w:bottom w:val="nil"/>
              <w:right w:val="nil"/>
            </w:tcBorders>
            <w:shd w:val="clear" w:color="auto" w:fill="auto"/>
            <w:noWrap/>
            <w:vAlign w:val="center"/>
            <w:hideMark/>
          </w:tcPr>
          <w:p w14:paraId="490ADCEB"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00ED188A"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150</w:t>
            </w:r>
          </w:p>
        </w:tc>
        <w:tc>
          <w:tcPr>
            <w:tcW w:w="1318" w:type="dxa"/>
            <w:tcBorders>
              <w:top w:val="nil"/>
              <w:left w:val="nil"/>
              <w:bottom w:val="nil"/>
              <w:right w:val="nil"/>
            </w:tcBorders>
            <w:shd w:val="clear" w:color="auto" w:fill="auto"/>
            <w:noWrap/>
            <w:vAlign w:val="center"/>
            <w:hideMark/>
          </w:tcPr>
          <w:p w14:paraId="22D325C0" w14:textId="77777777" w:rsidR="006B429C" w:rsidRPr="0087094D" w:rsidRDefault="006B429C" w:rsidP="00E21E58">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8</w:t>
            </w:r>
          </w:p>
        </w:tc>
      </w:tr>
      <w:tr w:rsidR="006B429C" w:rsidRPr="00D217EA" w14:paraId="32385396" w14:textId="77777777" w:rsidTr="0087094D">
        <w:trPr>
          <w:trHeight w:val="268"/>
        </w:trPr>
        <w:tc>
          <w:tcPr>
            <w:tcW w:w="1318" w:type="dxa"/>
            <w:vMerge w:val="restart"/>
            <w:tcBorders>
              <w:top w:val="nil"/>
              <w:left w:val="nil"/>
              <w:bottom w:val="single" w:sz="4" w:space="0" w:color="000000"/>
              <w:right w:val="nil"/>
            </w:tcBorders>
            <w:shd w:val="clear" w:color="auto" w:fill="auto"/>
            <w:noWrap/>
            <w:vAlign w:val="center"/>
            <w:hideMark/>
          </w:tcPr>
          <w:p w14:paraId="776EE225" w14:textId="77777777" w:rsidR="006B429C" w:rsidRPr="0087094D" w:rsidRDefault="006B429C" w:rsidP="00D217EA">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Unit D3</w:t>
            </w:r>
          </w:p>
        </w:tc>
        <w:tc>
          <w:tcPr>
            <w:tcW w:w="2932" w:type="dxa"/>
            <w:tcBorders>
              <w:top w:val="nil"/>
              <w:left w:val="nil"/>
              <w:bottom w:val="nil"/>
              <w:right w:val="nil"/>
            </w:tcBorders>
            <w:shd w:val="clear" w:color="auto" w:fill="auto"/>
            <w:noWrap/>
            <w:vAlign w:val="center"/>
            <w:hideMark/>
          </w:tcPr>
          <w:p w14:paraId="73E698A4"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12.5</w:t>
            </w:r>
          </w:p>
        </w:tc>
        <w:tc>
          <w:tcPr>
            <w:tcW w:w="1291" w:type="dxa"/>
            <w:tcBorders>
              <w:top w:val="nil"/>
              <w:left w:val="nil"/>
              <w:bottom w:val="nil"/>
              <w:right w:val="nil"/>
            </w:tcBorders>
            <w:shd w:val="clear" w:color="auto" w:fill="auto"/>
            <w:noWrap/>
            <w:vAlign w:val="center"/>
            <w:hideMark/>
          </w:tcPr>
          <w:p w14:paraId="707AC316"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3D5468BF"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153</w:t>
            </w:r>
          </w:p>
        </w:tc>
        <w:tc>
          <w:tcPr>
            <w:tcW w:w="1318" w:type="dxa"/>
            <w:tcBorders>
              <w:top w:val="nil"/>
              <w:left w:val="nil"/>
              <w:bottom w:val="nil"/>
              <w:right w:val="nil"/>
            </w:tcBorders>
            <w:shd w:val="clear" w:color="auto" w:fill="auto"/>
            <w:noWrap/>
            <w:vAlign w:val="center"/>
            <w:hideMark/>
          </w:tcPr>
          <w:p w14:paraId="6A434844" w14:textId="77777777" w:rsidR="006B429C" w:rsidRPr="0087094D" w:rsidRDefault="006B429C" w:rsidP="00E21E58">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8</w:t>
            </w:r>
          </w:p>
        </w:tc>
      </w:tr>
      <w:tr w:rsidR="006B429C" w:rsidRPr="00D217EA" w14:paraId="4D68726D" w14:textId="77777777" w:rsidTr="0087094D">
        <w:trPr>
          <w:trHeight w:val="268"/>
        </w:trPr>
        <w:tc>
          <w:tcPr>
            <w:tcW w:w="1318" w:type="dxa"/>
            <w:vMerge/>
            <w:tcBorders>
              <w:top w:val="nil"/>
              <w:left w:val="nil"/>
              <w:bottom w:val="single" w:sz="4" w:space="0" w:color="000000"/>
              <w:right w:val="nil"/>
            </w:tcBorders>
            <w:vAlign w:val="center"/>
            <w:hideMark/>
          </w:tcPr>
          <w:p w14:paraId="35EB7723" w14:textId="77777777" w:rsidR="006B429C" w:rsidRPr="0087094D" w:rsidRDefault="006B429C" w:rsidP="0087094D">
            <w:pPr>
              <w:spacing w:after="0" w:line="240" w:lineRule="auto"/>
              <w:jc w:val="center"/>
              <w:rPr>
                <w:rFonts w:ascii="Times New Roman" w:eastAsia="Times New Roman" w:hAnsi="Times New Roman" w:cs="Times New Roman"/>
                <w:color w:val="000000"/>
                <w:sz w:val="18"/>
                <w:szCs w:val="18"/>
                <w:lang w:val="fr-FR"/>
              </w:rPr>
            </w:pPr>
          </w:p>
        </w:tc>
        <w:tc>
          <w:tcPr>
            <w:tcW w:w="2932" w:type="dxa"/>
            <w:tcBorders>
              <w:top w:val="nil"/>
              <w:left w:val="nil"/>
              <w:bottom w:val="nil"/>
              <w:right w:val="nil"/>
            </w:tcBorders>
            <w:shd w:val="clear" w:color="auto" w:fill="auto"/>
            <w:noWrap/>
            <w:vAlign w:val="center"/>
            <w:hideMark/>
          </w:tcPr>
          <w:p w14:paraId="254644CC"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15</w:t>
            </w:r>
          </w:p>
        </w:tc>
        <w:tc>
          <w:tcPr>
            <w:tcW w:w="1291" w:type="dxa"/>
            <w:tcBorders>
              <w:top w:val="nil"/>
              <w:left w:val="nil"/>
              <w:bottom w:val="nil"/>
              <w:right w:val="nil"/>
            </w:tcBorders>
            <w:shd w:val="clear" w:color="auto" w:fill="auto"/>
            <w:noWrap/>
            <w:vAlign w:val="center"/>
            <w:hideMark/>
          </w:tcPr>
          <w:p w14:paraId="13C9F9BD"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4956EBEF" w14:textId="77777777" w:rsidR="006B429C" w:rsidRPr="0087094D" w:rsidRDefault="006B429C" w:rsidP="000C7D61">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157</w:t>
            </w:r>
          </w:p>
        </w:tc>
        <w:tc>
          <w:tcPr>
            <w:tcW w:w="1318" w:type="dxa"/>
            <w:tcBorders>
              <w:top w:val="nil"/>
              <w:left w:val="nil"/>
              <w:bottom w:val="nil"/>
              <w:right w:val="nil"/>
            </w:tcBorders>
            <w:shd w:val="clear" w:color="auto" w:fill="auto"/>
            <w:noWrap/>
            <w:vAlign w:val="center"/>
            <w:hideMark/>
          </w:tcPr>
          <w:p w14:paraId="26A61B0C"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8</w:t>
            </w:r>
          </w:p>
        </w:tc>
      </w:tr>
      <w:tr w:rsidR="006B429C" w:rsidRPr="00D217EA" w14:paraId="1ACC5547" w14:textId="77777777" w:rsidTr="0087094D">
        <w:trPr>
          <w:trHeight w:val="268"/>
        </w:trPr>
        <w:tc>
          <w:tcPr>
            <w:tcW w:w="1318" w:type="dxa"/>
            <w:vMerge/>
            <w:tcBorders>
              <w:top w:val="nil"/>
              <w:left w:val="nil"/>
              <w:bottom w:val="single" w:sz="4" w:space="0" w:color="000000"/>
              <w:right w:val="nil"/>
            </w:tcBorders>
            <w:vAlign w:val="center"/>
            <w:hideMark/>
          </w:tcPr>
          <w:p w14:paraId="3AFA9BFC" w14:textId="77777777" w:rsidR="006B429C" w:rsidRPr="0087094D" w:rsidRDefault="006B429C" w:rsidP="0087094D">
            <w:pPr>
              <w:spacing w:after="0" w:line="240" w:lineRule="auto"/>
              <w:jc w:val="center"/>
              <w:rPr>
                <w:rFonts w:ascii="Times New Roman" w:eastAsia="Times New Roman" w:hAnsi="Times New Roman" w:cs="Times New Roman"/>
                <w:color w:val="000000"/>
                <w:sz w:val="18"/>
                <w:szCs w:val="18"/>
                <w:lang w:val="fr-FR"/>
              </w:rPr>
            </w:pPr>
          </w:p>
        </w:tc>
        <w:tc>
          <w:tcPr>
            <w:tcW w:w="2932" w:type="dxa"/>
            <w:tcBorders>
              <w:top w:val="nil"/>
              <w:left w:val="nil"/>
              <w:bottom w:val="nil"/>
              <w:right w:val="nil"/>
            </w:tcBorders>
            <w:shd w:val="clear" w:color="auto" w:fill="auto"/>
            <w:noWrap/>
            <w:vAlign w:val="center"/>
            <w:hideMark/>
          </w:tcPr>
          <w:p w14:paraId="3B3EEAF6"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19</w:t>
            </w:r>
          </w:p>
        </w:tc>
        <w:tc>
          <w:tcPr>
            <w:tcW w:w="1291" w:type="dxa"/>
            <w:tcBorders>
              <w:top w:val="nil"/>
              <w:left w:val="nil"/>
              <w:bottom w:val="nil"/>
              <w:right w:val="nil"/>
            </w:tcBorders>
            <w:shd w:val="clear" w:color="auto" w:fill="auto"/>
            <w:noWrap/>
            <w:vAlign w:val="center"/>
            <w:hideMark/>
          </w:tcPr>
          <w:p w14:paraId="77C8C617"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57C4E454" w14:textId="77777777" w:rsidR="006B429C" w:rsidRPr="0087094D" w:rsidRDefault="006B429C" w:rsidP="000C7D61">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162</w:t>
            </w:r>
          </w:p>
        </w:tc>
        <w:tc>
          <w:tcPr>
            <w:tcW w:w="1318" w:type="dxa"/>
            <w:tcBorders>
              <w:top w:val="nil"/>
              <w:left w:val="nil"/>
              <w:bottom w:val="nil"/>
              <w:right w:val="nil"/>
            </w:tcBorders>
            <w:shd w:val="clear" w:color="auto" w:fill="auto"/>
            <w:noWrap/>
            <w:vAlign w:val="center"/>
            <w:hideMark/>
          </w:tcPr>
          <w:p w14:paraId="37783D16"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9</w:t>
            </w:r>
          </w:p>
        </w:tc>
      </w:tr>
      <w:tr w:rsidR="006B429C" w:rsidRPr="00D217EA" w14:paraId="0D4E42FF" w14:textId="77777777" w:rsidTr="0087094D">
        <w:trPr>
          <w:trHeight w:val="268"/>
        </w:trPr>
        <w:tc>
          <w:tcPr>
            <w:tcW w:w="1318" w:type="dxa"/>
            <w:vMerge/>
            <w:tcBorders>
              <w:top w:val="nil"/>
              <w:left w:val="nil"/>
              <w:bottom w:val="single" w:sz="4" w:space="0" w:color="000000"/>
              <w:right w:val="nil"/>
            </w:tcBorders>
            <w:vAlign w:val="center"/>
            <w:hideMark/>
          </w:tcPr>
          <w:p w14:paraId="2BF047EE" w14:textId="77777777" w:rsidR="006B429C" w:rsidRPr="0087094D" w:rsidRDefault="006B429C" w:rsidP="0087094D">
            <w:pPr>
              <w:spacing w:after="0" w:line="240" w:lineRule="auto"/>
              <w:jc w:val="center"/>
              <w:rPr>
                <w:rFonts w:ascii="Times New Roman" w:eastAsia="Times New Roman" w:hAnsi="Times New Roman" w:cs="Times New Roman"/>
                <w:color w:val="000000"/>
                <w:sz w:val="18"/>
                <w:szCs w:val="18"/>
                <w:lang w:val="fr-FR"/>
              </w:rPr>
            </w:pPr>
          </w:p>
        </w:tc>
        <w:tc>
          <w:tcPr>
            <w:tcW w:w="2932" w:type="dxa"/>
            <w:tcBorders>
              <w:top w:val="nil"/>
              <w:left w:val="nil"/>
              <w:bottom w:val="single" w:sz="4" w:space="0" w:color="auto"/>
              <w:right w:val="nil"/>
            </w:tcBorders>
            <w:shd w:val="clear" w:color="auto" w:fill="auto"/>
            <w:noWrap/>
            <w:vAlign w:val="center"/>
            <w:hideMark/>
          </w:tcPr>
          <w:p w14:paraId="3C0445B6"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20</w:t>
            </w:r>
          </w:p>
        </w:tc>
        <w:tc>
          <w:tcPr>
            <w:tcW w:w="1291" w:type="dxa"/>
            <w:tcBorders>
              <w:top w:val="nil"/>
              <w:left w:val="nil"/>
              <w:bottom w:val="single" w:sz="4" w:space="0" w:color="auto"/>
              <w:right w:val="nil"/>
            </w:tcBorders>
            <w:shd w:val="clear" w:color="auto" w:fill="auto"/>
            <w:noWrap/>
            <w:vAlign w:val="center"/>
            <w:hideMark/>
          </w:tcPr>
          <w:p w14:paraId="0AF31F34"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single" w:sz="4" w:space="0" w:color="auto"/>
              <w:right w:val="nil"/>
            </w:tcBorders>
            <w:shd w:val="clear" w:color="auto" w:fill="auto"/>
            <w:noWrap/>
            <w:vAlign w:val="center"/>
            <w:hideMark/>
          </w:tcPr>
          <w:p w14:paraId="53755854" w14:textId="77777777" w:rsidR="006B429C" w:rsidRPr="0087094D" w:rsidRDefault="006B429C" w:rsidP="000C7D61">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164</w:t>
            </w:r>
          </w:p>
        </w:tc>
        <w:tc>
          <w:tcPr>
            <w:tcW w:w="1318" w:type="dxa"/>
            <w:tcBorders>
              <w:top w:val="nil"/>
              <w:left w:val="nil"/>
              <w:bottom w:val="single" w:sz="4" w:space="0" w:color="auto"/>
              <w:right w:val="nil"/>
            </w:tcBorders>
            <w:shd w:val="clear" w:color="auto" w:fill="auto"/>
            <w:noWrap/>
            <w:vAlign w:val="center"/>
            <w:hideMark/>
          </w:tcPr>
          <w:p w14:paraId="57CA7744"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9</w:t>
            </w:r>
          </w:p>
        </w:tc>
      </w:tr>
      <w:tr w:rsidR="006B429C" w:rsidRPr="00D217EA" w14:paraId="1CEE43B8" w14:textId="77777777" w:rsidTr="0087094D">
        <w:trPr>
          <w:trHeight w:val="268"/>
        </w:trPr>
        <w:tc>
          <w:tcPr>
            <w:tcW w:w="1318" w:type="dxa"/>
            <w:tcBorders>
              <w:top w:val="nil"/>
              <w:left w:val="nil"/>
              <w:bottom w:val="nil"/>
              <w:right w:val="nil"/>
            </w:tcBorders>
            <w:shd w:val="clear" w:color="auto" w:fill="auto"/>
            <w:vAlign w:val="center"/>
            <w:hideMark/>
          </w:tcPr>
          <w:p w14:paraId="0E6CFB92"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ANY09</w:t>
            </w:r>
          </w:p>
        </w:tc>
        <w:tc>
          <w:tcPr>
            <w:tcW w:w="2932" w:type="dxa"/>
            <w:tcBorders>
              <w:top w:val="nil"/>
              <w:left w:val="nil"/>
              <w:bottom w:val="nil"/>
              <w:right w:val="nil"/>
            </w:tcBorders>
            <w:shd w:val="clear" w:color="auto" w:fill="auto"/>
            <w:noWrap/>
            <w:vAlign w:val="center"/>
            <w:hideMark/>
          </w:tcPr>
          <w:p w14:paraId="05FBB5BB"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10</w:t>
            </w:r>
          </w:p>
        </w:tc>
        <w:tc>
          <w:tcPr>
            <w:tcW w:w="1291" w:type="dxa"/>
            <w:tcBorders>
              <w:top w:val="nil"/>
              <w:left w:val="nil"/>
              <w:bottom w:val="nil"/>
              <w:right w:val="nil"/>
            </w:tcBorders>
            <w:shd w:val="clear" w:color="auto" w:fill="auto"/>
            <w:noWrap/>
            <w:vAlign w:val="center"/>
            <w:hideMark/>
          </w:tcPr>
          <w:p w14:paraId="2477886C"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1D6E3D92"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152</w:t>
            </w:r>
          </w:p>
        </w:tc>
        <w:tc>
          <w:tcPr>
            <w:tcW w:w="1318" w:type="dxa"/>
            <w:tcBorders>
              <w:top w:val="nil"/>
              <w:left w:val="nil"/>
              <w:bottom w:val="nil"/>
              <w:right w:val="nil"/>
            </w:tcBorders>
            <w:shd w:val="clear" w:color="auto" w:fill="auto"/>
            <w:noWrap/>
            <w:vAlign w:val="center"/>
            <w:hideMark/>
          </w:tcPr>
          <w:p w14:paraId="293CCF6D" w14:textId="77777777" w:rsidR="006B429C" w:rsidRPr="0087094D" w:rsidRDefault="006B429C" w:rsidP="00E21E58">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10</w:t>
            </w:r>
          </w:p>
        </w:tc>
      </w:tr>
      <w:tr w:rsidR="006B429C" w:rsidRPr="00D217EA" w14:paraId="4F9366BC" w14:textId="77777777" w:rsidTr="0087094D">
        <w:trPr>
          <w:trHeight w:val="268"/>
        </w:trPr>
        <w:tc>
          <w:tcPr>
            <w:tcW w:w="1318" w:type="dxa"/>
            <w:vMerge w:val="restart"/>
            <w:tcBorders>
              <w:top w:val="nil"/>
              <w:left w:val="nil"/>
              <w:bottom w:val="single" w:sz="4" w:space="0" w:color="000000"/>
              <w:right w:val="nil"/>
            </w:tcBorders>
            <w:shd w:val="clear" w:color="auto" w:fill="auto"/>
            <w:noWrap/>
            <w:vAlign w:val="center"/>
            <w:hideMark/>
          </w:tcPr>
          <w:p w14:paraId="7BA8A961" w14:textId="77777777" w:rsidR="006B429C" w:rsidRPr="0087094D" w:rsidRDefault="006B429C" w:rsidP="00D217EA">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Unit D3</w:t>
            </w:r>
          </w:p>
        </w:tc>
        <w:tc>
          <w:tcPr>
            <w:tcW w:w="2932" w:type="dxa"/>
            <w:tcBorders>
              <w:top w:val="nil"/>
              <w:left w:val="nil"/>
              <w:bottom w:val="nil"/>
              <w:right w:val="nil"/>
            </w:tcBorders>
            <w:shd w:val="clear" w:color="auto" w:fill="auto"/>
            <w:noWrap/>
            <w:vAlign w:val="center"/>
            <w:hideMark/>
          </w:tcPr>
          <w:p w14:paraId="1076EFA5"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12.3</w:t>
            </w:r>
          </w:p>
        </w:tc>
        <w:tc>
          <w:tcPr>
            <w:tcW w:w="1291" w:type="dxa"/>
            <w:tcBorders>
              <w:top w:val="nil"/>
              <w:left w:val="nil"/>
              <w:bottom w:val="nil"/>
              <w:right w:val="nil"/>
            </w:tcBorders>
            <w:shd w:val="clear" w:color="auto" w:fill="auto"/>
            <w:noWrap/>
            <w:vAlign w:val="center"/>
            <w:hideMark/>
          </w:tcPr>
          <w:p w14:paraId="3DD434BB"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7756360E"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155</w:t>
            </w:r>
          </w:p>
        </w:tc>
        <w:tc>
          <w:tcPr>
            <w:tcW w:w="1318" w:type="dxa"/>
            <w:tcBorders>
              <w:top w:val="nil"/>
              <w:left w:val="nil"/>
              <w:bottom w:val="nil"/>
              <w:right w:val="nil"/>
            </w:tcBorders>
            <w:shd w:val="clear" w:color="auto" w:fill="auto"/>
            <w:noWrap/>
            <w:vAlign w:val="center"/>
            <w:hideMark/>
          </w:tcPr>
          <w:p w14:paraId="4164B57D" w14:textId="77777777" w:rsidR="006B429C" w:rsidRPr="0087094D" w:rsidRDefault="006B429C" w:rsidP="00E21E58">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10</w:t>
            </w:r>
          </w:p>
        </w:tc>
      </w:tr>
      <w:tr w:rsidR="006B429C" w:rsidRPr="00D217EA" w14:paraId="6822384A" w14:textId="77777777" w:rsidTr="0087094D">
        <w:trPr>
          <w:trHeight w:val="268"/>
        </w:trPr>
        <w:tc>
          <w:tcPr>
            <w:tcW w:w="1318" w:type="dxa"/>
            <w:vMerge/>
            <w:tcBorders>
              <w:top w:val="nil"/>
              <w:left w:val="nil"/>
              <w:bottom w:val="single" w:sz="4" w:space="0" w:color="000000"/>
              <w:right w:val="nil"/>
            </w:tcBorders>
            <w:vAlign w:val="center"/>
            <w:hideMark/>
          </w:tcPr>
          <w:p w14:paraId="64D90A78" w14:textId="77777777" w:rsidR="006B429C" w:rsidRPr="0087094D" w:rsidRDefault="006B429C" w:rsidP="0087094D">
            <w:pPr>
              <w:spacing w:after="0" w:line="240" w:lineRule="auto"/>
              <w:jc w:val="center"/>
              <w:rPr>
                <w:rFonts w:ascii="Times New Roman" w:eastAsia="Times New Roman" w:hAnsi="Times New Roman" w:cs="Times New Roman"/>
                <w:color w:val="000000"/>
                <w:sz w:val="18"/>
                <w:szCs w:val="18"/>
                <w:lang w:val="fr-FR"/>
              </w:rPr>
            </w:pPr>
          </w:p>
        </w:tc>
        <w:tc>
          <w:tcPr>
            <w:tcW w:w="2932" w:type="dxa"/>
            <w:tcBorders>
              <w:top w:val="nil"/>
              <w:left w:val="nil"/>
              <w:bottom w:val="nil"/>
              <w:right w:val="nil"/>
            </w:tcBorders>
            <w:shd w:val="clear" w:color="auto" w:fill="auto"/>
            <w:noWrap/>
            <w:vAlign w:val="center"/>
            <w:hideMark/>
          </w:tcPr>
          <w:p w14:paraId="75738511"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15</w:t>
            </w:r>
          </w:p>
        </w:tc>
        <w:tc>
          <w:tcPr>
            <w:tcW w:w="1291" w:type="dxa"/>
            <w:tcBorders>
              <w:top w:val="nil"/>
              <w:left w:val="nil"/>
              <w:bottom w:val="nil"/>
              <w:right w:val="nil"/>
            </w:tcBorders>
            <w:shd w:val="clear" w:color="auto" w:fill="auto"/>
            <w:noWrap/>
            <w:vAlign w:val="center"/>
            <w:hideMark/>
          </w:tcPr>
          <w:p w14:paraId="6BC4D775"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3C62766C" w14:textId="77777777" w:rsidR="006B429C" w:rsidRPr="0087094D" w:rsidRDefault="006B429C" w:rsidP="000C7D61">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159</w:t>
            </w:r>
          </w:p>
        </w:tc>
        <w:tc>
          <w:tcPr>
            <w:tcW w:w="1318" w:type="dxa"/>
            <w:tcBorders>
              <w:top w:val="nil"/>
              <w:left w:val="nil"/>
              <w:bottom w:val="nil"/>
              <w:right w:val="nil"/>
            </w:tcBorders>
            <w:shd w:val="clear" w:color="auto" w:fill="auto"/>
            <w:noWrap/>
            <w:vAlign w:val="center"/>
            <w:hideMark/>
          </w:tcPr>
          <w:p w14:paraId="2865E580"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11</w:t>
            </w:r>
          </w:p>
        </w:tc>
      </w:tr>
      <w:tr w:rsidR="006B429C" w:rsidRPr="00D217EA" w14:paraId="6F1CC1F6" w14:textId="77777777" w:rsidTr="0087094D">
        <w:trPr>
          <w:trHeight w:val="268"/>
        </w:trPr>
        <w:tc>
          <w:tcPr>
            <w:tcW w:w="1318" w:type="dxa"/>
            <w:vMerge/>
            <w:tcBorders>
              <w:top w:val="nil"/>
              <w:left w:val="nil"/>
              <w:bottom w:val="single" w:sz="4" w:space="0" w:color="000000"/>
              <w:right w:val="nil"/>
            </w:tcBorders>
            <w:vAlign w:val="center"/>
            <w:hideMark/>
          </w:tcPr>
          <w:p w14:paraId="03D65218" w14:textId="77777777" w:rsidR="006B429C" w:rsidRPr="0087094D" w:rsidRDefault="006B429C" w:rsidP="0087094D">
            <w:pPr>
              <w:spacing w:after="0" w:line="240" w:lineRule="auto"/>
              <w:jc w:val="center"/>
              <w:rPr>
                <w:rFonts w:ascii="Times New Roman" w:eastAsia="Times New Roman" w:hAnsi="Times New Roman" w:cs="Times New Roman"/>
                <w:color w:val="000000"/>
                <w:sz w:val="18"/>
                <w:szCs w:val="18"/>
                <w:lang w:val="fr-FR"/>
              </w:rPr>
            </w:pPr>
          </w:p>
        </w:tc>
        <w:tc>
          <w:tcPr>
            <w:tcW w:w="2932" w:type="dxa"/>
            <w:tcBorders>
              <w:top w:val="nil"/>
              <w:left w:val="nil"/>
              <w:bottom w:val="nil"/>
              <w:right w:val="nil"/>
            </w:tcBorders>
            <w:shd w:val="clear" w:color="auto" w:fill="auto"/>
            <w:noWrap/>
            <w:vAlign w:val="center"/>
            <w:hideMark/>
          </w:tcPr>
          <w:p w14:paraId="501802B6"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19</w:t>
            </w:r>
          </w:p>
        </w:tc>
        <w:tc>
          <w:tcPr>
            <w:tcW w:w="1291" w:type="dxa"/>
            <w:tcBorders>
              <w:top w:val="nil"/>
              <w:left w:val="nil"/>
              <w:bottom w:val="nil"/>
              <w:right w:val="nil"/>
            </w:tcBorders>
            <w:shd w:val="clear" w:color="auto" w:fill="auto"/>
            <w:noWrap/>
            <w:vAlign w:val="center"/>
            <w:hideMark/>
          </w:tcPr>
          <w:p w14:paraId="442CEF76"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nil"/>
              <w:right w:val="nil"/>
            </w:tcBorders>
            <w:shd w:val="clear" w:color="auto" w:fill="auto"/>
            <w:noWrap/>
            <w:vAlign w:val="center"/>
            <w:hideMark/>
          </w:tcPr>
          <w:p w14:paraId="08D1CF95" w14:textId="77777777" w:rsidR="006B429C" w:rsidRPr="0087094D" w:rsidRDefault="006B429C" w:rsidP="000C7D61">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165</w:t>
            </w:r>
          </w:p>
        </w:tc>
        <w:tc>
          <w:tcPr>
            <w:tcW w:w="1318" w:type="dxa"/>
            <w:tcBorders>
              <w:top w:val="nil"/>
              <w:left w:val="nil"/>
              <w:bottom w:val="nil"/>
              <w:right w:val="nil"/>
            </w:tcBorders>
            <w:shd w:val="clear" w:color="auto" w:fill="auto"/>
            <w:noWrap/>
            <w:vAlign w:val="center"/>
            <w:hideMark/>
          </w:tcPr>
          <w:p w14:paraId="7415459E"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11</w:t>
            </w:r>
          </w:p>
        </w:tc>
      </w:tr>
      <w:tr w:rsidR="006B429C" w:rsidRPr="00D217EA" w14:paraId="43D4747B" w14:textId="77777777" w:rsidTr="0087094D">
        <w:trPr>
          <w:trHeight w:val="268"/>
        </w:trPr>
        <w:tc>
          <w:tcPr>
            <w:tcW w:w="1318" w:type="dxa"/>
            <w:vMerge/>
            <w:tcBorders>
              <w:top w:val="nil"/>
              <w:left w:val="nil"/>
              <w:bottom w:val="single" w:sz="4" w:space="0" w:color="000000"/>
              <w:right w:val="nil"/>
            </w:tcBorders>
            <w:vAlign w:val="center"/>
            <w:hideMark/>
          </w:tcPr>
          <w:p w14:paraId="3D49E9F0" w14:textId="77777777" w:rsidR="006B429C" w:rsidRPr="0087094D" w:rsidRDefault="006B429C" w:rsidP="0087094D">
            <w:pPr>
              <w:spacing w:after="0" w:line="240" w:lineRule="auto"/>
              <w:jc w:val="center"/>
              <w:rPr>
                <w:rFonts w:ascii="Times New Roman" w:eastAsia="Times New Roman" w:hAnsi="Times New Roman" w:cs="Times New Roman"/>
                <w:color w:val="000000"/>
                <w:sz w:val="18"/>
                <w:szCs w:val="18"/>
                <w:lang w:val="fr-FR"/>
              </w:rPr>
            </w:pPr>
          </w:p>
        </w:tc>
        <w:tc>
          <w:tcPr>
            <w:tcW w:w="2932" w:type="dxa"/>
            <w:tcBorders>
              <w:top w:val="nil"/>
              <w:left w:val="nil"/>
              <w:bottom w:val="single" w:sz="4" w:space="0" w:color="auto"/>
              <w:right w:val="nil"/>
            </w:tcBorders>
            <w:shd w:val="clear" w:color="auto" w:fill="auto"/>
            <w:noWrap/>
            <w:vAlign w:val="center"/>
            <w:hideMark/>
          </w:tcPr>
          <w:p w14:paraId="57A0617F"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20</w:t>
            </w:r>
          </w:p>
        </w:tc>
        <w:tc>
          <w:tcPr>
            <w:tcW w:w="1291" w:type="dxa"/>
            <w:tcBorders>
              <w:top w:val="nil"/>
              <w:left w:val="nil"/>
              <w:bottom w:val="single" w:sz="4" w:space="0" w:color="auto"/>
              <w:right w:val="nil"/>
            </w:tcBorders>
            <w:shd w:val="clear" w:color="auto" w:fill="auto"/>
            <w:noWrap/>
            <w:vAlign w:val="center"/>
            <w:hideMark/>
          </w:tcPr>
          <w:p w14:paraId="3EC91FA7" w14:textId="77777777" w:rsidR="006B429C" w:rsidRPr="0087094D" w:rsidRDefault="006B429C" w:rsidP="00D217EA">
            <w:pPr>
              <w:spacing w:after="0" w:line="240" w:lineRule="auto"/>
              <w:jc w:val="center"/>
              <w:rPr>
                <w:rFonts w:ascii="Times New Roman" w:eastAsia="Times New Roman" w:hAnsi="Times New Roman" w:cs="Times New Roman"/>
                <w:sz w:val="18"/>
                <w:szCs w:val="18"/>
                <w:lang w:val="fr-FR"/>
              </w:rPr>
            </w:pPr>
            <w:r w:rsidRPr="0087094D">
              <w:rPr>
                <w:rFonts w:ascii="Times New Roman" w:eastAsia="Times New Roman" w:hAnsi="Times New Roman" w:cs="Times New Roman"/>
                <w:sz w:val="18"/>
                <w:szCs w:val="18"/>
                <w:lang w:val="fr-FR"/>
              </w:rPr>
              <w:t>5</w:t>
            </w:r>
          </w:p>
        </w:tc>
        <w:tc>
          <w:tcPr>
            <w:tcW w:w="1318" w:type="dxa"/>
            <w:tcBorders>
              <w:top w:val="nil"/>
              <w:left w:val="nil"/>
              <w:bottom w:val="single" w:sz="4" w:space="0" w:color="auto"/>
              <w:right w:val="nil"/>
            </w:tcBorders>
            <w:shd w:val="clear" w:color="auto" w:fill="auto"/>
            <w:noWrap/>
            <w:vAlign w:val="center"/>
            <w:hideMark/>
          </w:tcPr>
          <w:p w14:paraId="0E0AF850" w14:textId="77777777" w:rsidR="006B429C" w:rsidRPr="0087094D" w:rsidRDefault="006B429C" w:rsidP="000C7D61">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166</w:t>
            </w:r>
          </w:p>
        </w:tc>
        <w:tc>
          <w:tcPr>
            <w:tcW w:w="1318" w:type="dxa"/>
            <w:tcBorders>
              <w:top w:val="nil"/>
              <w:left w:val="nil"/>
              <w:bottom w:val="single" w:sz="4" w:space="0" w:color="auto"/>
              <w:right w:val="nil"/>
            </w:tcBorders>
            <w:shd w:val="clear" w:color="auto" w:fill="auto"/>
            <w:noWrap/>
            <w:vAlign w:val="center"/>
            <w:hideMark/>
          </w:tcPr>
          <w:p w14:paraId="55E4C132" w14:textId="77777777" w:rsidR="006B429C" w:rsidRPr="0087094D" w:rsidRDefault="006B429C" w:rsidP="006B429C">
            <w:pPr>
              <w:spacing w:after="0" w:line="240" w:lineRule="auto"/>
              <w:jc w:val="center"/>
              <w:rPr>
                <w:rFonts w:ascii="Times New Roman" w:eastAsia="Times New Roman" w:hAnsi="Times New Roman" w:cs="Times New Roman"/>
                <w:color w:val="000000"/>
                <w:sz w:val="18"/>
                <w:szCs w:val="18"/>
                <w:lang w:val="fr-FR"/>
              </w:rPr>
            </w:pPr>
            <w:r w:rsidRPr="0087094D">
              <w:rPr>
                <w:rFonts w:ascii="Times New Roman" w:eastAsia="Times New Roman" w:hAnsi="Times New Roman" w:cs="Times New Roman"/>
                <w:color w:val="000000"/>
                <w:sz w:val="18"/>
                <w:szCs w:val="18"/>
                <w:lang w:val="fr-FR"/>
              </w:rPr>
              <w:t>11</w:t>
            </w:r>
          </w:p>
        </w:tc>
      </w:tr>
    </w:tbl>
    <w:p w14:paraId="1549E11F" w14:textId="77777777" w:rsidR="00D217EA" w:rsidRDefault="00D217EA">
      <w:pPr>
        <w:spacing w:after="0" w:line="276" w:lineRule="auto"/>
        <w:jc w:val="both"/>
        <w:rPr>
          <w:rFonts w:ascii="Times New Roman" w:eastAsia="Times New Roman" w:hAnsi="Times New Roman" w:cs="Times New Roman"/>
          <w:color w:val="000000"/>
          <w:sz w:val="24"/>
          <w:szCs w:val="24"/>
          <w:lang w:val="en-US"/>
        </w:rPr>
      </w:pPr>
    </w:p>
    <w:p w14:paraId="5FBF4A96" w14:textId="77777777" w:rsidR="00772A78" w:rsidRPr="005F44EF" w:rsidRDefault="00772A78">
      <w:pPr>
        <w:spacing w:after="0" w:line="276" w:lineRule="auto"/>
        <w:jc w:val="both"/>
        <w:rPr>
          <w:rFonts w:ascii="Times New Roman" w:eastAsia="Times New Roman" w:hAnsi="Times New Roman" w:cs="Times New Roman"/>
          <w:color w:val="000000"/>
          <w:sz w:val="24"/>
          <w:szCs w:val="24"/>
          <w:lang w:val="en-US"/>
        </w:rPr>
      </w:pPr>
    </w:p>
    <w:p w14:paraId="57FD8CFF" w14:textId="13FEDFD3" w:rsidR="005F3FED" w:rsidRPr="005F44EF" w:rsidRDefault="001A6BF0">
      <w:pPr>
        <w:spacing w:after="0" w:line="276" w:lineRule="auto"/>
        <w:jc w:val="both"/>
        <w:rPr>
          <w:rFonts w:ascii="Times New Roman" w:eastAsia="Times New Roman" w:hAnsi="Times New Roman" w:cs="Times New Roman"/>
          <w:color w:val="000000"/>
          <w:sz w:val="24"/>
          <w:szCs w:val="24"/>
          <w:lang w:val="en-US"/>
        </w:rPr>
      </w:pPr>
      <w:bookmarkStart w:id="93" w:name="_Hlk170654832"/>
      <w:r w:rsidRPr="005F44EF">
        <w:rPr>
          <w:rFonts w:ascii="Times New Roman" w:eastAsia="Times New Roman" w:hAnsi="Times New Roman" w:cs="Times New Roman"/>
          <w:b/>
          <w:color w:val="000000"/>
          <w:sz w:val="24"/>
          <w:szCs w:val="24"/>
          <w:lang w:val="en-US"/>
        </w:rPr>
        <w:lastRenderedPageBreak/>
        <w:t>Table S11</w:t>
      </w:r>
      <w:r w:rsidRPr="005F44EF">
        <w:rPr>
          <w:rFonts w:ascii="Times New Roman" w:eastAsia="Times New Roman" w:hAnsi="Times New Roman" w:cs="Times New Roman"/>
          <w:color w:val="000000"/>
          <w:sz w:val="24"/>
          <w:szCs w:val="24"/>
          <w:lang w:val="en-US"/>
        </w:rPr>
        <w:t xml:space="preserve">: </w:t>
      </w:r>
      <w:r w:rsidR="009B6D1B" w:rsidRPr="005F44EF">
        <w:rPr>
          <w:rFonts w:ascii="Times New Roman" w:eastAsia="Times New Roman" w:hAnsi="Times New Roman" w:cs="Times New Roman"/>
          <w:color w:val="000000"/>
          <w:sz w:val="24"/>
          <w:szCs w:val="24"/>
          <w:lang w:val="en-US"/>
        </w:rPr>
        <w:t xml:space="preserve">Ti-H </w:t>
      </w:r>
      <w:r w:rsidRPr="005F44EF">
        <w:rPr>
          <w:rFonts w:ascii="Times New Roman" w:eastAsia="Times New Roman" w:hAnsi="Times New Roman" w:cs="Times New Roman"/>
          <w:color w:val="000000"/>
          <w:sz w:val="24"/>
          <w:szCs w:val="24"/>
          <w:lang w:val="en-US"/>
        </w:rPr>
        <w:t xml:space="preserve">ESR ages recalculated with </w:t>
      </w:r>
      <w:r w:rsidR="002B2F2A">
        <w:rPr>
          <w:rFonts w:ascii="Times New Roman" w:eastAsia="Times New Roman" w:hAnsi="Times New Roman" w:cs="Times New Roman"/>
          <w:color w:val="000000"/>
          <w:sz w:val="24"/>
          <w:szCs w:val="24"/>
          <w:lang w:val="en-US"/>
        </w:rPr>
        <w:t>various long-term water content (</w:t>
      </w:r>
      <w:r w:rsidR="002B2F2A" w:rsidRPr="005F44EF">
        <w:rPr>
          <w:rFonts w:ascii="Times New Roman" w:eastAsia="Times New Roman" w:hAnsi="Times New Roman" w:cs="Times New Roman"/>
          <w:color w:val="000000"/>
          <w:sz w:val="24"/>
          <w:szCs w:val="24"/>
          <w:lang w:val="en-US"/>
        </w:rPr>
        <w:t>WC</w:t>
      </w:r>
      <w:r w:rsidR="002B2F2A">
        <w:rPr>
          <w:rFonts w:ascii="Times New Roman" w:eastAsia="Times New Roman" w:hAnsi="Times New Roman" w:cs="Times New Roman"/>
          <w:color w:val="000000"/>
          <w:sz w:val="24"/>
          <w:szCs w:val="24"/>
          <w:lang w:val="en-US"/>
        </w:rPr>
        <w:t>) values</w:t>
      </w:r>
      <w:r w:rsidR="00F24010">
        <w:rPr>
          <w:rFonts w:ascii="Times New Roman" w:eastAsia="Times New Roman" w:hAnsi="Times New Roman" w:cs="Times New Roman"/>
          <w:color w:val="000000"/>
          <w:sz w:val="24"/>
          <w:szCs w:val="24"/>
          <w:lang w:val="en-US"/>
        </w:rPr>
        <w:t xml:space="preserve"> </w:t>
      </w:r>
      <w:r w:rsidR="002B2F2A" w:rsidRPr="005F44EF">
        <w:rPr>
          <w:rFonts w:ascii="Times New Roman" w:eastAsia="Times New Roman" w:hAnsi="Times New Roman" w:cs="Times New Roman"/>
          <w:color w:val="000000"/>
          <w:sz w:val="24"/>
          <w:szCs w:val="24"/>
          <w:lang w:val="en-US"/>
        </w:rPr>
        <w:t>WC (%</w:t>
      </w:r>
      <w:r w:rsidR="002B2F2A">
        <w:rPr>
          <w:rFonts w:ascii="Times New Roman" w:eastAsia="Times New Roman" w:hAnsi="Times New Roman" w:cs="Times New Roman"/>
          <w:color w:val="000000"/>
          <w:sz w:val="24"/>
          <w:szCs w:val="24"/>
          <w:lang w:val="en-US"/>
        </w:rPr>
        <w:t xml:space="preserve"> dry weight</w:t>
      </w:r>
      <w:r w:rsidR="002B2F2A" w:rsidRPr="005F44EF">
        <w:rPr>
          <w:rFonts w:ascii="Times New Roman" w:eastAsia="Times New Roman" w:hAnsi="Times New Roman" w:cs="Times New Roman"/>
          <w:color w:val="000000"/>
          <w:sz w:val="24"/>
          <w:szCs w:val="24"/>
          <w:lang w:val="en-US"/>
        </w:rPr>
        <w:t>)</w:t>
      </w:r>
      <w:bookmarkEnd w:id="93"/>
    </w:p>
    <w:p w14:paraId="3E2FEF5F" w14:textId="01E0E572" w:rsidR="005F3FED" w:rsidRPr="005F44EF" w:rsidRDefault="005F3FED">
      <w:pPr>
        <w:spacing w:after="0" w:line="276" w:lineRule="auto"/>
        <w:jc w:val="both"/>
        <w:rPr>
          <w:rFonts w:ascii="Times New Roman" w:eastAsia="Times New Roman" w:hAnsi="Times New Roman" w:cs="Times New Roman"/>
          <w:color w:val="000000"/>
          <w:sz w:val="24"/>
          <w:szCs w:val="24"/>
          <w:lang w:val="en-US"/>
        </w:rPr>
      </w:pPr>
    </w:p>
    <w:tbl>
      <w:tblPr>
        <w:tblW w:w="7080" w:type="dxa"/>
        <w:jc w:val="center"/>
        <w:tblCellMar>
          <w:left w:w="70" w:type="dxa"/>
          <w:right w:w="70" w:type="dxa"/>
        </w:tblCellMar>
        <w:tblLook w:val="04A0" w:firstRow="1" w:lastRow="0" w:firstColumn="1" w:lastColumn="0" w:noHBand="0" w:noVBand="1"/>
      </w:tblPr>
      <w:tblGrid>
        <w:gridCol w:w="1647"/>
        <w:gridCol w:w="1682"/>
        <w:gridCol w:w="1156"/>
        <w:gridCol w:w="1367"/>
        <w:gridCol w:w="1228"/>
      </w:tblGrid>
      <w:tr w:rsidR="00AA23B2" w:rsidRPr="005F44EF" w14:paraId="2F737412" w14:textId="77777777" w:rsidTr="007E2142">
        <w:trPr>
          <w:trHeight w:val="283"/>
          <w:jc w:val="center"/>
        </w:trPr>
        <w:tc>
          <w:tcPr>
            <w:tcW w:w="7080" w:type="dxa"/>
            <w:gridSpan w:val="5"/>
            <w:tcBorders>
              <w:top w:val="single" w:sz="4" w:space="0" w:color="auto"/>
              <w:left w:val="nil"/>
              <w:bottom w:val="nil"/>
              <w:right w:val="nil"/>
            </w:tcBorders>
            <w:shd w:val="clear" w:color="auto" w:fill="D9D9D9" w:themeFill="background1" w:themeFillShade="D9"/>
            <w:noWrap/>
            <w:vAlign w:val="bottom"/>
            <w:hideMark/>
          </w:tcPr>
          <w:p w14:paraId="4CB74F8B" w14:textId="77777777" w:rsidR="00AA23B2" w:rsidRPr="005F44EF" w:rsidRDefault="00AA23B2" w:rsidP="00407DC0">
            <w:pPr>
              <w:spacing w:after="0" w:line="240" w:lineRule="auto"/>
              <w:jc w:val="center"/>
              <w:rPr>
                <w:rFonts w:ascii="Times New Roman" w:eastAsia="Times New Roman" w:hAnsi="Times New Roman" w:cs="Times New Roman"/>
                <w:b/>
                <w:sz w:val="18"/>
                <w:szCs w:val="18"/>
                <w:lang w:val="fr-FR"/>
              </w:rPr>
            </w:pPr>
            <w:bookmarkStart w:id="94" w:name="_Hlk171618594"/>
            <w:r w:rsidRPr="005F44EF">
              <w:rPr>
                <w:rFonts w:ascii="Times New Roman" w:eastAsia="Times New Roman" w:hAnsi="Times New Roman" w:cs="Times New Roman"/>
                <w:b/>
                <w:sz w:val="18"/>
                <w:szCs w:val="18"/>
                <w:lang w:val="fr-FR"/>
              </w:rPr>
              <w:t xml:space="preserve">ESR </w:t>
            </w:r>
            <w:proofErr w:type="spellStart"/>
            <w:r w:rsidRPr="005F44EF">
              <w:rPr>
                <w:rFonts w:ascii="Times New Roman" w:eastAsia="Times New Roman" w:hAnsi="Times New Roman" w:cs="Times New Roman"/>
                <w:b/>
                <w:sz w:val="18"/>
                <w:szCs w:val="18"/>
                <w:lang w:val="fr-FR"/>
              </w:rPr>
              <w:t>ages</w:t>
            </w:r>
            <w:proofErr w:type="spellEnd"/>
          </w:p>
        </w:tc>
      </w:tr>
      <w:tr w:rsidR="00407DC0" w:rsidRPr="005F44EF" w14:paraId="5C6B6076" w14:textId="77777777" w:rsidTr="00AA23B2">
        <w:trPr>
          <w:trHeight w:val="619"/>
          <w:jc w:val="center"/>
        </w:trPr>
        <w:tc>
          <w:tcPr>
            <w:tcW w:w="1647" w:type="dxa"/>
            <w:tcBorders>
              <w:top w:val="nil"/>
              <w:left w:val="nil"/>
              <w:bottom w:val="single" w:sz="4" w:space="0" w:color="auto"/>
              <w:right w:val="nil"/>
            </w:tcBorders>
            <w:shd w:val="clear" w:color="auto" w:fill="D9D9D9" w:themeFill="background1" w:themeFillShade="D9"/>
            <w:noWrap/>
            <w:vAlign w:val="center"/>
            <w:hideMark/>
          </w:tcPr>
          <w:p w14:paraId="7B389194" w14:textId="34FC3F1F" w:rsidR="00407DC0" w:rsidRPr="005F44EF" w:rsidRDefault="00407DC0" w:rsidP="00407DC0">
            <w:pPr>
              <w:spacing w:after="0" w:line="240" w:lineRule="auto"/>
              <w:rPr>
                <w:rFonts w:ascii="Times New Roman" w:eastAsia="Times New Roman" w:hAnsi="Times New Roman" w:cs="Times New Roman"/>
                <w:b/>
                <w:sz w:val="18"/>
                <w:szCs w:val="18"/>
                <w:lang w:val="fr-FR"/>
              </w:rPr>
            </w:pPr>
            <w:proofErr w:type="spellStart"/>
            <w:r w:rsidRPr="005F44EF">
              <w:rPr>
                <w:rFonts w:ascii="Times New Roman" w:eastAsia="Times New Roman" w:hAnsi="Times New Roman" w:cs="Times New Roman"/>
                <w:b/>
                <w:sz w:val="18"/>
                <w:szCs w:val="18"/>
                <w:lang w:val="fr-FR"/>
              </w:rPr>
              <w:t>Sample</w:t>
            </w:r>
            <w:proofErr w:type="spellEnd"/>
          </w:p>
        </w:tc>
        <w:tc>
          <w:tcPr>
            <w:tcW w:w="1682" w:type="dxa"/>
            <w:tcBorders>
              <w:top w:val="nil"/>
              <w:left w:val="nil"/>
              <w:bottom w:val="single" w:sz="4" w:space="0" w:color="auto"/>
              <w:right w:val="nil"/>
            </w:tcBorders>
            <w:shd w:val="clear" w:color="auto" w:fill="D9D9D9" w:themeFill="background1" w:themeFillShade="D9"/>
            <w:vAlign w:val="center"/>
            <w:hideMark/>
          </w:tcPr>
          <w:p w14:paraId="4435E010" w14:textId="77777777" w:rsidR="00407DC0" w:rsidRPr="005F44EF" w:rsidRDefault="00407DC0" w:rsidP="00407DC0">
            <w:pPr>
              <w:spacing w:after="0" w:line="240" w:lineRule="auto"/>
              <w:jc w:val="center"/>
              <w:rPr>
                <w:rFonts w:ascii="Times New Roman" w:eastAsia="Times New Roman" w:hAnsi="Times New Roman" w:cs="Times New Roman"/>
                <w:b/>
                <w:sz w:val="18"/>
                <w:szCs w:val="18"/>
                <w:lang w:val="fr-FR"/>
              </w:rPr>
            </w:pPr>
            <w:r w:rsidRPr="005F44EF">
              <w:rPr>
                <w:rFonts w:ascii="Times New Roman" w:eastAsia="Times New Roman" w:hAnsi="Times New Roman" w:cs="Times New Roman"/>
                <w:b/>
                <w:sz w:val="18"/>
                <w:szCs w:val="18"/>
                <w:lang w:val="fr-FR"/>
              </w:rPr>
              <w:t xml:space="preserve">WC (% dry </w:t>
            </w:r>
            <w:proofErr w:type="spellStart"/>
            <w:r w:rsidRPr="005F44EF">
              <w:rPr>
                <w:rFonts w:ascii="Times New Roman" w:eastAsia="Times New Roman" w:hAnsi="Times New Roman" w:cs="Times New Roman"/>
                <w:b/>
                <w:sz w:val="18"/>
                <w:szCs w:val="18"/>
                <w:lang w:val="fr-FR"/>
              </w:rPr>
              <w:t>weight</w:t>
            </w:r>
            <w:proofErr w:type="spellEnd"/>
            <w:r w:rsidRPr="005F44EF">
              <w:rPr>
                <w:rFonts w:ascii="Times New Roman" w:eastAsia="Times New Roman" w:hAnsi="Times New Roman" w:cs="Times New Roman"/>
                <w:b/>
                <w:sz w:val="18"/>
                <w:szCs w:val="18"/>
                <w:lang w:val="fr-FR"/>
              </w:rPr>
              <w:t>)</w:t>
            </w:r>
          </w:p>
        </w:tc>
        <w:tc>
          <w:tcPr>
            <w:tcW w:w="1156" w:type="dxa"/>
            <w:tcBorders>
              <w:top w:val="nil"/>
              <w:left w:val="nil"/>
              <w:bottom w:val="single" w:sz="4" w:space="0" w:color="auto"/>
              <w:right w:val="nil"/>
            </w:tcBorders>
            <w:shd w:val="clear" w:color="auto" w:fill="D9D9D9" w:themeFill="background1" w:themeFillShade="D9"/>
            <w:vAlign w:val="center"/>
            <w:hideMark/>
          </w:tcPr>
          <w:p w14:paraId="61E1A50B" w14:textId="77777777" w:rsidR="00407DC0" w:rsidRPr="005F44EF" w:rsidRDefault="00407DC0" w:rsidP="00407DC0">
            <w:pPr>
              <w:spacing w:after="0" w:line="240" w:lineRule="auto"/>
              <w:jc w:val="center"/>
              <w:rPr>
                <w:rFonts w:ascii="Times New Roman" w:eastAsia="Times New Roman" w:hAnsi="Times New Roman" w:cs="Times New Roman"/>
                <w:b/>
                <w:sz w:val="18"/>
                <w:szCs w:val="18"/>
                <w:lang w:val="fr-FR"/>
              </w:rPr>
            </w:pPr>
            <w:proofErr w:type="spellStart"/>
            <w:proofErr w:type="gramStart"/>
            <w:r w:rsidRPr="005F44EF">
              <w:rPr>
                <w:rFonts w:ascii="Times New Roman" w:eastAsia="Times New Roman" w:hAnsi="Times New Roman" w:cs="Times New Roman"/>
                <w:b/>
                <w:sz w:val="18"/>
                <w:szCs w:val="18"/>
                <w:lang w:val="fr-FR"/>
              </w:rPr>
              <w:t>err</w:t>
            </w:r>
            <w:proofErr w:type="spellEnd"/>
            <w:proofErr w:type="gramEnd"/>
            <w:r w:rsidRPr="005F44EF">
              <w:rPr>
                <w:rFonts w:ascii="Times New Roman" w:eastAsia="Times New Roman" w:hAnsi="Times New Roman" w:cs="Times New Roman"/>
                <w:b/>
                <w:sz w:val="18"/>
                <w:szCs w:val="18"/>
                <w:lang w:val="fr-FR"/>
              </w:rPr>
              <w:t xml:space="preserve"> (%)</w:t>
            </w:r>
          </w:p>
        </w:tc>
        <w:tc>
          <w:tcPr>
            <w:tcW w:w="1367" w:type="dxa"/>
            <w:tcBorders>
              <w:top w:val="nil"/>
              <w:left w:val="nil"/>
              <w:bottom w:val="single" w:sz="4" w:space="0" w:color="auto"/>
              <w:right w:val="nil"/>
            </w:tcBorders>
            <w:shd w:val="clear" w:color="auto" w:fill="D9D9D9" w:themeFill="background1" w:themeFillShade="D9"/>
            <w:vAlign w:val="center"/>
            <w:hideMark/>
          </w:tcPr>
          <w:p w14:paraId="28859208" w14:textId="77777777" w:rsidR="00407DC0" w:rsidRPr="005F44EF" w:rsidRDefault="00407DC0" w:rsidP="00407DC0">
            <w:pPr>
              <w:spacing w:after="0" w:line="240" w:lineRule="auto"/>
              <w:jc w:val="center"/>
              <w:rPr>
                <w:rFonts w:ascii="Times New Roman" w:eastAsia="Times New Roman" w:hAnsi="Times New Roman" w:cs="Times New Roman"/>
                <w:b/>
                <w:sz w:val="18"/>
                <w:szCs w:val="18"/>
                <w:lang w:val="fr-FR"/>
              </w:rPr>
            </w:pPr>
            <w:r w:rsidRPr="005F44EF">
              <w:rPr>
                <w:rFonts w:ascii="Times New Roman" w:eastAsia="Times New Roman" w:hAnsi="Times New Roman" w:cs="Times New Roman"/>
                <w:b/>
                <w:sz w:val="18"/>
                <w:szCs w:val="18"/>
                <w:lang w:val="fr-FR"/>
              </w:rPr>
              <w:t>Age (ka)</w:t>
            </w:r>
          </w:p>
        </w:tc>
        <w:tc>
          <w:tcPr>
            <w:tcW w:w="1228" w:type="dxa"/>
            <w:tcBorders>
              <w:top w:val="nil"/>
              <w:left w:val="nil"/>
              <w:bottom w:val="single" w:sz="4" w:space="0" w:color="auto"/>
              <w:right w:val="nil"/>
            </w:tcBorders>
            <w:shd w:val="clear" w:color="auto" w:fill="D9D9D9" w:themeFill="background1" w:themeFillShade="D9"/>
            <w:vAlign w:val="center"/>
            <w:hideMark/>
          </w:tcPr>
          <w:p w14:paraId="273FFA20" w14:textId="77777777" w:rsidR="00407DC0" w:rsidRPr="005F44EF" w:rsidRDefault="00407DC0" w:rsidP="00407DC0">
            <w:pPr>
              <w:spacing w:after="0" w:line="240" w:lineRule="auto"/>
              <w:jc w:val="center"/>
              <w:rPr>
                <w:rFonts w:ascii="Times New Roman" w:eastAsia="Times New Roman" w:hAnsi="Times New Roman" w:cs="Times New Roman"/>
                <w:b/>
                <w:sz w:val="18"/>
                <w:szCs w:val="18"/>
                <w:lang w:val="fr-FR"/>
              </w:rPr>
            </w:pPr>
            <w:proofErr w:type="spellStart"/>
            <w:proofErr w:type="gramStart"/>
            <w:r w:rsidRPr="005F44EF">
              <w:rPr>
                <w:rFonts w:ascii="Times New Roman" w:eastAsia="Times New Roman" w:hAnsi="Times New Roman" w:cs="Times New Roman"/>
                <w:b/>
                <w:sz w:val="18"/>
                <w:szCs w:val="18"/>
                <w:lang w:val="fr-FR"/>
              </w:rPr>
              <w:t>err</w:t>
            </w:r>
            <w:proofErr w:type="spellEnd"/>
            <w:proofErr w:type="gramEnd"/>
            <w:r w:rsidRPr="005F44EF">
              <w:rPr>
                <w:rFonts w:ascii="Times New Roman" w:eastAsia="Times New Roman" w:hAnsi="Times New Roman" w:cs="Times New Roman"/>
                <w:b/>
                <w:sz w:val="18"/>
                <w:szCs w:val="18"/>
                <w:lang w:val="fr-FR"/>
              </w:rPr>
              <w:t xml:space="preserve"> (ka)</w:t>
            </w:r>
          </w:p>
        </w:tc>
      </w:tr>
      <w:tr w:rsidR="00407DC0" w:rsidRPr="005F44EF" w14:paraId="3C995D57" w14:textId="77777777" w:rsidTr="00AA23B2">
        <w:trPr>
          <w:trHeight w:val="283"/>
          <w:jc w:val="center"/>
        </w:trPr>
        <w:tc>
          <w:tcPr>
            <w:tcW w:w="1647" w:type="dxa"/>
            <w:tcBorders>
              <w:top w:val="nil"/>
              <w:left w:val="nil"/>
              <w:bottom w:val="nil"/>
              <w:right w:val="nil"/>
            </w:tcBorders>
            <w:shd w:val="clear" w:color="auto" w:fill="auto"/>
            <w:vAlign w:val="center"/>
            <w:hideMark/>
          </w:tcPr>
          <w:p w14:paraId="1E60699C" w14:textId="4ADC0E74"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ANY</w:t>
            </w:r>
            <w:r w:rsidR="005E2CE3" w:rsidRPr="005F44EF">
              <w:rPr>
                <w:rFonts w:ascii="Times New Roman" w:eastAsia="Times New Roman" w:hAnsi="Times New Roman" w:cs="Times New Roman"/>
                <w:sz w:val="18"/>
                <w:szCs w:val="18"/>
                <w:lang w:val="fr-FR"/>
              </w:rPr>
              <w:t>20-</w:t>
            </w:r>
            <w:r w:rsidRPr="005F44EF">
              <w:rPr>
                <w:rFonts w:ascii="Times New Roman" w:eastAsia="Times New Roman" w:hAnsi="Times New Roman" w:cs="Times New Roman"/>
                <w:sz w:val="18"/>
                <w:szCs w:val="18"/>
                <w:lang w:val="fr-FR"/>
              </w:rPr>
              <w:t>03</w:t>
            </w:r>
          </w:p>
        </w:tc>
        <w:tc>
          <w:tcPr>
            <w:tcW w:w="1682" w:type="dxa"/>
            <w:tcBorders>
              <w:top w:val="nil"/>
              <w:left w:val="nil"/>
              <w:bottom w:val="nil"/>
              <w:right w:val="nil"/>
            </w:tcBorders>
            <w:shd w:val="clear" w:color="auto" w:fill="auto"/>
            <w:noWrap/>
            <w:vAlign w:val="center"/>
            <w:hideMark/>
          </w:tcPr>
          <w:p w14:paraId="73C037DF"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4.6</w:t>
            </w:r>
          </w:p>
        </w:tc>
        <w:tc>
          <w:tcPr>
            <w:tcW w:w="1156" w:type="dxa"/>
            <w:tcBorders>
              <w:top w:val="nil"/>
              <w:left w:val="nil"/>
              <w:bottom w:val="nil"/>
              <w:right w:val="nil"/>
            </w:tcBorders>
            <w:shd w:val="clear" w:color="auto" w:fill="auto"/>
            <w:noWrap/>
            <w:vAlign w:val="center"/>
            <w:hideMark/>
          </w:tcPr>
          <w:p w14:paraId="302C5AAD"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5</w:t>
            </w:r>
          </w:p>
        </w:tc>
        <w:tc>
          <w:tcPr>
            <w:tcW w:w="1367" w:type="dxa"/>
            <w:tcBorders>
              <w:top w:val="nil"/>
              <w:left w:val="nil"/>
              <w:bottom w:val="nil"/>
              <w:right w:val="nil"/>
            </w:tcBorders>
            <w:shd w:val="clear" w:color="auto" w:fill="auto"/>
            <w:noWrap/>
            <w:vAlign w:val="bottom"/>
            <w:hideMark/>
          </w:tcPr>
          <w:p w14:paraId="309F71A5"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47</w:t>
            </w:r>
          </w:p>
        </w:tc>
        <w:tc>
          <w:tcPr>
            <w:tcW w:w="1228" w:type="dxa"/>
            <w:tcBorders>
              <w:top w:val="nil"/>
              <w:left w:val="nil"/>
              <w:bottom w:val="nil"/>
              <w:right w:val="nil"/>
            </w:tcBorders>
            <w:shd w:val="clear" w:color="auto" w:fill="auto"/>
            <w:noWrap/>
            <w:vAlign w:val="bottom"/>
            <w:hideMark/>
          </w:tcPr>
          <w:p w14:paraId="6FD795C3"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15</w:t>
            </w:r>
          </w:p>
        </w:tc>
      </w:tr>
      <w:tr w:rsidR="00407DC0" w:rsidRPr="005F44EF" w14:paraId="19EA76EA" w14:textId="77777777" w:rsidTr="00AA23B2">
        <w:trPr>
          <w:trHeight w:val="283"/>
          <w:jc w:val="center"/>
        </w:trPr>
        <w:tc>
          <w:tcPr>
            <w:tcW w:w="1647" w:type="dxa"/>
            <w:vMerge w:val="restart"/>
            <w:tcBorders>
              <w:top w:val="nil"/>
              <w:left w:val="nil"/>
              <w:bottom w:val="single" w:sz="4" w:space="0" w:color="000000"/>
              <w:right w:val="nil"/>
            </w:tcBorders>
            <w:shd w:val="clear" w:color="auto" w:fill="auto"/>
            <w:vAlign w:val="center"/>
            <w:hideMark/>
          </w:tcPr>
          <w:p w14:paraId="629EA40D"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Unit C</w:t>
            </w:r>
          </w:p>
        </w:tc>
        <w:tc>
          <w:tcPr>
            <w:tcW w:w="1682" w:type="dxa"/>
            <w:tcBorders>
              <w:top w:val="nil"/>
              <w:left w:val="nil"/>
              <w:bottom w:val="nil"/>
              <w:right w:val="nil"/>
            </w:tcBorders>
            <w:shd w:val="clear" w:color="auto" w:fill="auto"/>
            <w:noWrap/>
            <w:vAlign w:val="center"/>
            <w:hideMark/>
          </w:tcPr>
          <w:p w14:paraId="7B087191"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10</w:t>
            </w:r>
          </w:p>
        </w:tc>
        <w:tc>
          <w:tcPr>
            <w:tcW w:w="1156" w:type="dxa"/>
            <w:tcBorders>
              <w:top w:val="nil"/>
              <w:left w:val="nil"/>
              <w:bottom w:val="nil"/>
              <w:right w:val="nil"/>
            </w:tcBorders>
            <w:shd w:val="clear" w:color="auto" w:fill="auto"/>
            <w:noWrap/>
            <w:vAlign w:val="center"/>
            <w:hideMark/>
          </w:tcPr>
          <w:p w14:paraId="0DF9C8A1"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5</w:t>
            </w:r>
          </w:p>
        </w:tc>
        <w:tc>
          <w:tcPr>
            <w:tcW w:w="1367" w:type="dxa"/>
            <w:tcBorders>
              <w:top w:val="nil"/>
              <w:left w:val="nil"/>
              <w:bottom w:val="nil"/>
              <w:right w:val="nil"/>
            </w:tcBorders>
            <w:shd w:val="clear" w:color="auto" w:fill="auto"/>
            <w:noWrap/>
            <w:vAlign w:val="bottom"/>
            <w:hideMark/>
          </w:tcPr>
          <w:p w14:paraId="42929331"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49</w:t>
            </w:r>
          </w:p>
        </w:tc>
        <w:tc>
          <w:tcPr>
            <w:tcW w:w="1228" w:type="dxa"/>
            <w:tcBorders>
              <w:top w:val="nil"/>
              <w:left w:val="nil"/>
              <w:bottom w:val="nil"/>
              <w:right w:val="nil"/>
            </w:tcBorders>
            <w:shd w:val="clear" w:color="auto" w:fill="auto"/>
            <w:noWrap/>
            <w:vAlign w:val="bottom"/>
            <w:hideMark/>
          </w:tcPr>
          <w:p w14:paraId="0C259C51"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16</w:t>
            </w:r>
          </w:p>
        </w:tc>
      </w:tr>
      <w:tr w:rsidR="00407DC0" w:rsidRPr="005F44EF" w14:paraId="6720683D" w14:textId="77777777" w:rsidTr="00AA23B2">
        <w:trPr>
          <w:trHeight w:val="283"/>
          <w:jc w:val="center"/>
        </w:trPr>
        <w:tc>
          <w:tcPr>
            <w:tcW w:w="1647" w:type="dxa"/>
            <w:vMerge/>
            <w:tcBorders>
              <w:top w:val="nil"/>
              <w:left w:val="nil"/>
              <w:bottom w:val="single" w:sz="4" w:space="0" w:color="000000"/>
              <w:right w:val="nil"/>
            </w:tcBorders>
            <w:vAlign w:val="center"/>
            <w:hideMark/>
          </w:tcPr>
          <w:p w14:paraId="52E0BE48" w14:textId="77777777" w:rsidR="00407DC0" w:rsidRPr="005F44EF" w:rsidRDefault="00407DC0" w:rsidP="00407DC0">
            <w:pPr>
              <w:spacing w:after="0" w:line="240" w:lineRule="auto"/>
              <w:rPr>
                <w:rFonts w:ascii="Times New Roman" w:eastAsia="Times New Roman" w:hAnsi="Times New Roman" w:cs="Times New Roman"/>
                <w:sz w:val="18"/>
                <w:szCs w:val="18"/>
                <w:lang w:val="fr-FR"/>
              </w:rPr>
            </w:pPr>
          </w:p>
        </w:tc>
        <w:tc>
          <w:tcPr>
            <w:tcW w:w="1682" w:type="dxa"/>
            <w:tcBorders>
              <w:top w:val="nil"/>
              <w:left w:val="nil"/>
              <w:bottom w:val="nil"/>
              <w:right w:val="nil"/>
            </w:tcBorders>
            <w:shd w:val="clear" w:color="auto" w:fill="auto"/>
            <w:noWrap/>
            <w:vAlign w:val="center"/>
            <w:hideMark/>
          </w:tcPr>
          <w:p w14:paraId="12F0B0BE"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15</w:t>
            </w:r>
          </w:p>
        </w:tc>
        <w:tc>
          <w:tcPr>
            <w:tcW w:w="1156" w:type="dxa"/>
            <w:tcBorders>
              <w:top w:val="nil"/>
              <w:left w:val="nil"/>
              <w:bottom w:val="nil"/>
              <w:right w:val="nil"/>
            </w:tcBorders>
            <w:shd w:val="clear" w:color="auto" w:fill="auto"/>
            <w:noWrap/>
            <w:vAlign w:val="center"/>
            <w:hideMark/>
          </w:tcPr>
          <w:p w14:paraId="36B921AC"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5</w:t>
            </w:r>
          </w:p>
        </w:tc>
        <w:tc>
          <w:tcPr>
            <w:tcW w:w="1367" w:type="dxa"/>
            <w:tcBorders>
              <w:top w:val="nil"/>
              <w:left w:val="nil"/>
              <w:bottom w:val="nil"/>
              <w:right w:val="nil"/>
            </w:tcBorders>
            <w:shd w:val="clear" w:color="auto" w:fill="auto"/>
            <w:noWrap/>
            <w:vAlign w:val="bottom"/>
            <w:hideMark/>
          </w:tcPr>
          <w:p w14:paraId="774D833F"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51</w:t>
            </w:r>
          </w:p>
        </w:tc>
        <w:tc>
          <w:tcPr>
            <w:tcW w:w="1228" w:type="dxa"/>
            <w:tcBorders>
              <w:top w:val="nil"/>
              <w:left w:val="nil"/>
              <w:bottom w:val="nil"/>
              <w:right w:val="nil"/>
            </w:tcBorders>
            <w:shd w:val="clear" w:color="auto" w:fill="auto"/>
            <w:noWrap/>
            <w:vAlign w:val="bottom"/>
            <w:hideMark/>
          </w:tcPr>
          <w:p w14:paraId="73B0F7D4"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16</w:t>
            </w:r>
          </w:p>
        </w:tc>
      </w:tr>
      <w:tr w:rsidR="00407DC0" w:rsidRPr="005F44EF" w14:paraId="51BB1F32" w14:textId="77777777" w:rsidTr="00AA23B2">
        <w:trPr>
          <w:trHeight w:val="283"/>
          <w:jc w:val="center"/>
        </w:trPr>
        <w:tc>
          <w:tcPr>
            <w:tcW w:w="1647" w:type="dxa"/>
            <w:vMerge/>
            <w:tcBorders>
              <w:top w:val="nil"/>
              <w:left w:val="nil"/>
              <w:bottom w:val="single" w:sz="4" w:space="0" w:color="000000"/>
              <w:right w:val="nil"/>
            </w:tcBorders>
            <w:vAlign w:val="center"/>
            <w:hideMark/>
          </w:tcPr>
          <w:p w14:paraId="614BDF79" w14:textId="77777777" w:rsidR="00407DC0" w:rsidRPr="005F44EF" w:rsidRDefault="00407DC0" w:rsidP="00407DC0">
            <w:pPr>
              <w:spacing w:after="0" w:line="240" w:lineRule="auto"/>
              <w:rPr>
                <w:rFonts w:ascii="Times New Roman" w:eastAsia="Times New Roman" w:hAnsi="Times New Roman" w:cs="Times New Roman"/>
                <w:sz w:val="18"/>
                <w:szCs w:val="18"/>
                <w:lang w:val="fr-FR"/>
              </w:rPr>
            </w:pPr>
          </w:p>
        </w:tc>
        <w:tc>
          <w:tcPr>
            <w:tcW w:w="1682" w:type="dxa"/>
            <w:tcBorders>
              <w:top w:val="nil"/>
              <w:left w:val="nil"/>
              <w:bottom w:val="single" w:sz="4" w:space="0" w:color="auto"/>
              <w:right w:val="nil"/>
            </w:tcBorders>
            <w:shd w:val="clear" w:color="auto" w:fill="auto"/>
            <w:noWrap/>
            <w:vAlign w:val="center"/>
            <w:hideMark/>
          </w:tcPr>
          <w:p w14:paraId="36C913B4"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20</w:t>
            </w:r>
          </w:p>
        </w:tc>
        <w:tc>
          <w:tcPr>
            <w:tcW w:w="1156" w:type="dxa"/>
            <w:tcBorders>
              <w:top w:val="nil"/>
              <w:left w:val="nil"/>
              <w:bottom w:val="single" w:sz="4" w:space="0" w:color="auto"/>
              <w:right w:val="nil"/>
            </w:tcBorders>
            <w:shd w:val="clear" w:color="auto" w:fill="auto"/>
            <w:noWrap/>
            <w:vAlign w:val="center"/>
            <w:hideMark/>
          </w:tcPr>
          <w:p w14:paraId="5B05A5B3"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5</w:t>
            </w:r>
          </w:p>
        </w:tc>
        <w:tc>
          <w:tcPr>
            <w:tcW w:w="1367" w:type="dxa"/>
            <w:tcBorders>
              <w:top w:val="nil"/>
              <w:left w:val="nil"/>
              <w:bottom w:val="single" w:sz="4" w:space="0" w:color="auto"/>
              <w:right w:val="nil"/>
            </w:tcBorders>
            <w:shd w:val="clear" w:color="auto" w:fill="auto"/>
            <w:noWrap/>
            <w:vAlign w:val="bottom"/>
            <w:hideMark/>
          </w:tcPr>
          <w:p w14:paraId="02B29E8B"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53</w:t>
            </w:r>
          </w:p>
        </w:tc>
        <w:tc>
          <w:tcPr>
            <w:tcW w:w="1228" w:type="dxa"/>
            <w:tcBorders>
              <w:top w:val="nil"/>
              <w:left w:val="nil"/>
              <w:bottom w:val="single" w:sz="4" w:space="0" w:color="auto"/>
              <w:right w:val="nil"/>
            </w:tcBorders>
            <w:shd w:val="clear" w:color="auto" w:fill="auto"/>
            <w:noWrap/>
            <w:vAlign w:val="bottom"/>
            <w:hideMark/>
          </w:tcPr>
          <w:p w14:paraId="1978FE29"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17</w:t>
            </w:r>
          </w:p>
        </w:tc>
      </w:tr>
      <w:tr w:rsidR="00407DC0" w:rsidRPr="005F44EF" w14:paraId="24376127" w14:textId="77777777" w:rsidTr="00AA23B2">
        <w:trPr>
          <w:trHeight w:val="283"/>
          <w:jc w:val="center"/>
        </w:trPr>
        <w:tc>
          <w:tcPr>
            <w:tcW w:w="1647" w:type="dxa"/>
            <w:tcBorders>
              <w:top w:val="nil"/>
              <w:left w:val="nil"/>
              <w:bottom w:val="nil"/>
              <w:right w:val="nil"/>
            </w:tcBorders>
            <w:shd w:val="clear" w:color="auto" w:fill="auto"/>
            <w:vAlign w:val="center"/>
            <w:hideMark/>
          </w:tcPr>
          <w:p w14:paraId="12A8A9C4" w14:textId="530D96C5"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ANY</w:t>
            </w:r>
            <w:r w:rsidR="005E2CE3" w:rsidRPr="005F44EF">
              <w:rPr>
                <w:rFonts w:ascii="Times New Roman" w:eastAsia="Times New Roman" w:hAnsi="Times New Roman" w:cs="Times New Roman"/>
                <w:sz w:val="18"/>
                <w:szCs w:val="18"/>
                <w:lang w:val="fr-FR"/>
              </w:rPr>
              <w:t>20-</w:t>
            </w:r>
            <w:r w:rsidRPr="005F44EF">
              <w:rPr>
                <w:rFonts w:ascii="Times New Roman" w:eastAsia="Times New Roman" w:hAnsi="Times New Roman" w:cs="Times New Roman"/>
                <w:sz w:val="18"/>
                <w:szCs w:val="18"/>
                <w:lang w:val="fr-FR"/>
              </w:rPr>
              <w:t>04</w:t>
            </w:r>
          </w:p>
        </w:tc>
        <w:tc>
          <w:tcPr>
            <w:tcW w:w="1682" w:type="dxa"/>
            <w:tcBorders>
              <w:top w:val="nil"/>
              <w:left w:val="nil"/>
              <w:bottom w:val="nil"/>
              <w:right w:val="nil"/>
            </w:tcBorders>
            <w:shd w:val="clear" w:color="auto" w:fill="auto"/>
            <w:noWrap/>
            <w:vAlign w:val="center"/>
            <w:hideMark/>
          </w:tcPr>
          <w:p w14:paraId="6B858D8E"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10</w:t>
            </w:r>
          </w:p>
        </w:tc>
        <w:tc>
          <w:tcPr>
            <w:tcW w:w="1156" w:type="dxa"/>
            <w:tcBorders>
              <w:top w:val="nil"/>
              <w:left w:val="nil"/>
              <w:bottom w:val="nil"/>
              <w:right w:val="nil"/>
            </w:tcBorders>
            <w:shd w:val="clear" w:color="auto" w:fill="auto"/>
            <w:noWrap/>
            <w:vAlign w:val="center"/>
            <w:hideMark/>
          </w:tcPr>
          <w:p w14:paraId="7D947A1E"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5</w:t>
            </w:r>
          </w:p>
        </w:tc>
        <w:tc>
          <w:tcPr>
            <w:tcW w:w="1367" w:type="dxa"/>
            <w:tcBorders>
              <w:top w:val="nil"/>
              <w:left w:val="nil"/>
              <w:bottom w:val="nil"/>
              <w:right w:val="nil"/>
            </w:tcBorders>
            <w:shd w:val="clear" w:color="auto" w:fill="auto"/>
            <w:noWrap/>
            <w:vAlign w:val="bottom"/>
            <w:hideMark/>
          </w:tcPr>
          <w:p w14:paraId="441DC2B7"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41</w:t>
            </w:r>
          </w:p>
        </w:tc>
        <w:tc>
          <w:tcPr>
            <w:tcW w:w="1228" w:type="dxa"/>
            <w:tcBorders>
              <w:top w:val="nil"/>
              <w:left w:val="nil"/>
              <w:bottom w:val="nil"/>
              <w:right w:val="nil"/>
            </w:tcBorders>
            <w:shd w:val="clear" w:color="auto" w:fill="auto"/>
            <w:noWrap/>
            <w:vAlign w:val="bottom"/>
            <w:hideMark/>
          </w:tcPr>
          <w:p w14:paraId="44C3BD06"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17</w:t>
            </w:r>
          </w:p>
        </w:tc>
      </w:tr>
      <w:tr w:rsidR="00407DC0" w:rsidRPr="005F44EF" w14:paraId="4AA68984" w14:textId="77777777" w:rsidTr="00AA23B2">
        <w:trPr>
          <w:trHeight w:val="283"/>
          <w:jc w:val="center"/>
        </w:trPr>
        <w:tc>
          <w:tcPr>
            <w:tcW w:w="1647" w:type="dxa"/>
            <w:vMerge w:val="restart"/>
            <w:tcBorders>
              <w:top w:val="nil"/>
              <w:left w:val="nil"/>
              <w:bottom w:val="single" w:sz="4" w:space="0" w:color="000000"/>
              <w:right w:val="nil"/>
            </w:tcBorders>
            <w:shd w:val="clear" w:color="auto" w:fill="auto"/>
            <w:vAlign w:val="center"/>
            <w:hideMark/>
          </w:tcPr>
          <w:p w14:paraId="7B96E410"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Interface Unit C/D</w:t>
            </w:r>
          </w:p>
        </w:tc>
        <w:tc>
          <w:tcPr>
            <w:tcW w:w="1682" w:type="dxa"/>
            <w:tcBorders>
              <w:top w:val="nil"/>
              <w:left w:val="nil"/>
              <w:bottom w:val="nil"/>
              <w:right w:val="nil"/>
            </w:tcBorders>
            <w:shd w:val="clear" w:color="auto" w:fill="auto"/>
            <w:noWrap/>
            <w:vAlign w:val="center"/>
            <w:hideMark/>
          </w:tcPr>
          <w:p w14:paraId="66B84447"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10.3</w:t>
            </w:r>
          </w:p>
        </w:tc>
        <w:tc>
          <w:tcPr>
            <w:tcW w:w="1156" w:type="dxa"/>
            <w:tcBorders>
              <w:top w:val="nil"/>
              <w:left w:val="nil"/>
              <w:bottom w:val="nil"/>
              <w:right w:val="nil"/>
            </w:tcBorders>
            <w:shd w:val="clear" w:color="auto" w:fill="auto"/>
            <w:noWrap/>
            <w:vAlign w:val="center"/>
            <w:hideMark/>
          </w:tcPr>
          <w:p w14:paraId="46204B68"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5</w:t>
            </w:r>
          </w:p>
        </w:tc>
        <w:tc>
          <w:tcPr>
            <w:tcW w:w="1367" w:type="dxa"/>
            <w:tcBorders>
              <w:top w:val="nil"/>
              <w:left w:val="nil"/>
              <w:bottom w:val="nil"/>
              <w:right w:val="nil"/>
            </w:tcBorders>
            <w:shd w:val="clear" w:color="auto" w:fill="auto"/>
            <w:noWrap/>
            <w:vAlign w:val="bottom"/>
            <w:hideMark/>
          </w:tcPr>
          <w:p w14:paraId="5FF9B909"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41</w:t>
            </w:r>
          </w:p>
        </w:tc>
        <w:tc>
          <w:tcPr>
            <w:tcW w:w="1228" w:type="dxa"/>
            <w:tcBorders>
              <w:top w:val="nil"/>
              <w:left w:val="nil"/>
              <w:bottom w:val="nil"/>
              <w:right w:val="nil"/>
            </w:tcBorders>
            <w:shd w:val="clear" w:color="auto" w:fill="auto"/>
            <w:noWrap/>
            <w:vAlign w:val="bottom"/>
            <w:hideMark/>
          </w:tcPr>
          <w:p w14:paraId="0A3C6976"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17</w:t>
            </w:r>
          </w:p>
        </w:tc>
      </w:tr>
      <w:tr w:rsidR="00407DC0" w:rsidRPr="005F44EF" w14:paraId="2CBDE478" w14:textId="77777777" w:rsidTr="00AA23B2">
        <w:trPr>
          <w:trHeight w:val="283"/>
          <w:jc w:val="center"/>
        </w:trPr>
        <w:tc>
          <w:tcPr>
            <w:tcW w:w="1647" w:type="dxa"/>
            <w:vMerge/>
            <w:tcBorders>
              <w:top w:val="nil"/>
              <w:left w:val="nil"/>
              <w:bottom w:val="single" w:sz="4" w:space="0" w:color="000000"/>
              <w:right w:val="nil"/>
            </w:tcBorders>
            <w:vAlign w:val="center"/>
            <w:hideMark/>
          </w:tcPr>
          <w:p w14:paraId="71F668E3" w14:textId="77777777" w:rsidR="00407DC0" w:rsidRPr="005F44EF" w:rsidRDefault="00407DC0" w:rsidP="00407DC0">
            <w:pPr>
              <w:spacing w:after="0" w:line="240" w:lineRule="auto"/>
              <w:rPr>
                <w:rFonts w:ascii="Times New Roman" w:eastAsia="Times New Roman" w:hAnsi="Times New Roman" w:cs="Times New Roman"/>
                <w:sz w:val="18"/>
                <w:szCs w:val="18"/>
                <w:lang w:val="fr-FR"/>
              </w:rPr>
            </w:pPr>
          </w:p>
        </w:tc>
        <w:tc>
          <w:tcPr>
            <w:tcW w:w="1682" w:type="dxa"/>
            <w:tcBorders>
              <w:top w:val="nil"/>
              <w:left w:val="nil"/>
              <w:bottom w:val="nil"/>
              <w:right w:val="nil"/>
            </w:tcBorders>
            <w:shd w:val="clear" w:color="auto" w:fill="auto"/>
            <w:noWrap/>
            <w:vAlign w:val="center"/>
            <w:hideMark/>
          </w:tcPr>
          <w:p w14:paraId="1522C7CD"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15</w:t>
            </w:r>
          </w:p>
        </w:tc>
        <w:tc>
          <w:tcPr>
            <w:tcW w:w="1156" w:type="dxa"/>
            <w:tcBorders>
              <w:top w:val="nil"/>
              <w:left w:val="nil"/>
              <w:bottom w:val="nil"/>
              <w:right w:val="nil"/>
            </w:tcBorders>
            <w:shd w:val="clear" w:color="auto" w:fill="auto"/>
            <w:noWrap/>
            <w:vAlign w:val="center"/>
            <w:hideMark/>
          </w:tcPr>
          <w:p w14:paraId="7257B659"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5</w:t>
            </w:r>
          </w:p>
        </w:tc>
        <w:tc>
          <w:tcPr>
            <w:tcW w:w="1367" w:type="dxa"/>
            <w:tcBorders>
              <w:top w:val="nil"/>
              <w:left w:val="nil"/>
              <w:bottom w:val="nil"/>
              <w:right w:val="nil"/>
            </w:tcBorders>
            <w:shd w:val="clear" w:color="auto" w:fill="auto"/>
            <w:noWrap/>
            <w:vAlign w:val="bottom"/>
            <w:hideMark/>
          </w:tcPr>
          <w:p w14:paraId="29FB5AFC"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43</w:t>
            </w:r>
          </w:p>
        </w:tc>
        <w:tc>
          <w:tcPr>
            <w:tcW w:w="1228" w:type="dxa"/>
            <w:tcBorders>
              <w:top w:val="nil"/>
              <w:left w:val="nil"/>
              <w:bottom w:val="nil"/>
              <w:right w:val="nil"/>
            </w:tcBorders>
            <w:shd w:val="clear" w:color="auto" w:fill="auto"/>
            <w:noWrap/>
            <w:vAlign w:val="bottom"/>
            <w:hideMark/>
          </w:tcPr>
          <w:p w14:paraId="2ADE49B1"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18</w:t>
            </w:r>
          </w:p>
        </w:tc>
      </w:tr>
      <w:tr w:rsidR="00407DC0" w:rsidRPr="005F44EF" w14:paraId="2ACE3122" w14:textId="77777777" w:rsidTr="00AA23B2">
        <w:trPr>
          <w:trHeight w:val="283"/>
          <w:jc w:val="center"/>
        </w:trPr>
        <w:tc>
          <w:tcPr>
            <w:tcW w:w="1647" w:type="dxa"/>
            <w:vMerge/>
            <w:tcBorders>
              <w:top w:val="nil"/>
              <w:left w:val="nil"/>
              <w:bottom w:val="single" w:sz="4" w:space="0" w:color="000000"/>
              <w:right w:val="nil"/>
            </w:tcBorders>
            <w:vAlign w:val="center"/>
            <w:hideMark/>
          </w:tcPr>
          <w:p w14:paraId="0BF288EB" w14:textId="77777777" w:rsidR="00407DC0" w:rsidRPr="005F44EF" w:rsidRDefault="00407DC0" w:rsidP="00407DC0">
            <w:pPr>
              <w:spacing w:after="0" w:line="240" w:lineRule="auto"/>
              <w:rPr>
                <w:rFonts w:ascii="Times New Roman" w:eastAsia="Times New Roman" w:hAnsi="Times New Roman" w:cs="Times New Roman"/>
                <w:sz w:val="18"/>
                <w:szCs w:val="18"/>
                <w:lang w:val="fr-FR"/>
              </w:rPr>
            </w:pPr>
          </w:p>
        </w:tc>
        <w:tc>
          <w:tcPr>
            <w:tcW w:w="1682" w:type="dxa"/>
            <w:tcBorders>
              <w:top w:val="nil"/>
              <w:left w:val="nil"/>
              <w:bottom w:val="nil"/>
              <w:right w:val="nil"/>
            </w:tcBorders>
            <w:shd w:val="clear" w:color="auto" w:fill="auto"/>
            <w:noWrap/>
            <w:vAlign w:val="center"/>
            <w:hideMark/>
          </w:tcPr>
          <w:p w14:paraId="727B511F"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18</w:t>
            </w:r>
          </w:p>
        </w:tc>
        <w:tc>
          <w:tcPr>
            <w:tcW w:w="1156" w:type="dxa"/>
            <w:tcBorders>
              <w:top w:val="nil"/>
              <w:left w:val="nil"/>
              <w:bottom w:val="nil"/>
              <w:right w:val="nil"/>
            </w:tcBorders>
            <w:shd w:val="clear" w:color="auto" w:fill="auto"/>
            <w:noWrap/>
            <w:vAlign w:val="center"/>
            <w:hideMark/>
          </w:tcPr>
          <w:p w14:paraId="7FE4037A" w14:textId="7179A03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5</w:t>
            </w:r>
          </w:p>
        </w:tc>
        <w:tc>
          <w:tcPr>
            <w:tcW w:w="1367" w:type="dxa"/>
            <w:tcBorders>
              <w:top w:val="nil"/>
              <w:left w:val="nil"/>
              <w:bottom w:val="nil"/>
              <w:right w:val="nil"/>
            </w:tcBorders>
            <w:shd w:val="clear" w:color="auto" w:fill="auto"/>
            <w:noWrap/>
            <w:vAlign w:val="bottom"/>
            <w:hideMark/>
          </w:tcPr>
          <w:p w14:paraId="69664AD7"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44</w:t>
            </w:r>
          </w:p>
        </w:tc>
        <w:tc>
          <w:tcPr>
            <w:tcW w:w="1228" w:type="dxa"/>
            <w:tcBorders>
              <w:top w:val="nil"/>
              <w:left w:val="nil"/>
              <w:bottom w:val="nil"/>
              <w:right w:val="nil"/>
            </w:tcBorders>
            <w:shd w:val="clear" w:color="auto" w:fill="auto"/>
            <w:noWrap/>
            <w:vAlign w:val="bottom"/>
            <w:hideMark/>
          </w:tcPr>
          <w:p w14:paraId="14520D20"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19</w:t>
            </w:r>
          </w:p>
        </w:tc>
      </w:tr>
      <w:tr w:rsidR="00407DC0" w:rsidRPr="005F44EF" w14:paraId="7CCA3E4F" w14:textId="77777777" w:rsidTr="00AA23B2">
        <w:trPr>
          <w:trHeight w:val="283"/>
          <w:jc w:val="center"/>
        </w:trPr>
        <w:tc>
          <w:tcPr>
            <w:tcW w:w="1647" w:type="dxa"/>
            <w:vMerge/>
            <w:tcBorders>
              <w:top w:val="nil"/>
              <w:left w:val="nil"/>
              <w:bottom w:val="single" w:sz="4" w:space="0" w:color="000000"/>
              <w:right w:val="nil"/>
            </w:tcBorders>
            <w:vAlign w:val="center"/>
            <w:hideMark/>
          </w:tcPr>
          <w:p w14:paraId="433FBB25" w14:textId="77777777" w:rsidR="00407DC0" w:rsidRPr="005F44EF" w:rsidRDefault="00407DC0" w:rsidP="00407DC0">
            <w:pPr>
              <w:spacing w:after="0" w:line="240" w:lineRule="auto"/>
              <w:rPr>
                <w:rFonts w:ascii="Times New Roman" w:eastAsia="Times New Roman" w:hAnsi="Times New Roman" w:cs="Times New Roman"/>
                <w:sz w:val="18"/>
                <w:szCs w:val="18"/>
                <w:lang w:val="fr-FR"/>
              </w:rPr>
            </w:pPr>
          </w:p>
        </w:tc>
        <w:tc>
          <w:tcPr>
            <w:tcW w:w="1682" w:type="dxa"/>
            <w:tcBorders>
              <w:top w:val="nil"/>
              <w:left w:val="nil"/>
              <w:bottom w:val="single" w:sz="4" w:space="0" w:color="auto"/>
              <w:right w:val="nil"/>
            </w:tcBorders>
            <w:shd w:val="clear" w:color="auto" w:fill="auto"/>
            <w:noWrap/>
            <w:vAlign w:val="center"/>
            <w:hideMark/>
          </w:tcPr>
          <w:p w14:paraId="7EFB5374"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20</w:t>
            </w:r>
          </w:p>
        </w:tc>
        <w:tc>
          <w:tcPr>
            <w:tcW w:w="1156" w:type="dxa"/>
            <w:tcBorders>
              <w:top w:val="nil"/>
              <w:left w:val="nil"/>
              <w:bottom w:val="single" w:sz="4" w:space="0" w:color="auto"/>
              <w:right w:val="nil"/>
            </w:tcBorders>
            <w:shd w:val="clear" w:color="auto" w:fill="auto"/>
            <w:noWrap/>
            <w:vAlign w:val="center"/>
            <w:hideMark/>
          </w:tcPr>
          <w:p w14:paraId="0ABD8141"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5</w:t>
            </w:r>
          </w:p>
        </w:tc>
        <w:tc>
          <w:tcPr>
            <w:tcW w:w="1367" w:type="dxa"/>
            <w:tcBorders>
              <w:top w:val="nil"/>
              <w:left w:val="nil"/>
              <w:bottom w:val="single" w:sz="4" w:space="0" w:color="auto"/>
              <w:right w:val="nil"/>
            </w:tcBorders>
            <w:shd w:val="clear" w:color="auto" w:fill="auto"/>
            <w:noWrap/>
            <w:vAlign w:val="bottom"/>
            <w:hideMark/>
          </w:tcPr>
          <w:p w14:paraId="231454AF"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45</w:t>
            </w:r>
          </w:p>
        </w:tc>
        <w:tc>
          <w:tcPr>
            <w:tcW w:w="1228" w:type="dxa"/>
            <w:tcBorders>
              <w:top w:val="nil"/>
              <w:left w:val="nil"/>
              <w:bottom w:val="single" w:sz="4" w:space="0" w:color="auto"/>
              <w:right w:val="nil"/>
            </w:tcBorders>
            <w:shd w:val="clear" w:color="auto" w:fill="auto"/>
            <w:noWrap/>
            <w:vAlign w:val="bottom"/>
            <w:hideMark/>
          </w:tcPr>
          <w:p w14:paraId="5E018EA5"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19</w:t>
            </w:r>
          </w:p>
        </w:tc>
      </w:tr>
      <w:tr w:rsidR="00407DC0" w:rsidRPr="005F44EF" w14:paraId="71ED974C" w14:textId="77777777" w:rsidTr="00AA23B2">
        <w:trPr>
          <w:trHeight w:val="283"/>
          <w:jc w:val="center"/>
        </w:trPr>
        <w:tc>
          <w:tcPr>
            <w:tcW w:w="1647" w:type="dxa"/>
            <w:tcBorders>
              <w:top w:val="nil"/>
              <w:left w:val="nil"/>
              <w:bottom w:val="nil"/>
              <w:right w:val="nil"/>
            </w:tcBorders>
            <w:shd w:val="clear" w:color="auto" w:fill="auto"/>
            <w:vAlign w:val="center"/>
            <w:hideMark/>
          </w:tcPr>
          <w:p w14:paraId="75C54BE4" w14:textId="2647D909"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ANY</w:t>
            </w:r>
            <w:r w:rsidR="005E2CE3" w:rsidRPr="005F44EF">
              <w:rPr>
                <w:rFonts w:ascii="Times New Roman" w:eastAsia="Times New Roman" w:hAnsi="Times New Roman" w:cs="Times New Roman"/>
                <w:sz w:val="18"/>
                <w:szCs w:val="18"/>
                <w:lang w:val="fr-FR"/>
              </w:rPr>
              <w:t>20-</w:t>
            </w:r>
            <w:r w:rsidRPr="005F44EF">
              <w:rPr>
                <w:rFonts w:ascii="Times New Roman" w:eastAsia="Times New Roman" w:hAnsi="Times New Roman" w:cs="Times New Roman"/>
                <w:sz w:val="18"/>
                <w:szCs w:val="18"/>
                <w:lang w:val="fr-FR"/>
              </w:rPr>
              <w:t>05</w:t>
            </w:r>
          </w:p>
        </w:tc>
        <w:tc>
          <w:tcPr>
            <w:tcW w:w="1682" w:type="dxa"/>
            <w:tcBorders>
              <w:top w:val="nil"/>
              <w:left w:val="nil"/>
              <w:bottom w:val="nil"/>
              <w:right w:val="nil"/>
            </w:tcBorders>
            <w:shd w:val="clear" w:color="auto" w:fill="auto"/>
            <w:noWrap/>
            <w:vAlign w:val="center"/>
            <w:hideMark/>
          </w:tcPr>
          <w:p w14:paraId="2CFD58F3"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10</w:t>
            </w:r>
          </w:p>
        </w:tc>
        <w:tc>
          <w:tcPr>
            <w:tcW w:w="1156" w:type="dxa"/>
            <w:tcBorders>
              <w:top w:val="nil"/>
              <w:left w:val="nil"/>
              <w:bottom w:val="nil"/>
              <w:right w:val="nil"/>
            </w:tcBorders>
            <w:shd w:val="clear" w:color="auto" w:fill="auto"/>
            <w:noWrap/>
            <w:vAlign w:val="center"/>
            <w:hideMark/>
          </w:tcPr>
          <w:p w14:paraId="0E4A2425"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5</w:t>
            </w:r>
          </w:p>
        </w:tc>
        <w:tc>
          <w:tcPr>
            <w:tcW w:w="1367" w:type="dxa"/>
            <w:tcBorders>
              <w:top w:val="nil"/>
              <w:left w:val="nil"/>
              <w:bottom w:val="nil"/>
              <w:right w:val="nil"/>
            </w:tcBorders>
            <w:shd w:val="clear" w:color="auto" w:fill="auto"/>
            <w:noWrap/>
            <w:vAlign w:val="bottom"/>
            <w:hideMark/>
          </w:tcPr>
          <w:p w14:paraId="4D5945F4"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72</w:t>
            </w:r>
          </w:p>
        </w:tc>
        <w:tc>
          <w:tcPr>
            <w:tcW w:w="1228" w:type="dxa"/>
            <w:tcBorders>
              <w:top w:val="nil"/>
              <w:left w:val="nil"/>
              <w:bottom w:val="nil"/>
              <w:right w:val="nil"/>
            </w:tcBorders>
            <w:shd w:val="clear" w:color="auto" w:fill="auto"/>
            <w:noWrap/>
            <w:vAlign w:val="bottom"/>
            <w:hideMark/>
          </w:tcPr>
          <w:p w14:paraId="74DD896A"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17</w:t>
            </w:r>
          </w:p>
        </w:tc>
      </w:tr>
      <w:tr w:rsidR="00407DC0" w:rsidRPr="005F44EF" w14:paraId="49BABE90" w14:textId="77777777" w:rsidTr="00AA23B2">
        <w:trPr>
          <w:trHeight w:val="283"/>
          <w:jc w:val="center"/>
        </w:trPr>
        <w:tc>
          <w:tcPr>
            <w:tcW w:w="1647" w:type="dxa"/>
            <w:vMerge w:val="restart"/>
            <w:tcBorders>
              <w:top w:val="nil"/>
              <w:left w:val="nil"/>
              <w:bottom w:val="single" w:sz="4" w:space="0" w:color="000000"/>
              <w:right w:val="nil"/>
            </w:tcBorders>
            <w:shd w:val="clear" w:color="auto" w:fill="auto"/>
            <w:noWrap/>
            <w:vAlign w:val="center"/>
            <w:hideMark/>
          </w:tcPr>
          <w:p w14:paraId="42D23F1D"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Unit D1</w:t>
            </w:r>
          </w:p>
        </w:tc>
        <w:tc>
          <w:tcPr>
            <w:tcW w:w="1682" w:type="dxa"/>
            <w:tcBorders>
              <w:top w:val="nil"/>
              <w:left w:val="nil"/>
              <w:bottom w:val="nil"/>
              <w:right w:val="nil"/>
            </w:tcBorders>
            <w:shd w:val="clear" w:color="auto" w:fill="auto"/>
            <w:noWrap/>
            <w:vAlign w:val="center"/>
            <w:hideMark/>
          </w:tcPr>
          <w:p w14:paraId="16CC02CB"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11.8</w:t>
            </w:r>
          </w:p>
        </w:tc>
        <w:tc>
          <w:tcPr>
            <w:tcW w:w="1156" w:type="dxa"/>
            <w:tcBorders>
              <w:top w:val="nil"/>
              <w:left w:val="nil"/>
              <w:bottom w:val="nil"/>
              <w:right w:val="nil"/>
            </w:tcBorders>
            <w:shd w:val="clear" w:color="auto" w:fill="auto"/>
            <w:noWrap/>
            <w:vAlign w:val="center"/>
            <w:hideMark/>
          </w:tcPr>
          <w:p w14:paraId="2B93F59F"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5</w:t>
            </w:r>
          </w:p>
        </w:tc>
        <w:tc>
          <w:tcPr>
            <w:tcW w:w="1367" w:type="dxa"/>
            <w:tcBorders>
              <w:top w:val="nil"/>
              <w:left w:val="nil"/>
              <w:bottom w:val="nil"/>
              <w:right w:val="nil"/>
            </w:tcBorders>
            <w:shd w:val="clear" w:color="auto" w:fill="auto"/>
            <w:noWrap/>
            <w:vAlign w:val="bottom"/>
            <w:hideMark/>
          </w:tcPr>
          <w:p w14:paraId="6642A05D"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73</w:t>
            </w:r>
          </w:p>
        </w:tc>
        <w:tc>
          <w:tcPr>
            <w:tcW w:w="1228" w:type="dxa"/>
            <w:tcBorders>
              <w:top w:val="nil"/>
              <w:left w:val="nil"/>
              <w:bottom w:val="nil"/>
              <w:right w:val="nil"/>
            </w:tcBorders>
            <w:shd w:val="clear" w:color="auto" w:fill="auto"/>
            <w:noWrap/>
            <w:vAlign w:val="bottom"/>
            <w:hideMark/>
          </w:tcPr>
          <w:p w14:paraId="250EF431"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17</w:t>
            </w:r>
          </w:p>
        </w:tc>
      </w:tr>
      <w:tr w:rsidR="00407DC0" w:rsidRPr="005F44EF" w14:paraId="45E3F5D7" w14:textId="77777777" w:rsidTr="00AA23B2">
        <w:trPr>
          <w:trHeight w:val="283"/>
          <w:jc w:val="center"/>
        </w:trPr>
        <w:tc>
          <w:tcPr>
            <w:tcW w:w="1647" w:type="dxa"/>
            <w:vMerge/>
            <w:tcBorders>
              <w:top w:val="nil"/>
              <w:left w:val="nil"/>
              <w:bottom w:val="single" w:sz="4" w:space="0" w:color="000000"/>
              <w:right w:val="nil"/>
            </w:tcBorders>
            <w:vAlign w:val="center"/>
            <w:hideMark/>
          </w:tcPr>
          <w:p w14:paraId="1C2D6E16" w14:textId="77777777" w:rsidR="00407DC0" w:rsidRPr="005F44EF" w:rsidRDefault="00407DC0" w:rsidP="00407DC0">
            <w:pPr>
              <w:spacing w:after="0" w:line="240" w:lineRule="auto"/>
              <w:rPr>
                <w:rFonts w:ascii="Times New Roman" w:eastAsia="Times New Roman" w:hAnsi="Times New Roman" w:cs="Times New Roman"/>
                <w:color w:val="000000"/>
                <w:sz w:val="18"/>
                <w:szCs w:val="18"/>
                <w:lang w:val="fr-FR"/>
              </w:rPr>
            </w:pPr>
          </w:p>
        </w:tc>
        <w:tc>
          <w:tcPr>
            <w:tcW w:w="1682" w:type="dxa"/>
            <w:tcBorders>
              <w:top w:val="nil"/>
              <w:left w:val="nil"/>
              <w:bottom w:val="nil"/>
              <w:right w:val="nil"/>
            </w:tcBorders>
            <w:shd w:val="clear" w:color="auto" w:fill="auto"/>
            <w:noWrap/>
            <w:vAlign w:val="center"/>
            <w:hideMark/>
          </w:tcPr>
          <w:p w14:paraId="15E4F851"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15</w:t>
            </w:r>
          </w:p>
        </w:tc>
        <w:tc>
          <w:tcPr>
            <w:tcW w:w="1156" w:type="dxa"/>
            <w:tcBorders>
              <w:top w:val="nil"/>
              <w:left w:val="nil"/>
              <w:bottom w:val="nil"/>
              <w:right w:val="nil"/>
            </w:tcBorders>
            <w:shd w:val="clear" w:color="auto" w:fill="auto"/>
            <w:noWrap/>
            <w:vAlign w:val="center"/>
            <w:hideMark/>
          </w:tcPr>
          <w:p w14:paraId="0C17095B"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5</w:t>
            </w:r>
          </w:p>
        </w:tc>
        <w:tc>
          <w:tcPr>
            <w:tcW w:w="1367" w:type="dxa"/>
            <w:tcBorders>
              <w:top w:val="nil"/>
              <w:left w:val="nil"/>
              <w:bottom w:val="nil"/>
              <w:right w:val="nil"/>
            </w:tcBorders>
            <w:shd w:val="clear" w:color="auto" w:fill="auto"/>
            <w:noWrap/>
            <w:vAlign w:val="bottom"/>
            <w:hideMark/>
          </w:tcPr>
          <w:p w14:paraId="6ACE97EF"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75</w:t>
            </w:r>
          </w:p>
        </w:tc>
        <w:tc>
          <w:tcPr>
            <w:tcW w:w="1228" w:type="dxa"/>
            <w:tcBorders>
              <w:top w:val="nil"/>
              <w:left w:val="nil"/>
              <w:bottom w:val="nil"/>
              <w:right w:val="nil"/>
            </w:tcBorders>
            <w:shd w:val="clear" w:color="auto" w:fill="auto"/>
            <w:noWrap/>
            <w:vAlign w:val="bottom"/>
            <w:hideMark/>
          </w:tcPr>
          <w:p w14:paraId="12A7AEA7"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18</w:t>
            </w:r>
          </w:p>
        </w:tc>
      </w:tr>
      <w:tr w:rsidR="00407DC0" w:rsidRPr="005F44EF" w14:paraId="7B98778A" w14:textId="77777777" w:rsidTr="00AA23B2">
        <w:trPr>
          <w:trHeight w:val="283"/>
          <w:jc w:val="center"/>
        </w:trPr>
        <w:tc>
          <w:tcPr>
            <w:tcW w:w="1647" w:type="dxa"/>
            <w:vMerge/>
            <w:tcBorders>
              <w:top w:val="nil"/>
              <w:left w:val="nil"/>
              <w:bottom w:val="single" w:sz="4" w:space="0" w:color="000000"/>
              <w:right w:val="nil"/>
            </w:tcBorders>
            <w:vAlign w:val="center"/>
            <w:hideMark/>
          </w:tcPr>
          <w:p w14:paraId="555B0349" w14:textId="77777777" w:rsidR="00407DC0" w:rsidRPr="005F44EF" w:rsidRDefault="00407DC0" w:rsidP="00407DC0">
            <w:pPr>
              <w:spacing w:after="0" w:line="240" w:lineRule="auto"/>
              <w:rPr>
                <w:rFonts w:ascii="Times New Roman" w:eastAsia="Times New Roman" w:hAnsi="Times New Roman" w:cs="Times New Roman"/>
                <w:color w:val="000000"/>
                <w:sz w:val="18"/>
                <w:szCs w:val="18"/>
                <w:lang w:val="fr-FR"/>
              </w:rPr>
            </w:pPr>
          </w:p>
        </w:tc>
        <w:tc>
          <w:tcPr>
            <w:tcW w:w="1682" w:type="dxa"/>
            <w:tcBorders>
              <w:top w:val="nil"/>
              <w:left w:val="nil"/>
              <w:bottom w:val="nil"/>
              <w:right w:val="nil"/>
            </w:tcBorders>
            <w:shd w:val="clear" w:color="auto" w:fill="auto"/>
            <w:noWrap/>
            <w:vAlign w:val="center"/>
            <w:hideMark/>
          </w:tcPr>
          <w:p w14:paraId="1F99DA9E"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18</w:t>
            </w:r>
          </w:p>
        </w:tc>
        <w:tc>
          <w:tcPr>
            <w:tcW w:w="1156" w:type="dxa"/>
            <w:tcBorders>
              <w:top w:val="nil"/>
              <w:left w:val="nil"/>
              <w:bottom w:val="nil"/>
              <w:right w:val="nil"/>
            </w:tcBorders>
            <w:shd w:val="clear" w:color="auto" w:fill="auto"/>
            <w:noWrap/>
            <w:vAlign w:val="center"/>
            <w:hideMark/>
          </w:tcPr>
          <w:p w14:paraId="6C64A3BB" w14:textId="5A453DEC"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5</w:t>
            </w:r>
          </w:p>
        </w:tc>
        <w:tc>
          <w:tcPr>
            <w:tcW w:w="1367" w:type="dxa"/>
            <w:tcBorders>
              <w:top w:val="nil"/>
              <w:left w:val="nil"/>
              <w:bottom w:val="nil"/>
              <w:right w:val="nil"/>
            </w:tcBorders>
            <w:shd w:val="clear" w:color="auto" w:fill="auto"/>
            <w:noWrap/>
            <w:vAlign w:val="bottom"/>
            <w:hideMark/>
          </w:tcPr>
          <w:p w14:paraId="6BEA2FF2"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77</w:t>
            </w:r>
          </w:p>
        </w:tc>
        <w:tc>
          <w:tcPr>
            <w:tcW w:w="1228" w:type="dxa"/>
            <w:tcBorders>
              <w:top w:val="nil"/>
              <w:left w:val="nil"/>
              <w:bottom w:val="nil"/>
              <w:right w:val="nil"/>
            </w:tcBorders>
            <w:shd w:val="clear" w:color="auto" w:fill="auto"/>
            <w:noWrap/>
            <w:vAlign w:val="bottom"/>
            <w:hideMark/>
          </w:tcPr>
          <w:p w14:paraId="123E503A"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18</w:t>
            </w:r>
          </w:p>
        </w:tc>
      </w:tr>
      <w:tr w:rsidR="00407DC0" w:rsidRPr="005F44EF" w14:paraId="01A6BEB5" w14:textId="77777777" w:rsidTr="00AA23B2">
        <w:trPr>
          <w:trHeight w:val="283"/>
          <w:jc w:val="center"/>
        </w:trPr>
        <w:tc>
          <w:tcPr>
            <w:tcW w:w="1647" w:type="dxa"/>
            <w:vMerge/>
            <w:tcBorders>
              <w:top w:val="nil"/>
              <w:left w:val="nil"/>
              <w:bottom w:val="single" w:sz="4" w:space="0" w:color="000000"/>
              <w:right w:val="nil"/>
            </w:tcBorders>
            <w:vAlign w:val="center"/>
            <w:hideMark/>
          </w:tcPr>
          <w:p w14:paraId="232EEB5C" w14:textId="77777777" w:rsidR="00407DC0" w:rsidRPr="005F44EF" w:rsidRDefault="00407DC0" w:rsidP="00407DC0">
            <w:pPr>
              <w:spacing w:after="0" w:line="240" w:lineRule="auto"/>
              <w:rPr>
                <w:rFonts w:ascii="Times New Roman" w:eastAsia="Times New Roman" w:hAnsi="Times New Roman" w:cs="Times New Roman"/>
                <w:color w:val="000000"/>
                <w:sz w:val="18"/>
                <w:szCs w:val="18"/>
                <w:lang w:val="fr-FR"/>
              </w:rPr>
            </w:pPr>
          </w:p>
        </w:tc>
        <w:tc>
          <w:tcPr>
            <w:tcW w:w="1682" w:type="dxa"/>
            <w:tcBorders>
              <w:top w:val="nil"/>
              <w:left w:val="nil"/>
              <w:bottom w:val="single" w:sz="4" w:space="0" w:color="auto"/>
              <w:right w:val="nil"/>
            </w:tcBorders>
            <w:shd w:val="clear" w:color="auto" w:fill="auto"/>
            <w:noWrap/>
            <w:vAlign w:val="center"/>
            <w:hideMark/>
          </w:tcPr>
          <w:p w14:paraId="5A07F692"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20</w:t>
            </w:r>
          </w:p>
        </w:tc>
        <w:tc>
          <w:tcPr>
            <w:tcW w:w="1156" w:type="dxa"/>
            <w:tcBorders>
              <w:top w:val="nil"/>
              <w:left w:val="nil"/>
              <w:bottom w:val="single" w:sz="4" w:space="0" w:color="auto"/>
              <w:right w:val="nil"/>
            </w:tcBorders>
            <w:shd w:val="clear" w:color="auto" w:fill="auto"/>
            <w:noWrap/>
            <w:vAlign w:val="center"/>
            <w:hideMark/>
          </w:tcPr>
          <w:p w14:paraId="7E8B2A2F"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5</w:t>
            </w:r>
          </w:p>
        </w:tc>
        <w:tc>
          <w:tcPr>
            <w:tcW w:w="1367" w:type="dxa"/>
            <w:tcBorders>
              <w:top w:val="nil"/>
              <w:left w:val="nil"/>
              <w:bottom w:val="single" w:sz="4" w:space="0" w:color="auto"/>
              <w:right w:val="nil"/>
            </w:tcBorders>
            <w:shd w:val="clear" w:color="auto" w:fill="auto"/>
            <w:noWrap/>
            <w:vAlign w:val="bottom"/>
            <w:hideMark/>
          </w:tcPr>
          <w:p w14:paraId="3BDE4389"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79</w:t>
            </w:r>
          </w:p>
        </w:tc>
        <w:tc>
          <w:tcPr>
            <w:tcW w:w="1228" w:type="dxa"/>
            <w:tcBorders>
              <w:top w:val="nil"/>
              <w:left w:val="nil"/>
              <w:bottom w:val="single" w:sz="4" w:space="0" w:color="auto"/>
              <w:right w:val="nil"/>
            </w:tcBorders>
            <w:shd w:val="clear" w:color="auto" w:fill="auto"/>
            <w:noWrap/>
            <w:vAlign w:val="bottom"/>
            <w:hideMark/>
          </w:tcPr>
          <w:p w14:paraId="58D1BF5A"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19</w:t>
            </w:r>
          </w:p>
        </w:tc>
      </w:tr>
      <w:tr w:rsidR="00407DC0" w:rsidRPr="005F44EF" w14:paraId="04878083" w14:textId="77777777" w:rsidTr="00AA23B2">
        <w:trPr>
          <w:trHeight w:val="283"/>
          <w:jc w:val="center"/>
        </w:trPr>
        <w:tc>
          <w:tcPr>
            <w:tcW w:w="1647" w:type="dxa"/>
            <w:tcBorders>
              <w:top w:val="nil"/>
              <w:left w:val="nil"/>
              <w:bottom w:val="nil"/>
              <w:right w:val="nil"/>
            </w:tcBorders>
            <w:shd w:val="clear" w:color="auto" w:fill="auto"/>
            <w:vAlign w:val="center"/>
            <w:hideMark/>
          </w:tcPr>
          <w:p w14:paraId="74EEE584" w14:textId="57267840"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ANY</w:t>
            </w:r>
            <w:r w:rsidR="005E2CE3" w:rsidRPr="005F44EF">
              <w:rPr>
                <w:rFonts w:ascii="Times New Roman" w:eastAsia="Times New Roman" w:hAnsi="Times New Roman" w:cs="Times New Roman"/>
                <w:sz w:val="18"/>
                <w:szCs w:val="18"/>
                <w:lang w:val="fr-FR"/>
              </w:rPr>
              <w:t>20-</w:t>
            </w:r>
            <w:r w:rsidRPr="005F44EF">
              <w:rPr>
                <w:rFonts w:ascii="Times New Roman" w:eastAsia="Times New Roman" w:hAnsi="Times New Roman" w:cs="Times New Roman"/>
                <w:sz w:val="18"/>
                <w:szCs w:val="18"/>
                <w:lang w:val="fr-FR"/>
              </w:rPr>
              <w:t>08</w:t>
            </w:r>
          </w:p>
        </w:tc>
        <w:tc>
          <w:tcPr>
            <w:tcW w:w="1682" w:type="dxa"/>
            <w:tcBorders>
              <w:top w:val="nil"/>
              <w:left w:val="nil"/>
              <w:bottom w:val="nil"/>
              <w:right w:val="nil"/>
            </w:tcBorders>
            <w:shd w:val="clear" w:color="auto" w:fill="auto"/>
            <w:noWrap/>
            <w:vAlign w:val="center"/>
            <w:hideMark/>
          </w:tcPr>
          <w:p w14:paraId="0BE7E8E7"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10</w:t>
            </w:r>
          </w:p>
        </w:tc>
        <w:tc>
          <w:tcPr>
            <w:tcW w:w="1156" w:type="dxa"/>
            <w:tcBorders>
              <w:top w:val="nil"/>
              <w:left w:val="nil"/>
              <w:bottom w:val="nil"/>
              <w:right w:val="nil"/>
            </w:tcBorders>
            <w:shd w:val="clear" w:color="auto" w:fill="auto"/>
            <w:noWrap/>
            <w:vAlign w:val="center"/>
            <w:hideMark/>
          </w:tcPr>
          <w:p w14:paraId="5ADE8CCE"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5</w:t>
            </w:r>
          </w:p>
        </w:tc>
        <w:tc>
          <w:tcPr>
            <w:tcW w:w="1367" w:type="dxa"/>
            <w:tcBorders>
              <w:top w:val="nil"/>
              <w:left w:val="nil"/>
              <w:bottom w:val="nil"/>
              <w:right w:val="nil"/>
            </w:tcBorders>
            <w:shd w:val="clear" w:color="auto" w:fill="auto"/>
            <w:noWrap/>
            <w:vAlign w:val="bottom"/>
            <w:hideMark/>
          </w:tcPr>
          <w:p w14:paraId="26CC9F18"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191</w:t>
            </w:r>
          </w:p>
        </w:tc>
        <w:tc>
          <w:tcPr>
            <w:tcW w:w="1228" w:type="dxa"/>
            <w:tcBorders>
              <w:top w:val="nil"/>
              <w:left w:val="nil"/>
              <w:bottom w:val="nil"/>
              <w:right w:val="nil"/>
            </w:tcBorders>
            <w:shd w:val="clear" w:color="auto" w:fill="auto"/>
            <w:noWrap/>
            <w:vAlign w:val="bottom"/>
            <w:hideMark/>
          </w:tcPr>
          <w:p w14:paraId="1300108C"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69</w:t>
            </w:r>
          </w:p>
        </w:tc>
      </w:tr>
      <w:tr w:rsidR="00407DC0" w:rsidRPr="005F44EF" w14:paraId="4FBC031F" w14:textId="77777777" w:rsidTr="00AA23B2">
        <w:trPr>
          <w:trHeight w:val="283"/>
          <w:jc w:val="center"/>
        </w:trPr>
        <w:tc>
          <w:tcPr>
            <w:tcW w:w="1647" w:type="dxa"/>
            <w:vMerge w:val="restart"/>
            <w:tcBorders>
              <w:top w:val="nil"/>
              <w:left w:val="nil"/>
              <w:bottom w:val="single" w:sz="4" w:space="0" w:color="000000"/>
              <w:right w:val="nil"/>
            </w:tcBorders>
            <w:shd w:val="clear" w:color="auto" w:fill="auto"/>
            <w:noWrap/>
            <w:vAlign w:val="center"/>
            <w:hideMark/>
          </w:tcPr>
          <w:p w14:paraId="5D59D72A"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Unit D2</w:t>
            </w:r>
          </w:p>
        </w:tc>
        <w:tc>
          <w:tcPr>
            <w:tcW w:w="1682" w:type="dxa"/>
            <w:tcBorders>
              <w:top w:val="nil"/>
              <w:left w:val="nil"/>
              <w:bottom w:val="nil"/>
              <w:right w:val="nil"/>
            </w:tcBorders>
            <w:shd w:val="clear" w:color="auto" w:fill="auto"/>
            <w:noWrap/>
            <w:vAlign w:val="center"/>
            <w:hideMark/>
          </w:tcPr>
          <w:p w14:paraId="5AA03B3A"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12.5</w:t>
            </w:r>
          </w:p>
        </w:tc>
        <w:tc>
          <w:tcPr>
            <w:tcW w:w="1156" w:type="dxa"/>
            <w:tcBorders>
              <w:top w:val="nil"/>
              <w:left w:val="nil"/>
              <w:bottom w:val="nil"/>
              <w:right w:val="nil"/>
            </w:tcBorders>
            <w:shd w:val="clear" w:color="auto" w:fill="auto"/>
            <w:noWrap/>
            <w:vAlign w:val="center"/>
            <w:hideMark/>
          </w:tcPr>
          <w:p w14:paraId="500CF929"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5</w:t>
            </w:r>
          </w:p>
        </w:tc>
        <w:tc>
          <w:tcPr>
            <w:tcW w:w="1367" w:type="dxa"/>
            <w:tcBorders>
              <w:top w:val="nil"/>
              <w:left w:val="nil"/>
              <w:bottom w:val="nil"/>
              <w:right w:val="nil"/>
            </w:tcBorders>
            <w:shd w:val="clear" w:color="auto" w:fill="auto"/>
            <w:noWrap/>
            <w:vAlign w:val="bottom"/>
            <w:hideMark/>
          </w:tcPr>
          <w:p w14:paraId="1CBF729D"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196</w:t>
            </w:r>
          </w:p>
        </w:tc>
        <w:tc>
          <w:tcPr>
            <w:tcW w:w="1228" w:type="dxa"/>
            <w:tcBorders>
              <w:top w:val="nil"/>
              <w:left w:val="nil"/>
              <w:bottom w:val="nil"/>
              <w:right w:val="nil"/>
            </w:tcBorders>
            <w:shd w:val="clear" w:color="auto" w:fill="auto"/>
            <w:noWrap/>
            <w:vAlign w:val="bottom"/>
            <w:hideMark/>
          </w:tcPr>
          <w:p w14:paraId="779CA6E8"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71</w:t>
            </w:r>
          </w:p>
        </w:tc>
      </w:tr>
      <w:tr w:rsidR="00407DC0" w:rsidRPr="005F44EF" w14:paraId="3668DCE9" w14:textId="77777777" w:rsidTr="00AA23B2">
        <w:trPr>
          <w:trHeight w:val="283"/>
          <w:jc w:val="center"/>
        </w:trPr>
        <w:tc>
          <w:tcPr>
            <w:tcW w:w="1647" w:type="dxa"/>
            <w:vMerge/>
            <w:tcBorders>
              <w:top w:val="nil"/>
              <w:left w:val="nil"/>
              <w:bottom w:val="single" w:sz="4" w:space="0" w:color="000000"/>
              <w:right w:val="nil"/>
            </w:tcBorders>
            <w:vAlign w:val="center"/>
            <w:hideMark/>
          </w:tcPr>
          <w:p w14:paraId="7AD0AB61" w14:textId="77777777" w:rsidR="00407DC0" w:rsidRPr="005F44EF" w:rsidRDefault="00407DC0" w:rsidP="00407DC0">
            <w:pPr>
              <w:spacing w:after="0" w:line="240" w:lineRule="auto"/>
              <w:rPr>
                <w:rFonts w:ascii="Times New Roman" w:eastAsia="Times New Roman" w:hAnsi="Times New Roman" w:cs="Times New Roman"/>
                <w:color w:val="000000"/>
                <w:sz w:val="18"/>
                <w:szCs w:val="18"/>
                <w:lang w:val="fr-FR"/>
              </w:rPr>
            </w:pPr>
          </w:p>
        </w:tc>
        <w:tc>
          <w:tcPr>
            <w:tcW w:w="1682" w:type="dxa"/>
            <w:tcBorders>
              <w:top w:val="nil"/>
              <w:left w:val="nil"/>
              <w:bottom w:val="nil"/>
              <w:right w:val="nil"/>
            </w:tcBorders>
            <w:shd w:val="clear" w:color="auto" w:fill="auto"/>
            <w:noWrap/>
            <w:vAlign w:val="center"/>
            <w:hideMark/>
          </w:tcPr>
          <w:p w14:paraId="324B9064"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15</w:t>
            </w:r>
          </w:p>
        </w:tc>
        <w:tc>
          <w:tcPr>
            <w:tcW w:w="1156" w:type="dxa"/>
            <w:tcBorders>
              <w:top w:val="nil"/>
              <w:left w:val="nil"/>
              <w:bottom w:val="nil"/>
              <w:right w:val="nil"/>
            </w:tcBorders>
            <w:shd w:val="clear" w:color="auto" w:fill="auto"/>
            <w:noWrap/>
            <w:vAlign w:val="center"/>
            <w:hideMark/>
          </w:tcPr>
          <w:p w14:paraId="17EF1264"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5</w:t>
            </w:r>
          </w:p>
        </w:tc>
        <w:tc>
          <w:tcPr>
            <w:tcW w:w="1367" w:type="dxa"/>
            <w:tcBorders>
              <w:top w:val="nil"/>
              <w:left w:val="nil"/>
              <w:bottom w:val="nil"/>
              <w:right w:val="nil"/>
            </w:tcBorders>
            <w:shd w:val="clear" w:color="auto" w:fill="auto"/>
            <w:noWrap/>
            <w:vAlign w:val="bottom"/>
            <w:hideMark/>
          </w:tcPr>
          <w:p w14:paraId="49A1336F"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200</w:t>
            </w:r>
          </w:p>
        </w:tc>
        <w:tc>
          <w:tcPr>
            <w:tcW w:w="1228" w:type="dxa"/>
            <w:tcBorders>
              <w:top w:val="nil"/>
              <w:left w:val="nil"/>
              <w:bottom w:val="nil"/>
              <w:right w:val="nil"/>
            </w:tcBorders>
            <w:shd w:val="clear" w:color="auto" w:fill="auto"/>
            <w:noWrap/>
            <w:vAlign w:val="bottom"/>
            <w:hideMark/>
          </w:tcPr>
          <w:p w14:paraId="483F1080"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72</w:t>
            </w:r>
          </w:p>
        </w:tc>
      </w:tr>
      <w:tr w:rsidR="00407DC0" w:rsidRPr="005F44EF" w14:paraId="3F9A0250" w14:textId="77777777" w:rsidTr="00AA23B2">
        <w:trPr>
          <w:trHeight w:val="283"/>
          <w:jc w:val="center"/>
        </w:trPr>
        <w:tc>
          <w:tcPr>
            <w:tcW w:w="1647" w:type="dxa"/>
            <w:vMerge/>
            <w:tcBorders>
              <w:top w:val="nil"/>
              <w:left w:val="nil"/>
              <w:bottom w:val="single" w:sz="4" w:space="0" w:color="000000"/>
              <w:right w:val="nil"/>
            </w:tcBorders>
            <w:vAlign w:val="center"/>
            <w:hideMark/>
          </w:tcPr>
          <w:p w14:paraId="6FEFAB63" w14:textId="77777777" w:rsidR="00407DC0" w:rsidRPr="005F44EF" w:rsidRDefault="00407DC0" w:rsidP="00407DC0">
            <w:pPr>
              <w:spacing w:after="0" w:line="240" w:lineRule="auto"/>
              <w:rPr>
                <w:rFonts w:ascii="Times New Roman" w:eastAsia="Times New Roman" w:hAnsi="Times New Roman" w:cs="Times New Roman"/>
                <w:color w:val="000000"/>
                <w:sz w:val="18"/>
                <w:szCs w:val="18"/>
                <w:lang w:val="fr-FR"/>
              </w:rPr>
            </w:pPr>
          </w:p>
        </w:tc>
        <w:tc>
          <w:tcPr>
            <w:tcW w:w="1682" w:type="dxa"/>
            <w:tcBorders>
              <w:top w:val="nil"/>
              <w:left w:val="nil"/>
              <w:bottom w:val="nil"/>
              <w:right w:val="nil"/>
            </w:tcBorders>
            <w:shd w:val="clear" w:color="auto" w:fill="auto"/>
            <w:noWrap/>
            <w:vAlign w:val="center"/>
            <w:hideMark/>
          </w:tcPr>
          <w:p w14:paraId="588EDF83"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19</w:t>
            </w:r>
          </w:p>
        </w:tc>
        <w:tc>
          <w:tcPr>
            <w:tcW w:w="1156" w:type="dxa"/>
            <w:tcBorders>
              <w:top w:val="nil"/>
              <w:left w:val="nil"/>
              <w:bottom w:val="nil"/>
              <w:right w:val="nil"/>
            </w:tcBorders>
            <w:shd w:val="clear" w:color="auto" w:fill="auto"/>
            <w:noWrap/>
            <w:vAlign w:val="center"/>
            <w:hideMark/>
          </w:tcPr>
          <w:p w14:paraId="7C2189D1" w14:textId="29D423EC"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5</w:t>
            </w:r>
          </w:p>
        </w:tc>
        <w:tc>
          <w:tcPr>
            <w:tcW w:w="1367" w:type="dxa"/>
            <w:tcBorders>
              <w:top w:val="nil"/>
              <w:left w:val="nil"/>
              <w:bottom w:val="nil"/>
              <w:right w:val="nil"/>
            </w:tcBorders>
            <w:shd w:val="clear" w:color="auto" w:fill="auto"/>
            <w:noWrap/>
            <w:vAlign w:val="bottom"/>
            <w:hideMark/>
          </w:tcPr>
          <w:p w14:paraId="2DB0FFFA"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207</w:t>
            </w:r>
          </w:p>
        </w:tc>
        <w:tc>
          <w:tcPr>
            <w:tcW w:w="1228" w:type="dxa"/>
            <w:tcBorders>
              <w:top w:val="nil"/>
              <w:left w:val="nil"/>
              <w:bottom w:val="nil"/>
              <w:right w:val="nil"/>
            </w:tcBorders>
            <w:shd w:val="clear" w:color="auto" w:fill="auto"/>
            <w:noWrap/>
            <w:vAlign w:val="bottom"/>
            <w:hideMark/>
          </w:tcPr>
          <w:p w14:paraId="7A58E6C5"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75</w:t>
            </w:r>
          </w:p>
        </w:tc>
      </w:tr>
      <w:tr w:rsidR="00407DC0" w:rsidRPr="005F44EF" w14:paraId="5E31A84F" w14:textId="77777777" w:rsidTr="00AA23B2">
        <w:trPr>
          <w:trHeight w:val="283"/>
          <w:jc w:val="center"/>
        </w:trPr>
        <w:tc>
          <w:tcPr>
            <w:tcW w:w="1647" w:type="dxa"/>
            <w:vMerge/>
            <w:tcBorders>
              <w:top w:val="nil"/>
              <w:left w:val="nil"/>
              <w:bottom w:val="single" w:sz="4" w:space="0" w:color="000000"/>
              <w:right w:val="nil"/>
            </w:tcBorders>
            <w:vAlign w:val="center"/>
            <w:hideMark/>
          </w:tcPr>
          <w:p w14:paraId="12577C86" w14:textId="77777777" w:rsidR="00407DC0" w:rsidRPr="005F44EF" w:rsidRDefault="00407DC0" w:rsidP="00407DC0">
            <w:pPr>
              <w:spacing w:after="0" w:line="240" w:lineRule="auto"/>
              <w:rPr>
                <w:rFonts w:ascii="Times New Roman" w:eastAsia="Times New Roman" w:hAnsi="Times New Roman" w:cs="Times New Roman"/>
                <w:color w:val="000000"/>
                <w:sz w:val="18"/>
                <w:szCs w:val="18"/>
                <w:lang w:val="fr-FR"/>
              </w:rPr>
            </w:pPr>
          </w:p>
        </w:tc>
        <w:tc>
          <w:tcPr>
            <w:tcW w:w="1682" w:type="dxa"/>
            <w:tcBorders>
              <w:top w:val="nil"/>
              <w:left w:val="nil"/>
              <w:bottom w:val="single" w:sz="4" w:space="0" w:color="auto"/>
              <w:right w:val="nil"/>
            </w:tcBorders>
            <w:shd w:val="clear" w:color="auto" w:fill="auto"/>
            <w:noWrap/>
            <w:vAlign w:val="center"/>
            <w:hideMark/>
          </w:tcPr>
          <w:p w14:paraId="4150E2C4"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20</w:t>
            </w:r>
          </w:p>
        </w:tc>
        <w:tc>
          <w:tcPr>
            <w:tcW w:w="1156" w:type="dxa"/>
            <w:tcBorders>
              <w:top w:val="nil"/>
              <w:left w:val="nil"/>
              <w:bottom w:val="single" w:sz="4" w:space="0" w:color="auto"/>
              <w:right w:val="nil"/>
            </w:tcBorders>
            <w:shd w:val="clear" w:color="auto" w:fill="auto"/>
            <w:noWrap/>
            <w:vAlign w:val="center"/>
            <w:hideMark/>
          </w:tcPr>
          <w:p w14:paraId="57185AFC"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5</w:t>
            </w:r>
          </w:p>
        </w:tc>
        <w:tc>
          <w:tcPr>
            <w:tcW w:w="1367" w:type="dxa"/>
            <w:tcBorders>
              <w:top w:val="nil"/>
              <w:left w:val="nil"/>
              <w:bottom w:val="single" w:sz="4" w:space="0" w:color="auto"/>
              <w:right w:val="nil"/>
            </w:tcBorders>
            <w:shd w:val="clear" w:color="auto" w:fill="auto"/>
            <w:noWrap/>
            <w:vAlign w:val="bottom"/>
            <w:hideMark/>
          </w:tcPr>
          <w:p w14:paraId="5C6750F5"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209</w:t>
            </w:r>
          </w:p>
        </w:tc>
        <w:tc>
          <w:tcPr>
            <w:tcW w:w="1228" w:type="dxa"/>
            <w:tcBorders>
              <w:top w:val="nil"/>
              <w:left w:val="nil"/>
              <w:bottom w:val="single" w:sz="4" w:space="0" w:color="auto"/>
              <w:right w:val="nil"/>
            </w:tcBorders>
            <w:shd w:val="clear" w:color="auto" w:fill="auto"/>
            <w:noWrap/>
            <w:vAlign w:val="bottom"/>
            <w:hideMark/>
          </w:tcPr>
          <w:p w14:paraId="0299B7ED"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75</w:t>
            </w:r>
          </w:p>
        </w:tc>
      </w:tr>
      <w:tr w:rsidR="00407DC0" w:rsidRPr="005F44EF" w14:paraId="3EEB59B9" w14:textId="77777777" w:rsidTr="00AA23B2">
        <w:trPr>
          <w:trHeight w:val="283"/>
          <w:jc w:val="center"/>
        </w:trPr>
        <w:tc>
          <w:tcPr>
            <w:tcW w:w="1647" w:type="dxa"/>
            <w:tcBorders>
              <w:top w:val="nil"/>
              <w:left w:val="nil"/>
              <w:bottom w:val="nil"/>
              <w:right w:val="nil"/>
            </w:tcBorders>
            <w:shd w:val="clear" w:color="auto" w:fill="auto"/>
            <w:vAlign w:val="center"/>
            <w:hideMark/>
          </w:tcPr>
          <w:p w14:paraId="3212B4CC" w14:textId="5B69E1F8"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ANY</w:t>
            </w:r>
            <w:r w:rsidR="005E2CE3" w:rsidRPr="005F44EF">
              <w:rPr>
                <w:rFonts w:ascii="Times New Roman" w:eastAsia="Times New Roman" w:hAnsi="Times New Roman" w:cs="Times New Roman"/>
                <w:sz w:val="18"/>
                <w:szCs w:val="18"/>
                <w:lang w:val="fr-FR"/>
              </w:rPr>
              <w:t>20-</w:t>
            </w:r>
            <w:r w:rsidRPr="005F44EF">
              <w:rPr>
                <w:rFonts w:ascii="Times New Roman" w:eastAsia="Times New Roman" w:hAnsi="Times New Roman" w:cs="Times New Roman"/>
                <w:sz w:val="18"/>
                <w:szCs w:val="18"/>
                <w:lang w:val="fr-FR"/>
              </w:rPr>
              <w:t>09</w:t>
            </w:r>
          </w:p>
        </w:tc>
        <w:tc>
          <w:tcPr>
            <w:tcW w:w="1682" w:type="dxa"/>
            <w:tcBorders>
              <w:top w:val="nil"/>
              <w:left w:val="nil"/>
              <w:bottom w:val="nil"/>
              <w:right w:val="nil"/>
            </w:tcBorders>
            <w:shd w:val="clear" w:color="auto" w:fill="auto"/>
            <w:noWrap/>
            <w:vAlign w:val="center"/>
            <w:hideMark/>
          </w:tcPr>
          <w:p w14:paraId="12AEB547"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10</w:t>
            </w:r>
          </w:p>
        </w:tc>
        <w:tc>
          <w:tcPr>
            <w:tcW w:w="1156" w:type="dxa"/>
            <w:tcBorders>
              <w:top w:val="nil"/>
              <w:left w:val="nil"/>
              <w:bottom w:val="nil"/>
              <w:right w:val="nil"/>
            </w:tcBorders>
            <w:shd w:val="clear" w:color="auto" w:fill="auto"/>
            <w:noWrap/>
            <w:vAlign w:val="center"/>
            <w:hideMark/>
          </w:tcPr>
          <w:p w14:paraId="536D1CFD"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5</w:t>
            </w:r>
          </w:p>
        </w:tc>
        <w:tc>
          <w:tcPr>
            <w:tcW w:w="1367" w:type="dxa"/>
            <w:tcBorders>
              <w:top w:val="nil"/>
              <w:left w:val="nil"/>
              <w:bottom w:val="nil"/>
              <w:right w:val="nil"/>
            </w:tcBorders>
            <w:shd w:val="clear" w:color="auto" w:fill="auto"/>
            <w:noWrap/>
            <w:vAlign w:val="bottom"/>
            <w:hideMark/>
          </w:tcPr>
          <w:p w14:paraId="1BFDF898"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209</w:t>
            </w:r>
          </w:p>
        </w:tc>
        <w:tc>
          <w:tcPr>
            <w:tcW w:w="1228" w:type="dxa"/>
            <w:tcBorders>
              <w:top w:val="nil"/>
              <w:left w:val="nil"/>
              <w:bottom w:val="nil"/>
              <w:right w:val="nil"/>
            </w:tcBorders>
            <w:shd w:val="clear" w:color="auto" w:fill="auto"/>
            <w:noWrap/>
            <w:vAlign w:val="bottom"/>
            <w:hideMark/>
          </w:tcPr>
          <w:p w14:paraId="79369B29"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63</w:t>
            </w:r>
          </w:p>
        </w:tc>
      </w:tr>
      <w:tr w:rsidR="00407DC0" w:rsidRPr="005F44EF" w14:paraId="6800BB39" w14:textId="77777777" w:rsidTr="00AA23B2">
        <w:trPr>
          <w:trHeight w:val="283"/>
          <w:jc w:val="center"/>
        </w:trPr>
        <w:tc>
          <w:tcPr>
            <w:tcW w:w="1647" w:type="dxa"/>
            <w:vMerge w:val="restart"/>
            <w:tcBorders>
              <w:top w:val="nil"/>
              <w:left w:val="nil"/>
              <w:bottom w:val="single" w:sz="4" w:space="0" w:color="000000"/>
              <w:right w:val="nil"/>
            </w:tcBorders>
            <w:shd w:val="clear" w:color="auto" w:fill="auto"/>
            <w:noWrap/>
            <w:vAlign w:val="center"/>
            <w:hideMark/>
          </w:tcPr>
          <w:p w14:paraId="65DDE259"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Unit D3</w:t>
            </w:r>
          </w:p>
        </w:tc>
        <w:tc>
          <w:tcPr>
            <w:tcW w:w="1682" w:type="dxa"/>
            <w:tcBorders>
              <w:top w:val="nil"/>
              <w:left w:val="nil"/>
              <w:bottom w:val="nil"/>
              <w:right w:val="nil"/>
            </w:tcBorders>
            <w:shd w:val="clear" w:color="auto" w:fill="auto"/>
            <w:noWrap/>
            <w:vAlign w:val="center"/>
            <w:hideMark/>
          </w:tcPr>
          <w:p w14:paraId="0C416FDD"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12.3</w:t>
            </w:r>
          </w:p>
        </w:tc>
        <w:tc>
          <w:tcPr>
            <w:tcW w:w="1156" w:type="dxa"/>
            <w:tcBorders>
              <w:top w:val="nil"/>
              <w:left w:val="nil"/>
              <w:bottom w:val="nil"/>
              <w:right w:val="nil"/>
            </w:tcBorders>
            <w:shd w:val="clear" w:color="auto" w:fill="auto"/>
            <w:noWrap/>
            <w:vAlign w:val="center"/>
            <w:hideMark/>
          </w:tcPr>
          <w:p w14:paraId="456D2A9B"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5</w:t>
            </w:r>
          </w:p>
        </w:tc>
        <w:tc>
          <w:tcPr>
            <w:tcW w:w="1367" w:type="dxa"/>
            <w:tcBorders>
              <w:top w:val="nil"/>
              <w:left w:val="nil"/>
              <w:bottom w:val="nil"/>
              <w:right w:val="nil"/>
            </w:tcBorders>
            <w:shd w:val="clear" w:color="auto" w:fill="auto"/>
            <w:noWrap/>
            <w:vAlign w:val="bottom"/>
            <w:hideMark/>
          </w:tcPr>
          <w:p w14:paraId="0808546E"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214</w:t>
            </w:r>
          </w:p>
        </w:tc>
        <w:tc>
          <w:tcPr>
            <w:tcW w:w="1228" w:type="dxa"/>
            <w:tcBorders>
              <w:top w:val="nil"/>
              <w:left w:val="nil"/>
              <w:bottom w:val="nil"/>
              <w:right w:val="nil"/>
            </w:tcBorders>
            <w:shd w:val="clear" w:color="auto" w:fill="auto"/>
            <w:noWrap/>
            <w:vAlign w:val="bottom"/>
            <w:hideMark/>
          </w:tcPr>
          <w:p w14:paraId="429BA474"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64</w:t>
            </w:r>
          </w:p>
        </w:tc>
      </w:tr>
      <w:tr w:rsidR="00407DC0" w:rsidRPr="005F44EF" w14:paraId="60D65CF9" w14:textId="77777777" w:rsidTr="00AA23B2">
        <w:trPr>
          <w:trHeight w:val="283"/>
          <w:jc w:val="center"/>
        </w:trPr>
        <w:tc>
          <w:tcPr>
            <w:tcW w:w="1647" w:type="dxa"/>
            <w:vMerge/>
            <w:tcBorders>
              <w:top w:val="nil"/>
              <w:left w:val="nil"/>
              <w:bottom w:val="single" w:sz="4" w:space="0" w:color="000000"/>
              <w:right w:val="nil"/>
            </w:tcBorders>
            <w:vAlign w:val="center"/>
            <w:hideMark/>
          </w:tcPr>
          <w:p w14:paraId="7F1B65AD" w14:textId="77777777" w:rsidR="00407DC0" w:rsidRPr="005F44EF" w:rsidRDefault="00407DC0" w:rsidP="00407DC0">
            <w:pPr>
              <w:spacing w:after="0" w:line="240" w:lineRule="auto"/>
              <w:rPr>
                <w:rFonts w:ascii="Times New Roman" w:eastAsia="Times New Roman" w:hAnsi="Times New Roman" w:cs="Times New Roman"/>
                <w:color w:val="000000"/>
                <w:sz w:val="18"/>
                <w:szCs w:val="18"/>
                <w:lang w:val="fr-FR"/>
              </w:rPr>
            </w:pPr>
          </w:p>
        </w:tc>
        <w:tc>
          <w:tcPr>
            <w:tcW w:w="1682" w:type="dxa"/>
            <w:tcBorders>
              <w:top w:val="nil"/>
              <w:left w:val="nil"/>
              <w:bottom w:val="nil"/>
              <w:right w:val="nil"/>
            </w:tcBorders>
            <w:shd w:val="clear" w:color="auto" w:fill="auto"/>
            <w:noWrap/>
            <w:vAlign w:val="center"/>
            <w:hideMark/>
          </w:tcPr>
          <w:p w14:paraId="5918943C"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15</w:t>
            </w:r>
          </w:p>
        </w:tc>
        <w:tc>
          <w:tcPr>
            <w:tcW w:w="1156" w:type="dxa"/>
            <w:tcBorders>
              <w:top w:val="nil"/>
              <w:left w:val="nil"/>
              <w:bottom w:val="nil"/>
              <w:right w:val="nil"/>
            </w:tcBorders>
            <w:shd w:val="clear" w:color="auto" w:fill="auto"/>
            <w:noWrap/>
            <w:vAlign w:val="center"/>
            <w:hideMark/>
          </w:tcPr>
          <w:p w14:paraId="1EFB9B57"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5</w:t>
            </w:r>
          </w:p>
        </w:tc>
        <w:tc>
          <w:tcPr>
            <w:tcW w:w="1367" w:type="dxa"/>
            <w:tcBorders>
              <w:top w:val="nil"/>
              <w:left w:val="nil"/>
              <w:bottom w:val="nil"/>
              <w:right w:val="nil"/>
            </w:tcBorders>
            <w:shd w:val="clear" w:color="auto" w:fill="auto"/>
            <w:noWrap/>
            <w:vAlign w:val="bottom"/>
            <w:hideMark/>
          </w:tcPr>
          <w:p w14:paraId="35830E68"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219</w:t>
            </w:r>
          </w:p>
        </w:tc>
        <w:tc>
          <w:tcPr>
            <w:tcW w:w="1228" w:type="dxa"/>
            <w:tcBorders>
              <w:top w:val="nil"/>
              <w:left w:val="nil"/>
              <w:bottom w:val="nil"/>
              <w:right w:val="nil"/>
            </w:tcBorders>
            <w:shd w:val="clear" w:color="auto" w:fill="auto"/>
            <w:noWrap/>
            <w:vAlign w:val="bottom"/>
            <w:hideMark/>
          </w:tcPr>
          <w:p w14:paraId="7FCC6F4A"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65</w:t>
            </w:r>
          </w:p>
        </w:tc>
      </w:tr>
      <w:tr w:rsidR="00407DC0" w:rsidRPr="005F44EF" w14:paraId="5933E95D" w14:textId="77777777" w:rsidTr="00AA23B2">
        <w:trPr>
          <w:trHeight w:val="283"/>
          <w:jc w:val="center"/>
        </w:trPr>
        <w:tc>
          <w:tcPr>
            <w:tcW w:w="1647" w:type="dxa"/>
            <w:vMerge/>
            <w:tcBorders>
              <w:top w:val="nil"/>
              <w:left w:val="nil"/>
              <w:bottom w:val="single" w:sz="4" w:space="0" w:color="000000"/>
              <w:right w:val="nil"/>
            </w:tcBorders>
            <w:vAlign w:val="center"/>
            <w:hideMark/>
          </w:tcPr>
          <w:p w14:paraId="1AB9964C" w14:textId="77777777" w:rsidR="00407DC0" w:rsidRPr="005F44EF" w:rsidRDefault="00407DC0" w:rsidP="00407DC0">
            <w:pPr>
              <w:spacing w:after="0" w:line="240" w:lineRule="auto"/>
              <w:rPr>
                <w:rFonts w:ascii="Times New Roman" w:eastAsia="Times New Roman" w:hAnsi="Times New Roman" w:cs="Times New Roman"/>
                <w:color w:val="000000"/>
                <w:sz w:val="18"/>
                <w:szCs w:val="18"/>
                <w:lang w:val="fr-FR"/>
              </w:rPr>
            </w:pPr>
          </w:p>
        </w:tc>
        <w:tc>
          <w:tcPr>
            <w:tcW w:w="1682" w:type="dxa"/>
            <w:tcBorders>
              <w:top w:val="nil"/>
              <w:left w:val="nil"/>
              <w:bottom w:val="nil"/>
              <w:right w:val="nil"/>
            </w:tcBorders>
            <w:shd w:val="clear" w:color="auto" w:fill="auto"/>
            <w:noWrap/>
            <w:vAlign w:val="center"/>
            <w:hideMark/>
          </w:tcPr>
          <w:p w14:paraId="5CC7B348"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19</w:t>
            </w:r>
          </w:p>
        </w:tc>
        <w:tc>
          <w:tcPr>
            <w:tcW w:w="1156" w:type="dxa"/>
            <w:tcBorders>
              <w:top w:val="nil"/>
              <w:left w:val="nil"/>
              <w:bottom w:val="nil"/>
              <w:right w:val="nil"/>
            </w:tcBorders>
            <w:shd w:val="clear" w:color="auto" w:fill="auto"/>
            <w:noWrap/>
            <w:vAlign w:val="center"/>
            <w:hideMark/>
          </w:tcPr>
          <w:p w14:paraId="7435AA8B" w14:textId="3548B9CF"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5</w:t>
            </w:r>
          </w:p>
        </w:tc>
        <w:tc>
          <w:tcPr>
            <w:tcW w:w="1367" w:type="dxa"/>
            <w:tcBorders>
              <w:top w:val="nil"/>
              <w:left w:val="nil"/>
              <w:bottom w:val="nil"/>
              <w:right w:val="nil"/>
            </w:tcBorders>
            <w:shd w:val="clear" w:color="auto" w:fill="auto"/>
            <w:noWrap/>
            <w:vAlign w:val="bottom"/>
            <w:hideMark/>
          </w:tcPr>
          <w:p w14:paraId="49DC8B16"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227</w:t>
            </w:r>
          </w:p>
        </w:tc>
        <w:tc>
          <w:tcPr>
            <w:tcW w:w="1228" w:type="dxa"/>
            <w:tcBorders>
              <w:top w:val="nil"/>
              <w:left w:val="nil"/>
              <w:bottom w:val="nil"/>
              <w:right w:val="nil"/>
            </w:tcBorders>
            <w:shd w:val="clear" w:color="auto" w:fill="auto"/>
            <w:noWrap/>
            <w:vAlign w:val="bottom"/>
            <w:hideMark/>
          </w:tcPr>
          <w:p w14:paraId="2CD096BF"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68</w:t>
            </w:r>
          </w:p>
        </w:tc>
      </w:tr>
      <w:tr w:rsidR="00407DC0" w:rsidRPr="005F44EF" w14:paraId="51E87056" w14:textId="77777777" w:rsidTr="00AA23B2">
        <w:trPr>
          <w:trHeight w:val="283"/>
          <w:jc w:val="center"/>
        </w:trPr>
        <w:tc>
          <w:tcPr>
            <w:tcW w:w="1647" w:type="dxa"/>
            <w:vMerge/>
            <w:tcBorders>
              <w:top w:val="nil"/>
              <w:left w:val="nil"/>
              <w:bottom w:val="single" w:sz="4" w:space="0" w:color="000000"/>
              <w:right w:val="nil"/>
            </w:tcBorders>
            <w:vAlign w:val="center"/>
            <w:hideMark/>
          </w:tcPr>
          <w:p w14:paraId="378C75AB" w14:textId="77777777" w:rsidR="00407DC0" w:rsidRPr="005F44EF" w:rsidRDefault="00407DC0" w:rsidP="00407DC0">
            <w:pPr>
              <w:spacing w:after="0" w:line="240" w:lineRule="auto"/>
              <w:rPr>
                <w:rFonts w:ascii="Times New Roman" w:eastAsia="Times New Roman" w:hAnsi="Times New Roman" w:cs="Times New Roman"/>
                <w:color w:val="000000"/>
                <w:sz w:val="18"/>
                <w:szCs w:val="18"/>
                <w:lang w:val="fr-FR"/>
              </w:rPr>
            </w:pPr>
          </w:p>
        </w:tc>
        <w:tc>
          <w:tcPr>
            <w:tcW w:w="1682" w:type="dxa"/>
            <w:tcBorders>
              <w:top w:val="nil"/>
              <w:left w:val="nil"/>
              <w:bottom w:val="single" w:sz="4" w:space="0" w:color="auto"/>
              <w:right w:val="nil"/>
            </w:tcBorders>
            <w:shd w:val="clear" w:color="auto" w:fill="auto"/>
            <w:noWrap/>
            <w:vAlign w:val="center"/>
            <w:hideMark/>
          </w:tcPr>
          <w:p w14:paraId="228AF5A4"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20</w:t>
            </w:r>
          </w:p>
        </w:tc>
        <w:tc>
          <w:tcPr>
            <w:tcW w:w="1156" w:type="dxa"/>
            <w:tcBorders>
              <w:top w:val="nil"/>
              <w:left w:val="nil"/>
              <w:bottom w:val="single" w:sz="4" w:space="0" w:color="auto"/>
              <w:right w:val="nil"/>
            </w:tcBorders>
            <w:shd w:val="clear" w:color="auto" w:fill="auto"/>
            <w:noWrap/>
            <w:vAlign w:val="center"/>
            <w:hideMark/>
          </w:tcPr>
          <w:p w14:paraId="47FE6A39" w14:textId="77777777" w:rsidR="00407DC0" w:rsidRPr="005F44EF" w:rsidRDefault="00407DC0" w:rsidP="00407DC0">
            <w:pPr>
              <w:spacing w:after="0" w:line="240" w:lineRule="auto"/>
              <w:jc w:val="center"/>
              <w:rPr>
                <w:rFonts w:ascii="Times New Roman" w:eastAsia="Times New Roman" w:hAnsi="Times New Roman" w:cs="Times New Roman"/>
                <w:sz w:val="18"/>
                <w:szCs w:val="18"/>
                <w:lang w:val="fr-FR"/>
              </w:rPr>
            </w:pPr>
            <w:r w:rsidRPr="005F44EF">
              <w:rPr>
                <w:rFonts w:ascii="Times New Roman" w:eastAsia="Times New Roman" w:hAnsi="Times New Roman" w:cs="Times New Roman"/>
                <w:sz w:val="18"/>
                <w:szCs w:val="18"/>
                <w:lang w:val="fr-FR"/>
              </w:rPr>
              <w:t>5</w:t>
            </w:r>
          </w:p>
        </w:tc>
        <w:tc>
          <w:tcPr>
            <w:tcW w:w="1367" w:type="dxa"/>
            <w:tcBorders>
              <w:top w:val="nil"/>
              <w:left w:val="nil"/>
              <w:bottom w:val="single" w:sz="4" w:space="0" w:color="auto"/>
              <w:right w:val="nil"/>
            </w:tcBorders>
            <w:shd w:val="clear" w:color="auto" w:fill="auto"/>
            <w:noWrap/>
            <w:vAlign w:val="bottom"/>
            <w:hideMark/>
          </w:tcPr>
          <w:p w14:paraId="063DD7CA"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229</w:t>
            </w:r>
          </w:p>
        </w:tc>
        <w:tc>
          <w:tcPr>
            <w:tcW w:w="1228" w:type="dxa"/>
            <w:tcBorders>
              <w:top w:val="nil"/>
              <w:left w:val="nil"/>
              <w:bottom w:val="single" w:sz="4" w:space="0" w:color="auto"/>
              <w:right w:val="nil"/>
            </w:tcBorders>
            <w:shd w:val="clear" w:color="auto" w:fill="auto"/>
            <w:noWrap/>
            <w:vAlign w:val="bottom"/>
            <w:hideMark/>
          </w:tcPr>
          <w:p w14:paraId="0D8C1403" w14:textId="77777777" w:rsidR="00407DC0" w:rsidRPr="005F44EF" w:rsidRDefault="00407DC0" w:rsidP="00407DC0">
            <w:pPr>
              <w:spacing w:after="0" w:line="240" w:lineRule="auto"/>
              <w:jc w:val="center"/>
              <w:rPr>
                <w:rFonts w:ascii="Times New Roman" w:eastAsia="Times New Roman" w:hAnsi="Times New Roman" w:cs="Times New Roman"/>
                <w:color w:val="000000"/>
                <w:sz w:val="18"/>
                <w:szCs w:val="18"/>
                <w:lang w:val="fr-FR"/>
              </w:rPr>
            </w:pPr>
            <w:r w:rsidRPr="005F44EF">
              <w:rPr>
                <w:rFonts w:ascii="Times New Roman" w:eastAsia="Times New Roman" w:hAnsi="Times New Roman" w:cs="Times New Roman"/>
                <w:color w:val="000000"/>
                <w:sz w:val="18"/>
                <w:szCs w:val="18"/>
                <w:lang w:val="fr-FR"/>
              </w:rPr>
              <w:t>68</w:t>
            </w:r>
          </w:p>
        </w:tc>
      </w:tr>
      <w:bookmarkEnd w:id="94"/>
    </w:tbl>
    <w:p w14:paraId="2BCF05A8" w14:textId="17C332E2" w:rsidR="005F3FED" w:rsidRPr="005F44EF" w:rsidRDefault="005F3FED">
      <w:pPr>
        <w:spacing w:after="0" w:line="276" w:lineRule="auto"/>
        <w:jc w:val="both"/>
        <w:rPr>
          <w:rFonts w:ascii="Times New Roman" w:eastAsia="Times New Roman" w:hAnsi="Times New Roman" w:cs="Times New Roman"/>
          <w:color w:val="000000"/>
          <w:sz w:val="24"/>
          <w:szCs w:val="24"/>
          <w:lang w:val="en-US"/>
        </w:rPr>
      </w:pPr>
    </w:p>
    <w:p w14:paraId="3683B9C8" w14:textId="7E96ABF1" w:rsidR="005F3FED" w:rsidRPr="005F44EF" w:rsidRDefault="005F3FED">
      <w:pPr>
        <w:spacing w:after="0" w:line="276" w:lineRule="auto"/>
        <w:jc w:val="both"/>
        <w:rPr>
          <w:rFonts w:ascii="Times New Roman" w:eastAsia="Times New Roman" w:hAnsi="Times New Roman" w:cs="Times New Roman"/>
          <w:color w:val="000000"/>
          <w:sz w:val="24"/>
          <w:szCs w:val="24"/>
          <w:lang w:val="en-US"/>
        </w:rPr>
      </w:pPr>
    </w:p>
    <w:p w14:paraId="754F2BE4" w14:textId="72DEA656" w:rsidR="00445AE2" w:rsidRPr="005F44EF" w:rsidRDefault="00445AE2">
      <w:pPr>
        <w:spacing w:after="0" w:line="276" w:lineRule="auto"/>
        <w:jc w:val="both"/>
        <w:rPr>
          <w:rFonts w:ascii="Times New Roman" w:eastAsia="Times New Roman" w:hAnsi="Times New Roman" w:cs="Times New Roman"/>
          <w:color w:val="000000"/>
          <w:sz w:val="24"/>
          <w:szCs w:val="24"/>
          <w:lang w:val="en-US"/>
        </w:rPr>
      </w:pPr>
    </w:p>
    <w:p w14:paraId="62A0277A" w14:textId="06E87EE1" w:rsidR="00445AE2" w:rsidRPr="005F44EF" w:rsidRDefault="00445AE2">
      <w:pPr>
        <w:spacing w:after="0" w:line="276" w:lineRule="auto"/>
        <w:jc w:val="both"/>
        <w:rPr>
          <w:rFonts w:ascii="Times New Roman" w:eastAsia="Times New Roman" w:hAnsi="Times New Roman" w:cs="Times New Roman"/>
          <w:color w:val="000000"/>
          <w:sz w:val="24"/>
          <w:szCs w:val="24"/>
          <w:lang w:val="en-US"/>
        </w:rPr>
      </w:pPr>
    </w:p>
    <w:p w14:paraId="2058230E" w14:textId="7B11EA03" w:rsidR="00445AE2" w:rsidRPr="005F44EF" w:rsidRDefault="00445AE2">
      <w:pPr>
        <w:spacing w:after="0" w:line="276" w:lineRule="auto"/>
        <w:jc w:val="both"/>
        <w:rPr>
          <w:rFonts w:ascii="Times New Roman" w:eastAsia="Times New Roman" w:hAnsi="Times New Roman" w:cs="Times New Roman"/>
          <w:color w:val="000000"/>
          <w:sz w:val="24"/>
          <w:szCs w:val="24"/>
          <w:lang w:val="en-US"/>
        </w:rPr>
      </w:pPr>
    </w:p>
    <w:p w14:paraId="794B719E" w14:textId="4F1ECFF4" w:rsidR="00445AE2" w:rsidRPr="005F44EF" w:rsidRDefault="00445AE2">
      <w:pPr>
        <w:spacing w:after="0" w:line="276" w:lineRule="auto"/>
        <w:jc w:val="both"/>
        <w:rPr>
          <w:rFonts w:ascii="Times New Roman" w:eastAsia="Times New Roman" w:hAnsi="Times New Roman" w:cs="Times New Roman"/>
          <w:color w:val="000000"/>
          <w:sz w:val="24"/>
          <w:szCs w:val="24"/>
          <w:lang w:val="en-US"/>
        </w:rPr>
      </w:pPr>
    </w:p>
    <w:p w14:paraId="6C1CA904" w14:textId="2181FAE7" w:rsidR="00445AE2" w:rsidRPr="005F44EF" w:rsidRDefault="00445AE2">
      <w:pPr>
        <w:spacing w:after="0" w:line="276" w:lineRule="auto"/>
        <w:jc w:val="both"/>
        <w:rPr>
          <w:rFonts w:ascii="Times New Roman" w:eastAsia="Times New Roman" w:hAnsi="Times New Roman" w:cs="Times New Roman"/>
          <w:color w:val="000000"/>
          <w:sz w:val="24"/>
          <w:szCs w:val="24"/>
          <w:lang w:val="en-US"/>
        </w:rPr>
      </w:pPr>
    </w:p>
    <w:p w14:paraId="128341F8" w14:textId="173FF554" w:rsidR="00445AE2" w:rsidRPr="005F44EF" w:rsidRDefault="00445AE2">
      <w:pPr>
        <w:spacing w:after="0" w:line="276" w:lineRule="auto"/>
        <w:jc w:val="both"/>
        <w:rPr>
          <w:rFonts w:ascii="Times New Roman" w:eastAsia="Times New Roman" w:hAnsi="Times New Roman" w:cs="Times New Roman"/>
          <w:color w:val="000000"/>
          <w:sz w:val="24"/>
          <w:szCs w:val="24"/>
          <w:lang w:val="en-US"/>
        </w:rPr>
      </w:pPr>
    </w:p>
    <w:p w14:paraId="0BB361EC" w14:textId="6C274BD1" w:rsidR="00445AE2" w:rsidRPr="005F44EF" w:rsidRDefault="00445AE2">
      <w:pPr>
        <w:spacing w:after="0" w:line="276" w:lineRule="auto"/>
        <w:jc w:val="both"/>
        <w:rPr>
          <w:rFonts w:ascii="Times New Roman" w:eastAsia="Times New Roman" w:hAnsi="Times New Roman" w:cs="Times New Roman"/>
          <w:color w:val="000000"/>
          <w:sz w:val="24"/>
          <w:szCs w:val="24"/>
          <w:lang w:val="en-US"/>
        </w:rPr>
      </w:pPr>
    </w:p>
    <w:p w14:paraId="3A948810" w14:textId="466DB38D" w:rsidR="00445AE2" w:rsidRPr="005F44EF" w:rsidRDefault="00445AE2">
      <w:pPr>
        <w:spacing w:after="0" w:line="276" w:lineRule="auto"/>
        <w:jc w:val="both"/>
        <w:rPr>
          <w:rFonts w:ascii="Times New Roman" w:eastAsia="Times New Roman" w:hAnsi="Times New Roman" w:cs="Times New Roman"/>
          <w:color w:val="000000"/>
          <w:sz w:val="24"/>
          <w:szCs w:val="24"/>
          <w:lang w:val="en-US"/>
        </w:rPr>
      </w:pPr>
    </w:p>
    <w:p w14:paraId="798DF851" w14:textId="6DD2EF3E" w:rsidR="00445AE2" w:rsidRDefault="00445AE2">
      <w:pPr>
        <w:spacing w:after="0" w:line="276" w:lineRule="auto"/>
        <w:jc w:val="both"/>
        <w:rPr>
          <w:rFonts w:ascii="Times New Roman" w:eastAsia="Times New Roman" w:hAnsi="Times New Roman" w:cs="Times New Roman"/>
          <w:color w:val="000000"/>
          <w:sz w:val="24"/>
          <w:szCs w:val="24"/>
          <w:lang w:val="en-US"/>
        </w:rPr>
      </w:pPr>
    </w:p>
    <w:p w14:paraId="50311E40" w14:textId="56EB9A8C" w:rsidR="00E21E58" w:rsidRDefault="00E21E58">
      <w:pPr>
        <w:spacing w:after="0" w:line="276" w:lineRule="auto"/>
        <w:jc w:val="both"/>
        <w:rPr>
          <w:rFonts w:ascii="Times New Roman" w:eastAsia="Times New Roman" w:hAnsi="Times New Roman" w:cs="Times New Roman"/>
          <w:color w:val="000000"/>
          <w:sz w:val="24"/>
          <w:szCs w:val="24"/>
          <w:lang w:val="en-US"/>
        </w:rPr>
      </w:pPr>
    </w:p>
    <w:p w14:paraId="2794C4D4" w14:textId="1B70D1DA" w:rsidR="00E21E58" w:rsidRDefault="00E21E58">
      <w:pPr>
        <w:spacing w:after="0" w:line="276" w:lineRule="auto"/>
        <w:jc w:val="both"/>
        <w:rPr>
          <w:rFonts w:ascii="Times New Roman" w:eastAsia="Times New Roman" w:hAnsi="Times New Roman" w:cs="Times New Roman"/>
          <w:color w:val="000000"/>
          <w:sz w:val="24"/>
          <w:szCs w:val="24"/>
          <w:lang w:val="en-US"/>
        </w:rPr>
      </w:pPr>
    </w:p>
    <w:p w14:paraId="7880A245" w14:textId="6A5B06E0" w:rsidR="00BB7AA9" w:rsidRPr="005F44EF" w:rsidRDefault="00B9564D" w:rsidP="008524E9">
      <w:pPr>
        <w:pStyle w:val="Heading1"/>
        <w:rPr>
          <w:rFonts w:cs="Times New Roman"/>
          <w:b w:val="0"/>
          <w:lang w:val="en-US"/>
        </w:rPr>
      </w:pPr>
      <w:bookmarkStart w:id="95" w:name="_Toc178429936"/>
      <w:r w:rsidRPr="005F44EF">
        <w:rPr>
          <w:rFonts w:cs="Times New Roman"/>
          <w:lang w:val="en-US"/>
        </w:rPr>
        <w:lastRenderedPageBreak/>
        <w:t>SI 4 - Palaeoecological Proxies</w:t>
      </w:r>
      <w:bookmarkEnd w:id="95"/>
      <w:r w:rsidRPr="005F44EF">
        <w:rPr>
          <w:rFonts w:cs="Times New Roman"/>
          <w:lang w:val="en-US"/>
        </w:rPr>
        <w:t xml:space="preserve"> </w:t>
      </w:r>
    </w:p>
    <w:p w14:paraId="79DE26B3" w14:textId="77777777" w:rsidR="00BB7AA9" w:rsidRPr="005F44EF" w:rsidRDefault="00BB7AA9">
      <w:pPr>
        <w:spacing w:after="0" w:line="276" w:lineRule="auto"/>
        <w:jc w:val="both"/>
        <w:rPr>
          <w:rFonts w:ascii="Times New Roman" w:eastAsia="Times New Roman" w:hAnsi="Times New Roman" w:cs="Times New Roman"/>
          <w:sz w:val="24"/>
          <w:szCs w:val="24"/>
          <w:lang w:val="en-US"/>
        </w:rPr>
      </w:pPr>
    </w:p>
    <w:p w14:paraId="5A7FA81F" w14:textId="1B649181"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37 sediments</w:t>
      </w:r>
      <w:r w:rsidR="00F01195" w:rsidRPr="005F44EF">
        <w:rPr>
          <w:rFonts w:ascii="Times New Roman" w:eastAsia="Times New Roman" w:hAnsi="Times New Roman" w:cs="Times New Roman"/>
          <w:sz w:val="24"/>
          <w:szCs w:val="24"/>
        </w:rPr>
        <w:t xml:space="preserve"> samples</w:t>
      </w:r>
      <w:r w:rsidRPr="005F44EF">
        <w:rPr>
          <w:rFonts w:ascii="Times New Roman" w:eastAsia="Times New Roman" w:hAnsi="Times New Roman" w:cs="Times New Roman"/>
          <w:sz w:val="24"/>
          <w:szCs w:val="24"/>
        </w:rPr>
        <w:t xml:space="preserve"> (labelled from 1 to 37, </w:t>
      </w:r>
      <w:r w:rsidRPr="005F44EF">
        <w:rPr>
          <w:rFonts w:ascii="Times New Roman" w:eastAsia="Times New Roman" w:hAnsi="Times New Roman" w:cs="Times New Roman"/>
          <w:b/>
          <w:sz w:val="24"/>
          <w:szCs w:val="24"/>
        </w:rPr>
        <w:t>Table S1</w:t>
      </w:r>
      <w:r w:rsidRPr="005F44EF">
        <w:rPr>
          <w:rFonts w:ascii="Times New Roman" w:eastAsia="Times New Roman" w:hAnsi="Times New Roman" w:cs="Times New Roman"/>
          <w:sz w:val="24"/>
          <w:szCs w:val="24"/>
        </w:rPr>
        <w:t xml:space="preserve"> and</w:t>
      </w:r>
      <w:r w:rsidRPr="005F44EF">
        <w:rPr>
          <w:rFonts w:ascii="Times New Roman" w:eastAsia="Times New Roman" w:hAnsi="Times New Roman" w:cs="Times New Roman"/>
          <w:b/>
          <w:sz w:val="24"/>
          <w:szCs w:val="24"/>
        </w:rPr>
        <w:t xml:space="preserve"> S</w:t>
      </w:r>
      <w:r w:rsidR="0001712E" w:rsidRPr="005F44EF">
        <w:rPr>
          <w:rFonts w:ascii="Times New Roman" w:eastAsia="Times New Roman" w:hAnsi="Times New Roman" w:cs="Times New Roman"/>
          <w:b/>
          <w:sz w:val="24"/>
          <w:szCs w:val="24"/>
        </w:rPr>
        <w:t>12</w:t>
      </w:r>
      <w:r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b/>
          <w:sz w:val="24"/>
          <w:szCs w:val="24"/>
        </w:rPr>
        <w:t>Figure 2</w:t>
      </w:r>
      <w:r w:rsidRPr="005F44EF">
        <w:rPr>
          <w:rFonts w:ascii="Times New Roman" w:eastAsia="Times New Roman" w:hAnsi="Times New Roman" w:cs="Times New Roman"/>
          <w:sz w:val="24"/>
          <w:szCs w:val="24"/>
        </w:rPr>
        <w:t xml:space="preserve">) along the sedimentary sequence were </w:t>
      </w:r>
      <w:r w:rsidR="00F01195" w:rsidRPr="005F44EF">
        <w:rPr>
          <w:rFonts w:ascii="Times New Roman" w:eastAsia="Times New Roman" w:hAnsi="Times New Roman" w:cs="Times New Roman"/>
          <w:sz w:val="24"/>
          <w:szCs w:val="24"/>
        </w:rPr>
        <w:t xml:space="preserve">variously </w:t>
      </w:r>
      <w:r w:rsidRPr="005F44EF">
        <w:rPr>
          <w:rFonts w:ascii="Times New Roman" w:eastAsia="Times New Roman" w:hAnsi="Times New Roman" w:cs="Times New Roman"/>
          <w:sz w:val="24"/>
          <w:szCs w:val="24"/>
        </w:rPr>
        <w:t xml:space="preserve">sampled for stable isotope, plant wax biomarker, </w:t>
      </w:r>
      <w:proofErr w:type="spellStart"/>
      <w:r w:rsidRPr="005F44EF">
        <w:rPr>
          <w:rFonts w:ascii="Times New Roman" w:eastAsia="Times New Roman" w:hAnsi="Times New Roman" w:cs="Times New Roman"/>
          <w:sz w:val="24"/>
          <w:szCs w:val="24"/>
        </w:rPr>
        <w:t>macrobotanical</w:t>
      </w:r>
      <w:proofErr w:type="spellEnd"/>
      <w:r w:rsidRPr="005F44EF">
        <w:rPr>
          <w:rFonts w:ascii="Times New Roman" w:eastAsia="Times New Roman" w:hAnsi="Times New Roman" w:cs="Times New Roman"/>
          <w:sz w:val="24"/>
          <w:szCs w:val="24"/>
        </w:rPr>
        <w:t xml:space="preserve"> analysis (phytoliths and pollen). Although not every sample was subjected to each </w:t>
      </w:r>
      <w:r w:rsidR="00F01195" w:rsidRPr="005F44EF">
        <w:rPr>
          <w:rFonts w:ascii="Times New Roman" w:eastAsia="Times New Roman" w:hAnsi="Times New Roman" w:cs="Times New Roman"/>
          <w:sz w:val="24"/>
          <w:szCs w:val="24"/>
        </w:rPr>
        <w:t xml:space="preserve">type of </w:t>
      </w:r>
      <w:r w:rsidRPr="005F44EF">
        <w:rPr>
          <w:rFonts w:ascii="Times New Roman" w:eastAsia="Times New Roman" w:hAnsi="Times New Roman" w:cs="Times New Roman"/>
          <w:sz w:val="24"/>
          <w:szCs w:val="24"/>
        </w:rPr>
        <w:t>analyses, the combination of data provides a firm basis for interpreting environmental change in the vicinity of the site and wider region.</w:t>
      </w:r>
    </w:p>
    <w:p w14:paraId="6E619A48" w14:textId="77777777" w:rsidR="00BB7AA9" w:rsidRPr="005F44EF" w:rsidRDefault="00BB7AA9">
      <w:pPr>
        <w:spacing w:after="0" w:line="276" w:lineRule="auto"/>
        <w:jc w:val="both"/>
        <w:rPr>
          <w:rFonts w:ascii="Times New Roman" w:eastAsia="Times New Roman" w:hAnsi="Times New Roman" w:cs="Times New Roman"/>
          <w:b/>
          <w:sz w:val="24"/>
          <w:szCs w:val="24"/>
        </w:rPr>
      </w:pPr>
    </w:p>
    <w:p w14:paraId="3168A103" w14:textId="77777777" w:rsidR="00BB7AA9" w:rsidRPr="005F44EF" w:rsidRDefault="00B9564D" w:rsidP="00AE5434">
      <w:pPr>
        <w:pStyle w:val="Heading2"/>
        <w:rPr>
          <w:rFonts w:cs="Times New Roman"/>
        </w:rPr>
      </w:pPr>
      <w:bookmarkStart w:id="96" w:name="_Toc178429937"/>
      <w:r w:rsidRPr="005F44EF">
        <w:rPr>
          <w:rFonts w:cs="Times New Roman"/>
        </w:rPr>
        <w:t>4.1 Bulk Isotope Analysis</w:t>
      </w:r>
      <w:bookmarkEnd w:id="96"/>
      <w:r w:rsidRPr="005F44EF">
        <w:rPr>
          <w:rFonts w:cs="Times New Roman"/>
        </w:rPr>
        <w:t xml:space="preserve"> </w:t>
      </w:r>
    </w:p>
    <w:p w14:paraId="15F5B673" w14:textId="77777777" w:rsidR="00BB7AA9" w:rsidRPr="005F44EF" w:rsidRDefault="00BB7AA9">
      <w:pPr>
        <w:spacing w:after="0" w:line="276" w:lineRule="auto"/>
        <w:jc w:val="both"/>
        <w:rPr>
          <w:rFonts w:ascii="Times New Roman" w:eastAsia="Times New Roman" w:hAnsi="Times New Roman" w:cs="Times New Roman"/>
          <w:sz w:val="24"/>
          <w:szCs w:val="24"/>
        </w:rPr>
      </w:pPr>
    </w:p>
    <w:p w14:paraId="58F3432B" w14:textId="7D47C016" w:rsidR="00747353" w:rsidRPr="005F44EF" w:rsidRDefault="00B9564D" w:rsidP="00747353">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Preparation of bulk organic matter stable isotope sample</w:t>
      </w:r>
      <w:r w:rsidR="00420FC1" w:rsidRPr="005F44EF">
        <w:rPr>
          <w:rFonts w:ascii="Times New Roman" w:eastAsia="Times New Roman" w:hAnsi="Times New Roman" w:cs="Times New Roman"/>
          <w:sz w:val="24"/>
          <w:szCs w:val="24"/>
        </w:rPr>
        <w:t>s</w:t>
      </w:r>
      <w:r w:rsidRPr="005F44EF">
        <w:rPr>
          <w:rFonts w:ascii="Times New Roman" w:eastAsia="Times New Roman" w:hAnsi="Times New Roman" w:cs="Times New Roman"/>
          <w:sz w:val="24"/>
          <w:szCs w:val="24"/>
        </w:rPr>
        <w:t>, and associated analysis, took place as follows:</w:t>
      </w:r>
      <w:r w:rsidRPr="005F44EF">
        <w:rPr>
          <w:rFonts w:ascii="Times New Roman" w:eastAsia="Times New Roman" w:hAnsi="Times New Roman" w:cs="Times New Roman"/>
          <w:b/>
          <w:sz w:val="24"/>
          <w:szCs w:val="24"/>
        </w:rPr>
        <w:t xml:space="preserve"> </w:t>
      </w:r>
      <w:r w:rsidRPr="005F44EF">
        <w:rPr>
          <w:rFonts w:ascii="Times New Roman" w:eastAsia="Times New Roman" w:hAnsi="Times New Roman" w:cs="Times New Roman"/>
          <w:sz w:val="24"/>
          <w:szCs w:val="24"/>
        </w:rPr>
        <w:t xml:space="preserve">bulk sediment samples were weighed and sieved with a 2 mm mesh to remove stones and large </w:t>
      </w:r>
      <w:proofErr w:type="spellStart"/>
      <w:r w:rsidRPr="005F44EF">
        <w:rPr>
          <w:rFonts w:ascii="Times New Roman" w:eastAsia="Times New Roman" w:hAnsi="Times New Roman" w:cs="Times New Roman"/>
          <w:sz w:val="24"/>
          <w:szCs w:val="24"/>
        </w:rPr>
        <w:t>macrobotanical</w:t>
      </w:r>
      <w:proofErr w:type="spellEnd"/>
      <w:r w:rsidRPr="005F44EF">
        <w:rPr>
          <w:rFonts w:ascii="Times New Roman" w:eastAsia="Times New Roman" w:hAnsi="Times New Roman" w:cs="Times New Roman"/>
          <w:sz w:val="24"/>
          <w:szCs w:val="24"/>
        </w:rPr>
        <w:t xml:space="preserve"> materials. 2M HCl was then added to 1 gram of each sieved sample to remove any carbonates before three rinses using deionised water interspersed by centrifuging. The remaining residues were then freeze-dried for 48 hours. 1 mg of dry samples were weighed out, in duplicate, into tin capsules. The δ</w:t>
      </w:r>
      <w:r w:rsidRPr="005F44EF">
        <w:rPr>
          <w:rFonts w:ascii="Times New Roman" w:eastAsia="Times New Roman" w:hAnsi="Times New Roman" w:cs="Times New Roman"/>
          <w:sz w:val="24"/>
          <w:szCs w:val="24"/>
          <w:vertAlign w:val="superscript"/>
        </w:rPr>
        <w:t>13</w:t>
      </w:r>
      <w:r w:rsidRPr="005F44EF">
        <w:rPr>
          <w:rFonts w:ascii="Times New Roman" w:eastAsia="Times New Roman" w:hAnsi="Times New Roman" w:cs="Times New Roman"/>
          <w:sz w:val="24"/>
          <w:szCs w:val="24"/>
        </w:rPr>
        <w:t xml:space="preserve">C measurements of the samples were measured using </w:t>
      </w:r>
      <w:r w:rsidRPr="005F44EF">
        <w:rPr>
          <w:rFonts w:ascii="Times New Roman" w:eastAsia="Times New Roman" w:hAnsi="Times New Roman" w:cs="Times New Roman"/>
          <w:sz w:val="24"/>
          <w:szCs w:val="24"/>
          <w:highlight w:val="white"/>
        </w:rPr>
        <w:t xml:space="preserve">a Thermo Scientific </w:t>
      </w:r>
      <w:r w:rsidRPr="005F44EF">
        <w:rPr>
          <w:rFonts w:ascii="Times New Roman" w:eastAsia="Times New Roman" w:hAnsi="Times New Roman" w:cs="Times New Roman"/>
          <w:sz w:val="24"/>
          <w:szCs w:val="24"/>
        </w:rPr>
        <w:t>Flash 2000 Elemental Analyser coupled to a Thermo Delta V Advantage mass spectrometer at the Isotope Laboratory, MPI-GEA, Jena.</w:t>
      </w:r>
      <w:r w:rsidRPr="005F44EF">
        <w:rPr>
          <w:rFonts w:ascii="Times New Roman" w:eastAsia="Times New Roman" w:hAnsi="Times New Roman" w:cs="Times New Roman"/>
          <w:sz w:val="24"/>
          <w:szCs w:val="24"/>
          <w:highlight w:val="white"/>
        </w:rPr>
        <w:t xml:space="preserve"> </w:t>
      </w:r>
      <w:r w:rsidRPr="005F44EF">
        <w:rPr>
          <w:rFonts w:ascii="Times New Roman" w:eastAsia="Times New Roman" w:hAnsi="Times New Roman" w:cs="Times New Roman"/>
          <w:sz w:val="24"/>
          <w:szCs w:val="24"/>
        </w:rPr>
        <w:t>Isotopic values are reported as the ratio of the heavier isotope to the lighter isotope (</w:t>
      </w:r>
      <w:r w:rsidRPr="005F44EF">
        <w:rPr>
          <w:rFonts w:ascii="Times New Roman" w:eastAsia="Times New Roman" w:hAnsi="Times New Roman" w:cs="Times New Roman"/>
          <w:sz w:val="24"/>
          <w:szCs w:val="24"/>
          <w:vertAlign w:val="superscript"/>
        </w:rPr>
        <w:t>13</w:t>
      </w:r>
      <w:r w:rsidRPr="005F44EF">
        <w:rPr>
          <w:rFonts w:ascii="Times New Roman" w:eastAsia="Times New Roman" w:hAnsi="Times New Roman" w:cs="Times New Roman"/>
          <w:sz w:val="24"/>
          <w:szCs w:val="24"/>
        </w:rPr>
        <w:t>C/</w:t>
      </w:r>
      <w:r w:rsidRPr="005F44EF">
        <w:rPr>
          <w:rFonts w:ascii="Times New Roman" w:eastAsia="Times New Roman" w:hAnsi="Times New Roman" w:cs="Times New Roman"/>
          <w:sz w:val="24"/>
          <w:szCs w:val="24"/>
          <w:vertAlign w:val="superscript"/>
        </w:rPr>
        <w:t>12</w:t>
      </w:r>
      <w:r w:rsidRPr="005F44EF">
        <w:rPr>
          <w:rFonts w:ascii="Times New Roman" w:eastAsia="Times New Roman" w:hAnsi="Times New Roman" w:cs="Times New Roman"/>
          <w:sz w:val="24"/>
          <w:szCs w:val="24"/>
        </w:rPr>
        <w:t>C) as δ values in parts per mill (‰) relative to VPDB. Results were calibrated against international standards of (IAEA-CH-6: δ</w:t>
      </w:r>
      <w:r w:rsidRPr="005F44EF">
        <w:rPr>
          <w:rFonts w:ascii="Times New Roman" w:eastAsia="Times New Roman" w:hAnsi="Times New Roman" w:cs="Times New Roman"/>
          <w:sz w:val="24"/>
          <w:szCs w:val="24"/>
          <w:vertAlign w:val="superscript"/>
        </w:rPr>
        <w:t>13</w:t>
      </w:r>
      <w:r w:rsidRPr="005F44EF">
        <w:rPr>
          <w:rFonts w:ascii="Times New Roman" w:eastAsia="Times New Roman" w:hAnsi="Times New Roman" w:cs="Times New Roman"/>
          <w:sz w:val="24"/>
          <w:szCs w:val="24"/>
        </w:rPr>
        <w:t>C = -10.80 ± 0.47 ‰ and USGS40: δ</w:t>
      </w:r>
      <w:r w:rsidRPr="005F44EF">
        <w:rPr>
          <w:rFonts w:ascii="Times New Roman" w:eastAsia="Times New Roman" w:hAnsi="Times New Roman" w:cs="Times New Roman"/>
          <w:sz w:val="24"/>
          <w:szCs w:val="24"/>
          <w:vertAlign w:val="superscript"/>
        </w:rPr>
        <w:t>13</w:t>
      </w:r>
      <w:r w:rsidRPr="005F44EF">
        <w:rPr>
          <w:rFonts w:ascii="Times New Roman" w:eastAsia="Times New Roman" w:hAnsi="Times New Roman" w:cs="Times New Roman"/>
          <w:sz w:val="24"/>
          <w:szCs w:val="24"/>
        </w:rPr>
        <w:t>C = -26.38 ± 0.042) and a laboratory standard (δ</w:t>
      </w:r>
      <w:r w:rsidRPr="005F44EF">
        <w:rPr>
          <w:rFonts w:ascii="Times New Roman" w:eastAsia="Times New Roman" w:hAnsi="Times New Roman" w:cs="Times New Roman"/>
          <w:sz w:val="24"/>
          <w:szCs w:val="24"/>
          <w:vertAlign w:val="superscript"/>
        </w:rPr>
        <w:t>13</w:t>
      </w:r>
      <w:r w:rsidRPr="005F44EF">
        <w:rPr>
          <w:rFonts w:ascii="Times New Roman" w:eastAsia="Times New Roman" w:hAnsi="Times New Roman" w:cs="Times New Roman"/>
          <w:sz w:val="24"/>
          <w:szCs w:val="24"/>
        </w:rPr>
        <w:t>C = ~-15.1 ‰,). Based on replicate analyses long-term machine error over a year is</w:t>
      </w:r>
      <w:r w:rsidRPr="005F44EF">
        <w:rPr>
          <w:rFonts w:ascii="Times New Roman" w:eastAsia="Times New Roman" w:hAnsi="Times New Roman" w:cs="Times New Roman"/>
          <w:sz w:val="24"/>
          <w:szCs w:val="24"/>
          <w:shd w:val="clear" w:color="auto" w:fill="FCFCFC"/>
        </w:rPr>
        <w:t xml:space="preserve"> ± 0.2‰ for δ</w:t>
      </w:r>
      <w:r w:rsidRPr="005F44EF">
        <w:rPr>
          <w:rFonts w:ascii="Times New Roman" w:eastAsia="Times New Roman" w:hAnsi="Times New Roman" w:cs="Times New Roman"/>
          <w:sz w:val="24"/>
          <w:szCs w:val="24"/>
          <w:vertAlign w:val="superscript"/>
        </w:rPr>
        <w:t>13</w:t>
      </w:r>
      <w:r w:rsidRPr="005F44EF">
        <w:rPr>
          <w:rFonts w:ascii="Times New Roman" w:eastAsia="Times New Roman" w:hAnsi="Times New Roman" w:cs="Times New Roman"/>
          <w:sz w:val="24"/>
          <w:szCs w:val="24"/>
          <w:shd w:val="clear" w:color="auto" w:fill="FCFCFC"/>
        </w:rPr>
        <w:t>C.</w:t>
      </w:r>
      <w:r w:rsidR="00F24010">
        <w:rPr>
          <w:rFonts w:ascii="Times New Roman" w:eastAsia="Times New Roman" w:hAnsi="Times New Roman" w:cs="Times New Roman"/>
          <w:sz w:val="24"/>
          <w:szCs w:val="24"/>
          <w:shd w:val="clear" w:color="auto" w:fill="FCFCFC"/>
        </w:rPr>
        <w:t xml:space="preserve"> </w:t>
      </w:r>
      <w:r w:rsidRPr="005F44EF">
        <w:rPr>
          <w:rFonts w:ascii="Times New Roman" w:eastAsia="Times New Roman" w:hAnsi="Times New Roman" w:cs="Times New Roman"/>
          <w:sz w:val="24"/>
          <w:szCs w:val="24"/>
        </w:rPr>
        <w:t>Overall measurement precision was studied through (</w:t>
      </w:r>
      <w:r w:rsidRPr="005F44EF">
        <w:rPr>
          <w:rFonts w:ascii="Times New Roman" w:eastAsia="Times New Roman" w:hAnsi="Times New Roman" w:cs="Times New Roman"/>
          <w:b/>
          <w:sz w:val="24"/>
          <w:szCs w:val="24"/>
        </w:rPr>
        <w:t>Table S</w:t>
      </w:r>
      <w:r w:rsidR="00AE5434" w:rsidRPr="005F44EF">
        <w:rPr>
          <w:rFonts w:ascii="Times New Roman" w:eastAsia="Times New Roman" w:hAnsi="Times New Roman" w:cs="Times New Roman"/>
          <w:b/>
          <w:sz w:val="24"/>
          <w:szCs w:val="24"/>
        </w:rPr>
        <w:t>12</w:t>
      </w:r>
      <w:r w:rsidRPr="005F44EF">
        <w:rPr>
          <w:rFonts w:ascii="Times New Roman" w:eastAsia="Times New Roman" w:hAnsi="Times New Roman" w:cs="Times New Roman"/>
          <w:sz w:val="24"/>
          <w:szCs w:val="24"/>
        </w:rPr>
        <w:t>).</w:t>
      </w:r>
      <w:r w:rsidR="00F24010">
        <w:rPr>
          <w:rFonts w:ascii="Times New Roman" w:eastAsia="Times New Roman" w:hAnsi="Times New Roman" w:cs="Times New Roman"/>
          <w:sz w:val="24"/>
          <w:szCs w:val="24"/>
        </w:rPr>
        <w:t xml:space="preserve"> </w:t>
      </w:r>
    </w:p>
    <w:p w14:paraId="78846020" w14:textId="2F2A4413" w:rsidR="00341384" w:rsidRPr="005F44EF" w:rsidRDefault="00341384" w:rsidP="00747353">
      <w:pPr>
        <w:spacing w:after="0" w:line="276" w:lineRule="auto"/>
        <w:jc w:val="both"/>
        <w:rPr>
          <w:rFonts w:ascii="Times New Roman" w:eastAsia="Times New Roman" w:hAnsi="Times New Roman" w:cs="Times New Roman"/>
          <w:sz w:val="24"/>
          <w:szCs w:val="24"/>
        </w:rPr>
      </w:pPr>
    </w:p>
    <w:p w14:paraId="03825D87" w14:textId="2A8A756A" w:rsidR="00341384" w:rsidRPr="005F44EF" w:rsidRDefault="00341384" w:rsidP="00747353">
      <w:pPr>
        <w:spacing w:after="0" w:line="276" w:lineRule="auto"/>
        <w:jc w:val="both"/>
        <w:rPr>
          <w:rFonts w:ascii="Times New Roman" w:eastAsia="Times New Roman" w:hAnsi="Times New Roman" w:cs="Times New Roman"/>
          <w:sz w:val="24"/>
          <w:szCs w:val="24"/>
        </w:rPr>
      </w:pPr>
    </w:p>
    <w:p w14:paraId="1CC71DCE" w14:textId="0E2F14CA" w:rsidR="00341384" w:rsidRPr="005F44EF" w:rsidRDefault="00341384" w:rsidP="00747353">
      <w:pPr>
        <w:spacing w:after="0" w:line="276" w:lineRule="auto"/>
        <w:jc w:val="both"/>
        <w:rPr>
          <w:rFonts w:ascii="Times New Roman" w:eastAsia="Times New Roman" w:hAnsi="Times New Roman" w:cs="Times New Roman"/>
          <w:sz w:val="24"/>
          <w:szCs w:val="24"/>
        </w:rPr>
      </w:pPr>
    </w:p>
    <w:p w14:paraId="3F3D54E9" w14:textId="6380C1A4" w:rsidR="00341384" w:rsidRPr="005F44EF" w:rsidRDefault="00341384" w:rsidP="00747353">
      <w:pPr>
        <w:spacing w:after="0" w:line="276" w:lineRule="auto"/>
        <w:jc w:val="both"/>
        <w:rPr>
          <w:rFonts w:ascii="Times New Roman" w:eastAsia="Times New Roman" w:hAnsi="Times New Roman" w:cs="Times New Roman"/>
          <w:sz w:val="24"/>
          <w:szCs w:val="24"/>
        </w:rPr>
      </w:pPr>
    </w:p>
    <w:p w14:paraId="5D91AB4F" w14:textId="45D669FE" w:rsidR="00341384" w:rsidRPr="005F44EF" w:rsidRDefault="00341384" w:rsidP="00747353">
      <w:pPr>
        <w:spacing w:after="0" w:line="276" w:lineRule="auto"/>
        <w:jc w:val="both"/>
        <w:rPr>
          <w:rFonts w:ascii="Times New Roman" w:eastAsia="Times New Roman" w:hAnsi="Times New Roman" w:cs="Times New Roman"/>
          <w:sz w:val="24"/>
          <w:szCs w:val="24"/>
        </w:rPr>
      </w:pPr>
    </w:p>
    <w:p w14:paraId="4DAD0093" w14:textId="249B5738" w:rsidR="00341384" w:rsidRPr="005F44EF" w:rsidRDefault="00341384" w:rsidP="00747353">
      <w:pPr>
        <w:spacing w:after="0" w:line="276" w:lineRule="auto"/>
        <w:jc w:val="both"/>
        <w:rPr>
          <w:rFonts w:ascii="Times New Roman" w:eastAsia="Times New Roman" w:hAnsi="Times New Roman" w:cs="Times New Roman"/>
          <w:sz w:val="24"/>
          <w:szCs w:val="24"/>
        </w:rPr>
      </w:pPr>
    </w:p>
    <w:p w14:paraId="766DBD62" w14:textId="3EDE4D52" w:rsidR="00341384" w:rsidRPr="005F44EF" w:rsidRDefault="00341384" w:rsidP="00747353">
      <w:pPr>
        <w:spacing w:after="0" w:line="276" w:lineRule="auto"/>
        <w:jc w:val="both"/>
        <w:rPr>
          <w:rFonts w:ascii="Times New Roman" w:eastAsia="Times New Roman" w:hAnsi="Times New Roman" w:cs="Times New Roman"/>
          <w:sz w:val="24"/>
          <w:szCs w:val="24"/>
        </w:rPr>
      </w:pPr>
    </w:p>
    <w:p w14:paraId="71491C2D" w14:textId="131A209F" w:rsidR="00341384" w:rsidRPr="005F44EF" w:rsidRDefault="00341384" w:rsidP="00747353">
      <w:pPr>
        <w:spacing w:after="0" w:line="276" w:lineRule="auto"/>
        <w:jc w:val="both"/>
        <w:rPr>
          <w:rFonts w:ascii="Times New Roman" w:eastAsia="Times New Roman" w:hAnsi="Times New Roman" w:cs="Times New Roman"/>
          <w:sz w:val="24"/>
          <w:szCs w:val="24"/>
        </w:rPr>
      </w:pPr>
    </w:p>
    <w:p w14:paraId="6C62230A" w14:textId="21BB1220" w:rsidR="00341384" w:rsidRPr="005F44EF" w:rsidRDefault="00341384" w:rsidP="00747353">
      <w:pPr>
        <w:spacing w:after="0" w:line="276" w:lineRule="auto"/>
        <w:jc w:val="both"/>
        <w:rPr>
          <w:rFonts w:ascii="Times New Roman" w:eastAsia="Times New Roman" w:hAnsi="Times New Roman" w:cs="Times New Roman"/>
          <w:sz w:val="24"/>
          <w:szCs w:val="24"/>
        </w:rPr>
      </w:pPr>
    </w:p>
    <w:p w14:paraId="20B3134B" w14:textId="5DCA0559" w:rsidR="00341384" w:rsidRPr="005F44EF" w:rsidRDefault="00341384" w:rsidP="00747353">
      <w:pPr>
        <w:spacing w:after="0" w:line="276" w:lineRule="auto"/>
        <w:jc w:val="both"/>
        <w:rPr>
          <w:rFonts w:ascii="Times New Roman" w:eastAsia="Times New Roman" w:hAnsi="Times New Roman" w:cs="Times New Roman"/>
          <w:sz w:val="24"/>
          <w:szCs w:val="24"/>
        </w:rPr>
      </w:pPr>
    </w:p>
    <w:p w14:paraId="2A3C20CB" w14:textId="4E605CB6" w:rsidR="00341384" w:rsidRPr="005F44EF" w:rsidRDefault="00341384" w:rsidP="00747353">
      <w:pPr>
        <w:spacing w:after="0" w:line="276" w:lineRule="auto"/>
        <w:jc w:val="both"/>
        <w:rPr>
          <w:rFonts w:ascii="Times New Roman" w:eastAsia="Times New Roman" w:hAnsi="Times New Roman" w:cs="Times New Roman"/>
          <w:sz w:val="24"/>
          <w:szCs w:val="24"/>
        </w:rPr>
      </w:pPr>
    </w:p>
    <w:p w14:paraId="61D1A368" w14:textId="1FD0F7FF" w:rsidR="00341384" w:rsidRPr="005F44EF" w:rsidRDefault="00341384" w:rsidP="00747353">
      <w:pPr>
        <w:spacing w:after="0" w:line="276" w:lineRule="auto"/>
        <w:jc w:val="both"/>
        <w:rPr>
          <w:rFonts w:ascii="Times New Roman" w:eastAsia="Times New Roman" w:hAnsi="Times New Roman" w:cs="Times New Roman"/>
          <w:sz w:val="24"/>
          <w:szCs w:val="24"/>
        </w:rPr>
      </w:pPr>
    </w:p>
    <w:p w14:paraId="2EC6B034" w14:textId="7E58CB01" w:rsidR="00341384" w:rsidRPr="005F44EF" w:rsidRDefault="00341384" w:rsidP="00747353">
      <w:pPr>
        <w:spacing w:after="0" w:line="276" w:lineRule="auto"/>
        <w:jc w:val="both"/>
        <w:rPr>
          <w:rFonts w:ascii="Times New Roman" w:eastAsia="Times New Roman" w:hAnsi="Times New Roman" w:cs="Times New Roman"/>
          <w:sz w:val="24"/>
          <w:szCs w:val="24"/>
        </w:rPr>
      </w:pPr>
    </w:p>
    <w:p w14:paraId="2F70CF17" w14:textId="39CF67AE" w:rsidR="00341384" w:rsidRPr="005F44EF" w:rsidRDefault="00341384" w:rsidP="00747353">
      <w:pPr>
        <w:spacing w:after="0" w:line="276" w:lineRule="auto"/>
        <w:jc w:val="both"/>
        <w:rPr>
          <w:rFonts w:ascii="Times New Roman" w:eastAsia="Times New Roman" w:hAnsi="Times New Roman" w:cs="Times New Roman"/>
          <w:sz w:val="24"/>
          <w:szCs w:val="24"/>
        </w:rPr>
      </w:pPr>
    </w:p>
    <w:p w14:paraId="64C957F9" w14:textId="65DBC222" w:rsidR="00341384" w:rsidRPr="005F44EF" w:rsidRDefault="00341384" w:rsidP="00747353">
      <w:pPr>
        <w:spacing w:after="0" w:line="276" w:lineRule="auto"/>
        <w:jc w:val="both"/>
        <w:rPr>
          <w:rFonts w:ascii="Times New Roman" w:eastAsia="Times New Roman" w:hAnsi="Times New Roman" w:cs="Times New Roman"/>
          <w:sz w:val="24"/>
          <w:szCs w:val="24"/>
        </w:rPr>
      </w:pPr>
    </w:p>
    <w:p w14:paraId="3AB3715C" w14:textId="79EFC2E6" w:rsidR="00341384" w:rsidRPr="005F44EF" w:rsidRDefault="00341384" w:rsidP="00747353">
      <w:pPr>
        <w:spacing w:after="0" w:line="276" w:lineRule="auto"/>
        <w:jc w:val="both"/>
        <w:rPr>
          <w:rFonts w:ascii="Times New Roman" w:eastAsia="Times New Roman" w:hAnsi="Times New Roman" w:cs="Times New Roman"/>
          <w:sz w:val="24"/>
          <w:szCs w:val="24"/>
        </w:rPr>
      </w:pPr>
    </w:p>
    <w:p w14:paraId="7E14FA38" w14:textId="30D31ABC" w:rsidR="00341384" w:rsidRPr="005F44EF" w:rsidRDefault="00341384" w:rsidP="00747353">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b/>
          <w:sz w:val="24"/>
          <w:szCs w:val="24"/>
        </w:rPr>
        <w:lastRenderedPageBreak/>
        <w:t xml:space="preserve">Table S12: </w:t>
      </w:r>
      <w:r w:rsidRPr="005F44EF">
        <w:rPr>
          <w:rFonts w:ascii="Times New Roman" w:eastAsia="Times New Roman" w:hAnsi="Times New Roman" w:cs="Times New Roman"/>
          <w:sz w:val="24"/>
          <w:szCs w:val="24"/>
        </w:rPr>
        <w:t>Stable carbon (δ</w:t>
      </w:r>
      <w:r w:rsidRPr="005F44EF">
        <w:rPr>
          <w:rFonts w:ascii="Times New Roman" w:eastAsia="Times New Roman" w:hAnsi="Times New Roman" w:cs="Times New Roman"/>
          <w:sz w:val="24"/>
          <w:szCs w:val="24"/>
          <w:vertAlign w:val="superscript"/>
        </w:rPr>
        <w:t>13</w:t>
      </w:r>
      <w:r w:rsidRPr="005F44EF">
        <w:rPr>
          <w:rFonts w:ascii="Times New Roman" w:eastAsia="Times New Roman" w:hAnsi="Times New Roman" w:cs="Times New Roman"/>
          <w:sz w:val="24"/>
          <w:szCs w:val="24"/>
        </w:rPr>
        <w:t xml:space="preserve">C) isotope ratios of bulk organic sediment samples from the Bété I sequence. The samples number are presented according to </w:t>
      </w:r>
      <w:r w:rsidRPr="005F44EF">
        <w:rPr>
          <w:rFonts w:ascii="Times New Roman" w:eastAsia="Times New Roman" w:hAnsi="Times New Roman" w:cs="Times New Roman"/>
          <w:b/>
          <w:sz w:val="24"/>
          <w:szCs w:val="24"/>
        </w:rPr>
        <w:t>Figure 2</w:t>
      </w:r>
      <w:r w:rsidRPr="005F44EF">
        <w:rPr>
          <w:rFonts w:ascii="Times New Roman" w:eastAsia="Times New Roman" w:hAnsi="Times New Roman" w:cs="Times New Roman"/>
          <w:sz w:val="24"/>
          <w:szCs w:val="24"/>
        </w:rPr>
        <w:t xml:space="preserve">. </w:t>
      </w:r>
    </w:p>
    <w:tbl>
      <w:tblPr>
        <w:tblStyle w:val="a6"/>
        <w:tblpPr w:leftFromText="141" w:rightFromText="141" w:vertAnchor="text" w:horzAnchor="margin" w:tblpY="189"/>
        <w:tblW w:w="9115" w:type="dxa"/>
        <w:tblLayout w:type="fixed"/>
        <w:tblLook w:val="0600" w:firstRow="0" w:lastRow="0" w:firstColumn="0" w:lastColumn="0" w:noHBand="1" w:noVBand="1"/>
      </w:tblPr>
      <w:tblGrid>
        <w:gridCol w:w="983"/>
        <w:gridCol w:w="640"/>
        <w:gridCol w:w="596"/>
        <w:gridCol w:w="1266"/>
        <w:gridCol w:w="745"/>
        <w:gridCol w:w="1266"/>
        <w:gridCol w:w="506"/>
        <w:gridCol w:w="521"/>
        <w:gridCol w:w="581"/>
        <w:gridCol w:w="700"/>
        <w:gridCol w:w="1311"/>
      </w:tblGrid>
      <w:tr w:rsidR="00A544A6" w:rsidRPr="005F44EF" w14:paraId="06887311" w14:textId="77777777" w:rsidTr="00A544A6">
        <w:trPr>
          <w:trHeight w:val="526"/>
        </w:trPr>
        <w:tc>
          <w:tcPr>
            <w:tcW w:w="983" w:type="dxa"/>
            <w:tcBorders>
              <w:top w:val="single" w:sz="4" w:space="0" w:color="auto"/>
              <w:bottom w:val="single" w:sz="4" w:space="0" w:color="auto"/>
            </w:tcBorders>
            <w:shd w:val="clear" w:color="auto" w:fill="D9D9D9" w:themeFill="background1" w:themeFillShade="D9"/>
            <w:tcMar>
              <w:top w:w="0" w:type="dxa"/>
              <w:left w:w="0" w:type="dxa"/>
              <w:bottom w:w="0" w:type="dxa"/>
              <w:right w:w="0" w:type="dxa"/>
            </w:tcMar>
          </w:tcPr>
          <w:p w14:paraId="73F4F562" w14:textId="77777777" w:rsidR="00A544A6" w:rsidRPr="005F44EF" w:rsidRDefault="00A544A6" w:rsidP="00A544A6">
            <w:pPr>
              <w:keepNext/>
              <w:spacing w:after="0" w:line="240" w:lineRule="auto"/>
              <w:jc w:val="center"/>
              <w:rPr>
                <w:rFonts w:ascii="Times New Roman" w:eastAsia="Times New Roman" w:hAnsi="Times New Roman" w:cs="Times New Roman"/>
                <w:b/>
                <w:sz w:val="18"/>
                <w:szCs w:val="18"/>
              </w:rPr>
            </w:pPr>
            <w:r w:rsidRPr="005F44EF">
              <w:rPr>
                <w:rFonts w:ascii="Times New Roman" w:eastAsia="Times New Roman" w:hAnsi="Times New Roman" w:cs="Times New Roman"/>
                <w:b/>
                <w:sz w:val="18"/>
                <w:szCs w:val="18"/>
              </w:rPr>
              <w:t>Sample number</w:t>
            </w:r>
          </w:p>
        </w:tc>
        <w:tc>
          <w:tcPr>
            <w:tcW w:w="640" w:type="dxa"/>
            <w:tcBorders>
              <w:top w:val="single" w:sz="4" w:space="0" w:color="auto"/>
              <w:bottom w:val="single" w:sz="4" w:space="0" w:color="auto"/>
            </w:tcBorders>
            <w:shd w:val="clear" w:color="auto" w:fill="D9D9D9" w:themeFill="background1" w:themeFillShade="D9"/>
            <w:tcMar>
              <w:top w:w="0" w:type="dxa"/>
              <w:left w:w="0" w:type="dxa"/>
              <w:bottom w:w="0" w:type="dxa"/>
              <w:right w:w="0" w:type="dxa"/>
            </w:tcMar>
          </w:tcPr>
          <w:p w14:paraId="17769CCD" w14:textId="77777777" w:rsidR="00A544A6" w:rsidRPr="005F44EF" w:rsidRDefault="00A544A6" w:rsidP="00A544A6">
            <w:pPr>
              <w:keepNext/>
              <w:spacing w:after="0" w:line="240" w:lineRule="auto"/>
              <w:jc w:val="center"/>
              <w:rPr>
                <w:rFonts w:ascii="Times New Roman" w:eastAsia="Times New Roman" w:hAnsi="Times New Roman" w:cs="Times New Roman"/>
                <w:b/>
                <w:sz w:val="18"/>
                <w:szCs w:val="18"/>
              </w:rPr>
            </w:pPr>
            <w:r w:rsidRPr="005F44EF">
              <w:rPr>
                <w:rFonts w:ascii="Times New Roman" w:eastAsia="Times New Roman" w:hAnsi="Times New Roman" w:cs="Times New Roman"/>
                <w:b/>
                <w:sz w:val="18"/>
                <w:szCs w:val="18"/>
              </w:rPr>
              <w:t>Depth (m)</w:t>
            </w:r>
          </w:p>
        </w:tc>
        <w:tc>
          <w:tcPr>
            <w:tcW w:w="596" w:type="dxa"/>
            <w:tcBorders>
              <w:top w:val="single" w:sz="4" w:space="0" w:color="auto"/>
              <w:bottom w:val="single" w:sz="4" w:space="0" w:color="auto"/>
            </w:tcBorders>
            <w:shd w:val="clear" w:color="auto" w:fill="D9D9D9" w:themeFill="background1" w:themeFillShade="D9"/>
            <w:tcMar>
              <w:top w:w="0" w:type="dxa"/>
              <w:left w:w="0" w:type="dxa"/>
              <w:bottom w:w="0" w:type="dxa"/>
              <w:right w:w="0" w:type="dxa"/>
            </w:tcMar>
          </w:tcPr>
          <w:p w14:paraId="3C6A230A" w14:textId="77777777" w:rsidR="00A544A6" w:rsidRPr="005F44EF" w:rsidRDefault="00A544A6" w:rsidP="00A544A6">
            <w:pPr>
              <w:keepNext/>
              <w:spacing w:after="0" w:line="240" w:lineRule="auto"/>
              <w:jc w:val="center"/>
              <w:rPr>
                <w:rFonts w:ascii="Times New Roman" w:eastAsia="Times New Roman" w:hAnsi="Times New Roman" w:cs="Times New Roman"/>
                <w:b/>
                <w:sz w:val="18"/>
                <w:szCs w:val="18"/>
              </w:rPr>
            </w:pPr>
            <w:r w:rsidRPr="005F44EF">
              <w:rPr>
                <w:rFonts w:ascii="Times New Roman" w:eastAsia="Times New Roman" w:hAnsi="Times New Roman" w:cs="Times New Roman"/>
                <w:b/>
                <w:sz w:val="18"/>
                <w:szCs w:val="18"/>
              </w:rPr>
              <w:t>Sedimentary Unit</w:t>
            </w:r>
          </w:p>
        </w:tc>
        <w:tc>
          <w:tcPr>
            <w:tcW w:w="1266" w:type="dxa"/>
            <w:tcBorders>
              <w:top w:val="single" w:sz="4" w:space="0" w:color="auto"/>
              <w:bottom w:val="single" w:sz="4" w:space="0" w:color="auto"/>
            </w:tcBorders>
            <w:shd w:val="clear" w:color="auto" w:fill="D9D9D9" w:themeFill="background1" w:themeFillShade="D9"/>
            <w:tcMar>
              <w:top w:w="0" w:type="dxa"/>
              <w:left w:w="0" w:type="dxa"/>
              <w:bottom w:w="0" w:type="dxa"/>
              <w:right w:w="0" w:type="dxa"/>
            </w:tcMar>
          </w:tcPr>
          <w:p w14:paraId="4ECF03CF" w14:textId="77777777" w:rsidR="00A544A6" w:rsidRPr="005F44EF" w:rsidRDefault="00A544A6" w:rsidP="00A544A6">
            <w:pPr>
              <w:spacing w:line="240" w:lineRule="auto"/>
              <w:jc w:val="center"/>
              <w:rPr>
                <w:rFonts w:ascii="Times New Roman" w:eastAsia="Times New Roman" w:hAnsi="Times New Roman" w:cs="Times New Roman"/>
                <w:b/>
                <w:sz w:val="18"/>
                <w:szCs w:val="18"/>
              </w:rPr>
            </w:pPr>
            <w:r w:rsidRPr="005F44EF">
              <w:rPr>
                <w:rFonts w:ascii="Times New Roman" w:eastAsia="Times New Roman" w:hAnsi="Times New Roman" w:cs="Times New Roman"/>
                <w:b/>
                <w:sz w:val="18"/>
                <w:szCs w:val="18"/>
              </w:rPr>
              <w:t>δ</w:t>
            </w:r>
            <w:r w:rsidRPr="005F44EF">
              <w:rPr>
                <w:rFonts w:ascii="Times New Roman" w:eastAsia="Times New Roman" w:hAnsi="Times New Roman" w:cs="Times New Roman"/>
                <w:b/>
                <w:sz w:val="18"/>
                <w:szCs w:val="18"/>
                <w:vertAlign w:val="superscript"/>
              </w:rPr>
              <w:t>13</w:t>
            </w:r>
            <w:r w:rsidRPr="005F44EF">
              <w:rPr>
                <w:rFonts w:ascii="Times New Roman" w:eastAsia="Times New Roman" w:hAnsi="Times New Roman" w:cs="Times New Roman"/>
                <w:b/>
                <w:sz w:val="18"/>
                <w:szCs w:val="18"/>
              </w:rPr>
              <w:t>Ci (‰) VPDB</w:t>
            </w:r>
          </w:p>
        </w:tc>
        <w:tc>
          <w:tcPr>
            <w:tcW w:w="745" w:type="dxa"/>
            <w:tcBorders>
              <w:top w:val="single" w:sz="4" w:space="0" w:color="auto"/>
              <w:bottom w:val="single" w:sz="4" w:space="0" w:color="auto"/>
            </w:tcBorders>
            <w:shd w:val="clear" w:color="auto" w:fill="D9D9D9" w:themeFill="background1" w:themeFillShade="D9"/>
            <w:tcMar>
              <w:top w:w="0" w:type="dxa"/>
              <w:left w:w="0" w:type="dxa"/>
              <w:bottom w:w="0" w:type="dxa"/>
              <w:right w:w="0" w:type="dxa"/>
            </w:tcMar>
          </w:tcPr>
          <w:p w14:paraId="76D1F97B" w14:textId="77777777" w:rsidR="00A544A6" w:rsidRPr="005F44EF" w:rsidRDefault="00A544A6" w:rsidP="00A544A6">
            <w:pPr>
              <w:spacing w:line="240" w:lineRule="auto"/>
              <w:jc w:val="center"/>
              <w:rPr>
                <w:rFonts w:ascii="Times New Roman" w:eastAsia="Times New Roman" w:hAnsi="Times New Roman" w:cs="Times New Roman"/>
                <w:b/>
                <w:sz w:val="18"/>
                <w:szCs w:val="18"/>
              </w:rPr>
            </w:pPr>
            <w:r w:rsidRPr="005F44EF">
              <w:rPr>
                <w:rFonts w:ascii="Times New Roman" w:eastAsia="Times New Roman" w:hAnsi="Times New Roman" w:cs="Times New Roman"/>
                <w:b/>
                <w:sz w:val="18"/>
                <w:szCs w:val="18"/>
              </w:rPr>
              <w:t>δ</w:t>
            </w:r>
            <w:r w:rsidRPr="005F44EF">
              <w:rPr>
                <w:rFonts w:ascii="Times New Roman" w:eastAsia="Times New Roman" w:hAnsi="Times New Roman" w:cs="Times New Roman"/>
                <w:b/>
                <w:sz w:val="18"/>
                <w:szCs w:val="18"/>
                <w:vertAlign w:val="superscript"/>
              </w:rPr>
              <w:t>13</w:t>
            </w:r>
            <w:r w:rsidRPr="005F44EF">
              <w:rPr>
                <w:rFonts w:ascii="Times New Roman" w:eastAsia="Times New Roman" w:hAnsi="Times New Roman" w:cs="Times New Roman"/>
                <w:b/>
                <w:sz w:val="18"/>
                <w:szCs w:val="18"/>
              </w:rPr>
              <w:t>Cii (‰) VPDB</w:t>
            </w:r>
          </w:p>
        </w:tc>
        <w:tc>
          <w:tcPr>
            <w:tcW w:w="1266" w:type="dxa"/>
            <w:tcBorders>
              <w:top w:val="single" w:sz="4" w:space="0" w:color="auto"/>
              <w:bottom w:val="single" w:sz="4" w:space="0" w:color="auto"/>
            </w:tcBorders>
            <w:shd w:val="clear" w:color="auto" w:fill="D9D9D9" w:themeFill="background1" w:themeFillShade="D9"/>
            <w:tcMar>
              <w:top w:w="0" w:type="dxa"/>
              <w:left w:w="0" w:type="dxa"/>
              <w:bottom w:w="0" w:type="dxa"/>
              <w:right w:w="0" w:type="dxa"/>
            </w:tcMar>
          </w:tcPr>
          <w:p w14:paraId="705CE95A" w14:textId="77777777" w:rsidR="00A544A6" w:rsidRPr="005F44EF" w:rsidRDefault="00A544A6" w:rsidP="00A544A6">
            <w:pPr>
              <w:spacing w:line="240" w:lineRule="auto"/>
              <w:jc w:val="center"/>
              <w:rPr>
                <w:rFonts w:ascii="Times New Roman" w:eastAsia="Times New Roman" w:hAnsi="Times New Roman" w:cs="Times New Roman"/>
                <w:b/>
                <w:sz w:val="18"/>
                <w:szCs w:val="18"/>
              </w:rPr>
            </w:pPr>
            <w:r w:rsidRPr="005F44EF">
              <w:rPr>
                <w:rFonts w:ascii="Times New Roman" w:eastAsia="Times New Roman" w:hAnsi="Times New Roman" w:cs="Times New Roman"/>
                <w:b/>
                <w:sz w:val="18"/>
                <w:szCs w:val="18"/>
              </w:rPr>
              <w:t>δ</w:t>
            </w:r>
            <w:r w:rsidRPr="005F44EF">
              <w:rPr>
                <w:rFonts w:ascii="Times New Roman" w:eastAsia="Times New Roman" w:hAnsi="Times New Roman" w:cs="Times New Roman"/>
                <w:b/>
                <w:sz w:val="18"/>
                <w:szCs w:val="18"/>
                <w:vertAlign w:val="superscript"/>
              </w:rPr>
              <w:t>13</w:t>
            </w:r>
            <w:r w:rsidRPr="005F44EF">
              <w:rPr>
                <w:rFonts w:ascii="Times New Roman" w:eastAsia="Times New Roman" w:hAnsi="Times New Roman" w:cs="Times New Roman"/>
                <w:b/>
                <w:sz w:val="18"/>
                <w:szCs w:val="18"/>
              </w:rPr>
              <w:t>Cav (‰) VDPB</w:t>
            </w:r>
          </w:p>
        </w:tc>
        <w:tc>
          <w:tcPr>
            <w:tcW w:w="506" w:type="dxa"/>
            <w:tcBorders>
              <w:top w:val="single" w:sz="4" w:space="0" w:color="auto"/>
              <w:bottom w:val="single" w:sz="4" w:space="0" w:color="auto"/>
            </w:tcBorders>
            <w:shd w:val="clear" w:color="auto" w:fill="D9D9D9" w:themeFill="background1" w:themeFillShade="D9"/>
            <w:tcMar>
              <w:top w:w="0" w:type="dxa"/>
              <w:left w:w="0" w:type="dxa"/>
              <w:bottom w:w="0" w:type="dxa"/>
              <w:right w:w="0" w:type="dxa"/>
            </w:tcMar>
          </w:tcPr>
          <w:p w14:paraId="377123B2" w14:textId="77777777" w:rsidR="00A544A6" w:rsidRPr="005F44EF" w:rsidRDefault="00A544A6" w:rsidP="00A544A6">
            <w:pPr>
              <w:keepNext/>
              <w:spacing w:after="0" w:line="240" w:lineRule="auto"/>
              <w:jc w:val="center"/>
              <w:rPr>
                <w:rFonts w:ascii="Times New Roman" w:eastAsia="Times New Roman" w:hAnsi="Times New Roman" w:cs="Times New Roman"/>
                <w:b/>
                <w:sz w:val="18"/>
                <w:szCs w:val="18"/>
              </w:rPr>
            </w:pPr>
            <w:r w:rsidRPr="005F44EF">
              <w:rPr>
                <w:rFonts w:ascii="Times New Roman" w:eastAsia="Times New Roman" w:hAnsi="Times New Roman" w:cs="Times New Roman"/>
                <w:b/>
                <w:sz w:val="18"/>
                <w:szCs w:val="18"/>
              </w:rPr>
              <w:t>SD</w:t>
            </w:r>
          </w:p>
        </w:tc>
        <w:tc>
          <w:tcPr>
            <w:tcW w:w="521" w:type="dxa"/>
            <w:tcBorders>
              <w:top w:val="single" w:sz="4" w:space="0" w:color="auto"/>
              <w:bottom w:val="single" w:sz="4" w:space="0" w:color="auto"/>
            </w:tcBorders>
            <w:shd w:val="clear" w:color="auto" w:fill="D9D9D9" w:themeFill="background1" w:themeFillShade="D9"/>
            <w:tcMar>
              <w:top w:w="0" w:type="dxa"/>
              <w:left w:w="0" w:type="dxa"/>
              <w:bottom w:w="0" w:type="dxa"/>
              <w:right w:w="0" w:type="dxa"/>
            </w:tcMar>
          </w:tcPr>
          <w:p w14:paraId="0A734334" w14:textId="77777777" w:rsidR="00A544A6" w:rsidRPr="005F44EF" w:rsidRDefault="00A544A6" w:rsidP="00A544A6">
            <w:pPr>
              <w:keepNext/>
              <w:spacing w:after="0" w:line="240" w:lineRule="auto"/>
              <w:jc w:val="center"/>
              <w:rPr>
                <w:rFonts w:ascii="Times New Roman" w:eastAsia="Times New Roman" w:hAnsi="Times New Roman" w:cs="Times New Roman"/>
                <w:b/>
                <w:sz w:val="18"/>
                <w:szCs w:val="18"/>
              </w:rPr>
            </w:pPr>
            <w:r w:rsidRPr="005F44EF">
              <w:rPr>
                <w:rFonts w:ascii="Times New Roman" w:eastAsia="Times New Roman" w:hAnsi="Times New Roman" w:cs="Times New Roman"/>
                <w:b/>
                <w:sz w:val="18"/>
                <w:szCs w:val="18"/>
              </w:rPr>
              <w:t>%Ci</w:t>
            </w:r>
          </w:p>
        </w:tc>
        <w:tc>
          <w:tcPr>
            <w:tcW w:w="581" w:type="dxa"/>
            <w:tcBorders>
              <w:top w:val="single" w:sz="4" w:space="0" w:color="auto"/>
              <w:bottom w:val="single" w:sz="4" w:space="0" w:color="auto"/>
            </w:tcBorders>
            <w:shd w:val="clear" w:color="auto" w:fill="D9D9D9" w:themeFill="background1" w:themeFillShade="D9"/>
            <w:tcMar>
              <w:top w:w="0" w:type="dxa"/>
              <w:left w:w="0" w:type="dxa"/>
              <w:bottom w:w="0" w:type="dxa"/>
              <w:right w:w="0" w:type="dxa"/>
            </w:tcMar>
          </w:tcPr>
          <w:p w14:paraId="02E5C5B6" w14:textId="77777777" w:rsidR="00A544A6" w:rsidRPr="005F44EF" w:rsidRDefault="00A544A6" w:rsidP="00A544A6">
            <w:pPr>
              <w:keepNext/>
              <w:spacing w:after="0" w:line="240" w:lineRule="auto"/>
              <w:jc w:val="center"/>
              <w:rPr>
                <w:rFonts w:ascii="Times New Roman" w:eastAsia="Times New Roman" w:hAnsi="Times New Roman" w:cs="Times New Roman"/>
                <w:b/>
                <w:sz w:val="18"/>
                <w:szCs w:val="18"/>
              </w:rPr>
            </w:pPr>
            <w:r w:rsidRPr="005F44EF">
              <w:rPr>
                <w:rFonts w:ascii="Times New Roman" w:eastAsia="Times New Roman" w:hAnsi="Times New Roman" w:cs="Times New Roman"/>
                <w:b/>
                <w:sz w:val="18"/>
                <w:szCs w:val="18"/>
              </w:rPr>
              <w:t>%</w:t>
            </w:r>
            <w:proofErr w:type="spellStart"/>
            <w:r w:rsidRPr="005F44EF">
              <w:rPr>
                <w:rFonts w:ascii="Times New Roman" w:eastAsia="Times New Roman" w:hAnsi="Times New Roman" w:cs="Times New Roman"/>
                <w:b/>
                <w:sz w:val="18"/>
                <w:szCs w:val="18"/>
              </w:rPr>
              <w:t>Cii</w:t>
            </w:r>
            <w:proofErr w:type="spellEnd"/>
          </w:p>
        </w:tc>
        <w:tc>
          <w:tcPr>
            <w:tcW w:w="700" w:type="dxa"/>
            <w:tcBorders>
              <w:top w:val="single" w:sz="4" w:space="0" w:color="auto"/>
              <w:bottom w:val="single" w:sz="4" w:space="0" w:color="auto"/>
            </w:tcBorders>
            <w:shd w:val="clear" w:color="auto" w:fill="D9D9D9" w:themeFill="background1" w:themeFillShade="D9"/>
            <w:tcMar>
              <w:top w:w="0" w:type="dxa"/>
              <w:left w:w="0" w:type="dxa"/>
              <w:bottom w:w="0" w:type="dxa"/>
              <w:right w:w="0" w:type="dxa"/>
            </w:tcMar>
          </w:tcPr>
          <w:p w14:paraId="43DE83D9" w14:textId="77777777" w:rsidR="00A544A6" w:rsidRPr="005F44EF" w:rsidRDefault="00A544A6" w:rsidP="00A544A6">
            <w:pPr>
              <w:keepNext/>
              <w:spacing w:after="0" w:line="240" w:lineRule="auto"/>
              <w:jc w:val="center"/>
              <w:rPr>
                <w:rFonts w:ascii="Times New Roman" w:eastAsia="Times New Roman" w:hAnsi="Times New Roman" w:cs="Times New Roman"/>
                <w:b/>
                <w:sz w:val="18"/>
                <w:szCs w:val="18"/>
              </w:rPr>
            </w:pPr>
            <w:r w:rsidRPr="005F44EF">
              <w:rPr>
                <w:rFonts w:ascii="Times New Roman" w:eastAsia="Times New Roman" w:hAnsi="Times New Roman" w:cs="Times New Roman"/>
                <w:b/>
                <w:sz w:val="18"/>
                <w:szCs w:val="18"/>
              </w:rPr>
              <w:t>%Cav</w:t>
            </w:r>
          </w:p>
        </w:tc>
        <w:tc>
          <w:tcPr>
            <w:tcW w:w="1311" w:type="dxa"/>
            <w:tcBorders>
              <w:top w:val="single" w:sz="4" w:space="0" w:color="auto"/>
              <w:bottom w:val="single" w:sz="4" w:space="0" w:color="auto"/>
            </w:tcBorders>
            <w:shd w:val="clear" w:color="auto" w:fill="D9D9D9" w:themeFill="background1" w:themeFillShade="D9"/>
            <w:tcMar>
              <w:top w:w="0" w:type="dxa"/>
              <w:left w:w="0" w:type="dxa"/>
              <w:bottom w:w="0" w:type="dxa"/>
              <w:right w:w="0" w:type="dxa"/>
            </w:tcMar>
          </w:tcPr>
          <w:p w14:paraId="4A750688" w14:textId="77777777" w:rsidR="00A544A6" w:rsidRPr="005F44EF" w:rsidRDefault="00A544A6" w:rsidP="00A544A6">
            <w:pPr>
              <w:keepNext/>
              <w:spacing w:after="0" w:line="240" w:lineRule="auto"/>
              <w:jc w:val="center"/>
              <w:rPr>
                <w:rFonts w:ascii="Times New Roman" w:eastAsia="Times New Roman" w:hAnsi="Times New Roman" w:cs="Times New Roman"/>
                <w:b/>
                <w:sz w:val="18"/>
                <w:szCs w:val="18"/>
              </w:rPr>
            </w:pPr>
            <w:r w:rsidRPr="005F44EF">
              <w:rPr>
                <w:rFonts w:ascii="Times New Roman" w:eastAsia="Times New Roman" w:hAnsi="Times New Roman" w:cs="Times New Roman"/>
                <w:b/>
                <w:sz w:val="18"/>
                <w:szCs w:val="18"/>
              </w:rPr>
              <w:t>Weight sample (mg)</w:t>
            </w:r>
          </w:p>
        </w:tc>
      </w:tr>
      <w:tr w:rsidR="00A544A6" w:rsidRPr="005F44EF" w14:paraId="480D8CD7" w14:textId="77777777" w:rsidTr="00A544A6">
        <w:trPr>
          <w:trHeight w:val="290"/>
        </w:trPr>
        <w:tc>
          <w:tcPr>
            <w:tcW w:w="983" w:type="dxa"/>
            <w:tcBorders>
              <w:top w:val="single" w:sz="4" w:space="0" w:color="auto"/>
            </w:tcBorders>
            <w:tcMar>
              <w:top w:w="0" w:type="dxa"/>
              <w:left w:w="0" w:type="dxa"/>
              <w:bottom w:w="0" w:type="dxa"/>
              <w:right w:w="0" w:type="dxa"/>
            </w:tcMar>
          </w:tcPr>
          <w:p w14:paraId="3BB2F69E"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w:t>
            </w:r>
          </w:p>
        </w:tc>
        <w:tc>
          <w:tcPr>
            <w:tcW w:w="640" w:type="dxa"/>
            <w:tcBorders>
              <w:top w:val="single" w:sz="4" w:space="0" w:color="auto"/>
            </w:tcBorders>
            <w:tcMar>
              <w:top w:w="0" w:type="dxa"/>
              <w:left w:w="0" w:type="dxa"/>
              <w:bottom w:w="0" w:type="dxa"/>
              <w:right w:w="0" w:type="dxa"/>
            </w:tcMar>
          </w:tcPr>
          <w:p w14:paraId="5BABE204"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596" w:type="dxa"/>
            <w:tcBorders>
              <w:top w:val="single" w:sz="4" w:space="0" w:color="auto"/>
            </w:tcBorders>
            <w:tcMar>
              <w:top w:w="0" w:type="dxa"/>
              <w:left w:w="0" w:type="dxa"/>
              <w:bottom w:w="0" w:type="dxa"/>
              <w:right w:w="0" w:type="dxa"/>
            </w:tcMar>
          </w:tcPr>
          <w:p w14:paraId="6C0A8C64"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A</w:t>
            </w:r>
          </w:p>
        </w:tc>
        <w:tc>
          <w:tcPr>
            <w:tcW w:w="1266" w:type="dxa"/>
            <w:tcBorders>
              <w:top w:val="single" w:sz="4" w:space="0" w:color="auto"/>
            </w:tcBorders>
            <w:tcMar>
              <w:top w:w="0" w:type="dxa"/>
              <w:left w:w="0" w:type="dxa"/>
              <w:bottom w:w="0" w:type="dxa"/>
              <w:right w:w="0" w:type="dxa"/>
            </w:tcMar>
          </w:tcPr>
          <w:p w14:paraId="6BB8C97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-25.7</w:t>
            </w:r>
          </w:p>
        </w:tc>
        <w:tc>
          <w:tcPr>
            <w:tcW w:w="745" w:type="dxa"/>
            <w:tcBorders>
              <w:top w:val="single" w:sz="4" w:space="0" w:color="auto"/>
            </w:tcBorders>
            <w:tcMar>
              <w:top w:w="0" w:type="dxa"/>
              <w:left w:w="0" w:type="dxa"/>
              <w:bottom w:w="0" w:type="dxa"/>
              <w:right w:w="0" w:type="dxa"/>
            </w:tcMar>
          </w:tcPr>
          <w:p w14:paraId="2B15E53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-25.7</w:t>
            </w:r>
          </w:p>
        </w:tc>
        <w:tc>
          <w:tcPr>
            <w:tcW w:w="1266" w:type="dxa"/>
            <w:tcBorders>
              <w:top w:val="single" w:sz="4" w:space="0" w:color="auto"/>
            </w:tcBorders>
            <w:tcMar>
              <w:top w:w="0" w:type="dxa"/>
              <w:left w:w="0" w:type="dxa"/>
              <w:bottom w:w="0" w:type="dxa"/>
              <w:right w:w="0" w:type="dxa"/>
            </w:tcMar>
          </w:tcPr>
          <w:p w14:paraId="02079374"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-25.7</w:t>
            </w:r>
          </w:p>
        </w:tc>
        <w:tc>
          <w:tcPr>
            <w:tcW w:w="506" w:type="dxa"/>
            <w:tcBorders>
              <w:top w:val="single" w:sz="4" w:space="0" w:color="auto"/>
            </w:tcBorders>
            <w:tcMar>
              <w:top w:w="0" w:type="dxa"/>
              <w:left w:w="0" w:type="dxa"/>
              <w:bottom w:w="0" w:type="dxa"/>
              <w:right w:w="0" w:type="dxa"/>
            </w:tcMar>
          </w:tcPr>
          <w:p w14:paraId="77B07126"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0.0</w:t>
            </w:r>
          </w:p>
        </w:tc>
        <w:tc>
          <w:tcPr>
            <w:tcW w:w="521" w:type="dxa"/>
            <w:tcBorders>
              <w:top w:val="single" w:sz="4" w:space="0" w:color="auto"/>
            </w:tcBorders>
            <w:tcMar>
              <w:top w:w="0" w:type="dxa"/>
              <w:left w:w="0" w:type="dxa"/>
              <w:bottom w:w="0" w:type="dxa"/>
              <w:right w:w="0" w:type="dxa"/>
            </w:tcMar>
          </w:tcPr>
          <w:p w14:paraId="46F1BEDC"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2.3</w:t>
            </w:r>
          </w:p>
        </w:tc>
        <w:tc>
          <w:tcPr>
            <w:tcW w:w="581" w:type="dxa"/>
            <w:tcBorders>
              <w:top w:val="single" w:sz="4" w:space="0" w:color="auto"/>
            </w:tcBorders>
            <w:tcMar>
              <w:top w:w="0" w:type="dxa"/>
              <w:left w:w="0" w:type="dxa"/>
              <w:bottom w:w="0" w:type="dxa"/>
              <w:right w:w="0" w:type="dxa"/>
            </w:tcMar>
          </w:tcPr>
          <w:p w14:paraId="4333D8A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3.2</w:t>
            </w:r>
          </w:p>
        </w:tc>
        <w:tc>
          <w:tcPr>
            <w:tcW w:w="700" w:type="dxa"/>
            <w:tcBorders>
              <w:top w:val="single" w:sz="4" w:space="0" w:color="auto"/>
            </w:tcBorders>
            <w:tcMar>
              <w:top w:w="0" w:type="dxa"/>
              <w:left w:w="0" w:type="dxa"/>
              <w:bottom w:w="0" w:type="dxa"/>
              <w:right w:w="0" w:type="dxa"/>
            </w:tcMar>
          </w:tcPr>
          <w:p w14:paraId="370BA3F6"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2.8</w:t>
            </w:r>
          </w:p>
        </w:tc>
        <w:tc>
          <w:tcPr>
            <w:tcW w:w="1311" w:type="dxa"/>
            <w:tcBorders>
              <w:top w:val="single" w:sz="4" w:space="0" w:color="auto"/>
            </w:tcBorders>
            <w:tcMar>
              <w:top w:w="0" w:type="dxa"/>
              <w:left w:w="0" w:type="dxa"/>
              <w:bottom w:w="0" w:type="dxa"/>
              <w:right w:w="0" w:type="dxa"/>
            </w:tcMar>
          </w:tcPr>
          <w:p w14:paraId="549DE2AB"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3.0</w:t>
            </w:r>
          </w:p>
        </w:tc>
      </w:tr>
      <w:tr w:rsidR="00A544A6" w:rsidRPr="005F44EF" w14:paraId="0A1832B9" w14:textId="77777777" w:rsidTr="00A544A6">
        <w:trPr>
          <w:trHeight w:val="290"/>
        </w:trPr>
        <w:tc>
          <w:tcPr>
            <w:tcW w:w="983" w:type="dxa"/>
            <w:tcMar>
              <w:top w:w="0" w:type="dxa"/>
              <w:left w:w="0" w:type="dxa"/>
              <w:bottom w:w="0" w:type="dxa"/>
              <w:right w:w="0" w:type="dxa"/>
            </w:tcMar>
          </w:tcPr>
          <w:p w14:paraId="4AE10253"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w:t>
            </w:r>
          </w:p>
        </w:tc>
        <w:tc>
          <w:tcPr>
            <w:tcW w:w="640" w:type="dxa"/>
            <w:tcMar>
              <w:top w:w="0" w:type="dxa"/>
              <w:left w:w="0" w:type="dxa"/>
              <w:bottom w:w="0" w:type="dxa"/>
              <w:right w:w="0" w:type="dxa"/>
            </w:tcMar>
          </w:tcPr>
          <w:p w14:paraId="35230B6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w:t>
            </w:r>
          </w:p>
        </w:tc>
        <w:tc>
          <w:tcPr>
            <w:tcW w:w="596" w:type="dxa"/>
            <w:tcMar>
              <w:top w:w="0" w:type="dxa"/>
              <w:left w:w="0" w:type="dxa"/>
              <w:bottom w:w="0" w:type="dxa"/>
              <w:right w:w="0" w:type="dxa"/>
            </w:tcMar>
          </w:tcPr>
          <w:p w14:paraId="1C798C25"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A</w:t>
            </w:r>
          </w:p>
        </w:tc>
        <w:tc>
          <w:tcPr>
            <w:tcW w:w="1266" w:type="dxa"/>
            <w:tcMar>
              <w:top w:w="0" w:type="dxa"/>
              <w:left w:w="0" w:type="dxa"/>
              <w:bottom w:w="0" w:type="dxa"/>
              <w:right w:w="0" w:type="dxa"/>
            </w:tcMar>
          </w:tcPr>
          <w:p w14:paraId="7E02287A"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-25.4</w:t>
            </w:r>
          </w:p>
        </w:tc>
        <w:tc>
          <w:tcPr>
            <w:tcW w:w="745" w:type="dxa"/>
            <w:tcMar>
              <w:top w:w="0" w:type="dxa"/>
              <w:left w:w="0" w:type="dxa"/>
              <w:bottom w:w="0" w:type="dxa"/>
              <w:right w:w="0" w:type="dxa"/>
            </w:tcMar>
          </w:tcPr>
          <w:p w14:paraId="33D7C3A3"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-25.6</w:t>
            </w:r>
          </w:p>
        </w:tc>
        <w:tc>
          <w:tcPr>
            <w:tcW w:w="1266" w:type="dxa"/>
            <w:tcMar>
              <w:top w:w="0" w:type="dxa"/>
              <w:left w:w="0" w:type="dxa"/>
              <w:bottom w:w="0" w:type="dxa"/>
              <w:right w:w="0" w:type="dxa"/>
            </w:tcMar>
          </w:tcPr>
          <w:p w14:paraId="77790CAB"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-25.5</w:t>
            </w:r>
          </w:p>
        </w:tc>
        <w:tc>
          <w:tcPr>
            <w:tcW w:w="506" w:type="dxa"/>
            <w:tcMar>
              <w:top w:w="0" w:type="dxa"/>
              <w:left w:w="0" w:type="dxa"/>
              <w:bottom w:w="0" w:type="dxa"/>
              <w:right w:w="0" w:type="dxa"/>
            </w:tcMar>
          </w:tcPr>
          <w:p w14:paraId="79E7EEC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521" w:type="dxa"/>
            <w:tcMar>
              <w:top w:w="0" w:type="dxa"/>
              <w:left w:w="0" w:type="dxa"/>
              <w:bottom w:w="0" w:type="dxa"/>
              <w:right w:w="0" w:type="dxa"/>
            </w:tcMar>
          </w:tcPr>
          <w:p w14:paraId="51BF856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w:t>
            </w:r>
          </w:p>
        </w:tc>
        <w:tc>
          <w:tcPr>
            <w:tcW w:w="581" w:type="dxa"/>
            <w:tcMar>
              <w:top w:w="0" w:type="dxa"/>
              <w:left w:w="0" w:type="dxa"/>
              <w:bottom w:w="0" w:type="dxa"/>
              <w:right w:w="0" w:type="dxa"/>
            </w:tcMar>
          </w:tcPr>
          <w:p w14:paraId="3B6CD2A6"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1.8</w:t>
            </w:r>
          </w:p>
        </w:tc>
        <w:tc>
          <w:tcPr>
            <w:tcW w:w="700" w:type="dxa"/>
            <w:tcMar>
              <w:top w:w="0" w:type="dxa"/>
              <w:left w:w="0" w:type="dxa"/>
              <w:bottom w:w="0" w:type="dxa"/>
              <w:right w:w="0" w:type="dxa"/>
            </w:tcMar>
          </w:tcPr>
          <w:p w14:paraId="58DA002C"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2.1</w:t>
            </w:r>
          </w:p>
        </w:tc>
        <w:tc>
          <w:tcPr>
            <w:tcW w:w="1311" w:type="dxa"/>
            <w:tcMar>
              <w:top w:w="0" w:type="dxa"/>
              <w:left w:w="0" w:type="dxa"/>
              <w:bottom w:w="0" w:type="dxa"/>
              <w:right w:w="0" w:type="dxa"/>
            </w:tcMar>
          </w:tcPr>
          <w:p w14:paraId="3E4577F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5.6</w:t>
            </w:r>
          </w:p>
        </w:tc>
      </w:tr>
      <w:tr w:rsidR="00A544A6" w:rsidRPr="005F44EF" w14:paraId="7938E0D4" w14:textId="77777777" w:rsidTr="00A544A6">
        <w:trPr>
          <w:trHeight w:val="290"/>
        </w:trPr>
        <w:tc>
          <w:tcPr>
            <w:tcW w:w="983" w:type="dxa"/>
            <w:tcMar>
              <w:top w:w="0" w:type="dxa"/>
              <w:left w:w="0" w:type="dxa"/>
              <w:bottom w:w="0" w:type="dxa"/>
              <w:right w:w="0" w:type="dxa"/>
            </w:tcMar>
          </w:tcPr>
          <w:p w14:paraId="5D5E9D93"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w:t>
            </w:r>
          </w:p>
        </w:tc>
        <w:tc>
          <w:tcPr>
            <w:tcW w:w="640" w:type="dxa"/>
            <w:tcMar>
              <w:top w:w="0" w:type="dxa"/>
              <w:left w:w="0" w:type="dxa"/>
              <w:bottom w:w="0" w:type="dxa"/>
              <w:right w:w="0" w:type="dxa"/>
            </w:tcMar>
          </w:tcPr>
          <w:p w14:paraId="11CFFD5A"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0.3</w:t>
            </w:r>
          </w:p>
        </w:tc>
        <w:tc>
          <w:tcPr>
            <w:tcW w:w="596" w:type="dxa"/>
            <w:tcMar>
              <w:top w:w="0" w:type="dxa"/>
              <w:left w:w="0" w:type="dxa"/>
              <w:bottom w:w="0" w:type="dxa"/>
              <w:right w:w="0" w:type="dxa"/>
            </w:tcMar>
          </w:tcPr>
          <w:p w14:paraId="73371D37"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A</w:t>
            </w:r>
          </w:p>
        </w:tc>
        <w:tc>
          <w:tcPr>
            <w:tcW w:w="1266" w:type="dxa"/>
            <w:tcMar>
              <w:top w:w="0" w:type="dxa"/>
              <w:left w:w="0" w:type="dxa"/>
              <w:bottom w:w="0" w:type="dxa"/>
              <w:right w:w="0" w:type="dxa"/>
            </w:tcMar>
          </w:tcPr>
          <w:p w14:paraId="2468B7AD"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-26.1</w:t>
            </w:r>
          </w:p>
        </w:tc>
        <w:tc>
          <w:tcPr>
            <w:tcW w:w="745" w:type="dxa"/>
            <w:tcMar>
              <w:top w:w="0" w:type="dxa"/>
              <w:left w:w="0" w:type="dxa"/>
              <w:bottom w:w="0" w:type="dxa"/>
              <w:right w:w="0" w:type="dxa"/>
            </w:tcMar>
          </w:tcPr>
          <w:p w14:paraId="605B2284"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-26.1</w:t>
            </w:r>
          </w:p>
        </w:tc>
        <w:tc>
          <w:tcPr>
            <w:tcW w:w="1266" w:type="dxa"/>
            <w:tcMar>
              <w:top w:w="0" w:type="dxa"/>
              <w:left w:w="0" w:type="dxa"/>
              <w:bottom w:w="0" w:type="dxa"/>
              <w:right w:w="0" w:type="dxa"/>
            </w:tcMar>
          </w:tcPr>
          <w:p w14:paraId="2348046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-26.1</w:t>
            </w:r>
          </w:p>
        </w:tc>
        <w:tc>
          <w:tcPr>
            <w:tcW w:w="506" w:type="dxa"/>
            <w:tcMar>
              <w:top w:w="0" w:type="dxa"/>
              <w:left w:w="0" w:type="dxa"/>
              <w:bottom w:w="0" w:type="dxa"/>
              <w:right w:w="0" w:type="dxa"/>
            </w:tcMar>
          </w:tcPr>
          <w:p w14:paraId="1CDDFD8C"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0.0</w:t>
            </w:r>
          </w:p>
        </w:tc>
        <w:tc>
          <w:tcPr>
            <w:tcW w:w="521" w:type="dxa"/>
            <w:tcMar>
              <w:top w:w="0" w:type="dxa"/>
              <w:left w:w="0" w:type="dxa"/>
              <w:bottom w:w="0" w:type="dxa"/>
              <w:right w:w="0" w:type="dxa"/>
            </w:tcMar>
          </w:tcPr>
          <w:p w14:paraId="0B54AFB1"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1.1</w:t>
            </w:r>
          </w:p>
        </w:tc>
        <w:tc>
          <w:tcPr>
            <w:tcW w:w="581" w:type="dxa"/>
            <w:tcMar>
              <w:top w:w="0" w:type="dxa"/>
              <w:left w:w="0" w:type="dxa"/>
              <w:bottom w:w="0" w:type="dxa"/>
              <w:right w:w="0" w:type="dxa"/>
            </w:tcMar>
          </w:tcPr>
          <w:p w14:paraId="4AE4C5E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1.4</w:t>
            </w:r>
          </w:p>
        </w:tc>
        <w:tc>
          <w:tcPr>
            <w:tcW w:w="700" w:type="dxa"/>
            <w:tcMar>
              <w:top w:w="0" w:type="dxa"/>
              <w:left w:w="0" w:type="dxa"/>
              <w:bottom w:w="0" w:type="dxa"/>
              <w:right w:w="0" w:type="dxa"/>
            </w:tcMar>
          </w:tcPr>
          <w:p w14:paraId="45884BDD"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1.3</w:t>
            </w:r>
          </w:p>
        </w:tc>
        <w:tc>
          <w:tcPr>
            <w:tcW w:w="1311" w:type="dxa"/>
            <w:tcMar>
              <w:top w:w="0" w:type="dxa"/>
              <w:left w:w="0" w:type="dxa"/>
              <w:bottom w:w="0" w:type="dxa"/>
              <w:right w:w="0" w:type="dxa"/>
            </w:tcMar>
          </w:tcPr>
          <w:p w14:paraId="18D3322E"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4.7</w:t>
            </w:r>
          </w:p>
        </w:tc>
      </w:tr>
      <w:tr w:rsidR="00A544A6" w:rsidRPr="005F44EF" w14:paraId="7E99B5BC" w14:textId="77777777" w:rsidTr="00A544A6">
        <w:trPr>
          <w:trHeight w:val="290"/>
        </w:trPr>
        <w:tc>
          <w:tcPr>
            <w:tcW w:w="983" w:type="dxa"/>
            <w:tcMar>
              <w:top w:w="0" w:type="dxa"/>
              <w:left w:w="0" w:type="dxa"/>
              <w:bottom w:w="0" w:type="dxa"/>
              <w:right w:w="0" w:type="dxa"/>
            </w:tcMar>
          </w:tcPr>
          <w:p w14:paraId="1616283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4</w:t>
            </w:r>
          </w:p>
        </w:tc>
        <w:tc>
          <w:tcPr>
            <w:tcW w:w="640" w:type="dxa"/>
            <w:tcMar>
              <w:top w:w="0" w:type="dxa"/>
              <w:left w:w="0" w:type="dxa"/>
              <w:bottom w:w="0" w:type="dxa"/>
              <w:right w:w="0" w:type="dxa"/>
            </w:tcMar>
          </w:tcPr>
          <w:p w14:paraId="6B11A1EA"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0.4</w:t>
            </w:r>
          </w:p>
        </w:tc>
        <w:tc>
          <w:tcPr>
            <w:tcW w:w="596" w:type="dxa"/>
            <w:tcMar>
              <w:top w:w="0" w:type="dxa"/>
              <w:left w:w="0" w:type="dxa"/>
              <w:bottom w:w="0" w:type="dxa"/>
              <w:right w:w="0" w:type="dxa"/>
            </w:tcMar>
          </w:tcPr>
          <w:p w14:paraId="1E7D895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B</w:t>
            </w:r>
          </w:p>
        </w:tc>
        <w:tc>
          <w:tcPr>
            <w:tcW w:w="1266" w:type="dxa"/>
            <w:tcMar>
              <w:top w:w="0" w:type="dxa"/>
              <w:left w:w="0" w:type="dxa"/>
              <w:bottom w:w="0" w:type="dxa"/>
              <w:right w:w="0" w:type="dxa"/>
            </w:tcMar>
          </w:tcPr>
          <w:p w14:paraId="510AA7D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-25.9</w:t>
            </w:r>
          </w:p>
        </w:tc>
        <w:tc>
          <w:tcPr>
            <w:tcW w:w="745" w:type="dxa"/>
            <w:tcMar>
              <w:top w:w="0" w:type="dxa"/>
              <w:left w:w="0" w:type="dxa"/>
              <w:bottom w:w="0" w:type="dxa"/>
              <w:right w:w="0" w:type="dxa"/>
            </w:tcMar>
          </w:tcPr>
          <w:p w14:paraId="20D5F01F"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-26.0</w:t>
            </w:r>
          </w:p>
        </w:tc>
        <w:tc>
          <w:tcPr>
            <w:tcW w:w="1266" w:type="dxa"/>
            <w:tcMar>
              <w:top w:w="0" w:type="dxa"/>
              <w:left w:w="0" w:type="dxa"/>
              <w:bottom w:w="0" w:type="dxa"/>
              <w:right w:w="0" w:type="dxa"/>
            </w:tcMar>
          </w:tcPr>
          <w:p w14:paraId="4A69A94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-26.0</w:t>
            </w:r>
          </w:p>
        </w:tc>
        <w:tc>
          <w:tcPr>
            <w:tcW w:w="506" w:type="dxa"/>
            <w:tcMar>
              <w:top w:w="0" w:type="dxa"/>
              <w:left w:w="0" w:type="dxa"/>
              <w:bottom w:w="0" w:type="dxa"/>
              <w:right w:w="0" w:type="dxa"/>
            </w:tcMar>
          </w:tcPr>
          <w:p w14:paraId="528F1434"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521" w:type="dxa"/>
            <w:tcMar>
              <w:top w:w="0" w:type="dxa"/>
              <w:left w:w="0" w:type="dxa"/>
              <w:bottom w:w="0" w:type="dxa"/>
              <w:right w:w="0" w:type="dxa"/>
            </w:tcMar>
          </w:tcPr>
          <w:p w14:paraId="5606F6D1"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1.8</w:t>
            </w:r>
          </w:p>
        </w:tc>
        <w:tc>
          <w:tcPr>
            <w:tcW w:w="581" w:type="dxa"/>
            <w:tcMar>
              <w:top w:w="0" w:type="dxa"/>
              <w:left w:w="0" w:type="dxa"/>
              <w:bottom w:w="0" w:type="dxa"/>
              <w:right w:w="0" w:type="dxa"/>
            </w:tcMar>
          </w:tcPr>
          <w:p w14:paraId="6437874A"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1.7</w:t>
            </w:r>
          </w:p>
        </w:tc>
        <w:tc>
          <w:tcPr>
            <w:tcW w:w="700" w:type="dxa"/>
            <w:tcMar>
              <w:top w:w="0" w:type="dxa"/>
              <w:left w:w="0" w:type="dxa"/>
              <w:bottom w:w="0" w:type="dxa"/>
              <w:right w:w="0" w:type="dxa"/>
            </w:tcMar>
          </w:tcPr>
          <w:p w14:paraId="414E1A25"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1.7</w:t>
            </w:r>
          </w:p>
        </w:tc>
        <w:tc>
          <w:tcPr>
            <w:tcW w:w="1311" w:type="dxa"/>
            <w:tcMar>
              <w:top w:w="0" w:type="dxa"/>
              <w:left w:w="0" w:type="dxa"/>
              <w:bottom w:w="0" w:type="dxa"/>
              <w:right w:w="0" w:type="dxa"/>
            </w:tcMar>
          </w:tcPr>
          <w:p w14:paraId="6C4DC55F"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6.0</w:t>
            </w:r>
          </w:p>
        </w:tc>
      </w:tr>
      <w:tr w:rsidR="00A544A6" w:rsidRPr="005F44EF" w14:paraId="7C6628E1" w14:textId="77777777" w:rsidTr="00A544A6">
        <w:trPr>
          <w:trHeight w:val="290"/>
        </w:trPr>
        <w:tc>
          <w:tcPr>
            <w:tcW w:w="983" w:type="dxa"/>
            <w:tcMar>
              <w:top w:w="0" w:type="dxa"/>
              <w:left w:w="0" w:type="dxa"/>
              <w:bottom w:w="0" w:type="dxa"/>
              <w:right w:w="0" w:type="dxa"/>
            </w:tcMar>
          </w:tcPr>
          <w:p w14:paraId="69DDE09C"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5</w:t>
            </w:r>
          </w:p>
        </w:tc>
        <w:tc>
          <w:tcPr>
            <w:tcW w:w="640" w:type="dxa"/>
            <w:tcMar>
              <w:top w:w="0" w:type="dxa"/>
              <w:left w:w="0" w:type="dxa"/>
              <w:bottom w:w="0" w:type="dxa"/>
              <w:right w:w="0" w:type="dxa"/>
            </w:tcMar>
          </w:tcPr>
          <w:p w14:paraId="7FFEAF7D"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w:t>
            </w:r>
          </w:p>
        </w:tc>
        <w:tc>
          <w:tcPr>
            <w:tcW w:w="596" w:type="dxa"/>
            <w:tcMar>
              <w:top w:w="0" w:type="dxa"/>
              <w:left w:w="0" w:type="dxa"/>
              <w:bottom w:w="0" w:type="dxa"/>
              <w:right w:w="0" w:type="dxa"/>
            </w:tcMar>
          </w:tcPr>
          <w:p w14:paraId="689F410C"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B</w:t>
            </w:r>
          </w:p>
        </w:tc>
        <w:tc>
          <w:tcPr>
            <w:tcW w:w="1266" w:type="dxa"/>
            <w:tcMar>
              <w:top w:w="0" w:type="dxa"/>
              <w:left w:w="0" w:type="dxa"/>
              <w:bottom w:w="0" w:type="dxa"/>
              <w:right w:w="0" w:type="dxa"/>
            </w:tcMar>
          </w:tcPr>
          <w:p w14:paraId="408F6644"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-26.7</w:t>
            </w:r>
          </w:p>
        </w:tc>
        <w:tc>
          <w:tcPr>
            <w:tcW w:w="745" w:type="dxa"/>
            <w:tcMar>
              <w:top w:w="0" w:type="dxa"/>
              <w:left w:w="0" w:type="dxa"/>
              <w:bottom w:w="0" w:type="dxa"/>
              <w:right w:w="0" w:type="dxa"/>
            </w:tcMar>
          </w:tcPr>
          <w:p w14:paraId="585310AC"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-26.6</w:t>
            </w:r>
          </w:p>
        </w:tc>
        <w:tc>
          <w:tcPr>
            <w:tcW w:w="1266" w:type="dxa"/>
            <w:tcMar>
              <w:top w:w="0" w:type="dxa"/>
              <w:left w:w="0" w:type="dxa"/>
              <w:bottom w:w="0" w:type="dxa"/>
              <w:right w:w="0" w:type="dxa"/>
            </w:tcMar>
          </w:tcPr>
          <w:p w14:paraId="05B38BC0"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-26.7</w:t>
            </w:r>
          </w:p>
        </w:tc>
        <w:tc>
          <w:tcPr>
            <w:tcW w:w="506" w:type="dxa"/>
            <w:tcMar>
              <w:top w:w="0" w:type="dxa"/>
              <w:left w:w="0" w:type="dxa"/>
              <w:bottom w:w="0" w:type="dxa"/>
              <w:right w:w="0" w:type="dxa"/>
            </w:tcMar>
          </w:tcPr>
          <w:p w14:paraId="5405027D"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521" w:type="dxa"/>
            <w:tcMar>
              <w:top w:w="0" w:type="dxa"/>
              <w:left w:w="0" w:type="dxa"/>
              <w:bottom w:w="0" w:type="dxa"/>
              <w:right w:w="0" w:type="dxa"/>
            </w:tcMar>
          </w:tcPr>
          <w:p w14:paraId="5F3D6906"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0.0</w:t>
            </w:r>
          </w:p>
        </w:tc>
        <w:tc>
          <w:tcPr>
            <w:tcW w:w="581" w:type="dxa"/>
            <w:tcMar>
              <w:top w:w="0" w:type="dxa"/>
              <w:left w:w="0" w:type="dxa"/>
              <w:bottom w:w="0" w:type="dxa"/>
              <w:right w:w="0" w:type="dxa"/>
            </w:tcMar>
          </w:tcPr>
          <w:p w14:paraId="51F2EF6F"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0.0</w:t>
            </w:r>
          </w:p>
        </w:tc>
        <w:tc>
          <w:tcPr>
            <w:tcW w:w="700" w:type="dxa"/>
            <w:tcMar>
              <w:top w:w="0" w:type="dxa"/>
              <w:left w:w="0" w:type="dxa"/>
              <w:bottom w:w="0" w:type="dxa"/>
              <w:right w:w="0" w:type="dxa"/>
            </w:tcMar>
          </w:tcPr>
          <w:p w14:paraId="6FD8508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0.0</w:t>
            </w:r>
          </w:p>
        </w:tc>
        <w:tc>
          <w:tcPr>
            <w:tcW w:w="1311" w:type="dxa"/>
            <w:tcMar>
              <w:top w:w="0" w:type="dxa"/>
              <w:left w:w="0" w:type="dxa"/>
              <w:bottom w:w="0" w:type="dxa"/>
              <w:right w:w="0" w:type="dxa"/>
            </w:tcMar>
          </w:tcPr>
          <w:p w14:paraId="58958D9A"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10.2</w:t>
            </w:r>
          </w:p>
        </w:tc>
      </w:tr>
      <w:tr w:rsidR="00A544A6" w:rsidRPr="005F44EF" w14:paraId="1FBE8D68" w14:textId="77777777" w:rsidTr="00A544A6">
        <w:trPr>
          <w:trHeight w:val="290"/>
        </w:trPr>
        <w:tc>
          <w:tcPr>
            <w:tcW w:w="983" w:type="dxa"/>
            <w:tcMar>
              <w:top w:w="0" w:type="dxa"/>
              <w:left w:w="0" w:type="dxa"/>
              <w:bottom w:w="0" w:type="dxa"/>
              <w:right w:w="0" w:type="dxa"/>
            </w:tcMar>
          </w:tcPr>
          <w:p w14:paraId="763B3B11"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6</w:t>
            </w:r>
          </w:p>
        </w:tc>
        <w:tc>
          <w:tcPr>
            <w:tcW w:w="640" w:type="dxa"/>
            <w:tcMar>
              <w:top w:w="0" w:type="dxa"/>
              <w:left w:w="0" w:type="dxa"/>
              <w:bottom w:w="0" w:type="dxa"/>
              <w:right w:w="0" w:type="dxa"/>
            </w:tcMar>
          </w:tcPr>
          <w:p w14:paraId="5955FAC7"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w:t>
            </w:r>
          </w:p>
        </w:tc>
        <w:tc>
          <w:tcPr>
            <w:tcW w:w="596" w:type="dxa"/>
            <w:tcMar>
              <w:top w:w="0" w:type="dxa"/>
              <w:left w:w="0" w:type="dxa"/>
              <w:bottom w:w="0" w:type="dxa"/>
              <w:right w:w="0" w:type="dxa"/>
            </w:tcMar>
          </w:tcPr>
          <w:p w14:paraId="52828B05"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B</w:t>
            </w:r>
          </w:p>
        </w:tc>
        <w:tc>
          <w:tcPr>
            <w:tcW w:w="1266" w:type="dxa"/>
            <w:tcMar>
              <w:top w:w="0" w:type="dxa"/>
              <w:left w:w="0" w:type="dxa"/>
              <w:bottom w:w="0" w:type="dxa"/>
              <w:right w:w="0" w:type="dxa"/>
            </w:tcMar>
          </w:tcPr>
          <w:p w14:paraId="751C19C7"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-25.5</w:t>
            </w:r>
          </w:p>
        </w:tc>
        <w:tc>
          <w:tcPr>
            <w:tcW w:w="745" w:type="dxa"/>
            <w:tcMar>
              <w:top w:w="0" w:type="dxa"/>
              <w:left w:w="0" w:type="dxa"/>
              <w:bottom w:w="0" w:type="dxa"/>
              <w:right w:w="0" w:type="dxa"/>
            </w:tcMar>
          </w:tcPr>
          <w:p w14:paraId="5215D4C3"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-25.5</w:t>
            </w:r>
          </w:p>
        </w:tc>
        <w:tc>
          <w:tcPr>
            <w:tcW w:w="1266" w:type="dxa"/>
            <w:tcMar>
              <w:top w:w="0" w:type="dxa"/>
              <w:left w:w="0" w:type="dxa"/>
              <w:bottom w:w="0" w:type="dxa"/>
              <w:right w:w="0" w:type="dxa"/>
            </w:tcMar>
          </w:tcPr>
          <w:p w14:paraId="2A902537"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-25.5</w:t>
            </w:r>
          </w:p>
        </w:tc>
        <w:tc>
          <w:tcPr>
            <w:tcW w:w="506" w:type="dxa"/>
            <w:tcMar>
              <w:top w:w="0" w:type="dxa"/>
              <w:left w:w="0" w:type="dxa"/>
              <w:bottom w:w="0" w:type="dxa"/>
              <w:right w:w="0" w:type="dxa"/>
            </w:tcMar>
          </w:tcPr>
          <w:p w14:paraId="76F089CA"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0.0</w:t>
            </w:r>
          </w:p>
        </w:tc>
        <w:tc>
          <w:tcPr>
            <w:tcW w:w="521" w:type="dxa"/>
            <w:tcMar>
              <w:top w:w="0" w:type="dxa"/>
              <w:left w:w="0" w:type="dxa"/>
              <w:bottom w:w="0" w:type="dxa"/>
              <w:right w:w="0" w:type="dxa"/>
            </w:tcMar>
          </w:tcPr>
          <w:p w14:paraId="04E3104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1.1</w:t>
            </w:r>
          </w:p>
        </w:tc>
        <w:tc>
          <w:tcPr>
            <w:tcW w:w="581" w:type="dxa"/>
            <w:tcMar>
              <w:top w:w="0" w:type="dxa"/>
              <w:left w:w="0" w:type="dxa"/>
              <w:bottom w:w="0" w:type="dxa"/>
              <w:right w:w="0" w:type="dxa"/>
            </w:tcMar>
          </w:tcPr>
          <w:p w14:paraId="15F4646A"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1.2</w:t>
            </w:r>
          </w:p>
        </w:tc>
        <w:tc>
          <w:tcPr>
            <w:tcW w:w="700" w:type="dxa"/>
            <w:tcMar>
              <w:top w:w="0" w:type="dxa"/>
              <w:left w:w="0" w:type="dxa"/>
              <w:bottom w:w="0" w:type="dxa"/>
              <w:right w:w="0" w:type="dxa"/>
            </w:tcMar>
          </w:tcPr>
          <w:p w14:paraId="5BBCEA35"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1.1</w:t>
            </w:r>
          </w:p>
        </w:tc>
        <w:tc>
          <w:tcPr>
            <w:tcW w:w="1311" w:type="dxa"/>
            <w:tcMar>
              <w:top w:w="0" w:type="dxa"/>
              <w:left w:w="0" w:type="dxa"/>
              <w:bottom w:w="0" w:type="dxa"/>
              <w:right w:w="0" w:type="dxa"/>
            </w:tcMar>
          </w:tcPr>
          <w:p w14:paraId="7971D9D4"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9.6</w:t>
            </w:r>
          </w:p>
        </w:tc>
      </w:tr>
      <w:tr w:rsidR="00A544A6" w:rsidRPr="005F44EF" w14:paraId="15DF75D8" w14:textId="77777777" w:rsidTr="00A544A6">
        <w:trPr>
          <w:trHeight w:val="290"/>
        </w:trPr>
        <w:tc>
          <w:tcPr>
            <w:tcW w:w="983" w:type="dxa"/>
            <w:tcMar>
              <w:top w:w="0" w:type="dxa"/>
              <w:left w:w="0" w:type="dxa"/>
              <w:bottom w:w="0" w:type="dxa"/>
              <w:right w:w="0" w:type="dxa"/>
            </w:tcMar>
          </w:tcPr>
          <w:p w14:paraId="6C439E21"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7</w:t>
            </w:r>
          </w:p>
        </w:tc>
        <w:tc>
          <w:tcPr>
            <w:tcW w:w="640" w:type="dxa"/>
            <w:tcMar>
              <w:top w:w="0" w:type="dxa"/>
              <w:left w:w="0" w:type="dxa"/>
              <w:bottom w:w="0" w:type="dxa"/>
              <w:right w:w="0" w:type="dxa"/>
            </w:tcMar>
          </w:tcPr>
          <w:p w14:paraId="79163F8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0.7</w:t>
            </w:r>
          </w:p>
        </w:tc>
        <w:tc>
          <w:tcPr>
            <w:tcW w:w="596" w:type="dxa"/>
            <w:tcMar>
              <w:top w:w="0" w:type="dxa"/>
              <w:left w:w="0" w:type="dxa"/>
              <w:bottom w:w="0" w:type="dxa"/>
              <w:right w:w="0" w:type="dxa"/>
            </w:tcMar>
          </w:tcPr>
          <w:p w14:paraId="65906C2B"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B</w:t>
            </w:r>
          </w:p>
        </w:tc>
        <w:tc>
          <w:tcPr>
            <w:tcW w:w="1266" w:type="dxa"/>
            <w:tcMar>
              <w:top w:w="0" w:type="dxa"/>
              <w:left w:w="0" w:type="dxa"/>
              <w:bottom w:w="0" w:type="dxa"/>
              <w:right w:w="0" w:type="dxa"/>
            </w:tcMar>
          </w:tcPr>
          <w:p w14:paraId="7092A22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-26.8</w:t>
            </w:r>
          </w:p>
        </w:tc>
        <w:tc>
          <w:tcPr>
            <w:tcW w:w="745" w:type="dxa"/>
            <w:tcMar>
              <w:top w:w="0" w:type="dxa"/>
              <w:left w:w="0" w:type="dxa"/>
              <w:bottom w:w="0" w:type="dxa"/>
              <w:right w:w="0" w:type="dxa"/>
            </w:tcMar>
          </w:tcPr>
          <w:p w14:paraId="4462DD80"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-26.0</w:t>
            </w:r>
          </w:p>
        </w:tc>
        <w:tc>
          <w:tcPr>
            <w:tcW w:w="1266" w:type="dxa"/>
            <w:tcMar>
              <w:top w:w="0" w:type="dxa"/>
              <w:left w:w="0" w:type="dxa"/>
              <w:bottom w:w="0" w:type="dxa"/>
              <w:right w:w="0" w:type="dxa"/>
            </w:tcMar>
          </w:tcPr>
          <w:p w14:paraId="1FD847C0"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-26.4</w:t>
            </w:r>
          </w:p>
        </w:tc>
        <w:tc>
          <w:tcPr>
            <w:tcW w:w="506" w:type="dxa"/>
            <w:tcMar>
              <w:top w:w="0" w:type="dxa"/>
              <w:left w:w="0" w:type="dxa"/>
              <w:bottom w:w="0" w:type="dxa"/>
              <w:right w:w="0" w:type="dxa"/>
            </w:tcMar>
          </w:tcPr>
          <w:p w14:paraId="474558D5"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w:t>
            </w:r>
          </w:p>
        </w:tc>
        <w:tc>
          <w:tcPr>
            <w:tcW w:w="521" w:type="dxa"/>
            <w:tcMar>
              <w:top w:w="0" w:type="dxa"/>
              <w:left w:w="0" w:type="dxa"/>
              <w:bottom w:w="0" w:type="dxa"/>
              <w:right w:w="0" w:type="dxa"/>
            </w:tcMar>
          </w:tcPr>
          <w:p w14:paraId="4A6DB32D"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0.0</w:t>
            </w:r>
          </w:p>
        </w:tc>
        <w:tc>
          <w:tcPr>
            <w:tcW w:w="581" w:type="dxa"/>
            <w:tcMar>
              <w:top w:w="0" w:type="dxa"/>
              <w:left w:w="0" w:type="dxa"/>
              <w:bottom w:w="0" w:type="dxa"/>
              <w:right w:w="0" w:type="dxa"/>
            </w:tcMar>
          </w:tcPr>
          <w:p w14:paraId="6D7FB05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w:t>
            </w:r>
          </w:p>
        </w:tc>
        <w:tc>
          <w:tcPr>
            <w:tcW w:w="700" w:type="dxa"/>
            <w:tcMar>
              <w:top w:w="0" w:type="dxa"/>
              <w:left w:w="0" w:type="dxa"/>
              <w:bottom w:w="0" w:type="dxa"/>
              <w:right w:w="0" w:type="dxa"/>
            </w:tcMar>
          </w:tcPr>
          <w:p w14:paraId="569D087E"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0.3</w:t>
            </w:r>
          </w:p>
        </w:tc>
        <w:tc>
          <w:tcPr>
            <w:tcW w:w="1311" w:type="dxa"/>
            <w:tcMar>
              <w:top w:w="0" w:type="dxa"/>
              <w:left w:w="0" w:type="dxa"/>
              <w:bottom w:w="0" w:type="dxa"/>
              <w:right w:w="0" w:type="dxa"/>
            </w:tcMar>
          </w:tcPr>
          <w:p w14:paraId="615BB29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5.3</w:t>
            </w:r>
          </w:p>
        </w:tc>
      </w:tr>
      <w:tr w:rsidR="00A544A6" w:rsidRPr="005F44EF" w14:paraId="06861A57" w14:textId="77777777" w:rsidTr="00A544A6">
        <w:trPr>
          <w:trHeight w:val="290"/>
        </w:trPr>
        <w:tc>
          <w:tcPr>
            <w:tcW w:w="983" w:type="dxa"/>
            <w:tcMar>
              <w:top w:w="0" w:type="dxa"/>
              <w:left w:w="0" w:type="dxa"/>
              <w:bottom w:w="0" w:type="dxa"/>
              <w:right w:w="0" w:type="dxa"/>
            </w:tcMar>
          </w:tcPr>
          <w:p w14:paraId="38B8A647"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8</w:t>
            </w:r>
          </w:p>
        </w:tc>
        <w:tc>
          <w:tcPr>
            <w:tcW w:w="640" w:type="dxa"/>
            <w:tcMar>
              <w:top w:w="0" w:type="dxa"/>
              <w:left w:w="0" w:type="dxa"/>
              <w:bottom w:w="0" w:type="dxa"/>
              <w:right w:w="0" w:type="dxa"/>
            </w:tcMar>
          </w:tcPr>
          <w:p w14:paraId="1ECFBE3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0.8</w:t>
            </w:r>
          </w:p>
        </w:tc>
        <w:tc>
          <w:tcPr>
            <w:tcW w:w="596" w:type="dxa"/>
            <w:tcMar>
              <w:top w:w="0" w:type="dxa"/>
              <w:left w:w="0" w:type="dxa"/>
              <w:bottom w:w="0" w:type="dxa"/>
              <w:right w:w="0" w:type="dxa"/>
            </w:tcMar>
          </w:tcPr>
          <w:p w14:paraId="22C14EAD"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C</w:t>
            </w:r>
          </w:p>
        </w:tc>
        <w:tc>
          <w:tcPr>
            <w:tcW w:w="1266" w:type="dxa"/>
            <w:tcMar>
              <w:top w:w="0" w:type="dxa"/>
              <w:left w:w="0" w:type="dxa"/>
              <w:bottom w:w="0" w:type="dxa"/>
              <w:right w:w="0" w:type="dxa"/>
            </w:tcMar>
          </w:tcPr>
          <w:p w14:paraId="6CF3FEA3"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-26.4</w:t>
            </w:r>
          </w:p>
        </w:tc>
        <w:tc>
          <w:tcPr>
            <w:tcW w:w="745" w:type="dxa"/>
            <w:tcMar>
              <w:top w:w="0" w:type="dxa"/>
              <w:left w:w="0" w:type="dxa"/>
              <w:bottom w:w="0" w:type="dxa"/>
              <w:right w:w="0" w:type="dxa"/>
            </w:tcMar>
          </w:tcPr>
          <w:p w14:paraId="677CB17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-26.3</w:t>
            </w:r>
          </w:p>
        </w:tc>
        <w:tc>
          <w:tcPr>
            <w:tcW w:w="1266" w:type="dxa"/>
            <w:tcMar>
              <w:top w:w="0" w:type="dxa"/>
              <w:left w:w="0" w:type="dxa"/>
              <w:bottom w:w="0" w:type="dxa"/>
              <w:right w:w="0" w:type="dxa"/>
            </w:tcMar>
          </w:tcPr>
          <w:p w14:paraId="35B124FB"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-26.3</w:t>
            </w:r>
          </w:p>
        </w:tc>
        <w:tc>
          <w:tcPr>
            <w:tcW w:w="506" w:type="dxa"/>
            <w:tcMar>
              <w:top w:w="0" w:type="dxa"/>
              <w:left w:w="0" w:type="dxa"/>
              <w:bottom w:w="0" w:type="dxa"/>
              <w:right w:w="0" w:type="dxa"/>
            </w:tcMar>
          </w:tcPr>
          <w:p w14:paraId="67E4899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0.0</w:t>
            </w:r>
          </w:p>
        </w:tc>
        <w:tc>
          <w:tcPr>
            <w:tcW w:w="521" w:type="dxa"/>
            <w:tcMar>
              <w:top w:w="0" w:type="dxa"/>
              <w:left w:w="0" w:type="dxa"/>
              <w:bottom w:w="0" w:type="dxa"/>
              <w:right w:w="0" w:type="dxa"/>
            </w:tcMar>
          </w:tcPr>
          <w:p w14:paraId="457F994F"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1.3</w:t>
            </w:r>
          </w:p>
        </w:tc>
        <w:tc>
          <w:tcPr>
            <w:tcW w:w="581" w:type="dxa"/>
            <w:tcMar>
              <w:top w:w="0" w:type="dxa"/>
              <w:left w:w="0" w:type="dxa"/>
              <w:bottom w:w="0" w:type="dxa"/>
              <w:right w:w="0" w:type="dxa"/>
            </w:tcMar>
          </w:tcPr>
          <w:p w14:paraId="4B2946A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1.2</w:t>
            </w:r>
          </w:p>
        </w:tc>
        <w:tc>
          <w:tcPr>
            <w:tcW w:w="700" w:type="dxa"/>
            <w:tcMar>
              <w:top w:w="0" w:type="dxa"/>
              <w:left w:w="0" w:type="dxa"/>
              <w:bottom w:w="0" w:type="dxa"/>
              <w:right w:w="0" w:type="dxa"/>
            </w:tcMar>
          </w:tcPr>
          <w:p w14:paraId="0988AEDE"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1.3</w:t>
            </w:r>
          </w:p>
        </w:tc>
        <w:tc>
          <w:tcPr>
            <w:tcW w:w="1311" w:type="dxa"/>
            <w:tcMar>
              <w:top w:w="0" w:type="dxa"/>
              <w:left w:w="0" w:type="dxa"/>
              <w:bottom w:w="0" w:type="dxa"/>
              <w:right w:w="0" w:type="dxa"/>
            </w:tcMar>
          </w:tcPr>
          <w:p w14:paraId="5BA93C95"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2.9</w:t>
            </w:r>
          </w:p>
        </w:tc>
      </w:tr>
      <w:tr w:rsidR="00A544A6" w:rsidRPr="005F44EF" w14:paraId="450B3CF3" w14:textId="77777777" w:rsidTr="00A544A6">
        <w:trPr>
          <w:trHeight w:val="290"/>
        </w:trPr>
        <w:tc>
          <w:tcPr>
            <w:tcW w:w="983" w:type="dxa"/>
            <w:tcMar>
              <w:top w:w="0" w:type="dxa"/>
              <w:left w:w="0" w:type="dxa"/>
              <w:bottom w:w="0" w:type="dxa"/>
              <w:right w:w="0" w:type="dxa"/>
            </w:tcMar>
          </w:tcPr>
          <w:p w14:paraId="61AD38E5"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9</w:t>
            </w:r>
          </w:p>
        </w:tc>
        <w:tc>
          <w:tcPr>
            <w:tcW w:w="640" w:type="dxa"/>
            <w:tcMar>
              <w:top w:w="0" w:type="dxa"/>
              <w:left w:w="0" w:type="dxa"/>
              <w:bottom w:w="0" w:type="dxa"/>
              <w:right w:w="0" w:type="dxa"/>
            </w:tcMar>
          </w:tcPr>
          <w:p w14:paraId="4D6C995C"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0.9</w:t>
            </w:r>
          </w:p>
        </w:tc>
        <w:tc>
          <w:tcPr>
            <w:tcW w:w="596" w:type="dxa"/>
            <w:tcMar>
              <w:top w:w="0" w:type="dxa"/>
              <w:left w:w="0" w:type="dxa"/>
              <w:bottom w:w="0" w:type="dxa"/>
              <w:right w:w="0" w:type="dxa"/>
            </w:tcMar>
          </w:tcPr>
          <w:p w14:paraId="5A44350A"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C</w:t>
            </w:r>
          </w:p>
        </w:tc>
        <w:tc>
          <w:tcPr>
            <w:tcW w:w="1266" w:type="dxa"/>
            <w:tcMar>
              <w:top w:w="0" w:type="dxa"/>
              <w:left w:w="0" w:type="dxa"/>
              <w:bottom w:w="0" w:type="dxa"/>
              <w:right w:w="0" w:type="dxa"/>
            </w:tcMar>
          </w:tcPr>
          <w:p w14:paraId="05B39994"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-26.1</w:t>
            </w:r>
          </w:p>
        </w:tc>
        <w:tc>
          <w:tcPr>
            <w:tcW w:w="745" w:type="dxa"/>
            <w:tcMar>
              <w:top w:w="0" w:type="dxa"/>
              <w:left w:w="0" w:type="dxa"/>
              <w:bottom w:w="0" w:type="dxa"/>
              <w:right w:w="0" w:type="dxa"/>
            </w:tcMar>
          </w:tcPr>
          <w:p w14:paraId="5617672E"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-26.5</w:t>
            </w:r>
          </w:p>
        </w:tc>
        <w:tc>
          <w:tcPr>
            <w:tcW w:w="1266" w:type="dxa"/>
            <w:tcMar>
              <w:top w:w="0" w:type="dxa"/>
              <w:left w:w="0" w:type="dxa"/>
              <w:bottom w:w="0" w:type="dxa"/>
              <w:right w:w="0" w:type="dxa"/>
            </w:tcMar>
          </w:tcPr>
          <w:p w14:paraId="5ADE3430"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-26.3</w:t>
            </w:r>
          </w:p>
        </w:tc>
        <w:tc>
          <w:tcPr>
            <w:tcW w:w="506" w:type="dxa"/>
            <w:tcMar>
              <w:top w:w="0" w:type="dxa"/>
              <w:left w:w="0" w:type="dxa"/>
              <w:bottom w:w="0" w:type="dxa"/>
              <w:right w:w="0" w:type="dxa"/>
            </w:tcMar>
          </w:tcPr>
          <w:p w14:paraId="1985058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0.3</w:t>
            </w:r>
          </w:p>
        </w:tc>
        <w:tc>
          <w:tcPr>
            <w:tcW w:w="521" w:type="dxa"/>
            <w:tcMar>
              <w:top w:w="0" w:type="dxa"/>
              <w:left w:w="0" w:type="dxa"/>
              <w:bottom w:w="0" w:type="dxa"/>
              <w:right w:w="0" w:type="dxa"/>
            </w:tcMar>
          </w:tcPr>
          <w:p w14:paraId="1F32020F"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581" w:type="dxa"/>
            <w:tcMar>
              <w:top w:w="0" w:type="dxa"/>
              <w:left w:w="0" w:type="dxa"/>
              <w:bottom w:w="0" w:type="dxa"/>
              <w:right w:w="0" w:type="dxa"/>
            </w:tcMar>
          </w:tcPr>
          <w:p w14:paraId="5C85B025"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700" w:type="dxa"/>
            <w:tcMar>
              <w:top w:w="0" w:type="dxa"/>
              <w:left w:w="0" w:type="dxa"/>
              <w:bottom w:w="0" w:type="dxa"/>
              <w:right w:w="0" w:type="dxa"/>
            </w:tcMar>
          </w:tcPr>
          <w:p w14:paraId="0FC36C36"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1311" w:type="dxa"/>
            <w:tcMar>
              <w:top w:w="0" w:type="dxa"/>
              <w:left w:w="0" w:type="dxa"/>
              <w:bottom w:w="0" w:type="dxa"/>
              <w:right w:w="0" w:type="dxa"/>
            </w:tcMar>
          </w:tcPr>
          <w:p w14:paraId="571B1541"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14.3</w:t>
            </w:r>
          </w:p>
        </w:tc>
      </w:tr>
      <w:tr w:rsidR="00A544A6" w:rsidRPr="005F44EF" w14:paraId="78D71D9A" w14:textId="77777777" w:rsidTr="00A544A6">
        <w:trPr>
          <w:trHeight w:val="290"/>
        </w:trPr>
        <w:tc>
          <w:tcPr>
            <w:tcW w:w="983" w:type="dxa"/>
            <w:tcMar>
              <w:top w:w="0" w:type="dxa"/>
              <w:left w:w="0" w:type="dxa"/>
              <w:bottom w:w="0" w:type="dxa"/>
              <w:right w:w="0" w:type="dxa"/>
            </w:tcMar>
          </w:tcPr>
          <w:p w14:paraId="5B2E040D"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10</w:t>
            </w:r>
          </w:p>
        </w:tc>
        <w:tc>
          <w:tcPr>
            <w:tcW w:w="640" w:type="dxa"/>
            <w:tcMar>
              <w:top w:w="0" w:type="dxa"/>
              <w:left w:w="0" w:type="dxa"/>
              <w:bottom w:w="0" w:type="dxa"/>
              <w:right w:w="0" w:type="dxa"/>
            </w:tcMar>
          </w:tcPr>
          <w:p w14:paraId="0F5E5565"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w:t>
            </w:r>
          </w:p>
        </w:tc>
        <w:tc>
          <w:tcPr>
            <w:tcW w:w="596" w:type="dxa"/>
            <w:tcMar>
              <w:top w:w="0" w:type="dxa"/>
              <w:left w:w="0" w:type="dxa"/>
              <w:bottom w:w="0" w:type="dxa"/>
              <w:right w:w="0" w:type="dxa"/>
            </w:tcMar>
          </w:tcPr>
          <w:p w14:paraId="30FEC20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C</w:t>
            </w:r>
          </w:p>
        </w:tc>
        <w:tc>
          <w:tcPr>
            <w:tcW w:w="1266" w:type="dxa"/>
            <w:tcMar>
              <w:top w:w="0" w:type="dxa"/>
              <w:left w:w="0" w:type="dxa"/>
              <w:bottom w:w="0" w:type="dxa"/>
              <w:right w:w="0" w:type="dxa"/>
            </w:tcMar>
          </w:tcPr>
          <w:p w14:paraId="38668B8B"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-25.4</w:t>
            </w:r>
          </w:p>
        </w:tc>
        <w:tc>
          <w:tcPr>
            <w:tcW w:w="745" w:type="dxa"/>
            <w:tcMar>
              <w:top w:w="0" w:type="dxa"/>
              <w:left w:w="0" w:type="dxa"/>
              <w:bottom w:w="0" w:type="dxa"/>
              <w:right w:w="0" w:type="dxa"/>
            </w:tcMar>
          </w:tcPr>
          <w:p w14:paraId="510416C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-25.4</w:t>
            </w:r>
          </w:p>
        </w:tc>
        <w:tc>
          <w:tcPr>
            <w:tcW w:w="1266" w:type="dxa"/>
            <w:tcMar>
              <w:top w:w="0" w:type="dxa"/>
              <w:left w:w="0" w:type="dxa"/>
              <w:bottom w:w="0" w:type="dxa"/>
              <w:right w:w="0" w:type="dxa"/>
            </w:tcMar>
          </w:tcPr>
          <w:p w14:paraId="24EAD4D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-25.4</w:t>
            </w:r>
          </w:p>
        </w:tc>
        <w:tc>
          <w:tcPr>
            <w:tcW w:w="506" w:type="dxa"/>
            <w:tcMar>
              <w:top w:w="0" w:type="dxa"/>
              <w:left w:w="0" w:type="dxa"/>
              <w:bottom w:w="0" w:type="dxa"/>
              <w:right w:w="0" w:type="dxa"/>
            </w:tcMar>
          </w:tcPr>
          <w:p w14:paraId="5FF4224E"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0.0</w:t>
            </w:r>
          </w:p>
        </w:tc>
        <w:tc>
          <w:tcPr>
            <w:tcW w:w="521" w:type="dxa"/>
            <w:tcMar>
              <w:top w:w="0" w:type="dxa"/>
              <w:left w:w="0" w:type="dxa"/>
              <w:bottom w:w="0" w:type="dxa"/>
              <w:right w:w="0" w:type="dxa"/>
            </w:tcMar>
          </w:tcPr>
          <w:p w14:paraId="33D50140"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0.7</w:t>
            </w:r>
          </w:p>
        </w:tc>
        <w:tc>
          <w:tcPr>
            <w:tcW w:w="581" w:type="dxa"/>
            <w:tcMar>
              <w:top w:w="0" w:type="dxa"/>
              <w:left w:w="0" w:type="dxa"/>
              <w:bottom w:w="0" w:type="dxa"/>
              <w:right w:w="0" w:type="dxa"/>
            </w:tcMar>
          </w:tcPr>
          <w:p w14:paraId="0D9DB1D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0.7</w:t>
            </w:r>
          </w:p>
        </w:tc>
        <w:tc>
          <w:tcPr>
            <w:tcW w:w="700" w:type="dxa"/>
            <w:tcMar>
              <w:top w:w="0" w:type="dxa"/>
              <w:left w:w="0" w:type="dxa"/>
              <w:bottom w:w="0" w:type="dxa"/>
              <w:right w:w="0" w:type="dxa"/>
            </w:tcMar>
          </w:tcPr>
          <w:p w14:paraId="75BC6AC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0.7</w:t>
            </w:r>
          </w:p>
        </w:tc>
        <w:tc>
          <w:tcPr>
            <w:tcW w:w="1311" w:type="dxa"/>
            <w:tcMar>
              <w:top w:w="0" w:type="dxa"/>
              <w:left w:w="0" w:type="dxa"/>
              <w:bottom w:w="0" w:type="dxa"/>
              <w:right w:w="0" w:type="dxa"/>
            </w:tcMar>
          </w:tcPr>
          <w:p w14:paraId="58596727"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9.2</w:t>
            </w:r>
          </w:p>
        </w:tc>
      </w:tr>
      <w:tr w:rsidR="00A544A6" w:rsidRPr="005F44EF" w14:paraId="605F4C6E" w14:textId="77777777" w:rsidTr="00A544A6">
        <w:trPr>
          <w:trHeight w:val="290"/>
        </w:trPr>
        <w:tc>
          <w:tcPr>
            <w:tcW w:w="983" w:type="dxa"/>
            <w:tcMar>
              <w:top w:w="0" w:type="dxa"/>
              <w:left w:w="0" w:type="dxa"/>
              <w:bottom w:w="0" w:type="dxa"/>
              <w:right w:w="0" w:type="dxa"/>
            </w:tcMar>
          </w:tcPr>
          <w:p w14:paraId="6F97A65C"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11</w:t>
            </w:r>
          </w:p>
        </w:tc>
        <w:tc>
          <w:tcPr>
            <w:tcW w:w="640" w:type="dxa"/>
            <w:tcMar>
              <w:top w:w="0" w:type="dxa"/>
              <w:left w:w="0" w:type="dxa"/>
              <w:bottom w:w="0" w:type="dxa"/>
              <w:right w:w="0" w:type="dxa"/>
            </w:tcMar>
          </w:tcPr>
          <w:p w14:paraId="27D61CB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1.1</w:t>
            </w:r>
          </w:p>
        </w:tc>
        <w:tc>
          <w:tcPr>
            <w:tcW w:w="596" w:type="dxa"/>
            <w:tcMar>
              <w:top w:w="0" w:type="dxa"/>
              <w:left w:w="0" w:type="dxa"/>
              <w:bottom w:w="0" w:type="dxa"/>
              <w:right w:w="0" w:type="dxa"/>
            </w:tcMar>
          </w:tcPr>
          <w:p w14:paraId="5C189E14"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C</w:t>
            </w:r>
          </w:p>
        </w:tc>
        <w:tc>
          <w:tcPr>
            <w:tcW w:w="1266" w:type="dxa"/>
            <w:tcMar>
              <w:top w:w="0" w:type="dxa"/>
              <w:left w:w="0" w:type="dxa"/>
              <w:bottom w:w="0" w:type="dxa"/>
              <w:right w:w="0" w:type="dxa"/>
            </w:tcMar>
          </w:tcPr>
          <w:p w14:paraId="377539EF"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-26.4</w:t>
            </w:r>
          </w:p>
        </w:tc>
        <w:tc>
          <w:tcPr>
            <w:tcW w:w="745" w:type="dxa"/>
            <w:tcMar>
              <w:top w:w="0" w:type="dxa"/>
              <w:left w:w="0" w:type="dxa"/>
              <w:bottom w:w="0" w:type="dxa"/>
              <w:right w:w="0" w:type="dxa"/>
            </w:tcMar>
          </w:tcPr>
          <w:p w14:paraId="273C696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-26.6</w:t>
            </w:r>
          </w:p>
        </w:tc>
        <w:tc>
          <w:tcPr>
            <w:tcW w:w="1266" w:type="dxa"/>
            <w:tcMar>
              <w:top w:w="0" w:type="dxa"/>
              <w:left w:w="0" w:type="dxa"/>
              <w:bottom w:w="0" w:type="dxa"/>
              <w:right w:w="0" w:type="dxa"/>
            </w:tcMar>
          </w:tcPr>
          <w:p w14:paraId="53A47D9E"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-26.5</w:t>
            </w:r>
          </w:p>
        </w:tc>
        <w:tc>
          <w:tcPr>
            <w:tcW w:w="506" w:type="dxa"/>
            <w:tcMar>
              <w:top w:w="0" w:type="dxa"/>
              <w:left w:w="0" w:type="dxa"/>
              <w:bottom w:w="0" w:type="dxa"/>
              <w:right w:w="0" w:type="dxa"/>
            </w:tcMar>
          </w:tcPr>
          <w:p w14:paraId="6873F12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521" w:type="dxa"/>
            <w:tcMar>
              <w:top w:w="0" w:type="dxa"/>
              <w:left w:w="0" w:type="dxa"/>
              <w:bottom w:w="0" w:type="dxa"/>
              <w:right w:w="0" w:type="dxa"/>
            </w:tcMar>
          </w:tcPr>
          <w:p w14:paraId="42F6A44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0.0</w:t>
            </w:r>
          </w:p>
        </w:tc>
        <w:tc>
          <w:tcPr>
            <w:tcW w:w="581" w:type="dxa"/>
            <w:tcMar>
              <w:top w:w="0" w:type="dxa"/>
              <w:left w:w="0" w:type="dxa"/>
              <w:bottom w:w="0" w:type="dxa"/>
              <w:right w:w="0" w:type="dxa"/>
            </w:tcMar>
          </w:tcPr>
          <w:p w14:paraId="0B092C76"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0.0</w:t>
            </w:r>
          </w:p>
        </w:tc>
        <w:tc>
          <w:tcPr>
            <w:tcW w:w="700" w:type="dxa"/>
            <w:tcMar>
              <w:top w:w="0" w:type="dxa"/>
              <w:left w:w="0" w:type="dxa"/>
              <w:bottom w:w="0" w:type="dxa"/>
              <w:right w:w="0" w:type="dxa"/>
            </w:tcMar>
          </w:tcPr>
          <w:p w14:paraId="79FB573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0.0</w:t>
            </w:r>
          </w:p>
        </w:tc>
        <w:tc>
          <w:tcPr>
            <w:tcW w:w="1311" w:type="dxa"/>
            <w:tcMar>
              <w:top w:w="0" w:type="dxa"/>
              <w:left w:w="0" w:type="dxa"/>
              <w:bottom w:w="0" w:type="dxa"/>
              <w:right w:w="0" w:type="dxa"/>
            </w:tcMar>
          </w:tcPr>
          <w:p w14:paraId="3A4E13ED"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14.4</w:t>
            </w:r>
          </w:p>
        </w:tc>
      </w:tr>
      <w:tr w:rsidR="00A544A6" w:rsidRPr="005F44EF" w14:paraId="072FD3AF" w14:textId="77777777" w:rsidTr="00A544A6">
        <w:trPr>
          <w:trHeight w:val="290"/>
        </w:trPr>
        <w:tc>
          <w:tcPr>
            <w:tcW w:w="983" w:type="dxa"/>
            <w:tcMar>
              <w:top w:w="0" w:type="dxa"/>
              <w:left w:w="0" w:type="dxa"/>
              <w:bottom w:w="0" w:type="dxa"/>
              <w:right w:w="0" w:type="dxa"/>
            </w:tcMar>
          </w:tcPr>
          <w:p w14:paraId="4303EFED"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12</w:t>
            </w:r>
          </w:p>
        </w:tc>
        <w:tc>
          <w:tcPr>
            <w:tcW w:w="640" w:type="dxa"/>
            <w:tcMar>
              <w:top w:w="0" w:type="dxa"/>
              <w:left w:w="0" w:type="dxa"/>
              <w:bottom w:w="0" w:type="dxa"/>
              <w:right w:w="0" w:type="dxa"/>
            </w:tcMar>
          </w:tcPr>
          <w:p w14:paraId="09183A6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1.2</w:t>
            </w:r>
          </w:p>
        </w:tc>
        <w:tc>
          <w:tcPr>
            <w:tcW w:w="596" w:type="dxa"/>
            <w:tcMar>
              <w:top w:w="0" w:type="dxa"/>
              <w:left w:w="0" w:type="dxa"/>
              <w:bottom w:w="0" w:type="dxa"/>
              <w:right w:w="0" w:type="dxa"/>
            </w:tcMar>
          </w:tcPr>
          <w:p w14:paraId="0184689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C</w:t>
            </w:r>
          </w:p>
        </w:tc>
        <w:tc>
          <w:tcPr>
            <w:tcW w:w="1266" w:type="dxa"/>
            <w:tcMar>
              <w:top w:w="0" w:type="dxa"/>
              <w:left w:w="0" w:type="dxa"/>
              <w:bottom w:w="0" w:type="dxa"/>
              <w:right w:w="0" w:type="dxa"/>
            </w:tcMar>
          </w:tcPr>
          <w:p w14:paraId="4FAC478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-25.5</w:t>
            </w:r>
          </w:p>
        </w:tc>
        <w:tc>
          <w:tcPr>
            <w:tcW w:w="745" w:type="dxa"/>
            <w:tcMar>
              <w:top w:w="0" w:type="dxa"/>
              <w:left w:w="0" w:type="dxa"/>
              <w:bottom w:w="0" w:type="dxa"/>
              <w:right w:w="0" w:type="dxa"/>
            </w:tcMar>
          </w:tcPr>
          <w:p w14:paraId="1F4129D7"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-25.6</w:t>
            </w:r>
          </w:p>
        </w:tc>
        <w:tc>
          <w:tcPr>
            <w:tcW w:w="1266" w:type="dxa"/>
            <w:tcMar>
              <w:top w:w="0" w:type="dxa"/>
              <w:left w:w="0" w:type="dxa"/>
              <w:bottom w:w="0" w:type="dxa"/>
              <w:right w:w="0" w:type="dxa"/>
            </w:tcMar>
          </w:tcPr>
          <w:p w14:paraId="21EEDE9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-25.6</w:t>
            </w:r>
          </w:p>
        </w:tc>
        <w:tc>
          <w:tcPr>
            <w:tcW w:w="506" w:type="dxa"/>
            <w:tcMar>
              <w:top w:w="0" w:type="dxa"/>
              <w:left w:w="0" w:type="dxa"/>
              <w:bottom w:w="0" w:type="dxa"/>
              <w:right w:w="0" w:type="dxa"/>
            </w:tcMar>
          </w:tcPr>
          <w:p w14:paraId="63DE3D9D"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0.0</w:t>
            </w:r>
          </w:p>
        </w:tc>
        <w:tc>
          <w:tcPr>
            <w:tcW w:w="521" w:type="dxa"/>
            <w:tcMar>
              <w:top w:w="0" w:type="dxa"/>
              <w:left w:w="0" w:type="dxa"/>
              <w:bottom w:w="0" w:type="dxa"/>
              <w:right w:w="0" w:type="dxa"/>
            </w:tcMar>
          </w:tcPr>
          <w:p w14:paraId="5FEEAC6A"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w:t>
            </w:r>
          </w:p>
        </w:tc>
        <w:tc>
          <w:tcPr>
            <w:tcW w:w="581" w:type="dxa"/>
            <w:tcMar>
              <w:top w:w="0" w:type="dxa"/>
              <w:left w:w="0" w:type="dxa"/>
              <w:bottom w:w="0" w:type="dxa"/>
              <w:right w:w="0" w:type="dxa"/>
            </w:tcMar>
          </w:tcPr>
          <w:p w14:paraId="62594C6D"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0.7</w:t>
            </w:r>
          </w:p>
        </w:tc>
        <w:tc>
          <w:tcPr>
            <w:tcW w:w="700" w:type="dxa"/>
            <w:tcMar>
              <w:top w:w="0" w:type="dxa"/>
              <w:left w:w="0" w:type="dxa"/>
              <w:bottom w:w="0" w:type="dxa"/>
              <w:right w:w="0" w:type="dxa"/>
            </w:tcMar>
          </w:tcPr>
          <w:p w14:paraId="16D5DD5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w:t>
            </w:r>
          </w:p>
        </w:tc>
        <w:tc>
          <w:tcPr>
            <w:tcW w:w="1311" w:type="dxa"/>
            <w:tcMar>
              <w:top w:w="0" w:type="dxa"/>
              <w:left w:w="0" w:type="dxa"/>
              <w:bottom w:w="0" w:type="dxa"/>
              <w:right w:w="0" w:type="dxa"/>
            </w:tcMar>
          </w:tcPr>
          <w:p w14:paraId="25995A74"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10.2</w:t>
            </w:r>
          </w:p>
        </w:tc>
      </w:tr>
      <w:tr w:rsidR="00A544A6" w:rsidRPr="005F44EF" w14:paraId="081AF6A0" w14:textId="77777777" w:rsidTr="00A544A6">
        <w:trPr>
          <w:trHeight w:val="290"/>
        </w:trPr>
        <w:tc>
          <w:tcPr>
            <w:tcW w:w="983" w:type="dxa"/>
            <w:tcMar>
              <w:top w:w="0" w:type="dxa"/>
              <w:left w:w="0" w:type="dxa"/>
              <w:bottom w:w="0" w:type="dxa"/>
              <w:right w:w="0" w:type="dxa"/>
            </w:tcMar>
          </w:tcPr>
          <w:p w14:paraId="50D89540"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13</w:t>
            </w:r>
          </w:p>
        </w:tc>
        <w:tc>
          <w:tcPr>
            <w:tcW w:w="640" w:type="dxa"/>
            <w:tcMar>
              <w:top w:w="0" w:type="dxa"/>
              <w:left w:w="0" w:type="dxa"/>
              <w:bottom w:w="0" w:type="dxa"/>
              <w:right w:w="0" w:type="dxa"/>
            </w:tcMar>
          </w:tcPr>
          <w:p w14:paraId="1FE28654"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1.3</w:t>
            </w:r>
          </w:p>
        </w:tc>
        <w:tc>
          <w:tcPr>
            <w:tcW w:w="596" w:type="dxa"/>
            <w:tcMar>
              <w:top w:w="0" w:type="dxa"/>
              <w:left w:w="0" w:type="dxa"/>
              <w:bottom w:w="0" w:type="dxa"/>
              <w:right w:w="0" w:type="dxa"/>
            </w:tcMar>
          </w:tcPr>
          <w:p w14:paraId="50480255"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C</w:t>
            </w:r>
          </w:p>
        </w:tc>
        <w:tc>
          <w:tcPr>
            <w:tcW w:w="1266" w:type="dxa"/>
            <w:tcMar>
              <w:top w:w="0" w:type="dxa"/>
              <w:left w:w="0" w:type="dxa"/>
              <w:bottom w:w="0" w:type="dxa"/>
              <w:right w:w="0" w:type="dxa"/>
            </w:tcMar>
          </w:tcPr>
          <w:p w14:paraId="758E4B1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-25.3</w:t>
            </w:r>
          </w:p>
        </w:tc>
        <w:tc>
          <w:tcPr>
            <w:tcW w:w="745" w:type="dxa"/>
            <w:tcMar>
              <w:top w:w="0" w:type="dxa"/>
              <w:left w:w="0" w:type="dxa"/>
              <w:bottom w:w="0" w:type="dxa"/>
              <w:right w:w="0" w:type="dxa"/>
            </w:tcMar>
          </w:tcPr>
          <w:p w14:paraId="6EE3DE36"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-25.4</w:t>
            </w:r>
          </w:p>
        </w:tc>
        <w:tc>
          <w:tcPr>
            <w:tcW w:w="1266" w:type="dxa"/>
            <w:tcMar>
              <w:top w:w="0" w:type="dxa"/>
              <w:left w:w="0" w:type="dxa"/>
              <w:bottom w:w="0" w:type="dxa"/>
              <w:right w:w="0" w:type="dxa"/>
            </w:tcMar>
          </w:tcPr>
          <w:p w14:paraId="36D0BF9E"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-25.4</w:t>
            </w:r>
          </w:p>
        </w:tc>
        <w:tc>
          <w:tcPr>
            <w:tcW w:w="506" w:type="dxa"/>
            <w:tcMar>
              <w:top w:w="0" w:type="dxa"/>
              <w:left w:w="0" w:type="dxa"/>
              <w:bottom w:w="0" w:type="dxa"/>
              <w:right w:w="0" w:type="dxa"/>
            </w:tcMar>
          </w:tcPr>
          <w:p w14:paraId="0153EFF0"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521" w:type="dxa"/>
            <w:tcMar>
              <w:top w:w="0" w:type="dxa"/>
              <w:left w:w="0" w:type="dxa"/>
              <w:bottom w:w="0" w:type="dxa"/>
              <w:right w:w="0" w:type="dxa"/>
            </w:tcMar>
          </w:tcPr>
          <w:p w14:paraId="0C286E0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w:t>
            </w:r>
          </w:p>
        </w:tc>
        <w:tc>
          <w:tcPr>
            <w:tcW w:w="581" w:type="dxa"/>
            <w:tcMar>
              <w:top w:w="0" w:type="dxa"/>
              <w:left w:w="0" w:type="dxa"/>
              <w:bottom w:w="0" w:type="dxa"/>
              <w:right w:w="0" w:type="dxa"/>
            </w:tcMar>
          </w:tcPr>
          <w:p w14:paraId="0610EF77"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w:t>
            </w:r>
          </w:p>
        </w:tc>
        <w:tc>
          <w:tcPr>
            <w:tcW w:w="700" w:type="dxa"/>
            <w:tcMar>
              <w:top w:w="0" w:type="dxa"/>
              <w:left w:w="0" w:type="dxa"/>
              <w:bottom w:w="0" w:type="dxa"/>
              <w:right w:w="0" w:type="dxa"/>
            </w:tcMar>
          </w:tcPr>
          <w:p w14:paraId="52BF51B4"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w:t>
            </w:r>
          </w:p>
        </w:tc>
        <w:tc>
          <w:tcPr>
            <w:tcW w:w="1311" w:type="dxa"/>
            <w:tcMar>
              <w:top w:w="0" w:type="dxa"/>
              <w:left w:w="0" w:type="dxa"/>
              <w:bottom w:w="0" w:type="dxa"/>
              <w:right w:w="0" w:type="dxa"/>
            </w:tcMar>
          </w:tcPr>
          <w:p w14:paraId="10AE41B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14.3</w:t>
            </w:r>
          </w:p>
        </w:tc>
      </w:tr>
      <w:tr w:rsidR="00A544A6" w:rsidRPr="005F44EF" w14:paraId="4E9F8439" w14:textId="77777777" w:rsidTr="00A544A6">
        <w:trPr>
          <w:trHeight w:val="290"/>
        </w:trPr>
        <w:tc>
          <w:tcPr>
            <w:tcW w:w="983" w:type="dxa"/>
            <w:tcMar>
              <w:top w:w="0" w:type="dxa"/>
              <w:left w:w="0" w:type="dxa"/>
              <w:bottom w:w="0" w:type="dxa"/>
              <w:right w:w="0" w:type="dxa"/>
            </w:tcMar>
          </w:tcPr>
          <w:p w14:paraId="0D740B01"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14</w:t>
            </w:r>
          </w:p>
        </w:tc>
        <w:tc>
          <w:tcPr>
            <w:tcW w:w="640" w:type="dxa"/>
            <w:tcMar>
              <w:top w:w="0" w:type="dxa"/>
              <w:left w:w="0" w:type="dxa"/>
              <w:bottom w:w="0" w:type="dxa"/>
              <w:right w:w="0" w:type="dxa"/>
            </w:tcMar>
          </w:tcPr>
          <w:p w14:paraId="37D6E5A7"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1.4</w:t>
            </w:r>
          </w:p>
        </w:tc>
        <w:tc>
          <w:tcPr>
            <w:tcW w:w="596" w:type="dxa"/>
            <w:tcMar>
              <w:top w:w="0" w:type="dxa"/>
              <w:left w:w="0" w:type="dxa"/>
              <w:bottom w:w="0" w:type="dxa"/>
              <w:right w:w="0" w:type="dxa"/>
            </w:tcMar>
          </w:tcPr>
          <w:p w14:paraId="4A350BAA"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C/D</w:t>
            </w:r>
          </w:p>
        </w:tc>
        <w:tc>
          <w:tcPr>
            <w:tcW w:w="1266" w:type="dxa"/>
            <w:tcMar>
              <w:top w:w="0" w:type="dxa"/>
              <w:left w:w="0" w:type="dxa"/>
              <w:bottom w:w="0" w:type="dxa"/>
              <w:right w:w="0" w:type="dxa"/>
            </w:tcMar>
          </w:tcPr>
          <w:p w14:paraId="700D43FC"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-26.6</w:t>
            </w:r>
          </w:p>
        </w:tc>
        <w:tc>
          <w:tcPr>
            <w:tcW w:w="745" w:type="dxa"/>
            <w:tcMar>
              <w:top w:w="0" w:type="dxa"/>
              <w:left w:w="0" w:type="dxa"/>
              <w:bottom w:w="0" w:type="dxa"/>
              <w:right w:w="0" w:type="dxa"/>
            </w:tcMar>
          </w:tcPr>
          <w:p w14:paraId="47F6027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-27.1</w:t>
            </w:r>
          </w:p>
        </w:tc>
        <w:tc>
          <w:tcPr>
            <w:tcW w:w="1266" w:type="dxa"/>
            <w:tcMar>
              <w:top w:w="0" w:type="dxa"/>
              <w:left w:w="0" w:type="dxa"/>
              <w:bottom w:w="0" w:type="dxa"/>
              <w:right w:w="0" w:type="dxa"/>
            </w:tcMar>
          </w:tcPr>
          <w:p w14:paraId="43C9B366"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-26.9</w:t>
            </w:r>
          </w:p>
        </w:tc>
        <w:tc>
          <w:tcPr>
            <w:tcW w:w="506" w:type="dxa"/>
            <w:tcMar>
              <w:top w:w="0" w:type="dxa"/>
              <w:left w:w="0" w:type="dxa"/>
              <w:bottom w:w="0" w:type="dxa"/>
              <w:right w:w="0" w:type="dxa"/>
            </w:tcMar>
          </w:tcPr>
          <w:p w14:paraId="2BF428EC"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0.4</w:t>
            </w:r>
          </w:p>
        </w:tc>
        <w:tc>
          <w:tcPr>
            <w:tcW w:w="521" w:type="dxa"/>
            <w:tcMar>
              <w:top w:w="0" w:type="dxa"/>
              <w:left w:w="0" w:type="dxa"/>
              <w:bottom w:w="0" w:type="dxa"/>
              <w:right w:w="0" w:type="dxa"/>
            </w:tcMar>
          </w:tcPr>
          <w:p w14:paraId="50D2A98B"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0.0</w:t>
            </w:r>
          </w:p>
        </w:tc>
        <w:tc>
          <w:tcPr>
            <w:tcW w:w="581" w:type="dxa"/>
            <w:tcMar>
              <w:top w:w="0" w:type="dxa"/>
              <w:left w:w="0" w:type="dxa"/>
              <w:bottom w:w="0" w:type="dxa"/>
              <w:right w:w="0" w:type="dxa"/>
            </w:tcMar>
          </w:tcPr>
          <w:p w14:paraId="3CBF221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0.0</w:t>
            </w:r>
          </w:p>
        </w:tc>
        <w:tc>
          <w:tcPr>
            <w:tcW w:w="700" w:type="dxa"/>
            <w:tcMar>
              <w:top w:w="0" w:type="dxa"/>
              <w:left w:w="0" w:type="dxa"/>
              <w:bottom w:w="0" w:type="dxa"/>
              <w:right w:w="0" w:type="dxa"/>
            </w:tcMar>
          </w:tcPr>
          <w:p w14:paraId="0B8BE271"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0.0</w:t>
            </w:r>
          </w:p>
        </w:tc>
        <w:tc>
          <w:tcPr>
            <w:tcW w:w="1311" w:type="dxa"/>
            <w:tcMar>
              <w:top w:w="0" w:type="dxa"/>
              <w:left w:w="0" w:type="dxa"/>
              <w:bottom w:w="0" w:type="dxa"/>
              <w:right w:w="0" w:type="dxa"/>
            </w:tcMar>
          </w:tcPr>
          <w:p w14:paraId="107AB5DC"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16.3</w:t>
            </w:r>
          </w:p>
        </w:tc>
      </w:tr>
      <w:tr w:rsidR="00A544A6" w:rsidRPr="005F44EF" w14:paraId="3D5BC26C" w14:textId="77777777" w:rsidTr="00A544A6">
        <w:trPr>
          <w:trHeight w:val="290"/>
        </w:trPr>
        <w:tc>
          <w:tcPr>
            <w:tcW w:w="983" w:type="dxa"/>
            <w:tcMar>
              <w:top w:w="0" w:type="dxa"/>
              <w:left w:w="0" w:type="dxa"/>
              <w:bottom w:w="0" w:type="dxa"/>
              <w:right w:w="0" w:type="dxa"/>
            </w:tcMar>
          </w:tcPr>
          <w:p w14:paraId="58A06D9A"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15</w:t>
            </w:r>
          </w:p>
        </w:tc>
        <w:tc>
          <w:tcPr>
            <w:tcW w:w="640" w:type="dxa"/>
            <w:tcMar>
              <w:top w:w="0" w:type="dxa"/>
              <w:left w:w="0" w:type="dxa"/>
              <w:bottom w:w="0" w:type="dxa"/>
              <w:right w:w="0" w:type="dxa"/>
            </w:tcMar>
          </w:tcPr>
          <w:p w14:paraId="1D998031"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1.5</w:t>
            </w:r>
          </w:p>
        </w:tc>
        <w:tc>
          <w:tcPr>
            <w:tcW w:w="596" w:type="dxa"/>
            <w:tcMar>
              <w:top w:w="0" w:type="dxa"/>
              <w:left w:w="0" w:type="dxa"/>
              <w:bottom w:w="0" w:type="dxa"/>
              <w:right w:w="0" w:type="dxa"/>
            </w:tcMar>
          </w:tcPr>
          <w:p w14:paraId="24D7AA13"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C/D</w:t>
            </w:r>
          </w:p>
        </w:tc>
        <w:tc>
          <w:tcPr>
            <w:tcW w:w="1266" w:type="dxa"/>
            <w:tcMar>
              <w:top w:w="0" w:type="dxa"/>
              <w:left w:w="0" w:type="dxa"/>
              <w:bottom w:w="0" w:type="dxa"/>
              <w:right w:w="0" w:type="dxa"/>
            </w:tcMar>
          </w:tcPr>
          <w:p w14:paraId="00A45F51"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-26.2</w:t>
            </w:r>
          </w:p>
        </w:tc>
        <w:tc>
          <w:tcPr>
            <w:tcW w:w="745" w:type="dxa"/>
            <w:tcMar>
              <w:top w:w="0" w:type="dxa"/>
              <w:left w:w="0" w:type="dxa"/>
              <w:bottom w:w="0" w:type="dxa"/>
              <w:right w:w="0" w:type="dxa"/>
            </w:tcMar>
          </w:tcPr>
          <w:p w14:paraId="3CE953AF"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-26.6</w:t>
            </w:r>
          </w:p>
        </w:tc>
        <w:tc>
          <w:tcPr>
            <w:tcW w:w="1266" w:type="dxa"/>
            <w:tcMar>
              <w:top w:w="0" w:type="dxa"/>
              <w:left w:w="0" w:type="dxa"/>
              <w:bottom w:w="0" w:type="dxa"/>
              <w:right w:w="0" w:type="dxa"/>
            </w:tcMar>
          </w:tcPr>
          <w:p w14:paraId="5E3C2F53"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-26.4</w:t>
            </w:r>
          </w:p>
        </w:tc>
        <w:tc>
          <w:tcPr>
            <w:tcW w:w="506" w:type="dxa"/>
            <w:tcMar>
              <w:top w:w="0" w:type="dxa"/>
              <w:left w:w="0" w:type="dxa"/>
              <w:bottom w:w="0" w:type="dxa"/>
              <w:right w:w="0" w:type="dxa"/>
            </w:tcMar>
          </w:tcPr>
          <w:p w14:paraId="45F064C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0.3</w:t>
            </w:r>
          </w:p>
        </w:tc>
        <w:tc>
          <w:tcPr>
            <w:tcW w:w="521" w:type="dxa"/>
            <w:tcMar>
              <w:top w:w="0" w:type="dxa"/>
              <w:left w:w="0" w:type="dxa"/>
              <w:bottom w:w="0" w:type="dxa"/>
              <w:right w:w="0" w:type="dxa"/>
            </w:tcMar>
          </w:tcPr>
          <w:p w14:paraId="3257407F"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w:t>
            </w:r>
          </w:p>
        </w:tc>
        <w:tc>
          <w:tcPr>
            <w:tcW w:w="581" w:type="dxa"/>
            <w:tcMar>
              <w:top w:w="0" w:type="dxa"/>
              <w:left w:w="0" w:type="dxa"/>
              <w:bottom w:w="0" w:type="dxa"/>
              <w:right w:w="0" w:type="dxa"/>
            </w:tcMar>
          </w:tcPr>
          <w:p w14:paraId="58521AEE"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w:t>
            </w:r>
          </w:p>
        </w:tc>
        <w:tc>
          <w:tcPr>
            <w:tcW w:w="700" w:type="dxa"/>
            <w:tcMar>
              <w:top w:w="0" w:type="dxa"/>
              <w:left w:w="0" w:type="dxa"/>
              <w:bottom w:w="0" w:type="dxa"/>
              <w:right w:w="0" w:type="dxa"/>
            </w:tcMar>
          </w:tcPr>
          <w:p w14:paraId="60E011A6"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0.4</w:t>
            </w:r>
          </w:p>
        </w:tc>
        <w:tc>
          <w:tcPr>
            <w:tcW w:w="1311" w:type="dxa"/>
            <w:tcMar>
              <w:top w:w="0" w:type="dxa"/>
              <w:left w:w="0" w:type="dxa"/>
              <w:bottom w:w="0" w:type="dxa"/>
              <w:right w:w="0" w:type="dxa"/>
            </w:tcMar>
          </w:tcPr>
          <w:p w14:paraId="0F11EA7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15.2</w:t>
            </w:r>
          </w:p>
        </w:tc>
      </w:tr>
      <w:tr w:rsidR="00A544A6" w:rsidRPr="005F44EF" w14:paraId="4199F469" w14:textId="77777777" w:rsidTr="00A544A6">
        <w:trPr>
          <w:trHeight w:val="290"/>
        </w:trPr>
        <w:tc>
          <w:tcPr>
            <w:tcW w:w="983" w:type="dxa"/>
            <w:tcMar>
              <w:top w:w="0" w:type="dxa"/>
              <w:left w:w="0" w:type="dxa"/>
              <w:bottom w:w="0" w:type="dxa"/>
              <w:right w:w="0" w:type="dxa"/>
            </w:tcMar>
          </w:tcPr>
          <w:p w14:paraId="043E8D1E"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16</w:t>
            </w:r>
          </w:p>
        </w:tc>
        <w:tc>
          <w:tcPr>
            <w:tcW w:w="640" w:type="dxa"/>
            <w:tcMar>
              <w:top w:w="0" w:type="dxa"/>
              <w:left w:w="0" w:type="dxa"/>
              <w:bottom w:w="0" w:type="dxa"/>
              <w:right w:w="0" w:type="dxa"/>
            </w:tcMar>
          </w:tcPr>
          <w:p w14:paraId="6EB8703E"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1.6</w:t>
            </w:r>
          </w:p>
        </w:tc>
        <w:tc>
          <w:tcPr>
            <w:tcW w:w="596" w:type="dxa"/>
            <w:tcMar>
              <w:top w:w="0" w:type="dxa"/>
              <w:left w:w="0" w:type="dxa"/>
              <w:bottom w:w="0" w:type="dxa"/>
              <w:right w:w="0" w:type="dxa"/>
            </w:tcMar>
          </w:tcPr>
          <w:p w14:paraId="34B6EB24"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D1</w:t>
            </w:r>
          </w:p>
        </w:tc>
        <w:tc>
          <w:tcPr>
            <w:tcW w:w="1266" w:type="dxa"/>
            <w:tcMar>
              <w:top w:w="0" w:type="dxa"/>
              <w:left w:w="0" w:type="dxa"/>
              <w:bottom w:w="0" w:type="dxa"/>
              <w:right w:w="0" w:type="dxa"/>
            </w:tcMar>
          </w:tcPr>
          <w:p w14:paraId="68679E37"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-26.3</w:t>
            </w:r>
          </w:p>
        </w:tc>
        <w:tc>
          <w:tcPr>
            <w:tcW w:w="745" w:type="dxa"/>
            <w:tcMar>
              <w:top w:w="0" w:type="dxa"/>
              <w:left w:w="0" w:type="dxa"/>
              <w:bottom w:w="0" w:type="dxa"/>
              <w:right w:w="0" w:type="dxa"/>
            </w:tcMar>
          </w:tcPr>
          <w:p w14:paraId="6A2D9186"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-26.3</w:t>
            </w:r>
          </w:p>
        </w:tc>
        <w:tc>
          <w:tcPr>
            <w:tcW w:w="1266" w:type="dxa"/>
            <w:tcMar>
              <w:top w:w="0" w:type="dxa"/>
              <w:left w:w="0" w:type="dxa"/>
              <w:bottom w:w="0" w:type="dxa"/>
              <w:right w:w="0" w:type="dxa"/>
            </w:tcMar>
          </w:tcPr>
          <w:p w14:paraId="7134B0F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-26.3</w:t>
            </w:r>
          </w:p>
        </w:tc>
        <w:tc>
          <w:tcPr>
            <w:tcW w:w="506" w:type="dxa"/>
            <w:tcMar>
              <w:top w:w="0" w:type="dxa"/>
              <w:left w:w="0" w:type="dxa"/>
              <w:bottom w:w="0" w:type="dxa"/>
              <w:right w:w="0" w:type="dxa"/>
            </w:tcMar>
          </w:tcPr>
          <w:p w14:paraId="0D752A01"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0.0</w:t>
            </w:r>
          </w:p>
        </w:tc>
        <w:tc>
          <w:tcPr>
            <w:tcW w:w="521" w:type="dxa"/>
            <w:tcMar>
              <w:top w:w="0" w:type="dxa"/>
              <w:left w:w="0" w:type="dxa"/>
              <w:bottom w:w="0" w:type="dxa"/>
              <w:right w:w="0" w:type="dxa"/>
            </w:tcMar>
          </w:tcPr>
          <w:p w14:paraId="62D92607"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1.0</w:t>
            </w:r>
          </w:p>
        </w:tc>
        <w:tc>
          <w:tcPr>
            <w:tcW w:w="581" w:type="dxa"/>
            <w:tcMar>
              <w:top w:w="0" w:type="dxa"/>
              <w:left w:w="0" w:type="dxa"/>
              <w:bottom w:w="0" w:type="dxa"/>
              <w:right w:w="0" w:type="dxa"/>
            </w:tcMar>
          </w:tcPr>
          <w:p w14:paraId="3F94C730"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0.9</w:t>
            </w:r>
          </w:p>
        </w:tc>
        <w:tc>
          <w:tcPr>
            <w:tcW w:w="700" w:type="dxa"/>
            <w:tcMar>
              <w:top w:w="0" w:type="dxa"/>
              <w:left w:w="0" w:type="dxa"/>
              <w:bottom w:w="0" w:type="dxa"/>
              <w:right w:w="0" w:type="dxa"/>
            </w:tcMar>
          </w:tcPr>
          <w:p w14:paraId="49AA64D0"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0.9</w:t>
            </w:r>
          </w:p>
        </w:tc>
        <w:tc>
          <w:tcPr>
            <w:tcW w:w="1311" w:type="dxa"/>
            <w:tcMar>
              <w:top w:w="0" w:type="dxa"/>
              <w:left w:w="0" w:type="dxa"/>
              <w:bottom w:w="0" w:type="dxa"/>
              <w:right w:w="0" w:type="dxa"/>
            </w:tcMar>
          </w:tcPr>
          <w:p w14:paraId="28EA5A61"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9.9</w:t>
            </w:r>
          </w:p>
        </w:tc>
      </w:tr>
      <w:tr w:rsidR="00A544A6" w:rsidRPr="005F44EF" w14:paraId="603905C5" w14:textId="77777777" w:rsidTr="00A544A6">
        <w:trPr>
          <w:trHeight w:val="290"/>
        </w:trPr>
        <w:tc>
          <w:tcPr>
            <w:tcW w:w="983" w:type="dxa"/>
            <w:tcMar>
              <w:top w:w="0" w:type="dxa"/>
              <w:left w:w="0" w:type="dxa"/>
              <w:bottom w:w="0" w:type="dxa"/>
              <w:right w:w="0" w:type="dxa"/>
            </w:tcMar>
          </w:tcPr>
          <w:p w14:paraId="4A422A53"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17</w:t>
            </w:r>
          </w:p>
        </w:tc>
        <w:tc>
          <w:tcPr>
            <w:tcW w:w="640" w:type="dxa"/>
            <w:tcMar>
              <w:top w:w="0" w:type="dxa"/>
              <w:left w:w="0" w:type="dxa"/>
              <w:bottom w:w="0" w:type="dxa"/>
              <w:right w:w="0" w:type="dxa"/>
            </w:tcMar>
          </w:tcPr>
          <w:p w14:paraId="675E853F"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1.7</w:t>
            </w:r>
          </w:p>
        </w:tc>
        <w:tc>
          <w:tcPr>
            <w:tcW w:w="596" w:type="dxa"/>
            <w:tcMar>
              <w:top w:w="0" w:type="dxa"/>
              <w:left w:w="0" w:type="dxa"/>
              <w:bottom w:w="0" w:type="dxa"/>
              <w:right w:w="0" w:type="dxa"/>
            </w:tcMar>
          </w:tcPr>
          <w:p w14:paraId="302AAC96"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D1</w:t>
            </w:r>
          </w:p>
        </w:tc>
        <w:tc>
          <w:tcPr>
            <w:tcW w:w="1266" w:type="dxa"/>
            <w:tcMar>
              <w:top w:w="0" w:type="dxa"/>
              <w:left w:w="0" w:type="dxa"/>
              <w:bottom w:w="0" w:type="dxa"/>
              <w:right w:w="0" w:type="dxa"/>
            </w:tcMar>
          </w:tcPr>
          <w:p w14:paraId="702BC324"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-26.3</w:t>
            </w:r>
          </w:p>
        </w:tc>
        <w:tc>
          <w:tcPr>
            <w:tcW w:w="745" w:type="dxa"/>
            <w:tcMar>
              <w:top w:w="0" w:type="dxa"/>
              <w:left w:w="0" w:type="dxa"/>
              <w:bottom w:w="0" w:type="dxa"/>
              <w:right w:w="0" w:type="dxa"/>
            </w:tcMar>
          </w:tcPr>
          <w:p w14:paraId="59EA3550"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-26.4</w:t>
            </w:r>
          </w:p>
        </w:tc>
        <w:tc>
          <w:tcPr>
            <w:tcW w:w="1266" w:type="dxa"/>
            <w:tcMar>
              <w:top w:w="0" w:type="dxa"/>
              <w:left w:w="0" w:type="dxa"/>
              <w:bottom w:w="0" w:type="dxa"/>
              <w:right w:w="0" w:type="dxa"/>
            </w:tcMar>
          </w:tcPr>
          <w:p w14:paraId="090C140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-26.4</w:t>
            </w:r>
          </w:p>
        </w:tc>
        <w:tc>
          <w:tcPr>
            <w:tcW w:w="506" w:type="dxa"/>
            <w:tcMar>
              <w:top w:w="0" w:type="dxa"/>
              <w:left w:w="0" w:type="dxa"/>
              <w:bottom w:w="0" w:type="dxa"/>
              <w:right w:w="0" w:type="dxa"/>
            </w:tcMar>
          </w:tcPr>
          <w:p w14:paraId="2F685151"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0.0</w:t>
            </w:r>
          </w:p>
        </w:tc>
        <w:tc>
          <w:tcPr>
            <w:tcW w:w="521" w:type="dxa"/>
            <w:tcMar>
              <w:top w:w="0" w:type="dxa"/>
              <w:left w:w="0" w:type="dxa"/>
              <w:bottom w:w="0" w:type="dxa"/>
              <w:right w:w="0" w:type="dxa"/>
            </w:tcMar>
          </w:tcPr>
          <w:p w14:paraId="500459EE"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1.0</w:t>
            </w:r>
          </w:p>
        </w:tc>
        <w:tc>
          <w:tcPr>
            <w:tcW w:w="581" w:type="dxa"/>
            <w:tcMar>
              <w:top w:w="0" w:type="dxa"/>
              <w:left w:w="0" w:type="dxa"/>
              <w:bottom w:w="0" w:type="dxa"/>
              <w:right w:w="0" w:type="dxa"/>
            </w:tcMar>
          </w:tcPr>
          <w:p w14:paraId="51FAE091"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0.8</w:t>
            </w:r>
          </w:p>
        </w:tc>
        <w:tc>
          <w:tcPr>
            <w:tcW w:w="700" w:type="dxa"/>
            <w:tcMar>
              <w:top w:w="0" w:type="dxa"/>
              <w:left w:w="0" w:type="dxa"/>
              <w:bottom w:w="0" w:type="dxa"/>
              <w:right w:w="0" w:type="dxa"/>
            </w:tcMar>
          </w:tcPr>
          <w:p w14:paraId="2086041A"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0.9</w:t>
            </w:r>
          </w:p>
        </w:tc>
        <w:tc>
          <w:tcPr>
            <w:tcW w:w="1311" w:type="dxa"/>
            <w:tcMar>
              <w:top w:w="0" w:type="dxa"/>
              <w:left w:w="0" w:type="dxa"/>
              <w:bottom w:w="0" w:type="dxa"/>
              <w:right w:w="0" w:type="dxa"/>
            </w:tcMar>
          </w:tcPr>
          <w:p w14:paraId="505822B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10.8</w:t>
            </w:r>
          </w:p>
        </w:tc>
      </w:tr>
      <w:tr w:rsidR="00A544A6" w:rsidRPr="005F44EF" w14:paraId="3932C5B9" w14:textId="77777777" w:rsidTr="00A544A6">
        <w:trPr>
          <w:trHeight w:val="290"/>
        </w:trPr>
        <w:tc>
          <w:tcPr>
            <w:tcW w:w="983" w:type="dxa"/>
            <w:tcMar>
              <w:top w:w="0" w:type="dxa"/>
              <w:left w:w="0" w:type="dxa"/>
              <w:bottom w:w="0" w:type="dxa"/>
              <w:right w:w="0" w:type="dxa"/>
            </w:tcMar>
          </w:tcPr>
          <w:p w14:paraId="069F4C5C"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18</w:t>
            </w:r>
          </w:p>
        </w:tc>
        <w:tc>
          <w:tcPr>
            <w:tcW w:w="640" w:type="dxa"/>
            <w:tcMar>
              <w:top w:w="0" w:type="dxa"/>
              <w:left w:w="0" w:type="dxa"/>
              <w:bottom w:w="0" w:type="dxa"/>
              <w:right w:w="0" w:type="dxa"/>
            </w:tcMar>
          </w:tcPr>
          <w:p w14:paraId="28410737"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1.8</w:t>
            </w:r>
          </w:p>
        </w:tc>
        <w:tc>
          <w:tcPr>
            <w:tcW w:w="596" w:type="dxa"/>
            <w:tcMar>
              <w:top w:w="0" w:type="dxa"/>
              <w:left w:w="0" w:type="dxa"/>
              <w:bottom w:w="0" w:type="dxa"/>
              <w:right w:w="0" w:type="dxa"/>
            </w:tcMar>
          </w:tcPr>
          <w:p w14:paraId="61BE9FBF"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D1</w:t>
            </w:r>
          </w:p>
        </w:tc>
        <w:tc>
          <w:tcPr>
            <w:tcW w:w="1266" w:type="dxa"/>
            <w:tcMar>
              <w:top w:w="0" w:type="dxa"/>
              <w:left w:w="0" w:type="dxa"/>
              <w:bottom w:w="0" w:type="dxa"/>
              <w:right w:w="0" w:type="dxa"/>
            </w:tcMar>
          </w:tcPr>
          <w:p w14:paraId="69034943"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-26.5</w:t>
            </w:r>
          </w:p>
        </w:tc>
        <w:tc>
          <w:tcPr>
            <w:tcW w:w="745" w:type="dxa"/>
            <w:tcMar>
              <w:top w:w="0" w:type="dxa"/>
              <w:left w:w="0" w:type="dxa"/>
              <w:bottom w:w="0" w:type="dxa"/>
              <w:right w:w="0" w:type="dxa"/>
            </w:tcMar>
          </w:tcPr>
          <w:p w14:paraId="3E1E783D"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-26.1</w:t>
            </w:r>
          </w:p>
        </w:tc>
        <w:tc>
          <w:tcPr>
            <w:tcW w:w="1266" w:type="dxa"/>
            <w:tcMar>
              <w:top w:w="0" w:type="dxa"/>
              <w:left w:w="0" w:type="dxa"/>
              <w:bottom w:w="0" w:type="dxa"/>
              <w:right w:w="0" w:type="dxa"/>
            </w:tcMar>
          </w:tcPr>
          <w:p w14:paraId="31F7A164"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-26.3</w:t>
            </w:r>
          </w:p>
        </w:tc>
        <w:tc>
          <w:tcPr>
            <w:tcW w:w="506" w:type="dxa"/>
            <w:tcMar>
              <w:top w:w="0" w:type="dxa"/>
              <w:left w:w="0" w:type="dxa"/>
              <w:bottom w:w="0" w:type="dxa"/>
              <w:right w:w="0" w:type="dxa"/>
            </w:tcMar>
          </w:tcPr>
          <w:p w14:paraId="03F73C05"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0.3</w:t>
            </w:r>
          </w:p>
        </w:tc>
        <w:tc>
          <w:tcPr>
            <w:tcW w:w="521" w:type="dxa"/>
            <w:tcMar>
              <w:top w:w="0" w:type="dxa"/>
              <w:left w:w="0" w:type="dxa"/>
              <w:bottom w:w="0" w:type="dxa"/>
              <w:right w:w="0" w:type="dxa"/>
            </w:tcMar>
          </w:tcPr>
          <w:p w14:paraId="3EC63241"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0.4</w:t>
            </w:r>
          </w:p>
        </w:tc>
        <w:tc>
          <w:tcPr>
            <w:tcW w:w="581" w:type="dxa"/>
            <w:tcMar>
              <w:top w:w="0" w:type="dxa"/>
              <w:left w:w="0" w:type="dxa"/>
              <w:bottom w:w="0" w:type="dxa"/>
              <w:right w:w="0" w:type="dxa"/>
            </w:tcMar>
          </w:tcPr>
          <w:p w14:paraId="5482C86B"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0.7</w:t>
            </w:r>
          </w:p>
        </w:tc>
        <w:tc>
          <w:tcPr>
            <w:tcW w:w="700" w:type="dxa"/>
            <w:tcMar>
              <w:top w:w="0" w:type="dxa"/>
              <w:left w:w="0" w:type="dxa"/>
              <w:bottom w:w="0" w:type="dxa"/>
              <w:right w:w="0" w:type="dxa"/>
            </w:tcMar>
          </w:tcPr>
          <w:p w14:paraId="384FA4C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w:t>
            </w:r>
          </w:p>
        </w:tc>
        <w:tc>
          <w:tcPr>
            <w:tcW w:w="1311" w:type="dxa"/>
            <w:tcMar>
              <w:top w:w="0" w:type="dxa"/>
              <w:left w:w="0" w:type="dxa"/>
              <w:bottom w:w="0" w:type="dxa"/>
              <w:right w:w="0" w:type="dxa"/>
            </w:tcMar>
          </w:tcPr>
          <w:p w14:paraId="62718CC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9.2</w:t>
            </w:r>
          </w:p>
        </w:tc>
      </w:tr>
      <w:tr w:rsidR="00A544A6" w:rsidRPr="005F44EF" w14:paraId="4F0733FF" w14:textId="77777777" w:rsidTr="00A544A6">
        <w:trPr>
          <w:trHeight w:val="290"/>
        </w:trPr>
        <w:tc>
          <w:tcPr>
            <w:tcW w:w="983" w:type="dxa"/>
            <w:tcMar>
              <w:top w:w="0" w:type="dxa"/>
              <w:left w:w="0" w:type="dxa"/>
              <w:bottom w:w="0" w:type="dxa"/>
              <w:right w:w="0" w:type="dxa"/>
            </w:tcMar>
          </w:tcPr>
          <w:p w14:paraId="6BD827B7"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19</w:t>
            </w:r>
          </w:p>
        </w:tc>
        <w:tc>
          <w:tcPr>
            <w:tcW w:w="640" w:type="dxa"/>
            <w:tcMar>
              <w:top w:w="0" w:type="dxa"/>
              <w:left w:w="0" w:type="dxa"/>
              <w:bottom w:w="0" w:type="dxa"/>
              <w:right w:w="0" w:type="dxa"/>
            </w:tcMar>
          </w:tcPr>
          <w:p w14:paraId="5E788BB1"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1.9</w:t>
            </w:r>
          </w:p>
        </w:tc>
        <w:tc>
          <w:tcPr>
            <w:tcW w:w="596" w:type="dxa"/>
            <w:tcMar>
              <w:top w:w="0" w:type="dxa"/>
              <w:left w:w="0" w:type="dxa"/>
              <w:bottom w:w="0" w:type="dxa"/>
              <w:right w:w="0" w:type="dxa"/>
            </w:tcMar>
          </w:tcPr>
          <w:p w14:paraId="5193FB03"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D1</w:t>
            </w:r>
          </w:p>
        </w:tc>
        <w:tc>
          <w:tcPr>
            <w:tcW w:w="1266" w:type="dxa"/>
            <w:tcMar>
              <w:top w:w="0" w:type="dxa"/>
              <w:left w:w="0" w:type="dxa"/>
              <w:bottom w:w="0" w:type="dxa"/>
              <w:right w:w="0" w:type="dxa"/>
            </w:tcMar>
          </w:tcPr>
          <w:p w14:paraId="351189A4"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-26.7</w:t>
            </w:r>
          </w:p>
        </w:tc>
        <w:tc>
          <w:tcPr>
            <w:tcW w:w="745" w:type="dxa"/>
            <w:tcMar>
              <w:top w:w="0" w:type="dxa"/>
              <w:left w:w="0" w:type="dxa"/>
              <w:bottom w:w="0" w:type="dxa"/>
              <w:right w:w="0" w:type="dxa"/>
            </w:tcMar>
          </w:tcPr>
          <w:p w14:paraId="7CDA3376"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-27.1</w:t>
            </w:r>
          </w:p>
        </w:tc>
        <w:tc>
          <w:tcPr>
            <w:tcW w:w="1266" w:type="dxa"/>
            <w:tcMar>
              <w:top w:w="0" w:type="dxa"/>
              <w:left w:w="0" w:type="dxa"/>
              <w:bottom w:w="0" w:type="dxa"/>
              <w:right w:w="0" w:type="dxa"/>
            </w:tcMar>
          </w:tcPr>
          <w:p w14:paraId="59F542BB"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-26.9</w:t>
            </w:r>
          </w:p>
        </w:tc>
        <w:tc>
          <w:tcPr>
            <w:tcW w:w="506" w:type="dxa"/>
            <w:tcMar>
              <w:top w:w="0" w:type="dxa"/>
              <w:left w:w="0" w:type="dxa"/>
              <w:bottom w:w="0" w:type="dxa"/>
              <w:right w:w="0" w:type="dxa"/>
            </w:tcMar>
          </w:tcPr>
          <w:p w14:paraId="310DEC5B"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0.3</w:t>
            </w:r>
          </w:p>
        </w:tc>
        <w:tc>
          <w:tcPr>
            <w:tcW w:w="521" w:type="dxa"/>
            <w:tcMar>
              <w:top w:w="0" w:type="dxa"/>
              <w:left w:w="0" w:type="dxa"/>
              <w:bottom w:w="0" w:type="dxa"/>
              <w:right w:w="0" w:type="dxa"/>
            </w:tcMar>
          </w:tcPr>
          <w:p w14:paraId="7E313286"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581" w:type="dxa"/>
            <w:tcMar>
              <w:top w:w="0" w:type="dxa"/>
              <w:left w:w="0" w:type="dxa"/>
              <w:bottom w:w="0" w:type="dxa"/>
              <w:right w:w="0" w:type="dxa"/>
            </w:tcMar>
          </w:tcPr>
          <w:p w14:paraId="406C4C3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700" w:type="dxa"/>
            <w:tcMar>
              <w:top w:w="0" w:type="dxa"/>
              <w:left w:w="0" w:type="dxa"/>
              <w:bottom w:w="0" w:type="dxa"/>
              <w:right w:w="0" w:type="dxa"/>
            </w:tcMar>
          </w:tcPr>
          <w:p w14:paraId="15B4DED5"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1311" w:type="dxa"/>
            <w:tcMar>
              <w:top w:w="0" w:type="dxa"/>
              <w:left w:w="0" w:type="dxa"/>
              <w:bottom w:w="0" w:type="dxa"/>
              <w:right w:w="0" w:type="dxa"/>
            </w:tcMar>
          </w:tcPr>
          <w:p w14:paraId="56D546BA"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14.8</w:t>
            </w:r>
          </w:p>
        </w:tc>
      </w:tr>
      <w:tr w:rsidR="00A544A6" w:rsidRPr="005F44EF" w14:paraId="087C222A" w14:textId="77777777" w:rsidTr="00A544A6">
        <w:trPr>
          <w:trHeight w:val="290"/>
        </w:trPr>
        <w:tc>
          <w:tcPr>
            <w:tcW w:w="983" w:type="dxa"/>
            <w:tcMar>
              <w:top w:w="0" w:type="dxa"/>
              <w:left w:w="0" w:type="dxa"/>
              <w:bottom w:w="0" w:type="dxa"/>
              <w:right w:w="0" w:type="dxa"/>
            </w:tcMar>
          </w:tcPr>
          <w:p w14:paraId="6262A316"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w:t>
            </w:r>
          </w:p>
        </w:tc>
        <w:tc>
          <w:tcPr>
            <w:tcW w:w="640" w:type="dxa"/>
            <w:tcMar>
              <w:top w:w="0" w:type="dxa"/>
              <w:left w:w="0" w:type="dxa"/>
              <w:bottom w:w="0" w:type="dxa"/>
              <w:right w:w="0" w:type="dxa"/>
            </w:tcMar>
          </w:tcPr>
          <w:p w14:paraId="7D1780F1"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w:t>
            </w:r>
          </w:p>
        </w:tc>
        <w:tc>
          <w:tcPr>
            <w:tcW w:w="596" w:type="dxa"/>
            <w:tcMar>
              <w:top w:w="0" w:type="dxa"/>
              <w:left w:w="0" w:type="dxa"/>
              <w:bottom w:w="0" w:type="dxa"/>
              <w:right w:w="0" w:type="dxa"/>
            </w:tcMar>
          </w:tcPr>
          <w:p w14:paraId="09BAAAB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D1</w:t>
            </w:r>
          </w:p>
        </w:tc>
        <w:tc>
          <w:tcPr>
            <w:tcW w:w="1266" w:type="dxa"/>
            <w:tcMar>
              <w:top w:w="0" w:type="dxa"/>
              <w:left w:w="0" w:type="dxa"/>
              <w:bottom w:w="0" w:type="dxa"/>
              <w:right w:w="0" w:type="dxa"/>
            </w:tcMar>
          </w:tcPr>
          <w:p w14:paraId="5934106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-26.1</w:t>
            </w:r>
          </w:p>
        </w:tc>
        <w:tc>
          <w:tcPr>
            <w:tcW w:w="745" w:type="dxa"/>
            <w:tcMar>
              <w:top w:w="0" w:type="dxa"/>
              <w:left w:w="0" w:type="dxa"/>
              <w:bottom w:w="0" w:type="dxa"/>
              <w:right w:w="0" w:type="dxa"/>
            </w:tcMar>
          </w:tcPr>
          <w:p w14:paraId="3D66757F"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-26.0</w:t>
            </w:r>
          </w:p>
        </w:tc>
        <w:tc>
          <w:tcPr>
            <w:tcW w:w="1266" w:type="dxa"/>
            <w:tcMar>
              <w:top w:w="0" w:type="dxa"/>
              <w:left w:w="0" w:type="dxa"/>
              <w:bottom w:w="0" w:type="dxa"/>
              <w:right w:w="0" w:type="dxa"/>
            </w:tcMar>
          </w:tcPr>
          <w:p w14:paraId="1EB64B73"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-26.1</w:t>
            </w:r>
          </w:p>
        </w:tc>
        <w:tc>
          <w:tcPr>
            <w:tcW w:w="506" w:type="dxa"/>
            <w:tcMar>
              <w:top w:w="0" w:type="dxa"/>
              <w:left w:w="0" w:type="dxa"/>
              <w:bottom w:w="0" w:type="dxa"/>
              <w:right w:w="0" w:type="dxa"/>
            </w:tcMar>
          </w:tcPr>
          <w:p w14:paraId="52794B1A"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521" w:type="dxa"/>
            <w:tcMar>
              <w:top w:w="0" w:type="dxa"/>
              <w:left w:w="0" w:type="dxa"/>
              <w:bottom w:w="0" w:type="dxa"/>
              <w:right w:w="0" w:type="dxa"/>
            </w:tcMar>
          </w:tcPr>
          <w:p w14:paraId="1242F37F"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0.3</w:t>
            </w:r>
          </w:p>
        </w:tc>
        <w:tc>
          <w:tcPr>
            <w:tcW w:w="581" w:type="dxa"/>
            <w:tcMar>
              <w:top w:w="0" w:type="dxa"/>
              <w:left w:w="0" w:type="dxa"/>
              <w:bottom w:w="0" w:type="dxa"/>
              <w:right w:w="0" w:type="dxa"/>
            </w:tcMar>
          </w:tcPr>
          <w:p w14:paraId="2D841AD1"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0.4</w:t>
            </w:r>
          </w:p>
        </w:tc>
        <w:tc>
          <w:tcPr>
            <w:tcW w:w="700" w:type="dxa"/>
            <w:tcMar>
              <w:top w:w="0" w:type="dxa"/>
              <w:left w:w="0" w:type="dxa"/>
              <w:bottom w:w="0" w:type="dxa"/>
              <w:right w:w="0" w:type="dxa"/>
            </w:tcMar>
          </w:tcPr>
          <w:p w14:paraId="400588EF"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0.3</w:t>
            </w:r>
          </w:p>
        </w:tc>
        <w:tc>
          <w:tcPr>
            <w:tcW w:w="1311" w:type="dxa"/>
            <w:tcMar>
              <w:top w:w="0" w:type="dxa"/>
              <w:left w:w="0" w:type="dxa"/>
              <w:bottom w:w="0" w:type="dxa"/>
              <w:right w:w="0" w:type="dxa"/>
            </w:tcMar>
          </w:tcPr>
          <w:p w14:paraId="2F631DD4"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14.2</w:t>
            </w:r>
          </w:p>
        </w:tc>
      </w:tr>
      <w:tr w:rsidR="00A544A6" w:rsidRPr="005F44EF" w14:paraId="2B9C3EFA" w14:textId="77777777" w:rsidTr="00A544A6">
        <w:trPr>
          <w:trHeight w:val="290"/>
        </w:trPr>
        <w:tc>
          <w:tcPr>
            <w:tcW w:w="983" w:type="dxa"/>
            <w:tcMar>
              <w:top w:w="0" w:type="dxa"/>
              <w:left w:w="0" w:type="dxa"/>
              <w:bottom w:w="0" w:type="dxa"/>
              <w:right w:w="0" w:type="dxa"/>
            </w:tcMar>
          </w:tcPr>
          <w:p w14:paraId="1D375810"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21</w:t>
            </w:r>
          </w:p>
        </w:tc>
        <w:tc>
          <w:tcPr>
            <w:tcW w:w="640" w:type="dxa"/>
            <w:tcMar>
              <w:top w:w="0" w:type="dxa"/>
              <w:left w:w="0" w:type="dxa"/>
              <w:bottom w:w="0" w:type="dxa"/>
              <w:right w:w="0" w:type="dxa"/>
            </w:tcMar>
          </w:tcPr>
          <w:p w14:paraId="6F3A1721"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2.2</w:t>
            </w:r>
          </w:p>
        </w:tc>
        <w:tc>
          <w:tcPr>
            <w:tcW w:w="596" w:type="dxa"/>
            <w:tcMar>
              <w:top w:w="0" w:type="dxa"/>
              <w:left w:w="0" w:type="dxa"/>
              <w:bottom w:w="0" w:type="dxa"/>
              <w:right w:w="0" w:type="dxa"/>
            </w:tcMar>
          </w:tcPr>
          <w:p w14:paraId="22964B7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D1</w:t>
            </w:r>
          </w:p>
        </w:tc>
        <w:tc>
          <w:tcPr>
            <w:tcW w:w="1266" w:type="dxa"/>
            <w:tcMar>
              <w:top w:w="0" w:type="dxa"/>
              <w:left w:w="0" w:type="dxa"/>
              <w:bottom w:w="0" w:type="dxa"/>
              <w:right w:w="0" w:type="dxa"/>
            </w:tcMar>
          </w:tcPr>
          <w:p w14:paraId="7ADA057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-26.7</w:t>
            </w:r>
          </w:p>
        </w:tc>
        <w:tc>
          <w:tcPr>
            <w:tcW w:w="745" w:type="dxa"/>
            <w:tcMar>
              <w:top w:w="0" w:type="dxa"/>
              <w:left w:w="0" w:type="dxa"/>
              <w:bottom w:w="0" w:type="dxa"/>
              <w:right w:w="0" w:type="dxa"/>
            </w:tcMar>
          </w:tcPr>
          <w:p w14:paraId="190FD1DD"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-26.9</w:t>
            </w:r>
          </w:p>
        </w:tc>
        <w:tc>
          <w:tcPr>
            <w:tcW w:w="1266" w:type="dxa"/>
            <w:tcMar>
              <w:top w:w="0" w:type="dxa"/>
              <w:left w:w="0" w:type="dxa"/>
              <w:bottom w:w="0" w:type="dxa"/>
              <w:right w:w="0" w:type="dxa"/>
            </w:tcMar>
          </w:tcPr>
          <w:p w14:paraId="0EF2D10C"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-26.8</w:t>
            </w:r>
          </w:p>
        </w:tc>
        <w:tc>
          <w:tcPr>
            <w:tcW w:w="506" w:type="dxa"/>
            <w:tcMar>
              <w:top w:w="0" w:type="dxa"/>
              <w:left w:w="0" w:type="dxa"/>
              <w:bottom w:w="0" w:type="dxa"/>
              <w:right w:w="0" w:type="dxa"/>
            </w:tcMar>
          </w:tcPr>
          <w:p w14:paraId="144A70F6"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521" w:type="dxa"/>
            <w:tcMar>
              <w:top w:w="0" w:type="dxa"/>
              <w:left w:w="0" w:type="dxa"/>
              <w:bottom w:w="0" w:type="dxa"/>
              <w:right w:w="0" w:type="dxa"/>
            </w:tcMar>
          </w:tcPr>
          <w:p w14:paraId="06DC384E"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w:t>
            </w:r>
          </w:p>
        </w:tc>
        <w:tc>
          <w:tcPr>
            <w:tcW w:w="581" w:type="dxa"/>
            <w:tcMar>
              <w:top w:w="0" w:type="dxa"/>
              <w:left w:w="0" w:type="dxa"/>
              <w:bottom w:w="0" w:type="dxa"/>
              <w:right w:w="0" w:type="dxa"/>
            </w:tcMar>
          </w:tcPr>
          <w:p w14:paraId="4968BEE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700" w:type="dxa"/>
            <w:tcMar>
              <w:top w:w="0" w:type="dxa"/>
              <w:left w:w="0" w:type="dxa"/>
              <w:bottom w:w="0" w:type="dxa"/>
              <w:right w:w="0" w:type="dxa"/>
            </w:tcMar>
          </w:tcPr>
          <w:p w14:paraId="526FC6EE"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1311" w:type="dxa"/>
            <w:tcMar>
              <w:top w:w="0" w:type="dxa"/>
              <w:left w:w="0" w:type="dxa"/>
              <w:bottom w:w="0" w:type="dxa"/>
              <w:right w:w="0" w:type="dxa"/>
            </w:tcMar>
          </w:tcPr>
          <w:p w14:paraId="252F88B5"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15.8</w:t>
            </w:r>
          </w:p>
        </w:tc>
      </w:tr>
      <w:tr w:rsidR="00A544A6" w:rsidRPr="005F44EF" w14:paraId="438F3999" w14:textId="77777777" w:rsidTr="00A544A6">
        <w:trPr>
          <w:trHeight w:val="290"/>
        </w:trPr>
        <w:tc>
          <w:tcPr>
            <w:tcW w:w="983" w:type="dxa"/>
            <w:tcMar>
              <w:top w:w="0" w:type="dxa"/>
              <w:left w:w="0" w:type="dxa"/>
              <w:bottom w:w="0" w:type="dxa"/>
              <w:right w:w="0" w:type="dxa"/>
            </w:tcMar>
          </w:tcPr>
          <w:p w14:paraId="2428D1A4"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22</w:t>
            </w:r>
          </w:p>
        </w:tc>
        <w:tc>
          <w:tcPr>
            <w:tcW w:w="640" w:type="dxa"/>
            <w:tcMar>
              <w:top w:w="0" w:type="dxa"/>
              <w:left w:w="0" w:type="dxa"/>
              <w:bottom w:w="0" w:type="dxa"/>
              <w:right w:w="0" w:type="dxa"/>
            </w:tcMar>
          </w:tcPr>
          <w:p w14:paraId="4CFF4BBB"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w:t>
            </w:r>
          </w:p>
        </w:tc>
        <w:tc>
          <w:tcPr>
            <w:tcW w:w="596" w:type="dxa"/>
            <w:tcMar>
              <w:top w:w="0" w:type="dxa"/>
              <w:left w:w="0" w:type="dxa"/>
              <w:bottom w:w="0" w:type="dxa"/>
              <w:right w:w="0" w:type="dxa"/>
            </w:tcMar>
          </w:tcPr>
          <w:p w14:paraId="790925E3"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D2</w:t>
            </w:r>
          </w:p>
        </w:tc>
        <w:tc>
          <w:tcPr>
            <w:tcW w:w="1266" w:type="dxa"/>
            <w:tcMar>
              <w:top w:w="0" w:type="dxa"/>
              <w:left w:w="0" w:type="dxa"/>
              <w:bottom w:w="0" w:type="dxa"/>
              <w:right w:w="0" w:type="dxa"/>
            </w:tcMar>
          </w:tcPr>
          <w:p w14:paraId="6EFF7750"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-26.5</w:t>
            </w:r>
          </w:p>
        </w:tc>
        <w:tc>
          <w:tcPr>
            <w:tcW w:w="745" w:type="dxa"/>
            <w:tcMar>
              <w:top w:w="0" w:type="dxa"/>
              <w:left w:w="0" w:type="dxa"/>
              <w:bottom w:w="0" w:type="dxa"/>
              <w:right w:w="0" w:type="dxa"/>
            </w:tcMar>
          </w:tcPr>
          <w:p w14:paraId="59913005"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-26.7</w:t>
            </w:r>
          </w:p>
        </w:tc>
        <w:tc>
          <w:tcPr>
            <w:tcW w:w="1266" w:type="dxa"/>
            <w:tcMar>
              <w:top w:w="0" w:type="dxa"/>
              <w:left w:w="0" w:type="dxa"/>
              <w:bottom w:w="0" w:type="dxa"/>
              <w:right w:w="0" w:type="dxa"/>
            </w:tcMar>
          </w:tcPr>
          <w:p w14:paraId="31EC28AD"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-26.6</w:t>
            </w:r>
          </w:p>
        </w:tc>
        <w:tc>
          <w:tcPr>
            <w:tcW w:w="506" w:type="dxa"/>
            <w:tcMar>
              <w:top w:w="0" w:type="dxa"/>
              <w:left w:w="0" w:type="dxa"/>
              <w:bottom w:w="0" w:type="dxa"/>
              <w:right w:w="0" w:type="dxa"/>
            </w:tcMar>
          </w:tcPr>
          <w:p w14:paraId="4BE14E2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521" w:type="dxa"/>
            <w:tcMar>
              <w:top w:w="0" w:type="dxa"/>
              <w:left w:w="0" w:type="dxa"/>
              <w:bottom w:w="0" w:type="dxa"/>
              <w:right w:w="0" w:type="dxa"/>
            </w:tcMar>
          </w:tcPr>
          <w:p w14:paraId="1D806884"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w:t>
            </w:r>
          </w:p>
        </w:tc>
        <w:tc>
          <w:tcPr>
            <w:tcW w:w="581" w:type="dxa"/>
            <w:tcMar>
              <w:top w:w="0" w:type="dxa"/>
              <w:left w:w="0" w:type="dxa"/>
              <w:bottom w:w="0" w:type="dxa"/>
              <w:right w:w="0" w:type="dxa"/>
            </w:tcMar>
          </w:tcPr>
          <w:p w14:paraId="62365FD3"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700" w:type="dxa"/>
            <w:tcMar>
              <w:top w:w="0" w:type="dxa"/>
              <w:left w:w="0" w:type="dxa"/>
              <w:bottom w:w="0" w:type="dxa"/>
              <w:right w:w="0" w:type="dxa"/>
            </w:tcMar>
          </w:tcPr>
          <w:p w14:paraId="5B07139E"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w:t>
            </w:r>
          </w:p>
        </w:tc>
        <w:tc>
          <w:tcPr>
            <w:tcW w:w="1311" w:type="dxa"/>
            <w:tcMar>
              <w:top w:w="0" w:type="dxa"/>
              <w:left w:w="0" w:type="dxa"/>
              <w:bottom w:w="0" w:type="dxa"/>
              <w:right w:w="0" w:type="dxa"/>
            </w:tcMar>
          </w:tcPr>
          <w:p w14:paraId="398878CE"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14.9</w:t>
            </w:r>
          </w:p>
        </w:tc>
      </w:tr>
      <w:tr w:rsidR="00A544A6" w:rsidRPr="005F44EF" w14:paraId="2C441843" w14:textId="77777777" w:rsidTr="00A544A6">
        <w:trPr>
          <w:trHeight w:val="290"/>
        </w:trPr>
        <w:tc>
          <w:tcPr>
            <w:tcW w:w="983" w:type="dxa"/>
            <w:tcMar>
              <w:top w:w="0" w:type="dxa"/>
              <w:left w:w="0" w:type="dxa"/>
              <w:bottom w:w="0" w:type="dxa"/>
              <w:right w:w="0" w:type="dxa"/>
            </w:tcMar>
          </w:tcPr>
          <w:p w14:paraId="68A1765A"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23</w:t>
            </w:r>
          </w:p>
        </w:tc>
        <w:tc>
          <w:tcPr>
            <w:tcW w:w="640" w:type="dxa"/>
            <w:tcMar>
              <w:top w:w="0" w:type="dxa"/>
              <w:left w:w="0" w:type="dxa"/>
              <w:bottom w:w="0" w:type="dxa"/>
              <w:right w:w="0" w:type="dxa"/>
            </w:tcMar>
          </w:tcPr>
          <w:p w14:paraId="1546376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w:t>
            </w:r>
          </w:p>
        </w:tc>
        <w:tc>
          <w:tcPr>
            <w:tcW w:w="596" w:type="dxa"/>
            <w:tcMar>
              <w:top w:w="0" w:type="dxa"/>
              <w:left w:w="0" w:type="dxa"/>
              <w:bottom w:w="0" w:type="dxa"/>
              <w:right w:w="0" w:type="dxa"/>
            </w:tcMar>
          </w:tcPr>
          <w:p w14:paraId="41C77887"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D2</w:t>
            </w:r>
          </w:p>
        </w:tc>
        <w:tc>
          <w:tcPr>
            <w:tcW w:w="1266" w:type="dxa"/>
            <w:tcMar>
              <w:top w:w="0" w:type="dxa"/>
              <w:left w:w="0" w:type="dxa"/>
              <w:bottom w:w="0" w:type="dxa"/>
              <w:right w:w="0" w:type="dxa"/>
            </w:tcMar>
          </w:tcPr>
          <w:p w14:paraId="1C67A94A"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-26.5</w:t>
            </w:r>
          </w:p>
        </w:tc>
        <w:tc>
          <w:tcPr>
            <w:tcW w:w="745" w:type="dxa"/>
            <w:tcMar>
              <w:top w:w="0" w:type="dxa"/>
              <w:left w:w="0" w:type="dxa"/>
              <w:bottom w:w="0" w:type="dxa"/>
              <w:right w:w="0" w:type="dxa"/>
            </w:tcMar>
          </w:tcPr>
          <w:p w14:paraId="4FD631FB"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-26.8</w:t>
            </w:r>
          </w:p>
        </w:tc>
        <w:tc>
          <w:tcPr>
            <w:tcW w:w="1266" w:type="dxa"/>
            <w:tcMar>
              <w:top w:w="0" w:type="dxa"/>
              <w:left w:w="0" w:type="dxa"/>
              <w:bottom w:w="0" w:type="dxa"/>
              <w:right w:w="0" w:type="dxa"/>
            </w:tcMar>
          </w:tcPr>
          <w:p w14:paraId="67484991"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-26.7</w:t>
            </w:r>
          </w:p>
        </w:tc>
        <w:tc>
          <w:tcPr>
            <w:tcW w:w="506" w:type="dxa"/>
            <w:tcMar>
              <w:top w:w="0" w:type="dxa"/>
              <w:left w:w="0" w:type="dxa"/>
              <w:bottom w:w="0" w:type="dxa"/>
              <w:right w:w="0" w:type="dxa"/>
            </w:tcMar>
          </w:tcPr>
          <w:p w14:paraId="5B3B224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w:t>
            </w:r>
          </w:p>
        </w:tc>
        <w:tc>
          <w:tcPr>
            <w:tcW w:w="521" w:type="dxa"/>
            <w:tcMar>
              <w:top w:w="0" w:type="dxa"/>
              <w:left w:w="0" w:type="dxa"/>
              <w:bottom w:w="0" w:type="dxa"/>
              <w:right w:w="0" w:type="dxa"/>
            </w:tcMar>
          </w:tcPr>
          <w:p w14:paraId="069EFF7F"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0.3</w:t>
            </w:r>
          </w:p>
        </w:tc>
        <w:tc>
          <w:tcPr>
            <w:tcW w:w="581" w:type="dxa"/>
            <w:tcMar>
              <w:top w:w="0" w:type="dxa"/>
              <w:left w:w="0" w:type="dxa"/>
              <w:bottom w:w="0" w:type="dxa"/>
              <w:right w:w="0" w:type="dxa"/>
            </w:tcMar>
          </w:tcPr>
          <w:p w14:paraId="1CBC6EB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700" w:type="dxa"/>
            <w:tcMar>
              <w:top w:w="0" w:type="dxa"/>
              <w:left w:w="0" w:type="dxa"/>
              <w:bottom w:w="0" w:type="dxa"/>
              <w:right w:w="0" w:type="dxa"/>
            </w:tcMar>
          </w:tcPr>
          <w:p w14:paraId="03F082E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w:t>
            </w:r>
          </w:p>
        </w:tc>
        <w:tc>
          <w:tcPr>
            <w:tcW w:w="1311" w:type="dxa"/>
            <w:tcMar>
              <w:top w:w="0" w:type="dxa"/>
              <w:left w:w="0" w:type="dxa"/>
              <w:bottom w:w="0" w:type="dxa"/>
              <w:right w:w="0" w:type="dxa"/>
            </w:tcMar>
          </w:tcPr>
          <w:p w14:paraId="3CDAADA3"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14.2</w:t>
            </w:r>
          </w:p>
        </w:tc>
      </w:tr>
      <w:tr w:rsidR="00A544A6" w:rsidRPr="005F44EF" w14:paraId="41D1DA2F" w14:textId="77777777" w:rsidTr="00A544A6">
        <w:trPr>
          <w:trHeight w:val="290"/>
        </w:trPr>
        <w:tc>
          <w:tcPr>
            <w:tcW w:w="983" w:type="dxa"/>
            <w:tcMar>
              <w:top w:w="0" w:type="dxa"/>
              <w:left w:w="0" w:type="dxa"/>
              <w:bottom w:w="0" w:type="dxa"/>
              <w:right w:w="0" w:type="dxa"/>
            </w:tcMar>
          </w:tcPr>
          <w:p w14:paraId="4B639835"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w:t>
            </w:r>
          </w:p>
        </w:tc>
        <w:tc>
          <w:tcPr>
            <w:tcW w:w="640" w:type="dxa"/>
            <w:tcMar>
              <w:top w:w="0" w:type="dxa"/>
              <w:left w:w="0" w:type="dxa"/>
              <w:bottom w:w="0" w:type="dxa"/>
              <w:right w:w="0" w:type="dxa"/>
            </w:tcMar>
          </w:tcPr>
          <w:p w14:paraId="46D3093D"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2.8</w:t>
            </w:r>
          </w:p>
        </w:tc>
        <w:tc>
          <w:tcPr>
            <w:tcW w:w="596" w:type="dxa"/>
            <w:tcMar>
              <w:top w:w="0" w:type="dxa"/>
              <w:left w:w="0" w:type="dxa"/>
              <w:bottom w:w="0" w:type="dxa"/>
              <w:right w:w="0" w:type="dxa"/>
            </w:tcMar>
          </w:tcPr>
          <w:p w14:paraId="291636CA"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D2</w:t>
            </w:r>
          </w:p>
        </w:tc>
        <w:tc>
          <w:tcPr>
            <w:tcW w:w="1266" w:type="dxa"/>
            <w:tcMar>
              <w:top w:w="0" w:type="dxa"/>
              <w:left w:w="0" w:type="dxa"/>
              <w:bottom w:w="0" w:type="dxa"/>
              <w:right w:w="0" w:type="dxa"/>
            </w:tcMar>
          </w:tcPr>
          <w:p w14:paraId="54409DC0"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-26.6</w:t>
            </w:r>
          </w:p>
        </w:tc>
        <w:tc>
          <w:tcPr>
            <w:tcW w:w="745" w:type="dxa"/>
            <w:tcMar>
              <w:top w:w="0" w:type="dxa"/>
              <w:left w:w="0" w:type="dxa"/>
              <w:bottom w:w="0" w:type="dxa"/>
              <w:right w:w="0" w:type="dxa"/>
            </w:tcMar>
          </w:tcPr>
          <w:p w14:paraId="4DF0BBB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-26.5</w:t>
            </w:r>
          </w:p>
        </w:tc>
        <w:tc>
          <w:tcPr>
            <w:tcW w:w="1266" w:type="dxa"/>
            <w:tcMar>
              <w:top w:w="0" w:type="dxa"/>
              <w:left w:w="0" w:type="dxa"/>
              <w:bottom w:w="0" w:type="dxa"/>
              <w:right w:w="0" w:type="dxa"/>
            </w:tcMar>
          </w:tcPr>
          <w:p w14:paraId="275D798D"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-26.5</w:t>
            </w:r>
          </w:p>
        </w:tc>
        <w:tc>
          <w:tcPr>
            <w:tcW w:w="506" w:type="dxa"/>
            <w:tcMar>
              <w:top w:w="0" w:type="dxa"/>
              <w:left w:w="0" w:type="dxa"/>
              <w:bottom w:w="0" w:type="dxa"/>
              <w:right w:w="0" w:type="dxa"/>
            </w:tcMar>
          </w:tcPr>
          <w:p w14:paraId="480CE08D"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0.0</w:t>
            </w:r>
          </w:p>
        </w:tc>
        <w:tc>
          <w:tcPr>
            <w:tcW w:w="521" w:type="dxa"/>
            <w:tcMar>
              <w:top w:w="0" w:type="dxa"/>
              <w:left w:w="0" w:type="dxa"/>
              <w:bottom w:w="0" w:type="dxa"/>
              <w:right w:w="0" w:type="dxa"/>
            </w:tcMar>
          </w:tcPr>
          <w:p w14:paraId="310F624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w:t>
            </w:r>
          </w:p>
        </w:tc>
        <w:tc>
          <w:tcPr>
            <w:tcW w:w="581" w:type="dxa"/>
            <w:tcMar>
              <w:top w:w="0" w:type="dxa"/>
              <w:left w:w="0" w:type="dxa"/>
              <w:bottom w:w="0" w:type="dxa"/>
              <w:right w:w="0" w:type="dxa"/>
            </w:tcMar>
          </w:tcPr>
          <w:p w14:paraId="36393A1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w:t>
            </w:r>
          </w:p>
        </w:tc>
        <w:tc>
          <w:tcPr>
            <w:tcW w:w="700" w:type="dxa"/>
            <w:tcMar>
              <w:top w:w="0" w:type="dxa"/>
              <w:left w:w="0" w:type="dxa"/>
              <w:bottom w:w="0" w:type="dxa"/>
              <w:right w:w="0" w:type="dxa"/>
            </w:tcMar>
          </w:tcPr>
          <w:p w14:paraId="4C7591F1"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w:t>
            </w:r>
          </w:p>
        </w:tc>
        <w:tc>
          <w:tcPr>
            <w:tcW w:w="1311" w:type="dxa"/>
            <w:tcMar>
              <w:top w:w="0" w:type="dxa"/>
              <w:left w:w="0" w:type="dxa"/>
              <w:bottom w:w="0" w:type="dxa"/>
              <w:right w:w="0" w:type="dxa"/>
            </w:tcMar>
          </w:tcPr>
          <w:p w14:paraId="556C9661"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15.4</w:t>
            </w:r>
          </w:p>
        </w:tc>
      </w:tr>
      <w:tr w:rsidR="00A544A6" w:rsidRPr="005F44EF" w14:paraId="3DA3C7D6" w14:textId="77777777" w:rsidTr="00A544A6">
        <w:trPr>
          <w:trHeight w:val="290"/>
        </w:trPr>
        <w:tc>
          <w:tcPr>
            <w:tcW w:w="983" w:type="dxa"/>
            <w:tcMar>
              <w:top w:w="0" w:type="dxa"/>
              <w:left w:w="0" w:type="dxa"/>
              <w:bottom w:w="0" w:type="dxa"/>
              <w:right w:w="0" w:type="dxa"/>
            </w:tcMar>
          </w:tcPr>
          <w:p w14:paraId="2AAC19D6"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w:t>
            </w:r>
          </w:p>
        </w:tc>
        <w:tc>
          <w:tcPr>
            <w:tcW w:w="640" w:type="dxa"/>
            <w:tcMar>
              <w:top w:w="0" w:type="dxa"/>
              <w:left w:w="0" w:type="dxa"/>
              <w:bottom w:w="0" w:type="dxa"/>
              <w:right w:w="0" w:type="dxa"/>
            </w:tcMar>
          </w:tcPr>
          <w:p w14:paraId="2767FBA3"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w:t>
            </w:r>
          </w:p>
        </w:tc>
        <w:tc>
          <w:tcPr>
            <w:tcW w:w="596" w:type="dxa"/>
            <w:tcMar>
              <w:top w:w="0" w:type="dxa"/>
              <w:left w:w="0" w:type="dxa"/>
              <w:bottom w:w="0" w:type="dxa"/>
              <w:right w:w="0" w:type="dxa"/>
            </w:tcMar>
          </w:tcPr>
          <w:p w14:paraId="5B2D6E56"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D2</w:t>
            </w:r>
          </w:p>
        </w:tc>
        <w:tc>
          <w:tcPr>
            <w:tcW w:w="1266" w:type="dxa"/>
            <w:tcMar>
              <w:top w:w="0" w:type="dxa"/>
              <w:left w:w="0" w:type="dxa"/>
              <w:bottom w:w="0" w:type="dxa"/>
              <w:right w:w="0" w:type="dxa"/>
            </w:tcMar>
          </w:tcPr>
          <w:p w14:paraId="78EEB613"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-26.3</w:t>
            </w:r>
          </w:p>
        </w:tc>
        <w:tc>
          <w:tcPr>
            <w:tcW w:w="745" w:type="dxa"/>
            <w:tcMar>
              <w:top w:w="0" w:type="dxa"/>
              <w:left w:w="0" w:type="dxa"/>
              <w:bottom w:w="0" w:type="dxa"/>
              <w:right w:w="0" w:type="dxa"/>
            </w:tcMar>
          </w:tcPr>
          <w:p w14:paraId="78CBF920"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-26.7</w:t>
            </w:r>
          </w:p>
        </w:tc>
        <w:tc>
          <w:tcPr>
            <w:tcW w:w="1266" w:type="dxa"/>
            <w:tcMar>
              <w:top w:w="0" w:type="dxa"/>
              <w:left w:w="0" w:type="dxa"/>
              <w:bottom w:w="0" w:type="dxa"/>
              <w:right w:w="0" w:type="dxa"/>
            </w:tcMar>
          </w:tcPr>
          <w:p w14:paraId="44213523"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-26.5</w:t>
            </w:r>
          </w:p>
        </w:tc>
        <w:tc>
          <w:tcPr>
            <w:tcW w:w="506" w:type="dxa"/>
            <w:tcMar>
              <w:top w:w="0" w:type="dxa"/>
              <w:left w:w="0" w:type="dxa"/>
              <w:bottom w:w="0" w:type="dxa"/>
              <w:right w:w="0" w:type="dxa"/>
            </w:tcMar>
          </w:tcPr>
          <w:p w14:paraId="49006AF0"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0.3</w:t>
            </w:r>
          </w:p>
        </w:tc>
        <w:tc>
          <w:tcPr>
            <w:tcW w:w="521" w:type="dxa"/>
            <w:tcMar>
              <w:top w:w="0" w:type="dxa"/>
              <w:left w:w="0" w:type="dxa"/>
              <w:bottom w:w="0" w:type="dxa"/>
              <w:right w:w="0" w:type="dxa"/>
            </w:tcMar>
          </w:tcPr>
          <w:p w14:paraId="30135041"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0.3</w:t>
            </w:r>
          </w:p>
        </w:tc>
        <w:tc>
          <w:tcPr>
            <w:tcW w:w="581" w:type="dxa"/>
            <w:tcMar>
              <w:top w:w="0" w:type="dxa"/>
              <w:left w:w="0" w:type="dxa"/>
              <w:bottom w:w="0" w:type="dxa"/>
              <w:right w:w="0" w:type="dxa"/>
            </w:tcMar>
          </w:tcPr>
          <w:p w14:paraId="6FFAA9FF"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w:t>
            </w:r>
          </w:p>
        </w:tc>
        <w:tc>
          <w:tcPr>
            <w:tcW w:w="700" w:type="dxa"/>
            <w:tcMar>
              <w:top w:w="0" w:type="dxa"/>
              <w:left w:w="0" w:type="dxa"/>
              <w:bottom w:w="0" w:type="dxa"/>
              <w:right w:w="0" w:type="dxa"/>
            </w:tcMar>
          </w:tcPr>
          <w:p w14:paraId="7E589A6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w:t>
            </w:r>
          </w:p>
        </w:tc>
        <w:tc>
          <w:tcPr>
            <w:tcW w:w="1311" w:type="dxa"/>
            <w:tcMar>
              <w:top w:w="0" w:type="dxa"/>
              <w:left w:w="0" w:type="dxa"/>
              <w:bottom w:w="0" w:type="dxa"/>
              <w:right w:w="0" w:type="dxa"/>
            </w:tcMar>
          </w:tcPr>
          <w:p w14:paraId="2828BB3C"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15.0</w:t>
            </w:r>
          </w:p>
        </w:tc>
      </w:tr>
      <w:tr w:rsidR="00A544A6" w:rsidRPr="005F44EF" w14:paraId="72AC5712" w14:textId="77777777" w:rsidTr="00A544A6">
        <w:trPr>
          <w:trHeight w:val="290"/>
        </w:trPr>
        <w:tc>
          <w:tcPr>
            <w:tcW w:w="983" w:type="dxa"/>
            <w:tcMar>
              <w:top w:w="0" w:type="dxa"/>
              <w:left w:w="0" w:type="dxa"/>
              <w:bottom w:w="0" w:type="dxa"/>
              <w:right w:w="0" w:type="dxa"/>
            </w:tcMar>
          </w:tcPr>
          <w:p w14:paraId="4F362AD1"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w:t>
            </w:r>
          </w:p>
        </w:tc>
        <w:tc>
          <w:tcPr>
            <w:tcW w:w="640" w:type="dxa"/>
            <w:tcMar>
              <w:top w:w="0" w:type="dxa"/>
              <w:left w:w="0" w:type="dxa"/>
              <w:bottom w:w="0" w:type="dxa"/>
              <w:right w:w="0" w:type="dxa"/>
            </w:tcMar>
          </w:tcPr>
          <w:p w14:paraId="6C15781A"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3.2</w:t>
            </w:r>
          </w:p>
        </w:tc>
        <w:tc>
          <w:tcPr>
            <w:tcW w:w="596" w:type="dxa"/>
            <w:tcMar>
              <w:top w:w="0" w:type="dxa"/>
              <w:left w:w="0" w:type="dxa"/>
              <w:bottom w:w="0" w:type="dxa"/>
              <w:right w:w="0" w:type="dxa"/>
            </w:tcMar>
          </w:tcPr>
          <w:p w14:paraId="0EAD780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D2</w:t>
            </w:r>
          </w:p>
        </w:tc>
        <w:tc>
          <w:tcPr>
            <w:tcW w:w="1266" w:type="dxa"/>
            <w:tcMar>
              <w:top w:w="0" w:type="dxa"/>
              <w:left w:w="0" w:type="dxa"/>
              <w:bottom w:w="0" w:type="dxa"/>
              <w:right w:w="0" w:type="dxa"/>
            </w:tcMar>
          </w:tcPr>
          <w:p w14:paraId="2FE284AD"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-26.6</w:t>
            </w:r>
          </w:p>
        </w:tc>
        <w:tc>
          <w:tcPr>
            <w:tcW w:w="745" w:type="dxa"/>
            <w:tcMar>
              <w:top w:w="0" w:type="dxa"/>
              <w:left w:w="0" w:type="dxa"/>
              <w:bottom w:w="0" w:type="dxa"/>
              <w:right w:w="0" w:type="dxa"/>
            </w:tcMar>
          </w:tcPr>
          <w:p w14:paraId="2008BC6A"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-26.5</w:t>
            </w:r>
          </w:p>
        </w:tc>
        <w:tc>
          <w:tcPr>
            <w:tcW w:w="1266" w:type="dxa"/>
            <w:tcMar>
              <w:top w:w="0" w:type="dxa"/>
              <w:left w:w="0" w:type="dxa"/>
              <w:bottom w:w="0" w:type="dxa"/>
              <w:right w:w="0" w:type="dxa"/>
            </w:tcMar>
          </w:tcPr>
          <w:p w14:paraId="0A30E0A3"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-26.6</w:t>
            </w:r>
          </w:p>
        </w:tc>
        <w:tc>
          <w:tcPr>
            <w:tcW w:w="506" w:type="dxa"/>
            <w:tcMar>
              <w:top w:w="0" w:type="dxa"/>
              <w:left w:w="0" w:type="dxa"/>
              <w:bottom w:w="0" w:type="dxa"/>
              <w:right w:w="0" w:type="dxa"/>
            </w:tcMar>
          </w:tcPr>
          <w:p w14:paraId="1026948D"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0.0</w:t>
            </w:r>
          </w:p>
        </w:tc>
        <w:tc>
          <w:tcPr>
            <w:tcW w:w="521" w:type="dxa"/>
            <w:tcMar>
              <w:top w:w="0" w:type="dxa"/>
              <w:left w:w="0" w:type="dxa"/>
              <w:bottom w:w="0" w:type="dxa"/>
              <w:right w:w="0" w:type="dxa"/>
            </w:tcMar>
          </w:tcPr>
          <w:p w14:paraId="331D95B4"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w:t>
            </w:r>
          </w:p>
        </w:tc>
        <w:tc>
          <w:tcPr>
            <w:tcW w:w="581" w:type="dxa"/>
            <w:tcMar>
              <w:top w:w="0" w:type="dxa"/>
              <w:left w:w="0" w:type="dxa"/>
              <w:bottom w:w="0" w:type="dxa"/>
              <w:right w:w="0" w:type="dxa"/>
            </w:tcMar>
          </w:tcPr>
          <w:p w14:paraId="1104E1E0"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700" w:type="dxa"/>
            <w:tcMar>
              <w:top w:w="0" w:type="dxa"/>
              <w:left w:w="0" w:type="dxa"/>
              <w:bottom w:w="0" w:type="dxa"/>
              <w:right w:w="0" w:type="dxa"/>
            </w:tcMar>
          </w:tcPr>
          <w:p w14:paraId="035A0CCB"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w:t>
            </w:r>
          </w:p>
        </w:tc>
        <w:tc>
          <w:tcPr>
            <w:tcW w:w="1311" w:type="dxa"/>
            <w:tcMar>
              <w:top w:w="0" w:type="dxa"/>
              <w:left w:w="0" w:type="dxa"/>
              <w:bottom w:w="0" w:type="dxa"/>
              <w:right w:w="0" w:type="dxa"/>
            </w:tcMar>
          </w:tcPr>
          <w:p w14:paraId="30A986FD"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14.4</w:t>
            </w:r>
          </w:p>
        </w:tc>
      </w:tr>
      <w:tr w:rsidR="00A544A6" w:rsidRPr="005F44EF" w14:paraId="6211A138" w14:textId="77777777" w:rsidTr="00A544A6">
        <w:trPr>
          <w:trHeight w:val="290"/>
        </w:trPr>
        <w:tc>
          <w:tcPr>
            <w:tcW w:w="983" w:type="dxa"/>
            <w:tcMar>
              <w:top w:w="0" w:type="dxa"/>
              <w:left w:w="0" w:type="dxa"/>
              <w:bottom w:w="0" w:type="dxa"/>
              <w:right w:w="0" w:type="dxa"/>
            </w:tcMar>
          </w:tcPr>
          <w:p w14:paraId="58955276"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w:t>
            </w:r>
          </w:p>
        </w:tc>
        <w:tc>
          <w:tcPr>
            <w:tcW w:w="640" w:type="dxa"/>
            <w:tcMar>
              <w:top w:w="0" w:type="dxa"/>
              <w:left w:w="0" w:type="dxa"/>
              <w:bottom w:w="0" w:type="dxa"/>
              <w:right w:w="0" w:type="dxa"/>
            </w:tcMar>
          </w:tcPr>
          <w:p w14:paraId="73895BB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3.4</w:t>
            </w:r>
          </w:p>
        </w:tc>
        <w:tc>
          <w:tcPr>
            <w:tcW w:w="596" w:type="dxa"/>
            <w:tcMar>
              <w:top w:w="0" w:type="dxa"/>
              <w:left w:w="0" w:type="dxa"/>
              <w:bottom w:w="0" w:type="dxa"/>
              <w:right w:w="0" w:type="dxa"/>
            </w:tcMar>
          </w:tcPr>
          <w:p w14:paraId="778FABE7"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D2</w:t>
            </w:r>
          </w:p>
        </w:tc>
        <w:tc>
          <w:tcPr>
            <w:tcW w:w="1266" w:type="dxa"/>
            <w:tcMar>
              <w:top w:w="0" w:type="dxa"/>
              <w:left w:w="0" w:type="dxa"/>
              <w:bottom w:w="0" w:type="dxa"/>
              <w:right w:w="0" w:type="dxa"/>
            </w:tcMar>
          </w:tcPr>
          <w:p w14:paraId="5DC2C104"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-26.4</w:t>
            </w:r>
          </w:p>
        </w:tc>
        <w:tc>
          <w:tcPr>
            <w:tcW w:w="745" w:type="dxa"/>
            <w:tcMar>
              <w:top w:w="0" w:type="dxa"/>
              <w:left w:w="0" w:type="dxa"/>
              <w:bottom w:w="0" w:type="dxa"/>
              <w:right w:w="0" w:type="dxa"/>
            </w:tcMar>
          </w:tcPr>
          <w:p w14:paraId="1373994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-26.6</w:t>
            </w:r>
          </w:p>
        </w:tc>
        <w:tc>
          <w:tcPr>
            <w:tcW w:w="1266" w:type="dxa"/>
            <w:tcMar>
              <w:top w:w="0" w:type="dxa"/>
              <w:left w:w="0" w:type="dxa"/>
              <w:bottom w:w="0" w:type="dxa"/>
              <w:right w:w="0" w:type="dxa"/>
            </w:tcMar>
          </w:tcPr>
          <w:p w14:paraId="54CC4F66"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-26.5</w:t>
            </w:r>
          </w:p>
        </w:tc>
        <w:tc>
          <w:tcPr>
            <w:tcW w:w="506" w:type="dxa"/>
            <w:tcMar>
              <w:top w:w="0" w:type="dxa"/>
              <w:left w:w="0" w:type="dxa"/>
              <w:bottom w:w="0" w:type="dxa"/>
              <w:right w:w="0" w:type="dxa"/>
            </w:tcMar>
          </w:tcPr>
          <w:p w14:paraId="3D0ED9A4"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521" w:type="dxa"/>
            <w:tcMar>
              <w:top w:w="0" w:type="dxa"/>
              <w:left w:w="0" w:type="dxa"/>
              <w:bottom w:w="0" w:type="dxa"/>
              <w:right w:w="0" w:type="dxa"/>
            </w:tcMar>
          </w:tcPr>
          <w:p w14:paraId="7DC03D65"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581" w:type="dxa"/>
            <w:tcMar>
              <w:top w:w="0" w:type="dxa"/>
              <w:left w:w="0" w:type="dxa"/>
              <w:bottom w:w="0" w:type="dxa"/>
              <w:right w:w="0" w:type="dxa"/>
            </w:tcMar>
          </w:tcPr>
          <w:p w14:paraId="53003D35"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w:t>
            </w:r>
          </w:p>
        </w:tc>
        <w:tc>
          <w:tcPr>
            <w:tcW w:w="700" w:type="dxa"/>
            <w:tcMar>
              <w:top w:w="0" w:type="dxa"/>
              <w:left w:w="0" w:type="dxa"/>
              <w:bottom w:w="0" w:type="dxa"/>
              <w:right w:w="0" w:type="dxa"/>
            </w:tcMar>
          </w:tcPr>
          <w:p w14:paraId="4B38FB4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1311" w:type="dxa"/>
            <w:tcMar>
              <w:top w:w="0" w:type="dxa"/>
              <w:left w:w="0" w:type="dxa"/>
              <w:bottom w:w="0" w:type="dxa"/>
              <w:right w:w="0" w:type="dxa"/>
            </w:tcMar>
          </w:tcPr>
          <w:p w14:paraId="640D01F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14.6</w:t>
            </w:r>
          </w:p>
        </w:tc>
      </w:tr>
      <w:tr w:rsidR="00A544A6" w:rsidRPr="005F44EF" w14:paraId="43311565" w14:textId="77777777" w:rsidTr="00A544A6">
        <w:trPr>
          <w:trHeight w:val="290"/>
        </w:trPr>
        <w:tc>
          <w:tcPr>
            <w:tcW w:w="983" w:type="dxa"/>
            <w:tcMar>
              <w:top w:w="0" w:type="dxa"/>
              <w:left w:w="0" w:type="dxa"/>
              <w:bottom w:w="0" w:type="dxa"/>
              <w:right w:w="0" w:type="dxa"/>
            </w:tcMar>
          </w:tcPr>
          <w:p w14:paraId="5962D38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28</w:t>
            </w:r>
          </w:p>
        </w:tc>
        <w:tc>
          <w:tcPr>
            <w:tcW w:w="640" w:type="dxa"/>
            <w:tcMar>
              <w:top w:w="0" w:type="dxa"/>
              <w:left w:w="0" w:type="dxa"/>
              <w:bottom w:w="0" w:type="dxa"/>
              <w:right w:w="0" w:type="dxa"/>
            </w:tcMar>
          </w:tcPr>
          <w:p w14:paraId="3F5A01B7"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3.6</w:t>
            </w:r>
          </w:p>
        </w:tc>
        <w:tc>
          <w:tcPr>
            <w:tcW w:w="596" w:type="dxa"/>
            <w:tcMar>
              <w:top w:w="0" w:type="dxa"/>
              <w:left w:w="0" w:type="dxa"/>
              <w:bottom w:w="0" w:type="dxa"/>
              <w:right w:w="0" w:type="dxa"/>
            </w:tcMar>
          </w:tcPr>
          <w:p w14:paraId="7B00A63D"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D2</w:t>
            </w:r>
          </w:p>
        </w:tc>
        <w:tc>
          <w:tcPr>
            <w:tcW w:w="1266" w:type="dxa"/>
            <w:tcMar>
              <w:top w:w="0" w:type="dxa"/>
              <w:left w:w="0" w:type="dxa"/>
              <w:bottom w:w="0" w:type="dxa"/>
              <w:right w:w="0" w:type="dxa"/>
            </w:tcMar>
          </w:tcPr>
          <w:p w14:paraId="62F66D6A"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-26.4</w:t>
            </w:r>
          </w:p>
        </w:tc>
        <w:tc>
          <w:tcPr>
            <w:tcW w:w="745" w:type="dxa"/>
            <w:tcMar>
              <w:top w:w="0" w:type="dxa"/>
              <w:left w:w="0" w:type="dxa"/>
              <w:bottom w:w="0" w:type="dxa"/>
              <w:right w:w="0" w:type="dxa"/>
            </w:tcMar>
          </w:tcPr>
          <w:p w14:paraId="22D0741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-26.5</w:t>
            </w:r>
          </w:p>
        </w:tc>
        <w:tc>
          <w:tcPr>
            <w:tcW w:w="1266" w:type="dxa"/>
            <w:tcMar>
              <w:top w:w="0" w:type="dxa"/>
              <w:left w:w="0" w:type="dxa"/>
              <w:bottom w:w="0" w:type="dxa"/>
              <w:right w:w="0" w:type="dxa"/>
            </w:tcMar>
          </w:tcPr>
          <w:p w14:paraId="320193FB"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-26.4</w:t>
            </w:r>
          </w:p>
        </w:tc>
        <w:tc>
          <w:tcPr>
            <w:tcW w:w="506" w:type="dxa"/>
            <w:tcMar>
              <w:top w:w="0" w:type="dxa"/>
              <w:left w:w="0" w:type="dxa"/>
              <w:bottom w:w="0" w:type="dxa"/>
              <w:right w:w="0" w:type="dxa"/>
            </w:tcMar>
          </w:tcPr>
          <w:p w14:paraId="0196DBEE"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521" w:type="dxa"/>
            <w:tcMar>
              <w:top w:w="0" w:type="dxa"/>
              <w:left w:w="0" w:type="dxa"/>
              <w:bottom w:w="0" w:type="dxa"/>
              <w:right w:w="0" w:type="dxa"/>
            </w:tcMar>
          </w:tcPr>
          <w:p w14:paraId="137FE17A"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w:t>
            </w:r>
          </w:p>
        </w:tc>
        <w:tc>
          <w:tcPr>
            <w:tcW w:w="581" w:type="dxa"/>
            <w:tcMar>
              <w:top w:w="0" w:type="dxa"/>
              <w:left w:w="0" w:type="dxa"/>
              <w:bottom w:w="0" w:type="dxa"/>
              <w:right w:w="0" w:type="dxa"/>
            </w:tcMar>
          </w:tcPr>
          <w:p w14:paraId="2BF9B8A6"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w:t>
            </w:r>
          </w:p>
        </w:tc>
        <w:tc>
          <w:tcPr>
            <w:tcW w:w="700" w:type="dxa"/>
            <w:tcMar>
              <w:top w:w="0" w:type="dxa"/>
              <w:left w:w="0" w:type="dxa"/>
              <w:bottom w:w="0" w:type="dxa"/>
              <w:right w:w="0" w:type="dxa"/>
            </w:tcMar>
          </w:tcPr>
          <w:p w14:paraId="262D878B"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w:t>
            </w:r>
          </w:p>
        </w:tc>
        <w:tc>
          <w:tcPr>
            <w:tcW w:w="1311" w:type="dxa"/>
            <w:tcMar>
              <w:top w:w="0" w:type="dxa"/>
              <w:left w:w="0" w:type="dxa"/>
              <w:bottom w:w="0" w:type="dxa"/>
              <w:right w:w="0" w:type="dxa"/>
            </w:tcMar>
          </w:tcPr>
          <w:p w14:paraId="3BB5A96A"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14.4</w:t>
            </w:r>
          </w:p>
        </w:tc>
      </w:tr>
      <w:tr w:rsidR="00A544A6" w:rsidRPr="005F44EF" w14:paraId="6E589416" w14:textId="77777777" w:rsidTr="00A544A6">
        <w:trPr>
          <w:trHeight w:val="290"/>
        </w:trPr>
        <w:tc>
          <w:tcPr>
            <w:tcW w:w="983" w:type="dxa"/>
            <w:tcMar>
              <w:top w:w="0" w:type="dxa"/>
              <w:left w:w="0" w:type="dxa"/>
              <w:bottom w:w="0" w:type="dxa"/>
              <w:right w:w="0" w:type="dxa"/>
            </w:tcMar>
          </w:tcPr>
          <w:p w14:paraId="4D0EA99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29</w:t>
            </w:r>
          </w:p>
        </w:tc>
        <w:tc>
          <w:tcPr>
            <w:tcW w:w="640" w:type="dxa"/>
            <w:tcMar>
              <w:top w:w="0" w:type="dxa"/>
              <w:left w:w="0" w:type="dxa"/>
              <w:bottom w:w="0" w:type="dxa"/>
              <w:right w:w="0" w:type="dxa"/>
            </w:tcMar>
          </w:tcPr>
          <w:p w14:paraId="468D074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3.8</w:t>
            </w:r>
          </w:p>
        </w:tc>
        <w:tc>
          <w:tcPr>
            <w:tcW w:w="596" w:type="dxa"/>
            <w:tcMar>
              <w:top w:w="0" w:type="dxa"/>
              <w:left w:w="0" w:type="dxa"/>
              <w:bottom w:w="0" w:type="dxa"/>
              <w:right w:w="0" w:type="dxa"/>
            </w:tcMar>
          </w:tcPr>
          <w:p w14:paraId="2B5C3D0E"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D2</w:t>
            </w:r>
          </w:p>
        </w:tc>
        <w:tc>
          <w:tcPr>
            <w:tcW w:w="1266" w:type="dxa"/>
            <w:tcMar>
              <w:top w:w="0" w:type="dxa"/>
              <w:left w:w="0" w:type="dxa"/>
              <w:bottom w:w="0" w:type="dxa"/>
              <w:right w:w="0" w:type="dxa"/>
            </w:tcMar>
          </w:tcPr>
          <w:p w14:paraId="0C9EFFE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-27.1</w:t>
            </w:r>
          </w:p>
        </w:tc>
        <w:tc>
          <w:tcPr>
            <w:tcW w:w="745" w:type="dxa"/>
            <w:tcMar>
              <w:top w:w="0" w:type="dxa"/>
              <w:left w:w="0" w:type="dxa"/>
              <w:bottom w:w="0" w:type="dxa"/>
              <w:right w:w="0" w:type="dxa"/>
            </w:tcMar>
          </w:tcPr>
          <w:p w14:paraId="4ACC1523"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-26.9</w:t>
            </w:r>
          </w:p>
        </w:tc>
        <w:tc>
          <w:tcPr>
            <w:tcW w:w="1266" w:type="dxa"/>
            <w:tcMar>
              <w:top w:w="0" w:type="dxa"/>
              <w:left w:w="0" w:type="dxa"/>
              <w:bottom w:w="0" w:type="dxa"/>
              <w:right w:w="0" w:type="dxa"/>
            </w:tcMar>
          </w:tcPr>
          <w:p w14:paraId="1253BFDA"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-27.0</w:t>
            </w:r>
          </w:p>
        </w:tc>
        <w:tc>
          <w:tcPr>
            <w:tcW w:w="506" w:type="dxa"/>
            <w:tcMar>
              <w:top w:w="0" w:type="dxa"/>
              <w:left w:w="0" w:type="dxa"/>
              <w:bottom w:w="0" w:type="dxa"/>
              <w:right w:w="0" w:type="dxa"/>
            </w:tcMar>
          </w:tcPr>
          <w:p w14:paraId="31F3C365"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521" w:type="dxa"/>
            <w:tcMar>
              <w:top w:w="0" w:type="dxa"/>
              <w:left w:w="0" w:type="dxa"/>
              <w:bottom w:w="0" w:type="dxa"/>
              <w:right w:w="0" w:type="dxa"/>
            </w:tcMar>
          </w:tcPr>
          <w:p w14:paraId="6F9BD22E"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581" w:type="dxa"/>
            <w:tcMar>
              <w:top w:w="0" w:type="dxa"/>
              <w:left w:w="0" w:type="dxa"/>
              <w:bottom w:w="0" w:type="dxa"/>
              <w:right w:w="0" w:type="dxa"/>
            </w:tcMar>
          </w:tcPr>
          <w:p w14:paraId="47DB1C6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700" w:type="dxa"/>
            <w:tcMar>
              <w:top w:w="0" w:type="dxa"/>
              <w:left w:w="0" w:type="dxa"/>
              <w:bottom w:w="0" w:type="dxa"/>
              <w:right w:w="0" w:type="dxa"/>
            </w:tcMar>
          </w:tcPr>
          <w:p w14:paraId="3BDD98A0"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1311" w:type="dxa"/>
            <w:tcMar>
              <w:top w:w="0" w:type="dxa"/>
              <w:left w:w="0" w:type="dxa"/>
              <w:bottom w:w="0" w:type="dxa"/>
              <w:right w:w="0" w:type="dxa"/>
            </w:tcMar>
          </w:tcPr>
          <w:p w14:paraId="3F34F99B"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14.4</w:t>
            </w:r>
          </w:p>
        </w:tc>
      </w:tr>
      <w:tr w:rsidR="00A544A6" w:rsidRPr="005F44EF" w14:paraId="23FF3CF3" w14:textId="77777777" w:rsidTr="00A544A6">
        <w:trPr>
          <w:trHeight w:val="290"/>
        </w:trPr>
        <w:tc>
          <w:tcPr>
            <w:tcW w:w="983" w:type="dxa"/>
            <w:tcMar>
              <w:top w:w="0" w:type="dxa"/>
              <w:left w:w="0" w:type="dxa"/>
              <w:bottom w:w="0" w:type="dxa"/>
              <w:right w:w="0" w:type="dxa"/>
            </w:tcMar>
          </w:tcPr>
          <w:p w14:paraId="5735F59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30</w:t>
            </w:r>
          </w:p>
        </w:tc>
        <w:tc>
          <w:tcPr>
            <w:tcW w:w="640" w:type="dxa"/>
            <w:tcMar>
              <w:top w:w="0" w:type="dxa"/>
              <w:left w:w="0" w:type="dxa"/>
              <w:bottom w:w="0" w:type="dxa"/>
              <w:right w:w="0" w:type="dxa"/>
            </w:tcMar>
          </w:tcPr>
          <w:p w14:paraId="4C1BADBF"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4</w:t>
            </w:r>
          </w:p>
        </w:tc>
        <w:tc>
          <w:tcPr>
            <w:tcW w:w="596" w:type="dxa"/>
            <w:tcMar>
              <w:top w:w="0" w:type="dxa"/>
              <w:left w:w="0" w:type="dxa"/>
              <w:bottom w:w="0" w:type="dxa"/>
              <w:right w:w="0" w:type="dxa"/>
            </w:tcMar>
          </w:tcPr>
          <w:p w14:paraId="5CE556F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D3</w:t>
            </w:r>
          </w:p>
        </w:tc>
        <w:tc>
          <w:tcPr>
            <w:tcW w:w="1266" w:type="dxa"/>
            <w:tcMar>
              <w:top w:w="0" w:type="dxa"/>
              <w:left w:w="0" w:type="dxa"/>
              <w:bottom w:w="0" w:type="dxa"/>
              <w:right w:w="0" w:type="dxa"/>
            </w:tcMar>
          </w:tcPr>
          <w:p w14:paraId="6545649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-27.5</w:t>
            </w:r>
          </w:p>
        </w:tc>
        <w:tc>
          <w:tcPr>
            <w:tcW w:w="745" w:type="dxa"/>
            <w:tcMar>
              <w:top w:w="0" w:type="dxa"/>
              <w:left w:w="0" w:type="dxa"/>
              <w:bottom w:w="0" w:type="dxa"/>
              <w:right w:w="0" w:type="dxa"/>
            </w:tcMar>
          </w:tcPr>
          <w:p w14:paraId="3230FD87"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-27.3</w:t>
            </w:r>
          </w:p>
        </w:tc>
        <w:tc>
          <w:tcPr>
            <w:tcW w:w="1266" w:type="dxa"/>
            <w:tcMar>
              <w:top w:w="0" w:type="dxa"/>
              <w:left w:w="0" w:type="dxa"/>
              <w:bottom w:w="0" w:type="dxa"/>
              <w:right w:w="0" w:type="dxa"/>
            </w:tcMar>
          </w:tcPr>
          <w:p w14:paraId="1C7AE38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-27.4</w:t>
            </w:r>
          </w:p>
        </w:tc>
        <w:tc>
          <w:tcPr>
            <w:tcW w:w="506" w:type="dxa"/>
            <w:tcMar>
              <w:top w:w="0" w:type="dxa"/>
              <w:left w:w="0" w:type="dxa"/>
              <w:bottom w:w="0" w:type="dxa"/>
              <w:right w:w="0" w:type="dxa"/>
            </w:tcMar>
          </w:tcPr>
          <w:p w14:paraId="3176C64C"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521" w:type="dxa"/>
            <w:tcMar>
              <w:top w:w="0" w:type="dxa"/>
              <w:left w:w="0" w:type="dxa"/>
              <w:bottom w:w="0" w:type="dxa"/>
              <w:right w:w="0" w:type="dxa"/>
            </w:tcMar>
          </w:tcPr>
          <w:p w14:paraId="34A223CF"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w:t>
            </w:r>
          </w:p>
        </w:tc>
        <w:tc>
          <w:tcPr>
            <w:tcW w:w="581" w:type="dxa"/>
            <w:tcMar>
              <w:top w:w="0" w:type="dxa"/>
              <w:left w:w="0" w:type="dxa"/>
              <w:bottom w:w="0" w:type="dxa"/>
              <w:right w:w="0" w:type="dxa"/>
            </w:tcMar>
          </w:tcPr>
          <w:p w14:paraId="4B4479A4"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700" w:type="dxa"/>
            <w:tcMar>
              <w:top w:w="0" w:type="dxa"/>
              <w:left w:w="0" w:type="dxa"/>
              <w:bottom w:w="0" w:type="dxa"/>
              <w:right w:w="0" w:type="dxa"/>
            </w:tcMar>
          </w:tcPr>
          <w:p w14:paraId="1CFB605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1311" w:type="dxa"/>
            <w:tcMar>
              <w:top w:w="0" w:type="dxa"/>
              <w:left w:w="0" w:type="dxa"/>
              <w:bottom w:w="0" w:type="dxa"/>
              <w:right w:w="0" w:type="dxa"/>
            </w:tcMar>
          </w:tcPr>
          <w:p w14:paraId="72AAF82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14.8</w:t>
            </w:r>
          </w:p>
        </w:tc>
      </w:tr>
      <w:tr w:rsidR="00A544A6" w:rsidRPr="005F44EF" w14:paraId="0B6E9E6A" w14:textId="77777777" w:rsidTr="00A544A6">
        <w:trPr>
          <w:trHeight w:val="290"/>
        </w:trPr>
        <w:tc>
          <w:tcPr>
            <w:tcW w:w="983" w:type="dxa"/>
            <w:tcMar>
              <w:top w:w="0" w:type="dxa"/>
              <w:left w:w="0" w:type="dxa"/>
              <w:bottom w:w="0" w:type="dxa"/>
              <w:right w:w="0" w:type="dxa"/>
            </w:tcMar>
          </w:tcPr>
          <w:p w14:paraId="11D1FA17"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31</w:t>
            </w:r>
          </w:p>
        </w:tc>
        <w:tc>
          <w:tcPr>
            <w:tcW w:w="640" w:type="dxa"/>
            <w:tcMar>
              <w:top w:w="0" w:type="dxa"/>
              <w:left w:w="0" w:type="dxa"/>
              <w:bottom w:w="0" w:type="dxa"/>
              <w:right w:w="0" w:type="dxa"/>
            </w:tcMar>
          </w:tcPr>
          <w:p w14:paraId="3F74069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4.2</w:t>
            </w:r>
          </w:p>
        </w:tc>
        <w:tc>
          <w:tcPr>
            <w:tcW w:w="596" w:type="dxa"/>
            <w:tcMar>
              <w:top w:w="0" w:type="dxa"/>
              <w:left w:w="0" w:type="dxa"/>
              <w:bottom w:w="0" w:type="dxa"/>
              <w:right w:w="0" w:type="dxa"/>
            </w:tcMar>
          </w:tcPr>
          <w:p w14:paraId="612DBE9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D3</w:t>
            </w:r>
          </w:p>
        </w:tc>
        <w:tc>
          <w:tcPr>
            <w:tcW w:w="1266" w:type="dxa"/>
            <w:tcMar>
              <w:top w:w="0" w:type="dxa"/>
              <w:left w:w="0" w:type="dxa"/>
              <w:bottom w:w="0" w:type="dxa"/>
              <w:right w:w="0" w:type="dxa"/>
            </w:tcMar>
          </w:tcPr>
          <w:p w14:paraId="32F4E093"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-27.6</w:t>
            </w:r>
          </w:p>
        </w:tc>
        <w:tc>
          <w:tcPr>
            <w:tcW w:w="745" w:type="dxa"/>
            <w:tcMar>
              <w:top w:w="0" w:type="dxa"/>
              <w:left w:w="0" w:type="dxa"/>
              <w:bottom w:w="0" w:type="dxa"/>
              <w:right w:w="0" w:type="dxa"/>
            </w:tcMar>
          </w:tcPr>
          <w:p w14:paraId="775832B4"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-27.6</w:t>
            </w:r>
          </w:p>
        </w:tc>
        <w:tc>
          <w:tcPr>
            <w:tcW w:w="1266" w:type="dxa"/>
            <w:tcMar>
              <w:top w:w="0" w:type="dxa"/>
              <w:left w:w="0" w:type="dxa"/>
              <w:bottom w:w="0" w:type="dxa"/>
              <w:right w:w="0" w:type="dxa"/>
            </w:tcMar>
          </w:tcPr>
          <w:p w14:paraId="0D9E124A"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-27.6</w:t>
            </w:r>
          </w:p>
        </w:tc>
        <w:tc>
          <w:tcPr>
            <w:tcW w:w="506" w:type="dxa"/>
            <w:tcMar>
              <w:top w:w="0" w:type="dxa"/>
              <w:left w:w="0" w:type="dxa"/>
              <w:bottom w:w="0" w:type="dxa"/>
              <w:right w:w="0" w:type="dxa"/>
            </w:tcMar>
          </w:tcPr>
          <w:p w14:paraId="04304DC5"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0.0</w:t>
            </w:r>
          </w:p>
        </w:tc>
        <w:tc>
          <w:tcPr>
            <w:tcW w:w="521" w:type="dxa"/>
            <w:tcMar>
              <w:top w:w="0" w:type="dxa"/>
              <w:left w:w="0" w:type="dxa"/>
              <w:bottom w:w="0" w:type="dxa"/>
              <w:right w:w="0" w:type="dxa"/>
            </w:tcMar>
          </w:tcPr>
          <w:p w14:paraId="4C242A7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w:t>
            </w:r>
          </w:p>
        </w:tc>
        <w:tc>
          <w:tcPr>
            <w:tcW w:w="581" w:type="dxa"/>
            <w:tcMar>
              <w:top w:w="0" w:type="dxa"/>
              <w:left w:w="0" w:type="dxa"/>
              <w:bottom w:w="0" w:type="dxa"/>
              <w:right w:w="0" w:type="dxa"/>
            </w:tcMar>
          </w:tcPr>
          <w:p w14:paraId="227E4EBB"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w:t>
            </w:r>
          </w:p>
        </w:tc>
        <w:tc>
          <w:tcPr>
            <w:tcW w:w="700" w:type="dxa"/>
            <w:tcMar>
              <w:top w:w="0" w:type="dxa"/>
              <w:left w:w="0" w:type="dxa"/>
              <w:bottom w:w="0" w:type="dxa"/>
              <w:right w:w="0" w:type="dxa"/>
            </w:tcMar>
          </w:tcPr>
          <w:p w14:paraId="629F2F8D"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w:t>
            </w:r>
          </w:p>
        </w:tc>
        <w:tc>
          <w:tcPr>
            <w:tcW w:w="1311" w:type="dxa"/>
            <w:tcMar>
              <w:top w:w="0" w:type="dxa"/>
              <w:left w:w="0" w:type="dxa"/>
              <w:bottom w:w="0" w:type="dxa"/>
              <w:right w:w="0" w:type="dxa"/>
            </w:tcMar>
          </w:tcPr>
          <w:p w14:paraId="0FF02957"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10.3</w:t>
            </w:r>
          </w:p>
        </w:tc>
      </w:tr>
      <w:tr w:rsidR="00A544A6" w:rsidRPr="005F44EF" w14:paraId="00676060" w14:textId="77777777" w:rsidTr="00A544A6">
        <w:trPr>
          <w:trHeight w:val="290"/>
        </w:trPr>
        <w:tc>
          <w:tcPr>
            <w:tcW w:w="983" w:type="dxa"/>
            <w:tcMar>
              <w:top w:w="0" w:type="dxa"/>
              <w:left w:w="0" w:type="dxa"/>
              <w:bottom w:w="0" w:type="dxa"/>
              <w:right w:w="0" w:type="dxa"/>
            </w:tcMar>
          </w:tcPr>
          <w:p w14:paraId="2DBFF7A4"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32</w:t>
            </w:r>
          </w:p>
        </w:tc>
        <w:tc>
          <w:tcPr>
            <w:tcW w:w="640" w:type="dxa"/>
            <w:tcMar>
              <w:top w:w="0" w:type="dxa"/>
              <w:left w:w="0" w:type="dxa"/>
              <w:bottom w:w="0" w:type="dxa"/>
              <w:right w:w="0" w:type="dxa"/>
            </w:tcMar>
          </w:tcPr>
          <w:p w14:paraId="388C0BB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4.4</w:t>
            </w:r>
          </w:p>
        </w:tc>
        <w:tc>
          <w:tcPr>
            <w:tcW w:w="596" w:type="dxa"/>
            <w:tcMar>
              <w:top w:w="0" w:type="dxa"/>
              <w:left w:w="0" w:type="dxa"/>
              <w:bottom w:w="0" w:type="dxa"/>
              <w:right w:w="0" w:type="dxa"/>
            </w:tcMar>
          </w:tcPr>
          <w:p w14:paraId="6FAA741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D3</w:t>
            </w:r>
          </w:p>
        </w:tc>
        <w:tc>
          <w:tcPr>
            <w:tcW w:w="1266" w:type="dxa"/>
            <w:tcMar>
              <w:top w:w="0" w:type="dxa"/>
              <w:left w:w="0" w:type="dxa"/>
              <w:bottom w:w="0" w:type="dxa"/>
              <w:right w:w="0" w:type="dxa"/>
            </w:tcMar>
          </w:tcPr>
          <w:p w14:paraId="7933DBC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-27.5</w:t>
            </w:r>
          </w:p>
        </w:tc>
        <w:tc>
          <w:tcPr>
            <w:tcW w:w="745" w:type="dxa"/>
            <w:tcMar>
              <w:top w:w="0" w:type="dxa"/>
              <w:left w:w="0" w:type="dxa"/>
              <w:bottom w:w="0" w:type="dxa"/>
              <w:right w:w="0" w:type="dxa"/>
            </w:tcMar>
          </w:tcPr>
          <w:p w14:paraId="5582A02E"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-27.4</w:t>
            </w:r>
          </w:p>
        </w:tc>
        <w:tc>
          <w:tcPr>
            <w:tcW w:w="1266" w:type="dxa"/>
            <w:tcMar>
              <w:top w:w="0" w:type="dxa"/>
              <w:left w:w="0" w:type="dxa"/>
              <w:bottom w:w="0" w:type="dxa"/>
              <w:right w:w="0" w:type="dxa"/>
            </w:tcMar>
          </w:tcPr>
          <w:p w14:paraId="0F47E48C"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-27.5</w:t>
            </w:r>
          </w:p>
        </w:tc>
        <w:tc>
          <w:tcPr>
            <w:tcW w:w="506" w:type="dxa"/>
            <w:tcMar>
              <w:top w:w="0" w:type="dxa"/>
              <w:left w:w="0" w:type="dxa"/>
              <w:bottom w:w="0" w:type="dxa"/>
              <w:right w:w="0" w:type="dxa"/>
            </w:tcMar>
          </w:tcPr>
          <w:p w14:paraId="54178E8C"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521" w:type="dxa"/>
            <w:tcMar>
              <w:top w:w="0" w:type="dxa"/>
              <w:left w:w="0" w:type="dxa"/>
              <w:bottom w:w="0" w:type="dxa"/>
              <w:right w:w="0" w:type="dxa"/>
            </w:tcMar>
          </w:tcPr>
          <w:p w14:paraId="26C479D6"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w:t>
            </w:r>
          </w:p>
        </w:tc>
        <w:tc>
          <w:tcPr>
            <w:tcW w:w="581" w:type="dxa"/>
            <w:tcMar>
              <w:top w:w="0" w:type="dxa"/>
              <w:left w:w="0" w:type="dxa"/>
              <w:bottom w:w="0" w:type="dxa"/>
              <w:right w:w="0" w:type="dxa"/>
            </w:tcMar>
          </w:tcPr>
          <w:p w14:paraId="5A82CC93"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700" w:type="dxa"/>
            <w:tcMar>
              <w:top w:w="0" w:type="dxa"/>
              <w:left w:w="0" w:type="dxa"/>
              <w:bottom w:w="0" w:type="dxa"/>
              <w:right w:w="0" w:type="dxa"/>
            </w:tcMar>
          </w:tcPr>
          <w:p w14:paraId="66EF0854"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1311" w:type="dxa"/>
            <w:tcMar>
              <w:top w:w="0" w:type="dxa"/>
              <w:left w:w="0" w:type="dxa"/>
              <w:bottom w:w="0" w:type="dxa"/>
              <w:right w:w="0" w:type="dxa"/>
            </w:tcMar>
          </w:tcPr>
          <w:p w14:paraId="7B1F720D"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14.2</w:t>
            </w:r>
          </w:p>
        </w:tc>
      </w:tr>
      <w:tr w:rsidR="00A544A6" w:rsidRPr="005F44EF" w14:paraId="53141BE1" w14:textId="77777777" w:rsidTr="00A544A6">
        <w:trPr>
          <w:trHeight w:val="290"/>
        </w:trPr>
        <w:tc>
          <w:tcPr>
            <w:tcW w:w="983" w:type="dxa"/>
            <w:tcMar>
              <w:top w:w="0" w:type="dxa"/>
              <w:left w:w="0" w:type="dxa"/>
              <w:bottom w:w="0" w:type="dxa"/>
              <w:right w:w="0" w:type="dxa"/>
            </w:tcMar>
          </w:tcPr>
          <w:p w14:paraId="18E8FBE6"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33</w:t>
            </w:r>
          </w:p>
        </w:tc>
        <w:tc>
          <w:tcPr>
            <w:tcW w:w="640" w:type="dxa"/>
            <w:tcMar>
              <w:top w:w="0" w:type="dxa"/>
              <w:left w:w="0" w:type="dxa"/>
              <w:bottom w:w="0" w:type="dxa"/>
              <w:right w:w="0" w:type="dxa"/>
            </w:tcMar>
          </w:tcPr>
          <w:p w14:paraId="3D1462CD"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4.6</w:t>
            </w:r>
          </w:p>
        </w:tc>
        <w:tc>
          <w:tcPr>
            <w:tcW w:w="596" w:type="dxa"/>
            <w:tcMar>
              <w:top w:w="0" w:type="dxa"/>
              <w:left w:w="0" w:type="dxa"/>
              <w:bottom w:w="0" w:type="dxa"/>
              <w:right w:w="0" w:type="dxa"/>
            </w:tcMar>
          </w:tcPr>
          <w:p w14:paraId="521F15D0"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D3</w:t>
            </w:r>
          </w:p>
        </w:tc>
        <w:tc>
          <w:tcPr>
            <w:tcW w:w="1266" w:type="dxa"/>
            <w:tcMar>
              <w:top w:w="0" w:type="dxa"/>
              <w:left w:w="0" w:type="dxa"/>
              <w:bottom w:w="0" w:type="dxa"/>
              <w:right w:w="0" w:type="dxa"/>
            </w:tcMar>
          </w:tcPr>
          <w:p w14:paraId="0D94B996"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-27.3</w:t>
            </w:r>
          </w:p>
        </w:tc>
        <w:tc>
          <w:tcPr>
            <w:tcW w:w="745" w:type="dxa"/>
            <w:tcMar>
              <w:top w:w="0" w:type="dxa"/>
              <w:left w:w="0" w:type="dxa"/>
              <w:bottom w:w="0" w:type="dxa"/>
              <w:right w:w="0" w:type="dxa"/>
            </w:tcMar>
          </w:tcPr>
          <w:p w14:paraId="1DA06DFC"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-27.2</w:t>
            </w:r>
          </w:p>
        </w:tc>
        <w:tc>
          <w:tcPr>
            <w:tcW w:w="1266" w:type="dxa"/>
            <w:tcMar>
              <w:top w:w="0" w:type="dxa"/>
              <w:left w:w="0" w:type="dxa"/>
              <w:bottom w:w="0" w:type="dxa"/>
              <w:right w:w="0" w:type="dxa"/>
            </w:tcMar>
          </w:tcPr>
          <w:p w14:paraId="2EA822C2"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-27.3</w:t>
            </w:r>
          </w:p>
        </w:tc>
        <w:tc>
          <w:tcPr>
            <w:tcW w:w="506" w:type="dxa"/>
            <w:tcMar>
              <w:top w:w="0" w:type="dxa"/>
              <w:left w:w="0" w:type="dxa"/>
              <w:bottom w:w="0" w:type="dxa"/>
              <w:right w:w="0" w:type="dxa"/>
            </w:tcMar>
          </w:tcPr>
          <w:p w14:paraId="034A2786"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0.0</w:t>
            </w:r>
          </w:p>
        </w:tc>
        <w:tc>
          <w:tcPr>
            <w:tcW w:w="521" w:type="dxa"/>
            <w:tcMar>
              <w:top w:w="0" w:type="dxa"/>
              <w:left w:w="0" w:type="dxa"/>
              <w:bottom w:w="0" w:type="dxa"/>
              <w:right w:w="0" w:type="dxa"/>
            </w:tcMar>
          </w:tcPr>
          <w:p w14:paraId="4EDAF840"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w:t>
            </w:r>
          </w:p>
        </w:tc>
        <w:tc>
          <w:tcPr>
            <w:tcW w:w="581" w:type="dxa"/>
            <w:tcMar>
              <w:top w:w="0" w:type="dxa"/>
              <w:left w:w="0" w:type="dxa"/>
              <w:bottom w:w="0" w:type="dxa"/>
              <w:right w:w="0" w:type="dxa"/>
            </w:tcMar>
          </w:tcPr>
          <w:p w14:paraId="41728E6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0.4</w:t>
            </w:r>
          </w:p>
        </w:tc>
        <w:tc>
          <w:tcPr>
            <w:tcW w:w="700" w:type="dxa"/>
            <w:tcMar>
              <w:top w:w="0" w:type="dxa"/>
              <w:left w:w="0" w:type="dxa"/>
              <w:bottom w:w="0" w:type="dxa"/>
              <w:right w:w="0" w:type="dxa"/>
            </w:tcMar>
          </w:tcPr>
          <w:p w14:paraId="62CE36D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w:t>
            </w:r>
          </w:p>
        </w:tc>
        <w:tc>
          <w:tcPr>
            <w:tcW w:w="1311" w:type="dxa"/>
            <w:tcMar>
              <w:top w:w="0" w:type="dxa"/>
              <w:left w:w="0" w:type="dxa"/>
              <w:bottom w:w="0" w:type="dxa"/>
              <w:right w:w="0" w:type="dxa"/>
            </w:tcMar>
          </w:tcPr>
          <w:p w14:paraId="1C1B017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15.1</w:t>
            </w:r>
          </w:p>
        </w:tc>
      </w:tr>
      <w:tr w:rsidR="00A544A6" w:rsidRPr="005F44EF" w14:paraId="2EFB7125" w14:textId="77777777" w:rsidTr="00A544A6">
        <w:trPr>
          <w:trHeight w:val="290"/>
        </w:trPr>
        <w:tc>
          <w:tcPr>
            <w:tcW w:w="983" w:type="dxa"/>
            <w:tcMar>
              <w:top w:w="0" w:type="dxa"/>
              <w:left w:w="0" w:type="dxa"/>
              <w:bottom w:w="0" w:type="dxa"/>
              <w:right w:w="0" w:type="dxa"/>
            </w:tcMar>
          </w:tcPr>
          <w:p w14:paraId="457E64EC"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34</w:t>
            </w:r>
          </w:p>
        </w:tc>
        <w:tc>
          <w:tcPr>
            <w:tcW w:w="640" w:type="dxa"/>
            <w:tcMar>
              <w:top w:w="0" w:type="dxa"/>
              <w:left w:w="0" w:type="dxa"/>
              <w:bottom w:w="0" w:type="dxa"/>
              <w:right w:w="0" w:type="dxa"/>
            </w:tcMar>
          </w:tcPr>
          <w:p w14:paraId="1CF297F0"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4.8</w:t>
            </w:r>
          </w:p>
        </w:tc>
        <w:tc>
          <w:tcPr>
            <w:tcW w:w="596" w:type="dxa"/>
            <w:tcMar>
              <w:top w:w="0" w:type="dxa"/>
              <w:left w:w="0" w:type="dxa"/>
              <w:bottom w:w="0" w:type="dxa"/>
              <w:right w:w="0" w:type="dxa"/>
            </w:tcMar>
          </w:tcPr>
          <w:p w14:paraId="21BBA2BD"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D3</w:t>
            </w:r>
          </w:p>
        </w:tc>
        <w:tc>
          <w:tcPr>
            <w:tcW w:w="1266" w:type="dxa"/>
            <w:tcMar>
              <w:top w:w="0" w:type="dxa"/>
              <w:left w:w="0" w:type="dxa"/>
              <w:bottom w:w="0" w:type="dxa"/>
              <w:right w:w="0" w:type="dxa"/>
            </w:tcMar>
          </w:tcPr>
          <w:p w14:paraId="365EEA41"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-27.4</w:t>
            </w:r>
          </w:p>
        </w:tc>
        <w:tc>
          <w:tcPr>
            <w:tcW w:w="745" w:type="dxa"/>
            <w:tcMar>
              <w:top w:w="0" w:type="dxa"/>
              <w:left w:w="0" w:type="dxa"/>
              <w:bottom w:w="0" w:type="dxa"/>
              <w:right w:w="0" w:type="dxa"/>
            </w:tcMar>
          </w:tcPr>
          <w:p w14:paraId="724D7EED"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-27.6</w:t>
            </w:r>
          </w:p>
        </w:tc>
        <w:tc>
          <w:tcPr>
            <w:tcW w:w="1266" w:type="dxa"/>
            <w:tcMar>
              <w:top w:w="0" w:type="dxa"/>
              <w:left w:w="0" w:type="dxa"/>
              <w:bottom w:w="0" w:type="dxa"/>
              <w:right w:w="0" w:type="dxa"/>
            </w:tcMar>
          </w:tcPr>
          <w:p w14:paraId="220B369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-27.5</w:t>
            </w:r>
          </w:p>
        </w:tc>
        <w:tc>
          <w:tcPr>
            <w:tcW w:w="506" w:type="dxa"/>
            <w:tcMar>
              <w:top w:w="0" w:type="dxa"/>
              <w:left w:w="0" w:type="dxa"/>
              <w:bottom w:w="0" w:type="dxa"/>
              <w:right w:w="0" w:type="dxa"/>
            </w:tcMar>
          </w:tcPr>
          <w:p w14:paraId="233A3FA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w:t>
            </w:r>
          </w:p>
        </w:tc>
        <w:tc>
          <w:tcPr>
            <w:tcW w:w="521" w:type="dxa"/>
            <w:tcMar>
              <w:top w:w="0" w:type="dxa"/>
              <w:left w:w="0" w:type="dxa"/>
              <w:bottom w:w="0" w:type="dxa"/>
              <w:right w:w="0" w:type="dxa"/>
            </w:tcMar>
          </w:tcPr>
          <w:p w14:paraId="0CA8F317"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0.0</w:t>
            </w:r>
          </w:p>
        </w:tc>
        <w:tc>
          <w:tcPr>
            <w:tcW w:w="581" w:type="dxa"/>
            <w:tcMar>
              <w:top w:w="0" w:type="dxa"/>
              <w:left w:w="0" w:type="dxa"/>
              <w:bottom w:w="0" w:type="dxa"/>
              <w:right w:w="0" w:type="dxa"/>
            </w:tcMar>
          </w:tcPr>
          <w:p w14:paraId="488271C7"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0.0</w:t>
            </w:r>
          </w:p>
        </w:tc>
        <w:tc>
          <w:tcPr>
            <w:tcW w:w="700" w:type="dxa"/>
            <w:tcMar>
              <w:top w:w="0" w:type="dxa"/>
              <w:left w:w="0" w:type="dxa"/>
              <w:bottom w:w="0" w:type="dxa"/>
              <w:right w:w="0" w:type="dxa"/>
            </w:tcMar>
          </w:tcPr>
          <w:p w14:paraId="4F53B084"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0.0</w:t>
            </w:r>
          </w:p>
        </w:tc>
        <w:tc>
          <w:tcPr>
            <w:tcW w:w="1311" w:type="dxa"/>
            <w:tcMar>
              <w:top w:w="0" w:type="dxa"/>
              <w:left w:w="0" w:type="dxa"/>
              <w:bottom w:w="0" w:type="dxa"/>
              <w:right w:w="0" w:type="dxa"/>
            </w:tcMar>
          </w:tcPr>
          <w:p w14:paraId="58A78DE5"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14.1</w:t>
            </w:r>
          </w:p>
        </w:tc>
      </w:tr>
      <w:tr w:rsidR="00A544A6" w:rsidRPr="005F44EF" w14:paraId="61C1F0F9" w14:textId="77777777" w:rsidTr="00A544A6">
        <w:trPr>
          <w:trHeight w:val="290"/>
        </w:trPr>
        <w:tc>
          <w:tcPr>
            <w:tcW w:w="983" w:type="dxa"/>
            <w:tcMar>
              <w:top w:w="0" w:type="dxa"/>
              <w:left w:w="0" w:type="dxa"/>
              <w:bottom w:w="0" w:type="dxa"/>
              <w:right w:w="0" w:type="dxa"/>
            </w:tcMar>
          </w:tcPr>
          <w:p w14:paraId="7F3061F1"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35</w:t>
            </w:r>
          </w:p>
        </w:tc>
        <w:tc>
          <w:tcPr>
            <w:tcW w:w="640" w:type="dxa"/>
            <w:tcMar>
              <w:top w:w="0" w:type="dxa"/>
              <w:left w:w="0" w:type="dxa"/>
              <w:bottom w:w="0" w:type="dxa"/>
              <w:right w:w="0" w:type="dxa"/>
            </w:tcMar>
          </w:tcPr>
          <w:p w14:paraId="7E2A6205"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5</w:t>
            </w:r>
          </w:p>
        </w:tc>
        <w:tc>
          <w:tcPr>
            <w:tcW w:w="596" w:type="dxa"/>
            <w:tcMar>
              <w:top w:w="0" w:type="dxa"/>
              <w:left w:w="0" w:type="dxa"/>
              <w:bottom w:w="0" w:type="dxa"/>
              <w:right w:w="0" w:type="dxa"/>
            </w:tcMar>
          </w:tcPr>
          <w:p w14:paraId="3AFF433E"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D3</w:t>
            </w:r>
          </w:p>
        </w:tc>
        <w:tc>
          <w:tcPr>
            <w:tcW w:w="1266" w:type="dxa"/>
            <w:tcMar>
              <w:top w:w="0" w:type="dxa"/>
              <w:left w:w="0" w:type="dxa"/>
              <w:bottom w:w="0" w:type="dxa"/>
              <w:right w:w="0" w:type="dxa"/>
            </w:tcMar>
          </w:tcPr>
          <w:p w14:paraId="6DC36AE0"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-26.9</w:t>
            </w:r>
          </w:p>
        </w:tc>
        <w:tc>
          <w:tcPr>
            <w:tcW w:w="745" w:type="dxa"/>
            <w:tcMar>
              <w:top w:w="0" w:type="dxa"/>
              <w:left w:w="0" w:type="dxa"/>
              <w:bottom w:w="0" w:type="dxa"/>
              <w:right w:w="0" w:type="dxa"/>
            </w:tcMar>
          </w:tcPr>
          <w:p w14:paraId="7CE80CE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-27.3</w:t>
            </w:r>
          </w:p>
        </w:tc>
        <w:tc>
          <w:tcPr>
            <w:tcW w:w="1266" w:type="dxa"/>
            <w:tcMar>
              <w:top w:w="0" w:type="dxa"/>
              <w:left w:w="0" w:type="dxa"/>
              <w:bottom w:w="0" w:type="dxa"/>
              <w:right w:w="0" w:type="dxa"/>
            </w:tcMar>
          </w:tcPr>
          <w:p w14:paraId="6D44121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-27.1</w:t>
            </w:r>
          </w:p>
        </w:tc>
        <w:tc>
          <w:tcPr>
            <w:tcW w:w="506" w:type="dxa"/>
            <w:tcMar>
              <w:top w:w="0" w:type="dxa"/>
              <w:left w:w="0" w:type="dxa"/>
              <w:bottom w:w="0" w:type="dxa"/>
              <w:right w:w="0" w:type="dxa"/>
            </w:tcMar>
          </w:tcPr>
          <w:p w14:paraId="67771F9F"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0.3</w:t>
            </w:r>
          </w:p>
        </w:tc>
        <w:tc>
          <w:tcPr>
            <w:tcW w:w="521" w:type="dxa"/>
            <w:tcMar>
              <w:top w:w="0" w:type="dxa"/>
              <w:left w:w="0" w:type="dxa"/>
              <w:bottom w:w="0" w:type="dxa"/>
              <w:right w:w="0" w:type="dxa"/>
            </w:tcMar>
          </w:tcPr>
          <w:p w14:paraId="60050F2B"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581" w:type="dxa"/>
            <w:tcMar>
              <w:top w:w="0" w:type="dxa"/>
              <w:left w:w="0" w:type="dxa"/>
              <w:bottom w:w="0" w:type="dxa"/>
              <w:right w:w="0" w:type="dxa"/>
            </w:tcMar>
          </w:tcPr>
          <w:p w14:paraId="3D23E0DA"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0.3</w:t>
            </w:r>
          </w:p>
        </w:tc>
        <w:tc>
          <w:tcPr>
            <w:tcW w:w="700" w:type="dxa"/>
            <w:tcMar>
              <w:top w:w="0" w:type="dxa"/>
              <w:left w:w="0" w:type="dxa"/>
              <w:bottom w:w="0" w:type="dxa"/>
              <w:right w:w="0" w:type="dxa"/>
            </w:tcMar>
          </w:tcPr>
          <w:p w14:paraId="2475EB2E"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w:t>
            </w:r>
          </w:p>
        </w:tc>
        <w:tc>
          <w:tcPr>
            <w:tcW w:w="1311" w:type="dxa"/>
            <w:tcMar>
              <w:top w:w="0" w:type="dxa"/>
              <w:left w:w="0" w:type="dxa"/>
              <w:bottom w:w="0" w:type="dxa"/>
              <w:right w:w="0" w:type="dxa"/>
            </w:tcMar>
          </w:tcPr>
          <w:p w14:paraId="5ACC1156"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13.9</w:t>
            </w:r>
          </w:p>
        </w:tc>
      </w:tr>
      <w:tr w:rsidR="00A544A6" w:rsidRPr="005F44EF" w14:paraId="7640843C" w14:textId="77777777" w:rsidTr="00A544A6">
        <w:trPr>
          <w:trHeight w:val="290"/>
        </w:trPr>
        <w:tc>
          <w:tcPr>
            <w:tcW w:w="983" w:type="dxa"/>
            <w:tcMar>
              <w:top w:w="0" w:type="dxa"/>
              <w:left w:w="0" w:type="dxa"/>
              <w:bottom w:w="0" w:type="dxa"/>
              <w:right w:w="0" w:type="dxa"/>
            </w:tcMar>
          </w:tcPr>
          <w:p w14:paraId="68466D67"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36</w:t>
            </w:r>
          </w:p>
        </w:tc>
        <w:tc>
          <w:tcPr>
            <w:tcW w:w="640" w:type="dxa"/>
            <w:tcMar>
              <w:top w:w="0" w:type="dxa"/>
              <w:left w:w="0" w:type="dxa"/>
              <w:bottom w:w="0" w:type="dxa"/>
              <w:right w:w="0" w:type="dxa"/>
            </w:tcMar>
          </w:tcPr>
          <w:p w14:paraId="70DFE64D"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5.2</w:t>
            </w:r>
          </w:p>
        </w:tc>
        <w:tc>
          <w:tcPr>
            <w:tcW w:w="596" w:type="dxa"/>
            <w:tcMar>
              <w:top w:w="0" w:type="dxa"/>
              <w:left w:w="0" w:type="dxa"/>
              <w:bottom w:w="0" w:type="dxa"/>
              <w:right w:w="0" w:type="dxa"/>
            </w:tcMar>
          </w:tcPr>
          <w:p w14:paraId="589308AA"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D3</w:t>
            </w:r>
          </w:p>
        </w:tc>
        <w:tc>
          <w:tcPr>
            <w:tcW w:w="1266" w:type="dxa"/>
            <w:tcMar>
              <w:top w:w="0" w:type="dxa"/>
              <w:left w:w="0" w:type="dxa"/>
              <w:bottom w:w="0" w:type="dxa"/>
              <w:right w:w="0" w:type="dxa"/>
            </w:tcMar>
          </w:tcPr>
          <w:p w14:paraId="1BC042CB"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-27.3</w:t>
            </w:r>
          </w:p>
        </w:tc>
        <w:tc>
          <w:tcPr>
            <w:tcW w:w="745" w:type="dxa"/>
            <w:tcMar>
              <w:top w:w="0" w:type="dxa"/>
              <w:left w:w="0" w:type="dxa"/>
              <w:bottom w:w="0" w:type="dxa"/>
              <w:right w:w="0" w:type="dxa"/>
            </w:tcMar>
          </w:tcPr>
          <w:p w14:paraId="39CF21D7"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-27.7</w:t>
            </w:r>
          </w:p>
        </w:tc>
        <w:tc>
          <w:tcPr>
            <w:tcW w:w="1266" w:type="dxa"/>
            <w:tcMar>
              <w:top w:w="0" w:type="dxa"/>
              <w:left w:w="0" w:type="dxa"/>
              <w:bottom w:w="0" w:type="dxa"/>
              <w:right w:w="0" w:type="dxa"/>
            </w:tcMar>
          </w:tcPr>
          <w:p w14:paraId="5A520281"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-27.5</w:t>
            </w:r>
          </w:p>
        </w:tc>
        <w:tc>
          <w:tcPr>
            <w:tcW w:w="506" w:type="dxa"/>
            <w:tcMar>
              <w:top w:w="0" w:type="dxa"/>
              <w:left w:w="0" w:type="dxa"/>
              <w:bottom w:w="0" w:type="dxa"/>
              <w:right w:w="0" w:type="dxa"/>
            </w:tcMar>
          </w:tcPr>
          <w:p w14:paraId="1737010F"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0.3</w:t>
            </w:r>
          </w:p>
        </w:tc>
        <w:tc>
          <w:tcPr>
            <w:tcW w:w="521" w:type="dxa"/>
            <w:tcMar>
              <w:top w:w="0" w:type="dxa"/>
              <w:left w:w="0" w:type="dxa"/>
              <w:bottom w:w="0" w:type="dxa"/>
              <w:right w:w="0" w:type="dxa"/>
            </w:tcMar>
          </w:tcPr>
          <w:p w14:paraId="34304908"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w:t>
            </w:r>
          </w:p>
        </w:tc>
        <w:tc>
          <w:tcPr>
            <w:tcW w:w="581" w:type="dxa"/>
            <w:tcMar>
              <w:top w:w="0" w:type="dxa"/>
              <w:left w:w="0" w:type="dxa"/>
              <w:bottom w:w="0" w:type="dxa"/>
              <w:right w:w="0" w:type="dxa"/>
            </w:tcMar>
          </w:tcPr>
          <w:p w14:paraId="3B6E94AB"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700" w:type="dxa"/>
            <w:tcMar>
              <w:top w:w="0" w:type="dxa"/>
              <w:left w:w="0" w:type="dxa"/>
              <w:bottom w:w="0" w:type="dxa"/>
              <w:right w:w="0" w:type="dxa"/>
            </w:tcMar>
          </w:tcPr>
          <w:p w14:paraId="1C4A3904"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w:t>
            </w:r>
          </w:p>
        </w:tc>
        <w:tc>
          <w:tcPr>
            <w:tcW w:w="1311" w:type="dxa"/>
            <w:tcMar>
              <w:top w:w="0" w:type="dxa"/>
              <w:left w:w="0" w:type="dxa"/>
              <w:bottom w:w="0" w:type="dxa"/>
              <w:right w:w="0" w:type="dxa"/>
            </w:tcMar>
          </w:tcPr>
          <w:p w14:paraId="667A2093"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13.8</w:t>
            </w:r>
          </w:p>
        </w:tc>
      </w:tr>
      <w:tr w:rsidR="00A544A6" w:rsidRPr="005F44EF" w14:paraId="1DA72B01" w14:textId="77777777" w:rsidTr="00A544A6">
        <w:trPr>
          <w:trHeight w:val="290"/>
        </w:trPr>
        <w:tc>
          <w:tcPr>
            <w:tcW w:w="983" w:type="dxa"/>
            <w:tcMar>
              <w:top w:w="0" w:type="dxa"/>
              <w:left w:w="0" w:type="dxa"/>
              <w:bottom w:w="0" w:type="dxa"/>
              <w:right w:w="0" w:type="dxa"/>
            </w:tcMar>
          </w:tcPr>
          <w:p w14:paraId="241DF406"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37</w:t>
            </w:r>
          </w:p>
        </w:tc>
        <w:tc>
          <w:tcPr>
            <w:tcW w:w="640" w:type="dxa"/>
            <w:tcMar>
              <w:top w:w="0" w:type="dxa"/>
              <w:left w:w="0" w:type="dxa"/>
              <w:bottom w:w="0" w:type="dxa"/>
              <w:right w:w="0" w:type="dxa"/>
            </w:tcMar>
          </w:tcPr>
          <w:p w14:paraId="2C275855"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5.4</w:t>
            </w:r>
          </w:p>
        </w:tc>
        <w:tc>
          <w:tcPr>
            <w:tcW w:w="596" w:type="dxa"/>
            <w:tcMar>
              <w:top w:w="0" w:type="dxa"/>
              <w:left w:w="0" w:type="dxa"/>
              <w:bottom w:w="0" w:type="dxa"/>
              <w:right w:w="0" w:type="dxa"/>
            </w:tcMar>
          </w:tcPr>
          <w:p w14:paraId="7C7479A9"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D3</w:t>
            </w:r>
          </w:p>
        </w:tc>
        <w:tc>
          <w:tcPr>
            <w:tcW w:w="1266" w:type="dxa"/>
            <w:tcMar>
              <w:top w:w="0" w:type="dxa"/>
              <w:left w:w="0" w:type="dxa"/>
              <w:bottom w:w="0" w:type="dxa"/>
              <w:right w:w="0" w:type="dxa"/>
            </w:tcMar>
          </w:tcPr>
          <w:p w14:paraId="1B6C3EDC"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-27.2</w:t>
            </w:r>
          </w:p>
        </w:tc>
        <w:tc>
          <w:tcPr>
            <w:tcW w:w="745" w:type="dxa"/>
            <w:tcMar>
              <w:top w:w="0" w:type="dxa"/>
              <w:left w:w="0" w:type="dxa"/>
              <w:bottom w:w="0" w:type="dxa"/>
              <w:right w:w="0" w:type="dxa"/>
            </w:tcMar>
          </w:tcPr>
          <w:p w14:paraId="22B43825"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-27.1</w:t>
            </w:r>
          </w:p>
        </w:tc>
        <w:tc>
          <w:tcPr>
            <w:tcW w:w="1266" w:type="dxa"/>
            <w:tcMar>
              <w:top w:w="0" w:type="dxa"/>
              <w:left w:w="0" w:type="dxa"/>
              <w:bottom w:w="0" w:type="dxa"/>
              <w:right w:w="0" w:type="dxa"/>
            </w:tcMar>
          </w:tcPr>
          <w:p w14:paraId="76DA9C16"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-27.2</w:t>
            </w:r>
          </w:p>
        </w:tc>
        <w:tc>
          <w:tcPr>
            <w:tcW w:w="506" w:type="dxa"/>
            <w:tcMar>
              <w:top w:w="0" w:type="dxa"/>
              <w:left w:w="0" w:type="dxa"/>
              <w:bottom w:w="0" w:type="dxa"/>
              <w:right w:w="0" w:type="dxa"/>
            </w:tcMar>
          </w:tcPr>
          <w:p w14:paraId="3BA2DE1F"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521" w:type="dxa"/>
            <w:tcMar>
              <w:top w:w="0" w:type="dxa"/>
              <w:left w:w="0" w:type="dxa"/>
              <w:bottom w:w="0" w:type="dxa"/>
              <w:right w:w="0" w:type="dxa"/>
            </w:tcMar>
          </w:tcPr>
          <w:p w14:paraId="723014EA"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0.3</w:t>
            </w:r>
          </w:p>
        </w:tc>
        <w:tc>
          <w:tcPr>
            <w:tcW w:w="581" w:type="dxa"/>
            <w:tcMar>
              <w:top w:w="0" w:type="dxa"/>
              <w:left w:w="0" w:type="dxa"/>
              <w:bottom w:w="0" w:type="dxa"/>
              <w:right w:w="0" w:type="dxa"/>
            </w:tcMar>
          </w:tcPr>
          <w:p w14:paraId="399F440D"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0.3</w:t>
            </w:r>
          </w:p>
        </w:tc>
        <w:tc>
          <w:tcPr>
            <w:tcW w:w="700" w:type="dxa"/>
            <w:tcMar>
              <w:top w:w="0" w:type="dxa"/>
              <w:left w:w="0" w:type="dxa"/>
              <w:bottom w:w="0" w:type="dxa"/>
              <w:right w:w="0" w:type="dxa"/>
            </w:tcMar>
          </w:tcPr>
          <w:p w14:paraId="2E02880E"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0.3</w:t>
            </w:r>
          </w:p>
        </w:tc>
        <w:tc>
          <w:tcPr>
            <w:tcW w:w="1311" w:type="dxa"/>
            <w:tcMar>
              <w:top w:w="0" w:type="dxa"/>
              <w:left w:w="0" w:type="dxa"/>
              <w:bottom w:w="0" w:type="dxa"/>
              <w:right w:w="0" w:type="dxa"/>
            </w:tcMar>
          </w:tcPr>
          <w:p w14:paraId="322A590E" w14:textId="77777777" w:rsidR="00A544A6" w:rsidRPr="005F44EF" w:rsidRDefault="00A544A6" w:rsidP="00A544A6">
            <w:pPr>
              <w:keepNext/>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17.0</w:t>
            </w:r>
          </w:p>
        </w:tc>
      </w:tr>
    </w:tbl>
    <w:p w14:paraId="2DB57990" w14:textId="78832BB0" w:rsidR="00A544A6" w:rsidRPr="005F44EF" w:rsidRDefault="00A544A6" w:rsidP="00747353">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 </w:t>
      </w:r>
    </w:p>
    <w:p w14:paraId="68A930FC" w14:textId="77777777" w:rsidR="00BB7AA9" w:rsidRPr="005F44EF" w:rsidRDefault="00B9564D" w:rsidP="008524E9">
      <w:pPr>
        <w:pStyle w:val="Heading2"/>
        <w:rPr>
          <w:rFonts w:cs="Times New Roman"/>
        </w:rPr>
      </w:pPr>
      <w:bookmarkStart w:id="97" w:name="_Toc178429938"/>
      <w:r w:rsidRPr="005F44EF">
        <w:rPr>
          <w:rFonts w:cs="Times New Roman"/>
        </w:rPr>
        <w:lastRenderedPageBreak/>
        <w:t>4.2 Plant Wax Biomarker Analysis</w:t>
      </w:r>
      <w:bookmarkEnd w:id="97"/>
    </w:p>
    <w:p w14:paraId="3DC92104" w14:textId="77777777" w:rsidR="00BB7AA9" w:rsidRPr="005F44EF" w:rsidRDefault="00BB7AA9">
      <w:pPr>
        <w:spacing w:after="0" w:line="276" w:lineRule="auto"/>
        <w:jc w:val="both"/>
        <w:rPr>
          <w:rFonts w:ascii="Times New Roman" w:eastAsia="Times New Roman" w:hAnsi="Times New Roman" w:cs="Times New Roman"/>
          <w:b/>
          <w:i/>
          <w:sz w:val="24"/>
          <w:szCs w:val="24"/>
        </w:rPr>
      </w:pPr>
    </w:p>
    <w:p w14:paraId="68047EC0" w14:textId="77777777" w:rsidR="00BB7AA9" w:rsidRPr="005F44EF" w:rsidRDefault="00B9564D">
      <w:pPr>
        <w:spacing w:after="0" w:line="276" w:lineRule="auto"/>
        <w:jc w:val="both"/>
        <w:rPr>
          <w:rFonts w:ascii="Times New Roman" w:eastAsia="Times New Roman" w:hAnsi="Times New Roman" w:cs="Times New Roman"/>
          <w:sz w:val="24"/>
          <w:szCs w:val="24"/>
          <w:lang w:val="en-US"/>
        </w:rPr>
      </w:pPr>
      <w:r w:rsidRPr="005F44EF">
        <w:rPr>
          <w:rFonts w:ascii="Times New Roman" w:eastAsia="Times New Roman" w:hAnsi="Times New Roman" w:cs="Times New Roman"/>
          <w:sz w:val="24"/>
          <w:szCs w:val="24"/>
        </w:rPr>
        <w:t xml:space="preserve">Dry, homogenized sediments (~20 g) were extracted with a </w:t>
      </w:r>
      <w:proofErr w:type="spellStart"/>
      <w:r w:rsidRPr="005F44EF">
        <w:rPr>
          <w:rFonts w:ascii="Times New Roman" w:eastAsia="Times New Roman" w:hAnsi="Times New Roman" w:cs="Times New Roman"/>
          <w:sz w:val="24"/>
          <w:szCs w:val="24"/>
        </w:rPr>
        <w:t>Büchi</w:t>
      </w:r>
      <w:proofErr w:type="spellEnd"/>
      <w:r w:rsidRPr="005F44EF">
        <w:rPr>
          <w:rFonts w:ascii="Times New Roman" w:eastAsia="Times New Roman" w:hAnsi="Times New Roman" w:cs="Times New Roman"/>
          <w:sz w:val="24"/>
          <w:szCs w:val="24"/>
        </w:rPr>
        <w:t xml:space="preserve"> </w:t>
      </w:r>
      <w:proofErr w:type="spellStart"/>
      <w:r w:rsidRPr="005F44EF">
        <w:rPr>
          <w:rFonts w:ascii="Times New Roman" w:eastAsia="Times New Roman" w:hAnsi="Times New Roman" w:cs="Times New Roman"/>
          <w:sz w:val="24"/>
          <w:szCs w:val="24"/>
        </w:rPr>
        <w:t>SpeedExtractor</w:t>
      </w:r>
      <w:proofErr w:type="spellEnd"/>
      <w:r w:rsidRPr="005F44EF">
        <w:rPr>
          <w:rFonts w:ascii="Times New Roman" w:eastAsia="Times New Roman" w:hAnsi="Times New Roman" w:cs="Times New Roman"/>
          <w:sz w:val="24"/>
          <w:szCs w:val="24"/>
        </w:rPr>
        <w:t xml:space="preserve"> E-916 Pressurized Speed Extractor (PSE) using 9:1 (v/v) </w:t>
      </w:r>
      <w:proofErr w:type="spellStart"/>
      <w:proofErr w:type="gramStart"/>
      <w:r w:rsidRPr="005F44EF">
        <w:rPr>
          <w:rFonts w:ascii="Times New Roman" w:eastAsia="Times New Roman" w:hAnsi="Times New Roman" w:cs="Times New Roman"/>
          <w:sz w:val="24"/>
          <w:szCs w:val="24"/>
        </w:rPr>
        <w:t>Dichloromethane:Methanol</w:t>
      </w:r>
      <w:proofErr w:type="spellEnd"/>
      <w:proofErr w:type="gramEnd"/>
      <w:r w:rsidRPr="005F44EF">
        <w:rPr>
          <w:rFonts w:ascii="Times New Roman" w:eastAsia="Times New Roman" w:hAnsi="Times New Roman" w:cs="Times New Roman"/>
          <w:sz w:val="24"/>
          <w:szCs w:val="24"/>
        </w:rPr>
        <w:t xml:space="preserve"> at 100 °C and 103 bar (1500 psi) in three, 10-minute cycles. Solvent containing the total lipid extract (TLE) was concentrated to ~1 mL using a </w:t>
      </w:r>
      <w:proofErr w:type="spellStart"/>
      <w:r w:rsidRPr="005F44EF">
        <w:rPr>
          <w:rFonts w:ascii="Times New Roman" w:eastAsia="Times New Roman" w:hAnsi="Times New Roman" w:cs="Times New Roman"/>
          <w:sz w:val="24"/>
          <w:szCs w:val="24"/>
        </w:rPr>
        <w:t>Büchi</w:t>
      </w:r>
      <w:proofErr w:type="spellEnd"/>
      <w:r w:rsidRPr="005F44EF">
        <w:rPr>
          <w:rFonts w:ascii="Times New Roman" w:eastAsia="Times New Roman" w:hAnsi="Times New Roman" w:cs="Times New Roman"/>
          <w:sz w:val="24"/>
          <w:szCs w:val="24"/>
        </w:rPr>
        <w:t xml:space="preserve"> </w:t>
      </w:r>
      <w:proofErr w:type="spellStart"/>
      <w:r w:rsidRPr="005F44EF">
        <w:rPr>
          <w:rFonts w:ascii="Times New Roman" w:eastAsia="Times New Roman" w:hAnsi="Times New Roman" w:cs="Times New Roman"/>
          <w:sz w:val="24"/>
          <w:szCs w:val="24"/>
        </w:rPr>
        <w:t>Syncore­Plus</w:t>
      </w:r>
      <w:proofErr w:type="spellEnd"/>
      <w:r w:rsidRPr="005F44EF">
        <w:rPr>
          <w:rFonts w:ascii="Times New Roman" w:eastAsia="Times New Roman" w:hAnsi="Times New Roman" w:cs="Times New Roman"/>
          <w:sz w:val="24"/>
          <w:szCs w:val="24"/>
        </w:rPr>
        <w:t xml:space="preserve"> evaporator and then evaporated to dryness using a steady stream of N</w:t>
      </w:r>
      <w:r w:rsidRPr="005F44EF">
        <w:rPr>
          <w:rFonts w:ascii="Times New Roman" w:eastAsia="Times New Roman" w:hAnsi="Times New Roman" w:cs="Times New Roman"/>
          <w:sz w:val="24"/>
          <w:szCs w:val="24"/>
          <w:vertAlign w:val="subscript"/>
        </w:rPr>
        <w:t>2</w:t>
      </w:r>
      <w:r w:rsidRPr="005F44EF">
        <w:rPr>
          <w:rFonts w:ascii="Times New Roman" w:eastAsia="Times New Roman" w:hAnsi="Times New Roman" w:cs="Times New Roman"/>
          <w:sz w:val="24"/>
          <w:szCs w:val="24"/>
        </w:rPr>
        <w:t xml:space="preserve">. The TLE was separated into Neutral, Acid, and Polar fractions by Aminopropyl column chromatography using 4 mL each of 2:1 </w:t>
      </w:r>
      <w:proofErr w:type="spellStart"/>
      <w:proofErr w:type="gramStart"/>
      <w:r w:rsidRPr="005F44EF">
        <w:rPr>
          <w:rFonts w:ascii="Times New Roman" w:eastAsia="Times New Roman" w:hAnsi="Times New Roman" w:cs="Times New Roman"/>
          <w:sz w:val="24"/>
          <w:szCs w:val="24"/>
        </w:rPr>
        <w:t>Dichloromethane:Isopropanol</w:t>
      </w:r>
      <w:proofErr w:type="spellEnd"/>
      <w:proofErr w:type="gramEnd"/>
      <w:r w:rsidRPr="005F44EF">
        <w:rPr>
          <w:rFonts w:ascii="Times New Roman" w:eastAsia="Times New Roman" w:hAnsi="Times New Roman" w:cs="Times New Roman"/>
          <w:sz w:val="24"/>
          <w:szCs w:val="24"/>
        </w:rPr>
        <w:t>, 4 % Acetic Acid in Diethyl Ether, and Methanol, respectively. Normal (</w:t>
      </w:r>
      <w:r w:rsidRPr="005F44EF">
        <w:rPr>
          <w:rFonts w:ascii="Times New Roman" w:eastAsia="Times New Roman" w:hAnsi="Times New Roman" w:cs="Times New Roman"/>
          <w:i/>
          <w:sz w:val="24"/>
          <w:szCs w:val="24"/>
        </w:rPr>
        <w:t>n</w:t>
      </w:r>
      <w:r w:rsidRPr="005F44EF">
        <w:rPr>
          <w:rFonts w:ascii="Times New Roman" w:eastAsia="Times New Roman" w:hAnsi="Times New Roman" w:cs="Times New Roman"/>
          <w:sz w:val="24"/>
          <w:szCs w:val="24"/>
        </w:rPr>
        <w:t xml:space="preserve">-) alkanes were isolated from the Neutral fraction using silver nitrate infused silica gel column chromatography with 4 mL Hexane. The Acid fraction was methylated with 1 mL of 2 % HCl in Methanol at 50 °C for 24 hours to convert </w:t>
      </w:r>
      <w:r w:rsidRPr="005F44EF">
        <w:rPr>
          <w:rFonts w:ascii="Times New Roman" w:eastAsia="Times New Roman" w:hAnsi="Times New Roman" w:cs="Times New Roman"/>
          <w:i/>
          <w:sz w:val="24"/>
          <w:szCs w:val="24"/>
        </w:rPr>
        <w:t>n</w:t>
      </w:r>
      <w:r w:rsidRPr="005F44EF">
        <w:rPr>
          <w:rFonts w:ascii="Times New Roman" w:eastAsia="Times New Roman" w:hAnsi="Times New Roman" w:cs="Times New Roman"/>
          <w:sz w:val="24"/>
          <w:szCs w:val="24"/>
        </w:rPr>
        <w:t>-alkanoic acids to Fatty Acid Methyl Esters (FAMEs). The FAMEs were then isolated with 1 mL of 5 % aqueous NaCl and 4 mL Hexane. The Hexane (containing FAMEs) was transferred to new vials, dried with N</w:t>
      </w:r>
      <w:r w:rsidRPr="005F44EF">
        <w:rPr>
          <w:rFonts w:ascii="Times New Roman" w:eastAsia="Times New Roman" w:hAnsi="Times New Roman" w:cs="Times New Roman"/>
          <w:sz w:val="24"/>
          <w:szCs w:val="24"/>
          <w:vertAlign w:val="subscript"/>
        </w:rPr>
        <w:t>2</w:t>
      </w:r>
      <w:r w:rsidRPr="005F44EF">
        <w:rPr>
          <w:rFonts w:ascii="Times New Roman" w:eastAsia="Times New Roman" w:hAnsi="Times New Roman" w:cs="Times New Roman"/>
          <w:sz w:val="24"/>
          <w:szCs w:val="24"/>
        </w:rPr>
        <w:t>, and then the FAMEs were further isolated from other acids using silica gel column chromatography with Hexane and DCM eluents. The DCM fraction containing the FAMEs was characterized with gas chromatography and mass spectrometry.</w:t>
      </w:r>
    </w:p>
    <w:p w14:paraId="0F7F85F6" w14:textId="2B7DCD8D" w:rsidR="00BB7AA9" w:rsidRPr="003319E5" w:rsidRDefault="005C4579">
      <w:pPr>
        <w:spacing w:after="0" w:line="276" w:lineRule="auto"/>
        <w:jc w:val="both"/>
        <w:rPr>
          <w:rFonts w:ascii="Times New Roman" w:eastAsia="Times New Roman" w:hAnsi="Times New Roman" w:cs="Times New Roman"/>
          <w:sz w:val="28"/>
          <w:szCs w:val="24"/>
        </w:rPr>
      </w:pPr>
      <w:r w:rsidRPr="003319E5">
        <w:rPr>
          <w:rFonts w:ascii="Times New Roman" w:hAnsi="Times New Roman" w:cs="Times New Roman"/>
          <w:sz w:val="24"/>
          <w:lang w:val="en-US"/>
        </w:rPr>
        <w:t xml:space="preserve">All plant wax biomarkers (i.e., FAMEs) were identified using Agilent </w:t>
      </w:r>
      <w:proofErr w:type="spellStart"/>
      <w:r w:rsidRPr="003319E5">
        <w:rPr>
          <w:rFonts w:ascii="Times New Roman" w:hAnsi="Times New Roman" w:cs="Times New Roman"/>
          <w:sz w:val="24"/>
          <w:lang w:val="en-US"/>
        </w:rPr>
        <w:t>MassHunter</w:t>
      </w:r>
      <w:proofErr w:type="spellEnd"/>
      <w:r w:rsidRPr="003319E5">
        <w:rPr>
          <w:rFonts w:ascii="Times New Roman" w:hAnsi="Times New Roman" w:cs="Times New Roman"/>
          <w:sz w:val="24"/>
          <w:lang w:val="en-US"/>
        </w:rPr>
        <w:t xml:space="preserve"> Qualitative Analysis version 8.0.0 by comparing mass spectra and retention times with an in-house external standard mixture. FAME concentrations were quantitated by comparing to an external standard mixture (Indiana F8, Arndt </w:t>
      </w:r>
      <w:proofErr w:type="spellStart"/>
      <w:r w:rsidRPr="003319E5">
        <w:rPr>
          <w:rFonts w:ascii="Times New Roman" w:hAnsi="Times New Roman" w:cs="Times New Roman"/>
          <w:sz w:val="24"/>
          <w:lang w:val="en-US"/>
        </w:rPr>
        <w:t>Schimmelmann</w:t>
      </w:r>
      <w:proofErr w:type="spellEnd"/>
      <w:r w:rsidRPr="003319E5">
        <w:rPr>
          <w:rFonts w:ascii="Times New Roman" w:hAnsi="Times New Roman" w:cs="Times New Roman"/>
          <w:sz w:val="24"/>
          <w:lang w:val="en-US"/>
        </w:rPr>
        <w:t xml:space="preserve">, University of Indiana). All molecular characterization </w:t>
      </w:r>
      <w:proofErr w:type="gramStart"/>
      <w:r w:rsidRPr="003319E5">
        <w:rPr>
          <w:rFonts w:ascii="Times New Roman" w:hAnsi="Times New Roman" w:cs="Times New Roman"/>
          <w:sz w:val="24"/>
          <w:lang w:val="en-US"/>
        </w:rPr>
        <w:t>were</w:t>
      </w:r>
      <w:proofErr w:type="gramEnd"/>
      <w:r w:rsidRPr="003319E5">
        <w:rPr>
          <w:rFonts w:ascii="Times New Roman" w:hAnsi="Times New Roman" w:cs="Times New Roman"/>
          <w:sz w:val="24"/>
          <w:lang w:val="en-US"/>
        </w:rPr>
        <w:t xml:space="preserve"> run using PAST 4.03.</w:t>
      </w:r>
    </w:p>
    <w:p w14:paraId="2A42EBA9" w14:textId="77777777" w:rsidR="00BB7AA9" w:rsidRPr="005F44EF" w:rsidRDefault="00B9564D" w:rsidP="008524E9">
      <w:pPr>
        <w:pStyle w:val="Heading3"/>
        <w:rPr>
          <w:rFonts w:cs="Times New Roman"/>
        </w:rPr>
      </w:pPr>
      <w:bookmarkStart w:id="98" w:name="_Toc178429939"/>
      <w:r w:rsidRPr="005F44EF">
        <w:rPr>
          <w:rFonts w:cs="Times New Roman"/>
        </w:rPr>
        <w:t>4.2.1. Molecular Characterization</w:t>
      </w:r>
      <w:bookmarkEnd w:id="98"/>
    </w:p>
    <w:p w14:paraId="64577C32" w14:textId="77777777" w:rsidR="00BB7AA9" w:rsidRPr="005F44EF" w:rsidRDefault="00BB7AA9">
      <w:pPr>
        <w:spacing w:after="0" w:line="276" w:lineRule="auto"/>
        <w:jc w:val="both"/>
        <w:rPr>
          <w:rFonts w:ascii="Times New Roman" w:eastAsia="Times New Roman" w:hAnsi="Times New Roman" w:cs="Times New Roman"/>
          <w:i/>
          <w:sz w:val="24"/>
          <w:szCs w:val="24"/>
        </w:rPr>
      </w:pPr>
    </w:p>
    <w:p w14:paraId="0B448726" w14:textId="77777777"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The FAMEs were </w:t>
      </w:r>
      <w:proofErr w:type="spellStart"/>
      <w:r w:rsidRPr="005F44EF">
        <w:rPr>
          <w:rFonts w:ascii="Times New Roman" w:eastAsia="Times New Roman" w:hAnsi="Times New Roman" w:cs="Times New Roman"/>
          <w:sz w:val="24"/>
          <w:szCs w:val="24"/>
        </w:rPr>
        <w:t>analyzed</w:t>
      </w:r>
      <w:proofErr w:type="spellEnd"/>
      <w:r w:rsidRPr="005F44EF">
        <w:rPr>
          <w:rFonts w:ascii="Times New Roman" w:eastAsia="Times New Roman" w:hAnsi="Times New Roman" w:cs="Times New Roman"/>
          <w:sz w:val="24"/>
          <w:szCs w:val="24"/>
        </w:rPr>
        <w:t xml:space="preserve"> with an Agilent 7890B Gas Chromatograph (GC) System equipped with an Agilent HP-5 capillary column (30 m length, 0.25 mm i.d. and 0.25 </w:t>
      </w:r>
      <w:proofErr w:type="spellStart"/>
      <w:r w:rsidRPr="005F44EF">
        <w:rPr>
          <w:rFonts w:ascii="Times New Roman" w:eastAsia="Times New Roman" w:hAnsi="Times New Roman" w:cs="Times New Roman"/>
          <w:sz w:val="24"/>
          <w:szCs w:val="24"/>
        </w:rPr>
        <w:t>μm</w:t>
      </w:r>
      <w:proofErr w:type="spellEnd"/>
      <w:r w:rsidRPr="005F44EF">
        <w:rPr>
          <w:rFonts w:ascii="Times New Roman" w:eastAsia="Times New Roman" w:hAnsi="Times New Roman" w:cs="Times New Roman"/>
          <w:sz w:val="24"/>
          <w:szCs w:val="24"/>
        </w:rPr>
        <w:t xml:space="preserve"> film), and coupled to a 5977A Series Mass Selective Detector (MSD) at the Max Planck Institute of Geoanthropology (Jena, Germany). Samples were injected in pulsed split mode at 290 °C, and the GC oven was programmed from 60 °C (1 min hold) to 150 °C at 10 °C/min, then to 320 °C at 6 °C/min (10 min hold). Helium was the carrier gas with a constant flow of 1.1 mL/min. The MS source was operated at 230 °C with 70 eV ionization energy in the electron ionization (EI) mode and a full scan rate of </w:t>
      </w:r>
      <w:r w:rsidRPr="005F44EF">
        <w:rPr>
          <w:rFonts w:ascii="Times New Roman" w:eastAsia="Times New Roman" w:hAnsi="Times New Roman" w:cs="Times New Roman"/>
          <w:i/>
          <w:sz w:val="24"/>
          <w:szCs w:val="24"/>
        </w:rPr>
        <w:t>m/z</w:t>
      </w:r>
      <w:r w:rsidRPr="005F44EF">
        <w:rPr>
          <w:rFonts w:ascii="Times New Roman" w:eastAsia="Times New Roman" w:hAnsi="Times New Roman" w:cs="Times New Roman"/>
          <w:sz w:val="24"/>
          <w:szCs w:val="24"/>
        </w:rPr>
        <w:t xml:space="preserve"> 50-650. FAMEs were identified by comparing mass spectra and retention times with an external standard mixture.</w:t>
      </w:r>
    </w:p>
    <w:p w14:paraId="5F016F61" w14:textId="77777777" w:rsidR="00BB7AA9" w:rsidRPr="005F44EF" w:rsidRDefault="00BB7AA9">
      <w:pPr>
        <w:spacing w:after="0" w:line="276" w:lineRule="auto"/>
        <w:jc w:val="both"/>
        <w:rPr>
          <w:rFonts w:ascii="Times New Roman" w:eastAsia="Times New Roman" w:hAnsi="Times New Roman" w:cs="Times New Roman"/>
          <w:sz w:val="24"/>
          <w:szCs w:val="24"/>
        </w:rPr>
      </w:pPr>
    </w:p>
    <w:p w14:paraId="2EEA8E5D" w14:textId="28492C73" w:rsidR="00CD6CCC"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Average chain length, or the weight-averaged number of carbon homologues of the C</w:t>
      </w:r>
      <w:r w:rsidRPr="005F44EF">
        <w:rPr>
          <w:rFonts w:ascii="Times New Roman" w:eastAsia="Times New Roman" w:hAnsi="Times New Roman" w:cs="Times New Roman"/>
          <w:sz w:val="24"/>
          <w:szCs w:val="24"/>
          <w:vertAlign w:val="subscript"/>
        </w:rPr>
        <w:t>20</w:t>
      </w:r>
      <w:r w:rsidRPr="005F44EF">
        <w:rPr>
          <w:rFonts w:ascii="Times New Roman" w:eastAsia="Times New Roman" w:hAnsi="Times New Roman" w:cs="Times New Roman"/>
          <w:sz w:val="24"/>
          <w:szCs w:val="24"/>
        </w:rPr>
        <w:t>-C</w:t>
      </w:r>
      <w:r w:rsidRPr="005F44EF">
        <w:rPr>
          <w:rFonts w:ascii="Times New Roman" w:eastAsia="Times New Roman" w:hAnsi="Times New Roman" w:cs="Times New Roman"/>
          <w:sz w:val="24"/>
          <w:szCs w:val="24"/>
          <w:vertAlign w:val="subscript"/>
        </w:rPr>
        <w:t>34</w:t>
      </w:r>
      <w:r w:rsidRPr="005F44EF">
        <w:rPr>
          <w:rFonts w:ascii="Times New Roman" w:eastAsia="Times New Roman" w:hAnsi="Times New Roman" w:cs="Times New Roman"/>
          <w:sz w:val="24"/>
          <w:szCs w:val="24"/>
        </w:rPr>
        <w:t xml:space="preserve"> FAMEs, was calculated as follows:</w:t>
      </w:r>
    </w:p>
    <w:p w14:paraId="1A3B124B" w14:textId="77777777" w:rsidR="00B166FC" w:rsidRPr="005F44EF" w:rsidRDefault="00B166FC">
      <w:pPr>
        <w:spacing w:after="0" w:line="276" w:lineRule="auto"/>
        <w:jc w:val="both"/>
        <w:rPr>
          <w:rFonts w:ascii="Times New Roman" w:eastAsia="Times New Roman" w:hAnsi="Times New Roman" w:cs="Times New Roman"/>
          <w:sz w:val="24"/>
          <w:szCs w:val="24"/>
        </w:rPr>
      </w:pPr>
    </w:p>
    <w:p w14:paraId="0045E6B9" w14:textId="01ED469D" w:rsidR="00BB7AA9" w:rsidRPr="005F44EF" w:rsidRDefault="00CD6CCC">
      <w:pPr>
        <w:spacing w:after="0" w:line="276" w:lineRule="auto"/>
        <w:jc w:val="both"/>
        <w:rPr>
          <w:rFonts w:ascii="Times New Roman" w:eastAsia="Times New Roman" w:hAnsi="Times New Roman" w:cs="Times New Roman"/>
          <w:sz w:val="24"/>
          <w:szCs w:val="24"/>
        </w:rPr>
      </w:pPr>
      <w:r w:rsidRPr="005F44EF">
        <w:rPr>
          <w:rFonts w:ascii="Times New Roman" w:hAnsi="Times New Roman" w:cs="Times New Roman"/>
          <w:noProof/>
          <w:lang w:val="en-AU" w:eastAsia="en-AU"/>
        </w:rPr>
        <w:drawing>
          <wp:inline distT="0" distB="0" distL="0" distR="0" wp14:anchorId="307A4112" wp14:editId="035228A0">
            <wp:extent cx="5758815" cy="50101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8815" cy="501015"/>
                    </a:xfrm>
                    <a:prstGeom prst="rect">
                      <a:avLst/>
                    </a:prstGeom>
                    <a:noFill/>
                    <a:ln>
                      <a:noFill/>
                    </a:ln>
                  </pic:spPr>
                </pic:pic>
              </a:graphicData>
            </a:graphic>
          </wp:inline>
        </w:drawing>
      </w:r>
    </w:p>
    <w:p w14:paraId="6223D90D" w14:textId="312588B2"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lastRenderedPageBreak/>
        <w:t xml:space="preserve">Where </w:t>
      </w:r>
      <w:proofErr w:type="spellStart"/>
      <w:r w:rsidRPr="005F44EF">
        <w:rPr>
          <w:rFonts w:ascii="Times New Roman" w:eastAsia="Times New Roman" w:hAnsi="Times New Roman" w:cs="Times New Roman"/>
          <w:sz w:val="24"/>
          <w:szCs w:val="24"/>
        </w:rPr>
        <w:t>C</w:t>
      </w:r>
      <w:r w:rsidRPr="005F44EF">
        <w:rPr>
          <w:rFonts w:ascii="Times New Roman" w:eastAsia="Times New Roman" w:hAnsi="Times New Roman" w:cs="Times New Roman"/>
          <w:i/>
          <w:sz w:val="24"/>
          <w:szCs w:val="24"/>
          <w:vertAlign w:val="subscript"/>
        </w:rPr>
        <w:t>x</w:t>
      </w:r>
      <w:proofErr w:type="spellEnd"/>
      <w:r w:rsidRPr="005F44EF">
        <w:rPr>
          <w:rFonts w:ascii="Times New Roman" w:eastAsia="Times New Roman" w:hAnsi="Times New Roman" w:cs="Times New Roman"/>
          <w:sz w:val="24"/>
          <w:szCs w:val="24"/>
        </w:rPr>
        <w:t xml:space="preserve"> is the abundance of the chain length with </w:t>
      </w:r>
      <w:r w:rsidRPr="005F44EF">
        <w:rPr>
          <w:rFonts w:ascii="Times New Roman" w:eastAsia="Times New Roman" w:hAnsi="Times New Roman" w:cs="Times New Roman"/>
          <w:i/>
          <w:sz w:val="24"/>
          <w:szCs w:val="24"/>
        </w:rPr>
        <w:t>x</w:t>
      </w:r>
      <w:r w:rsidRPr="005F44EF">
        <w:rPr>
          <w:rFonts w:ascii="Times New Roman" w:eastAsia="Times New Roman" w:hAnsi="Times New Roman" w:cs="Times New Roman"/>
          <w:sz w:val="24"/>
          <w:szCs w:val="24"/>
        </w:rPr>
        <w:t xml:space="preserve"> carbons. ACL has been shown to be higher in C</w:t>
      </w:r>
      <w:r w:rsidRPr="005F44EF">
        <w:rPr>
          <w:rFonts w:ascii="Times New Roman" w:eastAsia="Times New Roman" w:hAnsi="Times New Roman" w:cs="Times New Roman"/>
          <w:sz w:val="24"/>
          <w:szCs w:val="24"/>
          <w:vertAlign w:val="subscript"/>
        </w:rPr>
        <w:t>4</w:t>
      </w:r>
      <w:r w:rsidRPr="005F44EF">
        <w:rPr>
          <w:rFonts w:ascii="Times New Roman" w:eastAsia="Times New Roman" w:hAnsi="Times New Roman" w:cs="Times New Roman"/>
          <w:sz w:val="24"/>
          <w:szCs w:val="24"/>
        </w:rPr>
        <w:t xml:space="preserve"> grasses</w:t>
      </w:r>
      <w:r w:rsidR="003A436E"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{"citationItems":[{"id":"ITEM-1","itemData":{"DOI":"10.1016/J.ORGGEOCHEM.2005.12.013","ISSN":"0146-6380","abstract":"Grasses (Poaceae) are distributed across the world in broad latitudinal belts and are an important source of C4 biomass in the geological record of soils as well as lake and marine sediments. We examined long-chain leaf wax components of thirty-five C4 grasses of the subfamilies Aristidoideae, Chloridoideae and Panicoideae from the southern African grasslands and savannas and three C3 grasses of the subfamily Pooideae from Peru and Australia and review the relevant botanical, phytogeographic and leaf wax compositional background information. Contents, distribution patterns and molecular stable carbon isotopic compositions of long-chain n-alkanes (n-C27 to n-C35) and n-alkan-1-ols (n-C22 to n-C32) were used to estimate the chemotaxonomic relevance of wax signatures of whole plants, separately for different subfamilies and for members of the three C4 subtypes (NADP-ME, NAD-ME and PCK). Two grass species were separated into flower heads, leaves and stems and the parts analysed separately. Grass flowers contain remarkable amounts of short-chain n-alkanes, which may have a significant influence on the chemical signature of the whole plant, whereas n-alkanol distribution patterns exhibit no systematics. The stable carbon isotopic composition of both biomarker types in different plant parts is remarkably uniform. Chemotaxonomic differentiation was not possible on a species level based on whole plant samples, but was more successful for averages of subfamily and photosynthetic subtype data. Wax signatures of C4 grasses are generally distinguishable from those of C3 species by heavier isotopic values, higher contents of n-C31 and n-C33 alkanes and the abundance of the n-C32 n-alkanol, which is largely absent in C3 grass waxes. Especially the waxes of the NAD-ME and PCK C4-subtype grasses, which thrive in extremely arid tropical and subtropical areas, contain high relative amounts of longer-chain n-alkane homologues. The chemical classification on a subfamily level, which is in agreement with previously reported subfamilial phylogeny of grasses, implies an evolutionary wax adaptation of C4 grasses to warm and arid habitats. Our results confirm the validity of the contents, distribution patterns and molecular stable carbon isotopic compositions of long-chain n-alkanes and alkan-1-ols as indirect proxies of continental climate conditions in environmental studies of the tropics. © 2006 Elsevier Ltd. All rights reserved.","author":[{"dropping-particle":"","family":"Rommerskirchen","given":"Florian","non-dropping-particle":"","parse-names":false,"suffix":""},{"dropping-particle":"","family":"Plader","given":"Anna","non-dropping-particle":"","parse-names":false,"suffix":""},{"dropping-particle":"","family":"Eglinton","given":"Geoffrey","non-dropping-particle":"","parse-names":false,"suffix":""},{"dropping-particle":"","family":"Chikaraishi","given":"Yoshito","non-dropping-particle":"","parse-names":false,"suffix":""},{"dropping-particle":"","family":"Rullkötter","given":"Jürgen","non-dropping-particle":"","parse-names":false,"suffix":""}],"container-title":"Organic Geochemistry","id":"ITEM-1","issue":"10","issued":{"date-parts":[["2006","10","1"]]},"page":"1303-1332","publisher":"Pergamon","title":"Chemotaxonomic significance of distribution and stable carbon isotopic composition of long-chain alkanes and alkan-1-ols in C4 grass waxes","type":"article-journal","volume":"37"},"uris":["http://www.mendeley.com/documents/?uuid=522df966-196e-3f45-95fc-a5899f2b5b63"]}],"mendeley":{"formattedCitation":"&lt;sup&gt;117&lt;/sup&gt;","plainTextFormattedCitation":"117","previouslyFormattedCitation":"&lt;sup&gt;117&lt;/sup&gt;"},"properties":{"noteIndex":0},"schema":"https://github.com/citation-style-language/schema/raw/master/csl-citation.json"}</w:instrText>
      </w:r>
      <w:r w:rsidR="003A436E"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117</w:t>
      </w:r>
      <w:r w:rsidR="003A436E"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but also correlates with higher growing season temperature and aridity</w:t>
      </w:r>
      <w:hyperlink r:id="rId33">
        <w:r w:rsidR="003A436E" w:rsidRPr="005F44EF">
          <w:rPr>
            <w:rFonts w:ascii="Times New Roman" w:hAnsi="Times New Roman" w:cs="Times New Roman"/>
          </w:rPr>
          <w:fldChar w:fldCharType="begin" w:fldLock="1"/>
        </w:r>
        <w:r w:rsidR="00614E13">
          <w:rPr>
            <w:rFonts w:ascii="Times New Roman" w:hAnsi="Times New Roman" w:cs="Times New Roman"/>
          </w:rPr>
          <w:instrText>ADDIN CSL_CITATION {"citationItems":[{"id":"ITEM-1","itemData":{"DOI":"10.1016/S0305-1978(03)00031-0","ISSN":"0305-1978","abstract":"The alkane fraction of cuticular lipids was analyzed in populations of Juniperus communis var. saxitilis and var. montana from the Pyrenees, the Alps, Corsica and California. The New World and Old World populations showed highly divergent alkane chain length distributions that were not correlated with climatic variables, suggesting a strong phylogeographic pattern to this holarctic species. Within Europe, the Corsican populations formed a distinct clade, but there was no consistent separation of populations from the Alps and from the Pyrenees. An elevational transect within the Pyrenees revealed a complex pattern for weighted mean alkane chain length (N) which was greatest at both low and at high elevations. Dispersion about this mean (d) showed a linear increase with elevation. A matrix of distances based on alkane composition for the Pyrenees populations was correlated with a distance matrix of temperature and an aridity index. Greater weighted mean alkane chain length at low and at high elevations was possibly a result of adaptation to minimize cuticular permeability due to high summer temperatures at low elevation and freezing causing physiological drought at high elevations. It seems probable that environment interactions determining selection forces, together with direct environmental effects may lead to the complex patterns of N and d observed over this elevational transect. © 2003 Elsevier Science Ltd. All rights reserved.","author":[{"dropping-particle":"","family":"Dodd","given":"Richard S.","non-dropping-particle":"","parse-names":false,"suffix":""},{"dropping-particle":"","family":"Poveda","given":"Maria M.","non-dropping-particle":"","parse-names":false,"suffix":""}],"container-title":"Biochemical Systematics and Ecology","id":"ITEM-1","issue":"31","issued":{"date-parts":[["2003"]]},"page":"1257-1270","publisher":"Elsevier Ltd","title":"Environmental gradients and population divergence contribute to variation in cuticular wax composition in Juniperus communis","type":"article-journal","volume":"11"},"uris":["http://www.mendeley.com/documents/?uuid=7ab2329d-66e5-3092-b251-da293f184f60"]},{"id":"ITEM-2","itemData":{"DOI":"10.1016/J.ORGGEOCHEM.2014.12.003","ISSN":"0146-6380","abstract":"The distributions of long chain n-alkanes are often utilized as plant-derived paleoenvironmental proxies. However, there is debate regarding the degree to which photosynthetic pathway, temperature and/or hydrology drive the variation in chain length distribution observed among different environments. In order to assess the influence of temperature and photosynthetic pathway on plant n-alkanes, this study examined n-alkane chain length distributions in plants and soils along a transect across mid-continental USA spanning &gt;20°C mean annual temperature with a limited range of mean annual precipitation. We found that (i) longer chain length in plants and soils correlated with higher growing season temperature, with relative humidity also a possible driver, (ii) soils exhibited a stronger correlation with temperature than did individual plants, which may reflect the averaging of plant input to soils and (iii) average chain length values in soils did not correlate with the predominance of C4 plants. The data suggest that the spatial and temporal variation in chain length distributions observed in studies of sediment archives may be driven in large part by growing season temperature and/or aridity rather than photosynthetic pathway (C3 or C4). The findings call for further research into the mechanisms and effects of leaf wax composition on water permeability under different environmental conditions, the relationship between leaf wax n-alkanes and relative humidity, and the incorporation of n-alkanes into soils and sediments.","author":[{"dropping-particle":"","family":"Bush","given":"Rosemary T.","non-dropping-particle":"","parse-names":false,"suffix":""},{"dropping-particle":"","family":"McInerney","given":"Francesca A.","non-dropping-particle":"","parse-names":false,"suffix":""}],"container-title":"Organic Geochemistry","id":"ITEM-2","issued":{"date-parts":[["2015","2","1"]]},"page":"65-73","publisher":"Pergamon","title":"Influence of temperature and C4 abundance on n-alkane chain length distributions across the central USA","type":"article-journal","volume":"79"},"uris":["http://www.mendeley.com/documents/?uuid=effbe239-6968-3320-9774-27599f918752"]},{"id":"ITEM-3","itemData":{"DOI":"10.1016/j.gca.2012.10.042","ISSN":"00167037","abstract":"Local climate and environment broadly affect the deuterium/hydrogen (D/H) ratios of plant materials, however the degree to which an individual plant's leaf waxes D/H ratios are affected by these parameters remains in question. Understanding these issues is particularly important in order to reconstruct past floral transitions and changes in the paleohydrologic cycle. For this study, we sampled five co-occurring tree species, Acer rubrum, Platanus occidentalis, Juniperus virginiana, Pinus taeda, and Pinus strobus and soils at forty sites along the East Coast of the US, from Florida to Maine. Hydrogen isotopic compositions of leaf wax n-alkanes, stem and surface waters were analyzed and compared against high-resolution temperature, precipitation, relative humidity, and vapor pressure deficit data to determine environmental controls on isotopic composition.Our results demonstrate that each tree species produce a unique distribution of n-alkanes with distinct chain length pattern. Average n-alkane chain lengths recovered from soils, A. rubrum, and J. virginiana leaves show significant correlations with mean annual temperature. δD values of A. rubrum leaf n-alkanes were strongly correlated to modeled mean annual precipitation δD values and other climate parameters related to latitude (i.e. temperature, relative humidity, vapor pressure deficit), while the δD values of J. virginiana n-alkanes were not. Differences in correspondence may reflect the timing of leaf wax synthesis between the two species. Further, soil n-alkane D/H compositions were strongly correlated to modeled mean annual precipitation δD values, while the apparent hydrogen isotopic fractionation was not. These findings indicate that the isotope ratio of n-alkanes from soils in Eastern North American forests and similar ecosystems likely represents a time-averaged value that smooth out the environmental influence any one plant experiences. © 2012 Elsevier Ltd.","author":[{"dropping-particle":"","family":"Tipple","given":"Brett J.","non-dropping-particle":"","parse-names":false,"suffix":""},{"dropping-particle":"","family":"Pagani","given":"Mark","non-dropping-particle":"","parse-names":false,"suffix":""}],"container-title":"Geochimica et Cosmochimica Acta","id":"ITEM-3","issued":{"date-parts":[["2013"]]},"page":"64-77","publisher":"Elsevier Ltd","title":"Environmental control on eastern broadleaf forest species' leaf wax distributions and d/h ratios","type":"article-journal","volume":"111"},"uris":["http://www.mendeley.com/documents/?uuid=4b9973a6-4eab-46d6-8da9-0fb4766c7f99"]}],"mendeley":{"formattedCitation":"&lt;sup&gt;118–120&lt;/sup&gt;","plainTextFormattedCitation":"118–120","previouslyFormattedCitation":"&lt;sup&gt;118–120&lt;/sup&gt;"},"properties":{"noteIndex":0},"schema":"https://github.com/citation-style-language/schema/raw/master/csl-citation.json"}</w:instrText>
        </w:r>
        <w:r w:rsidR="003A436E" w:rsidRPr="005F44EF">
          <w:rPr>
            <w:rFonts w:ascii="Times New Roman" w:hAnsi="Times New Roman" w:cs="Times New Roman"/>
          </w:rPr>
          <w:fldChar w:fldCharType="separate"/>
        </w:r>
        <w:r w:rsidR="00C212A1" w:rsidRPr="00C212A1">
          <w:rPr>
            <w:rFonts w:ascii="Times New Roman" w:hAnsi="Times New Roman" w:cs="Times New Roman"/>
            <w:noProof/>
            <w:vertAlign w:val="superscript"/>
          </w:rPr>
          <w:t>118–120</w:t>
        </w:r>
        <w:r w:rsidR="003A436E" w:rsidRPr="005F44EF">
          <w:rPr>
            <w:rFonts w:ascii="Times New Roman" w:hAnsi="Times New Roman" w:cs="Times New Roman"/>
          </w:rPr>
          <w:fldChar w:fldCharType="end"/>
        </w:r>
      </w:hyperlink>
      <w:r w:rsidRPr="005F44EF">
        <w:rPr>
          <w:rFonts w:ascii="Times New Roman" w:eastAsia="Times New Roman" w:hAnsi="Times New Roman" w:cs="Times New Roman"/>
          <w:sz w:val="24"/>
          <w:szCs w:val="24"/>
        </w:rPr>
        <w:t>.</w:t>
      </w:r>
    </w:p>
    <w:p w14:paraId="144AB327" w14:textId="77777777" w:rsidR="00BB7AA9" w:rsidRPr="005F44EF" w:rsidRDefault="00BB7AA9">
      <w:pPr>
        <w:spacing w:after="0" w:line="276" w:lineRule="auto"/>
        <w:jc w:val="both"/>
        <w:rPr>
          <w:rFonts w:ascii="Times New Roman" w:eastAsia="Times New Roman" w:hAnsi="Times New Roman" w:cs="Times New Roman"/>
          <w:sz w:val="24"/>
          <w:szCs w:val="24"/>
        </w:rPr>
      </w:pPr>
    </w:p>
    <w:p w14:paraId="10C7ACA6" w14:textId="21401B94"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The carbon preference index (CPI), which examines the odd-over-even carbon number predominance, was calculated using the abundances of even and odd chain lengths from C</w:t>
      </w:r>
      <w:r w:rsidRPr="005F44EF">
        <w:rPr>
          <w:rFonts w:ascii="Times New Roman" w:eastAsia="Times New Roman" w:hAnsi="Times New Roman" w:cs="Times New Roman"/>
          <w:sz w:val="24"/>
          <w:szCs w:val="24"/>
          <w:vertAlign w:val="subscript"/>
        </w:rPr>
        <w:t>20</w:t>
      </w:r>
      <w:r w:rsidRPr="005F44EF">
        <w:rPr>
          <w:rFonts w:ascii="Times New Roman" w:eastAsia="Times New Roman" w:hAnsi="Times New Roman" w:cs="Times New Roman"/>
          <w:sz w:val="24"/>
          <w:szCs w:val="24"/>
        </w:rPr>
        <w:t xml:space="preserve"> to C</w:t>
      </w:r>
      <w:r w:rsidRPr="005F44EF">
        <w:rPr>
          <w:rFonts w:ascii="Times New Roman" w:eastAsia="Times New Roman" w:hAnsi="Times New Roman" w:cs="Times New Roman"/>
          <w:sz w:val="24"/>
          <w:szCs w:val="24"/>
          <w:vertAlign w:val="subscript"/>
        </w:rPr>
        <w:t>34</w:t>
      </w:r>
      <w:r w:rsidRPr="005F44EF">
        <w:rPr>
          <w:rFonts w:ascii="Times New Roman" w:eastAsia="Times New Roman" w:hAnsi="Times New Roman" w:cs="Times New Roman"/>
          <w:sz w:val="24"/>
          <w:szCs w:val="24"/>
        </w:rPr>
        <w:t xml:space="preserve"> and the following formula:</w:t>
      </w:r>
    </w:p>
    <w:p w14:paraId="336EC8BE" w14:textId="77777777" w:rsidR="00B166FC" w:rsidRPr="005F44EF" w:rsidRDefault="00B166FC">
      <w:pPr>
        <w:spacing w:after="0" w:line="276" w:lineRule="auto"/>
        <w:jc w:val="both"/>
        <w:rPr>
          <w:rFonts w:ascii="Times New Roman" w:eastAsia="Times New Roman" w:hAnsi="Times New Roman" w:cs="Times New Roman"/>
          <w:sz w:val="24"/>
          <w:szCs w:val="24"/>
        </w:rPr>
      </w:pPr>
    </w:p>
    <w:p w14:paraId="573708BC" w14:textId="4DC4F316" w:rsidR="00BB7AA9" w:rsidRPr="005F44EF" w:rsidRDefault="00CD6CCC">
      <w:pPr>
        <w:spacing w:after="0" w:line="276" w:lineRule="auto"/>
        <w:jc w:val="both"/>
        <w:rPr>
          <w:rFonts w:ascii="Times New Roman" w:eastAsia="Times New Roman" w:hAnsi="Times New Roman" w:cs="Times New Roman"/>
          <w:sz w:val="24"/>
          <w:szCs w:val="24"/>
        </w:rPr>
      </w:pPr>
      <w:r w:rsidRPr="005F44EF">
        <w:rPr>
          <w:rFonts w:ascii="Times New Roman" w:hAnsi="Times New Roman" w:cs="Times New Roman"/>
          <w:noProof/>
          <w:lang w:val="en-AU" w:eastAsia="en-AU"/>
        </w:rPr>
        <w:drawing>
          <wp:inline distT="0" distB="0" distL="0" distR="0" wp14:anchorId="0C3C48A3" wp14:editId="46412F6B">
            <wp:extent cx="5758815" cy="50101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8815" cy="501015"/>
                    </a:xfrm>
                    <a:prstGeom prst="rect">
                      <a:avLst/>
                    </a:prstGeom>
                    <a:noFill/>
                    <a:ln>
                      <a:noFill/>
                    </a:ln>
                  </pic:spPr>
                </pic:pic>
              </a:graphicData>
            </a:graphic>
          </wp:inline>
        </w:drawing>
      </w:r>
    </w:p>
    <w:p w14:paraId="3A675786" w14:textId="58B63928"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There is a wide range of CPI observed in modern African plants ranging from &lt;1 to 99, with 96.0 % of all CPI values being greater than or equal to 1, 81.2 % greater than or equal to 2, and 60.7 % greater than or equal to 5</w:t>
      </w:r>
      <w:r w:rsidR="003A436E"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{"citationItems":[{"id":"ITEM-1","itemData":{"DOI":"10.1016/J.GCA.2013.04.016","ISSN":"0016-7037","abstract":"Long chain (C21 to C37) n-alkanes are among the most long-lived and widely utilized terrestrial plant biomarkers. Dozens of studies have examined the range and variation of n-alkane chain-length abundances in modern plants from around the world, and n-alkane distributions have been used for a variety of purposes in paleoclimatology and paleoecology as well as chemotaxonomy. However, most of the paleoecological applications of n-alkane distributions have been based on a narrow set of modern data that cannot address intra- and inter-plant variability. Here, we present the results of a study using trees from near Chicago, IL, USA, as well as a meta-analysis of published data on modern plant n-alkane distributions. First, we test the conformity of n-alkane distributions in mature leaves across the canopy of 38 individual plants from 24 species as well as across a single growing season and find no significant differences for either canopy position or time of leaf collection. Second, we compile 2093 observations from 86 sources, including the new data here, to examine the generalities of n-alkane parameters such as carbon preference index (CPI), average chain length (ACL), and chain-length ratios for different plant groups. We show that angiosperms generally produce more n-alkanes than do gymnosperms, supporting previous observations, and furthermore that CPI values show such variation in modern plants that it is prudent to discard the use of CPI as a quantitative indicator of n-alkane degradation in sediments. We also test the hypotheses that certain n-alkane chain lengths predominate in and therefore can be representative of particular plant groups, namely, C23 and C25 in Sphagnum mosses, C27 and C29 in woody plants, and C31 in graminoids (grasses). We find that chain-length distributions are highly variable within plant groups, such that chemotaxonomic distinctions between grasses and woody plants are difficult to make based on n-alkane abundances. In contrast, Sphagnum mosses are marked by their predominance of C23 and C25, chain lengths which are largely absent in terrestrial vascular plants. The results here support the use of C23 as a robust proxy for Sphagnum mosses in paleoecological studies, but not the use of C27, C29, and C31 to separate graminoids and woody plants from one another, as both groups produce highly variable but significant amounts of all three chain lengths. In Africa, C33 and C35 chain lengths appear to distinguish graminoids from s…","author":[{"dropping-particle":"","family":"Bush","given":"Rosemary T.","non-dropping-particle":"","parse-names":false,"suffix":""},{"dropping-particle":"","family":"McInerney","given":"Francesca A.","non-dropping-particle":"","parse-names":false,"suffix":""}],"container-title":"Geochimica et Cosmochimica Acta","id":"ITEM-1","issued":{"date-parts":[["2013","9","5"]]},"page":"161-179","publisher":"Elsevier Limited","title":"Leaf wax n-alkane distributions in and across modern plants: Implications for paleoecology and chemotaxonomy","type":"article-journal","volume":"117"},"uris":["http://www.mendeley.com/documents/?uuid=ec178a12-19e0-38a0-af0b-579c980ffeb8"]}],"mendeley":{"formattedCitation":"&lt;sup&gt;121&lt;/sup&gt;","plainTextFormattedCitation":"121","previouslyFormattedCitation":"&lt;sup&gt;121&lt;/sup&gt;"},"properties":{"noteIndex":0},"schema":"https://github.com/citation-style-language/schema/raw/master/csl-citation.json"}</w:instrText>
      </w:r>
      <w:r w:rsidR="003A436E"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121</w:t>
      </w:r>
      <w:r w:rsidR="003A436E"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CPI is used to examine the even-over-odd carbon number predominance and to distinguish sedimentary organic matter deriving from terrestrial plants and that from bacterial or petroleum sources</w:t>
      </w:r>
      <w:r w:rsidR="003A436E"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{"citationItems":[{"id":"ITEM-1","itemData":{"DOI":"10.1016/J.GCA.2011.09.028","ISSN":"0016-7037","abstract":"NH-Paleobiology","author":[{"dropping-particle":"","family":"Diefendorf","given":"Aaron F.","non-dropping-particle":"","parse-names":false,"suffix":""},{"dropping-particle":"","family":"Freeman","given":"Katherine H.","non-dropping-particle":"","parse-names":false,"suffix":""},{"dropping-particle":"","family":"Wing","given":"Scott L.","non-dropping-particle":"","parse-names":false,"suffix":""},{"dropping-particle":"V.","family":"Graham","given":"Heather","non-dropping-particle":"","parse-names":false,"suffix":""}],"container-title":"Geochimica et Cosmochimica Acta","id":"ITEM-1","issue":"23","issued":{"date-parts":[["2011","12","1"]]},"page":"7472-7485","title":"Production of n-alkyl lipids in living plants and implications for the geologic past","type":"article-journal","volume":"75"},"uris":["http://www.mendeley.com/documents/?uuid=8f9b2498-3063-30ba-b056-8d14bb1e007f"]},{"id":"ITEM-2","itemData":{"DOI":"10.1016/J.ORGGEOCHEM.2018.06.006","ISSN":"0146-6380","abstract":"The combined use of plant wax n-alkane δD values and branched glycerol dialkyl glycerol tetraether lipid (brGDGT) distributions provides a novel approach for paleoaltitude reconstruction. Studies from East Africa revealed, however, inconsistent results between the proxy estimates and altitudinal parameters. Here, we explore these proxies in soils of different land use (forest, cropland and pasture) along an altitudinal transect in the Jimma zone of the southwest Ethiopian highlands to better understand environmental and plant-specific factors controlling the isotopic composition and distribution of n-alkanes and brGDGTs. The hydrogen isotope composition of individual n-alkanes does not unambiguously reflect the altitude effect on precipitation δD, but seems largely influenced by the specific land use. Only forest soil-derived n-C27 and n-C29 alkane δD values exhibit a significant linear relationship with altitude (r −0.87, p &lt; 0.05), likely reflecting the most stable ecosystem. The resulting lapse rate of −17‰/1000 m is comparable with that of local precipitation in the southwest Ethiopian highlands. In addition, the linear correlation of the average chain length (ACL) and δ13C values of forest soil n-alkanes suggests a physiological adaptation of the specific plant type waxes to altitude-induced environmental changes in the study area. The distribution of brGDGTs also reveals a significant linear correlation with altitude (r −0.97, p &lt; 0.01), reflecting the decrease in temperature with higher elevation, independent of land use. In addition, brGDGT-based mean annual air temperature (MAT) estimates of 19.5–14.0 °C and temperature lapse rate of −6 °C/1000 m are in good agreement with direct measurements in the Jimma zone. In contrast to previous studies from East Africa, our results show that both soil n-alkane δD values and brGDGT-based MAT distributions track present day altitude effects on local environmental gradients in the southwest Ethiopian highlands.","author":[{"dropping-particle":"","family":"Jaeschke","given":"Andrea","non-dropping-particle":"","parse-names":false,"suffix":""},{"dropping-particle":"","family":"Rethemeyer","given":"Janet","non-dropping-particle":"","parse-names":false,"suffix":""},{"dropping-particle":"","family":"Lappé","given":"Michael","non-dropping-particle":"","parse-names":false,"suffix":""},{"dropping-particle":"","family":"Schouten","given":"Stefan","non-dropping-particle":"","parse-names":false,"suffix":""},{"dropping-particle":"","family":"Boeckx","given":"Pascal","non-dropping-particle":"","parse-names":false,"suffix":""},{"dropping-particle":"","family":"Schefuß","given":"Enno","non-dropping-particle":"","parse-names":false,"suffix":""}],"container-title":"Organic Geochemistry","id":"ITEM-2","issued":{"date-parts":[["2018","10","1"]]},"page":"77-87","publisher":"Pergamon","title":"Influence of land use on distribution of soil n-alkane δD and brGDGTs along an altitudinal transect in Ethiopia: Implications for (paleo)environmental studies","type":"article-journal","volume":"124"},"uris":["http://www.mendeley.com/documents/?uuid=165187d5-e871-374a-8636-26710df29562"]},{"id":"ITEM-3","itemData":{"DOI":"10.1016/J.QUASCIREV.2011.07.009","ISSN":"0277-3791","abstract":"Molecular organic geochemical proxies are increasingly being utilized to reconstruct past environmental conditions as new tools continue to be discovered and developed. To date, organic geochemical proxies have been developed mainly for use in marine systems and are widely used in paleoceanography. In contrast, organic proxies have been less commonly used on lacustrine sedimentary records. One reason for this is that the wide range in the physical and chemical properties of lakes complicates application of some organic geochemical proxies in lacustrine settings. Furthermore, in comparison to marine studies, presently only a small number of studies have conducted or are currently conducting fundamental research aimed at developing organic geochemical proxies for use in lacustrine settings. Despite this, an increasing number of (paleo)limnological studies are currently applying organic geochemical techniques to examine present and past environmental conditions. In this manuscript we review the use of a number of commonly utilized organic geochemical and isotopic proxies and discuss their potential for environmental reconstruction in Quaternary lacustrine deposits. © 2011 Elsevier Ltd.","author":[{"dropping-particle":"","family":"Castañeda","given":"Isla S.","non-dropping-particle":"","parse-names":false,"suffix":""},{"dropping-particle":"","family":"Schouten","given":"Stefan","non-dropping-particle":"","parse-names":false,"suffix":""}],"container-title":"QSRv","id":"ITEM-3","issue":"21","issued":{"date-parts":[["2011"]]},"page":"2851-2891","publisher":"Elsevier Ltd","title":"A review of molecular organic proxies for examining modern and ancient lacustrine environments","type":"article-journal","volume":"30"},"uris":["http://www.mendeley.com/documents/?uuid=ac5a174a-cb5e-38a4-840b-413c998a03ce"]},{"id":"ITEM-4","itemData":{"DOI":"10.1016/0016-7037(61)90069-2","ISSN":"0016-7037","abstract":"A preference for n-parffins with odd numbers of carbon atoms is widespread in Recent sediments. Analyses of numerous Recent sediment samples indicate that molecules with odd numbers of carbon atoms predominate in the heavy n-paraffins for at least the first few thousand years after deposition. The depositional environments studied include a continental shelf, some ocean basins, bays. fresh-water lakes, a saline lake and soils. In contrast, the heavy n-paraffins in a representative selection of crude oils are evenly distributed between molecules of even- and odd-carbon number. Analyses of a limited number of postulated source rocks showed no preference in the heavy n-paraifins for molecules of either odd- or even-carbon number. Some shales and limestones ranging from Eocene to Mississippian in age have been examined for possible application of the n-paraffin distribution to recognition of source beds. © 1961.","author":[{"dropping-particle":"","family":"Bray","given":"E. E.","non-dropping-particle":"","parse-names":false,"suffix":""},{"dropping-particle":"","family":"Evans","given":"E. D.","non-dropping-particle":"","parse-names":false,"suffix":""}],"container-title":"GeCoA","id":"ITEM-4","issue":"1","issued":{"date-parts":[["1961"]]},"page":"2-15","title":"Distribution of n -paraffins as a clue to recognition of source beds","type":"article-journal","volume":"22"},"uris":["http://www.mendeley.com/documents/?uuid=5f3ed80c-19a5-3bb4-98f7-12f0790850eb"]}],"mendeley":{"formattedCitation":"&lt;sup&gt;122–125&lt;/sup&gt;","plainTextFormattedCitation":"122–125","previouslyFormattedCitation":"&lt;sup&gt;122–125&lt;/sup&gt;"},"properties":{"noteIndex":0},"schema":"https://github.com/citation-style-language/schema/raw/master/csl-citation.json"}</w:instrText>
      </w:r>
      <w:r w:rsidR="003A436E"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122–125</w:t>
      </w:r>
      <w:r w:rsidR="003A436E"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and as an indicator for hydrocarbon maturity or degradation</w:t>
      </w:r>
      <w:r w:rsidR="003A436E"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{"citationItems":[{"id":"ITEM-1","itemData":{"DOI":"10.2343/GEOCHEMJ.1.0115","ISSN":"0016-7002","abstract":"Molecular composition and compound-specific carbon and hydrogen stable isotope ratios of n-alkanes are presented for leaves of grass, reeds and trees from five regions extending between latitudes 22° and 39°, China. The distribution of n-alkanes ranges from C15 to C35 with a high odd over even predominance and carbon-number maxima at C27, C29 or C31. The carbon preference index (CPI) values are from 3.49 to 17.25, with mean values increasing following tree leaf &gt; reed &gt; grass. The average chain length (ACL) values are between 26.24 and 30.26 and the mean values increase following grass &gt; reed &gt; tree leaf. It is observed that Cmax, CPI and ACL values of n-alkanes in plants from low latitudes are higher than those from high latitudes. The δd 13C values of C27 and C29 n-alkanes in plants range from -25.3 to -35.5‰ and the grass has a lighter mean carbon isotopic composition than the reed and tree leaf. The dD values of C 27 and C29 n-alkanes in the plants are between -132.1 and -192.6‰ and the mean hydrogen isotopic compositions of C27 and C29k n-alkanes in the grass are lighter than those in the reed and tree leaves. C27 and C29 n-alkanes in the grass and tree leaves from highlatitude and elevation area have relatively lighter hydrogen isotopic composition, indicating that these δD values can be used as excellent indicators of environment and climate. Copyright © 2011 by The Geochemical Society of Japan.","author":[{"dropping-particle":"","family":"Duan","given":"Yi","non-dropping-particle":"","parse-names":false,"suffix":""},{"dropping-particle":"","family":"He","given":"Jinxian","non-dropping-particle":"","parse-names":false,"suffix":""}],"container-title":"GEOCHEMICAL JOURNAL","id":"ITEM-1","issue":"3","issued":{"date-parts":[["2011","6","20"]]},"page":"199-207","publisher":"GEOCHEMICAL SOCIETY OF JAPAN","title":"Distribution and isotopic composition of n-alkanes from grass, reed and tree leaves along a latitudinal gradient in China","type":"article-journal","volume":"45"},"uris":["http://www.mendeley.com/documents/?uuid=1560f894-a7f1-365d-b6e8-e12cb4f349d5"]}],"mendeley":{"formattedCitation":"&lt;sup&gt;126&lt;/sup&gt;","plainTextFormattedCitation":"126","previouslyFormattedCitation":"&lt;sup&gt;126&lt;/sup&gt;"},"properties":{"noteIndex":0},"schema":"https://github.com/citation-style-language/schema/raw/master/csl-citation.json"}</w:instrText>
      </w:r>
      <w:r w:rsidR="003A436E"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126</w:t>
      </w:r>
      <w:r w:rsidR="003A436E" w:rsidRPr="005F44EF">
        <w:rPr>
          <w:rFonts w:ascii="Times New Roman" w:eastAsia="Times New Roman" w:hAnsi="Times New Roman" w:cs="Times New Roman"/>
          <w:sz w:val="24"/>
          <w:szCs w:val="24"/>
        </w:rPr>
        <w:fldChar w:fldCharType="end"/>
      </w:r>
      <w:r w:rsidRPr="005F44EF">
        <w:rPr>
          <w:rFonts w:ascii="Times New Roman" w:eastAsia="Gungsuh" w:hAnsi="Times New Roman" w:cs="Times New Roman"/>
          <w:sz w:val="24"/>
          <w:szCs w:val="24"/>
        </w:rPr>
        <w:t>. FAMEs deriving from land plants display carbon chains typically with CPI &gt;5.0, while petrogenic and marine inputs or mature samples are characterized by considerably lower CPI values of ≤1.0.</w:t>
      </w:r>
    </w:p>
    <w:p w14:paraId="2995742A" w14:textId="77777777" w:rsidR="00BB7AA9" w:rsidRPr="005F44EF" w:rsidRDefault="00BB7AA9">
      <w:pPr>
        <w:spacing w:after="0" w:line="276" w:lineRule="auto"/>
        <w:jc w:val="both"/>
        <w:rPr>
          <w:rFonts w:ascii="Times New Roman" w:eastAsia="Times New Roman" w:hAnsi="Times New Roman" w:cs="Times New Roman"/>
          <w:sz w:val="24"/>
          <w:szCs w:val="24"/>
        </w:rPr>
      </w:pPr>
    </w:p>
    <w:p w14:paraId="659649D8" w14:textId="77777777"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The submerged/terrestrial ratio (STR), which differentiates plant waxes produced by either submerged or terrestrial plants, was calculated as follows:</w:t>
      </w:r>
    </w:p>
    <w:p w14:paraId="53A0DDCD" w14:textId="321E2422" w:rsidR="00CD6CCC" w:rsidRPr="005F44EF" w:rsidRDefault="00CD6CCC">
      <w:pPr>
        <w:spacing w:after="0" w:line="276" w:lineRule="auto"/>
        <w:jc w:val="both"/>
        <w:rPr>
          <w:rFonts w:ascii="Times New Roman" w:eastAsia="Times New Roman" w:hAnsi="Times New Roman" w:cs="Times New Roman"/>
          <w:sz w:val="24"/>
          <w:szCs w:val="24"/>
        </w:rPr>
      </w:pPr>
    </w:p>
    <w:p w14:paraId="495CF9E7" w14:textId="42426038" w:rsidR="00CD6CCC" w:rsidRPr="005F44EF" w:rsidRDefault="00CD6CCC">
      <w:pPr>
        <w:spacing w:after="0" w:line="276" w:lineRule="auto"/>
        <w:jc w:val="both"/>
        <w:rPr>
          <w:rFonts w:ascii="Times New Roman" w:eastAsia="Times New Roman" w:hAnsi="Times New Roman" w:cs="Times New Roman"/>
          <w:sz w:val="24"/>
          <w:szCs w:val="24"/>
        </w:rPr>
      </w:pPr>
      <w:r w:rsidRPr="005F44EF">
        <w:rPr>
          <w:rFonts w:ascii="Times New Roman" w:hAnsi="Times New Roman" w:cs="Times New Roman"/>
          <w:noProof/>
          <w:lang w:val="en-AU" w:eastAsia="en-AU"/>
        </w:rPr>
        <w:drawing>
          <wp:inline distT="0" distB="0" distL="0" distR="0" wp14:anchorId="7D996428" wp14:editId="58C2BFBB">
            <wp:extent cx="5758815" cy="50101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58815" cy="501015"/>
                    </a:xfrm>
                    <a:prstGeom prst="rect">
                      <a:avLst/>
                    </a:prstGeom>
                    <a:noFill/>
                    <a:ln>
                      <a:noFill/>
                    </a:ln>
                  </pic:spPr>
                </pic:pic>
              </a:graphicData>
            </a:graphic>
          </wp:inline>
        </w:drawing>
      </w:r>
    </w:p>
    <w:p w14:paraId="23289A37" w14:textId="7D716067" w:rsidR="00BB7AA9" w:rsidRPr="005F44EF" w:rsidRDefault="00CD6CCC">
      <w:pPr>
        <w:spacing w:line="276" w:lineRule="auto"/>
        <w:jc w:val="both"/>
        <w:rPr>
          <w:rFonts w:ascii="Times New Roman" w:eastAsia="Times New Roman" w:hAnsi="Times New Roman" w:cs="Times New Roman"/>
          <w:sz w:val="24"/>
          <w:szCs w:val="24"/>
        </w:rPr>
      </w:pPr>
      <w:r w:rsidRPr="005F44EF">
        <w:rPr>
          <w:rFonts w:ascii="Times New Roman" w:hAnsi="Times New Roman" w:cs="Times New Roman"/>
          <w:noProof/>
          <w:lang w:val="en-AU" w:eastAsia="en-AU"/>
        </w:rPr>
        <w:drawing>
          <wp:inline distT="0" distB="0" distL="0" distR="0" wp14:anchorId="535B3FB6" wp14:editId="63C45157">
            <wp:extent cx="5758815" cy="50101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58815" cy="501015"/>
                    </a:xfrm>
                    <a:prstGeom prst="rect">
                      <a:avLst/>
                    </a:prstGeom>
                    <a:noFill/>
                    <a:ln>
                      <a:noFill/>
                    </a:ln>
                  </pic:spPr>
                </pic:pic>
              </a:graphicData>
            </a:graphic>
          </wp:inline>
        </w:drawing>
      </w:r>
    </w:p>
    <w:p w14:paraId="67B0FD3B" w14:textId="5F1352D2" w:rsidR="00BB7AA9" w:rsidRPr="005F44EF" w:rsidRDefault="00B9564D">
      <w:pPr>
        <w:spacing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The aquatic plant ratio (</w:t>
      </w:r>
      <w:proofErr w:type="spellStart"/>
      <w:r w:rsidRPr="005F44EF">
        <w:rPr>
          <w:rFonts w:ascii="Times New Roman" w:eastAsia="Times New Roman" w:hAnsi="Times New Roman" w:cs="Times New Roman"/>
          <w:sz w:val="24"/>
          <w:szCs w:val="24"/>
        </w:rPr>
        <w:t>P</w:t>
      </w:r>
      <w:r w:rsidRPr="005F44EF">
        <w:rPr>
          <w:rFonts w:ascii="Times New Roman" w:eastAsia="Times New Roman" w:hAnsi="Times New Roman" w:cs="Times New Roman"/>
          <w:sz w:val="24"/>
          <w:szCs w:val="24"/>
          <w:vertAlign w:val="subscript"/>
        </w:rPr>
        <w:t>aq</w:t>
      </w:r>
      <w:proofErr w:type="spellEnd"/>
      <w:r w:rsidRPr="005F44EF">
        <w:rPr>
          <w:rFonts w:ascii="Times New Roman" w:eastAsia="Times New Roman" w:hAnsi="Times New Roman" w:cs="Times New Roman"/>
          <w:sz w:val="24"/>
          <w:szCs w:val="24"/>
        </w:rPr>
        <w:t>), which differentiates fatty acids produced by submerged/floating plants from emergent and terrestrial plants, was calculated as follows:</w:t>
      </w:r>
    </w:p>
    <w:p w14:paraId="035D3469" w14:textId="4A007A8E" w:rsidR="00CD6CCC" w:rsidRPr="005F44EF" w:rsidRDefault="00CD6CCC">
      <w:pPr>
        <w:spacing w:line="276" w:lineRule="auto"/>
        <w:jc w:val="both"/>
        <w:rPr>
          <w:rFonts w:ascii="Times New Roman" w:eastAsia="Times New Roman" w:hAnsi="Times New Roman" w:cs="Times New Roman"/>
          <w:sz w:val="24"/>
          <w:szCs w:val="24"/>
        </w:rPr>
      </w:pPr>
      <w:r w:rsidRPr="005F44EF">
        <w:rPr>
          <w:rFonts w:ascii="Times New Roman" w:hAnsi="Times New Roman" w:cs="Times New Roman"/>
          <w:noProof/>
          <w:lang w:val="en-AU" w:eastAsia="en-AU"/>
        </w:rPr>
        <w:drawing>
          <wp:inline distT="0" distB="0" distL="0" distR="0" wp14:anchorId="6A6D2DF7" wp14:editId="334DC80D">
            <wp:extent cx="5758815" cy="50101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58815" cy="501015"/>
                    </a:xfrm>
                    <a:prstGeom prst="rect">
                      <a:avLst/>
                    </a:prstGeom>
                    <a:noFill/>
                    <a:ln>
                      <a:noFill/>
                    </a:ln>
                  </pic:spPr>
                </pic:pic>
              </a:graphicData>
            </a:graphic>
          </wp:inline>
        </w:drawing>
      </w:r>
    </w:p>
    <w:p w14:paraId="0BEFA4B1" w14:textId="3BAC7C32" w:rsidR="00BB7AA9" w:rsidRPr="005F44EF" w:rsidRDefault="00CD6CCC">
      <w:pPr>
        <w:spacing w:line="276" w:lineRule="auto"/>
        <w:jc w:val="center"/>
        <w:rPr>
          <w:rFonts w:ascii="Times New Roman" w:eastAsia="Times New Roman" w:hAnsi="Times New Roman" w:cs="Times New Roman"/>
          <w:sz w:val="24"/>
          <w:szCs w:val="24"/>
        </w:rPr>
      </w:pPr>
      <w:r w:rsidRPr="005F44EF">
        <w:rPr>
          <w:rFonts w:ascii="Times New Roman" w:hAnsi="Times New Roman" w:cs="Times New Roman"/>
          <w:noProof/>
          <w:lang w:val="en-AU" w:eastAsia="en-AU"/>
        </w:rPr>
        <w:drawing>
          <wp:inline distT="0" distB="0" distL="0" distR="0" wp14:anchorId="7604C67D" wp14:editId="247F1DF1">
            <wp:extent cx="5758815" cy="5010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58815" cy="501015"/>
                    </a:xfrm>
                    <a:prstGeom prst="rect">
                      <a:avLst/>
                    </a:prstGeom>
                    <a:noFill/>
                    <a:ln>
                      <a:noFill/>
                    </a:ln>
                  </pic:spPr>
                </pic:pic>
              </a:graphicData>
            </a:graphic>
          </wp:inline>
        </w:drawing>
      </w:r>
    </w:p>
    <w:p w14:paraId="5B185C36" w14:textId="661B70FD"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Generally, </w:t>
      </w:r>
      <w:proofErr w:type="spellStart"/>
      <w:r w:rsidRPr="005F44EF">
        <w:rPr>
          <w:rFonts w:ascii="Times New Roman" w:eastAsia="Times New Roman" w:hAnsi="Times New Roman" w:cs="Times New Roman"/>
          <w:i/>
          <w:sz w:val="24"/>
          <w:szCs w:val="24"/>
        </w:rPr>
        <w:t>P</w:t>
      </w:r>
      <w:r w:rsidRPr="005F44EF">
        <w:rPr>
          <w:rFonts w:ascii="Times New Roman" w:eastAsia="Times New Roman" w:hAnsi="Times New Roman" w:cs="Times New Roman"/>
          <w:sz w:val="24"/>
          <w:szCs w:val="24"/>
          <w:vertAlign w:val="subscript"/>
        </w:rPr>
        <w:t>aq</w:t>
      </w:r>
      <w:proofErr w:type="spellEnd"/>
      <w:r w:rsidRPr="005F44EF">
        <w:rPr>
          <w:rFonts w:ascii="Times New Roman" w:eastAsia="Times New Roman" w:hAnsi="Times New Roman" w:cs="Times New Roman"/>
          <w:sz w:val="24"/>
          <w:szCs w:val="24"/>
        </w:rPr>
        <w:t xml:space="preserve"> values of &lt;0.1 indicate terrestrial plant input, while values ranging between 0.1 – 0.7 signal emergent macrophytes or a mixture of inputs, and values of &gt;0.7 point to submerged macrophyte inputs</w:t>
      </w:r>
      <w:r w:rsidR="003A436E"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{"citationItems":[{"id":"ITEM-1","itemData":{"DOI":"10.1016/S0146-6380(00)00081-4","ISSN":"0146-6380","abstract":"Lipid analysis of aquatic plants from lakes on Mt. Kenya, E. Africa, revealed that non-emergent (submerged and floating-leaved) species displayed enhanced abundances of mid-chain length, C23 and C25 n-alkanes. In contrast, the emergent aquatic plants had n-alkane distributions similar to those of the terrestrial vegetation, typically dominated by the long-chain length homologues (&gt; C29). A proxy ratio, P(aq), has been formulated to reflect the non-emergent aquatic macrophyte input to lake sediments relative to that from the emergent aquatic and terrestrial plants. (C) 2000 Elsevier Science Ltd.","author":[{"dropping-particle":"","family":"Ficken","given":"K. J.","non-dropping-particle":"","parse-names":false,"suffix":""},{"dropping-particle":"","family":"Li","given":"B.","non-dropping-particle":"","parse-names":false,"suffix":""},{"dropping-particle":"","family":"Swain","given":"D. L.","non-dropping-particle":"","parse-names":false,"suffix":""},{"dropping-particle":"","family":"Eglinton","given":"G.","non-dropping-particle":"","parse-names":false,"suffix":""}],"container-title":"Organic Geochemistry","id":"ITEM-1","issue":"7-8","issued":{"date-parts":[["2000","7","1"]]},"page":"745-749","publisher":"Pergamon","title":"An n-alkane proxy for the sedimentary input of submerged/floating freshwater aquatic macrophytes","type":"article-journal","volume":"31"},"uris":["http://www.mendeley.com/documents/?uuid=0dd70af3-92de-3e1a-9173-8ddb59a48348"]}],"mendeley":{"formattedCitation":"&lt;sup&gt;127&lt;/sup&gt;","plainTextFormattedCitation":"127","previouslyFormattedCitation":"&lt;sup&gt;127&lt;/sup&gt;"},"properties":{"noteIndex":0},"schema":"https://github.com/citation-style-language/schema/raw/master/csl-citation.json"}</w:instrText>
      </w:r>
      <w:r w:rsidR="003A436E"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127</w:t>
      </w:r>
      <w:r w:rsidR="003A436E"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Additionally, a STR</w:t>
      </w:r>
      <w:r w:rsidRPr="005F44EF">
        <w:rPr>
          <w:rFonts w:ascii="Times New Roman" w:eastAsia="Times New Roman" w:hAnsi="Times New Roman" w:cs="Times New Roman"/>
          <w:sz w:val="24"/>
          <w:szCs w:val="24"/>
          <w:vertAlign w:val="subscript"/>
        </w:rPr>
        <w:t>24</w:t>
      </w:r>
      <w:r w:rsidRPr="005F44EF">
        <w:rPr>
          <w:rFonts w:ascii="Times New Roman" w:eastAsia="Times New Roman" w:hAnsi="Times New Roman" w:cs="Times New Roman"/>
          <w:sz w:val="24"/>
          <w:szCs w:val="24"/>
        </w:rPr>
        <w:t xml:space="preserve"> of &lt;0.25 and a STR</w:t>
      </w:r>
      <w:r w:rsidRPr="005F44EF">
        <w:rPr>
          <w:rFonts w:ascii="Times New Roman" w:eastAsia="Times New Roman" w:hAnsi="Times New Roman" w:cs="Times New Roman"/>
          <w:sz w:val="24"/>
          <w:szCs w:val="24"/>
          <w:vertAlign w:val="subscript"/>
        </w:rPr>
        <w:t>24+26</w:t>
      </w:r>
      <w:r w:rsidRPr="005F44EF">
        <w:rPr>
          <w:rFonts w:ascii="Times New Roman" w:eastAsia="Times New Roman" w:hAnsi="Times New Roman" w:cs="Times New Roman"/>
          <w:sz w:val="24"/>
          <w:szCs w:val="24"/>
        </w:rPr>
        <w:t xml:space="preserve"> of &lt;0.50 indicate terrestrial plant input, while values &gt;0.25 and &gt;0.50 signal input from submerged/floating species</w:t>
      </w:r>
      <w:r w:rsidR="003A436E"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{"citationItems":[{"id":"ITEM-1","itemData":{"DOI":"10.1016/J.ORGGEOCHEM.2017.08.008","ISSN":"0146-6380","abstract":"We systematically investigated the concentration and distributions of saturated fatty acids (FAs) in 66 submerged plants (including 48 Potamogeton, 7 Myriophyllum and 11 Ruppia), 59 algae (including 26 Chara, 20 Cladophora and 13 Spirogyra) and 32 terrigenous plants from 18 lakes on the northeastern Tibetan Plateau. The results indicate that C14-C32 FAs in algae, submerged plants and terrigenous plants were dominated mainly by C16 and C20-C32. FAs in algae and submerged plants were predominantly C24, but also contained a relatively high abundance of C26. The submerged plants had high C26-C32 concentration, with average values of 216 μg/g for Potamogeton, 52 μg/g for Myriophyllum and 134 μg/g for Ruppia, close to those of terrigenous plants (avg. 161 μg/g). Algae exhibited low C26-C32 FA concentration, with mean values of 7 μg/g for Chara, 8 μg/g for Cladophora and 18 μg/g for Spirogyra. The C26-C32 FAs in algae and submerged plants accounted for a large proportion of C20-C32, yielding average ratios (C26-C32 vs. C20-C32) of 33, 35, 31, 15, 19 and 23% for Potamogeton, Myriophyllum, Ruppia, Chara, Cladophora and Spirogyra, respectively. Therefore, the contribution of submerged plant C26-C32 FAs to lake sediments should be considered due to their high concentration, whereas the influence of algae was minor. Meanwhile, by comparing the values of average chain length (ACL), alga/terrigenous ratio (ATR) and submerged/terrestrial ratio (STR), we found that ACL14-32 and ATR could be used to distinguish algal FAs from those of other plants and that STR could be used to differentiate FA sources from submerged and terrestrial plants. Thus, we suggest that using specific chain lengths to determine source inputs is not adequate when applying sedimentary FAs for paleoclimatic reconstruction, while ACL 14-32, ATR and STR may aid in determining FA sources in sedimentary records.","author":[{"dropping-particle":"","family":"Liu","given":"Hu","non-dropping-particle":"","parse-names":false,"suffix":""},{"dropping-particle":"","family":"Liu","given":"Weiguo","non-dropping-particle":"","parse-names":false,"suffix":""}],"container-title":"Organic Geochemistry","id":"ITEM-1","issued":{"date-parts":[["2017","11","1"]]},"page":"17-26","publisher":"Pergamon","title":"Concentration and distributions of fatty acids in algae, submerged plants and terrestrial plants from the northeastern Tibetan Plateau","type":"article-journal","volume":"113"},"uris":["http://www.mendeley.com/documents/?uuid=52bc3eea-436f-3dd9-8cc8-75bd09363ae1"]}],"mendeley":{"formattedCitation":"&lt;sup&gt;128&lt;/sup&gt;","plainTextFormattedCitation":"128","previouslyFormattedCitation":"&lt;sup&gt;128&lt;/sup&gt;"},"properties":{"noteIndex":0},"schema":"https://github.com/citation-style-language/schema/raw/master/csl-citation.json"}</w:instrText>
      </w:r>
      <w:r w:rsidR="003A436E"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128</w:t>
      </w:r>
      <w:r w:rsidR="003A436E"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w:t>
      </w:r>
    </w:p>
    <w:p w14:paraId="509663C0" w14:textId="5789B5B1" w:rsidR="00BB7AA9" w:rsidRDefault="00BB7AA9">
      <w:pPr>
        <w:spacing w:after="0" w:line="276" w:lineRule="auto"/>
        <w:jc w:val="both"/>
        <w:rPr>
          <w:rFonts w:ascii="Times New Roman" w:eastAsia="Times New Roman" w:hAnsi="Times New Roman" w:cs="Times New Roman"/>
          <w:sz w:val="24"/>
          <w:szCs w:val="24"/>
        </w:rPr>
      </w:pPr>
    </w:p>
    <w:p w14:paraId="347D9850" w14:textId="77777777" w:rsidR="00BB7AA9" w:rsidRPr="005F44EF" w:rsidRDefault="00B9564D" w:rsidP="008524E9">
      <w:pPr>
        <w:pStyle w:val="Heading3"/>
        <w:rPr>
          <w:rFonts w:cs="Times New Roman"/>
        </w:rPr>
      </w:pPr>
      <w:bookmarkStart w:id="99" w:name="_Toc178429940"/>
      <w:r w:rsidRPr="005F44EF">
        <w:rPr>
          <w:rFonts w:cs="Times New Roman"/>
        </w:rPr>
        <w:lastRenderedPageBreak/>
        <w:t>4.2.2 Extended Results</w:t>
      </w:r>
      <w:bookmarkEnd w:id="99"/>
    </w:p>
    <w:p w14:paraId="51490D8D" w14:textId="77777777" w:rsidR="00BB7AA9" w:rsidRPr="005F44EF" w:rsidRDefault="00BB7AA9">
      <w:pPr>
        <w:spacing w:after="0" w:line="276" w:lineRule="auto"/>
        <w:jc w:val="both"/>
        <w:rPr>
          <w:rFonts w:ascii="Times New Roman" w:eastAsia="Times New Roman" w:hAnsi="Times New Roman" w:cs="Times New Roman"/>
          <w:sz w:val="24"/>
          <w:szCs w:val="24"/>
        </w:rPr>
      </w:pPr>
    </w:p>
    <w:p w14:paraId="78975936" w14:textId="689A1804" w:rsidR="00BB7AA9" w:rsidRPr="005F44EF" w:rsidRDefault="00B9564D" w:rsidP="00251D38">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The C</w:t>
      </w:r>
      <w:r w:rsidRPr="005F44EF">
        <w:rPr>
          <w:rFonts w:ascii="Times New Roman" w:eastAsia="Times New Roman" w:hAnsi="Times New Roman" w:cs="Times New Roman"/>
          <w:sz w:val="24"/>
          <w:szCs w:val="24"/>
          <w:vertAlign w:val="subscript"/>
        </w:rPr>
        <w:t>24</w:t>
      </w:r>
      <w:r w:rsidRPr="005F44EF">
        <w:rPr>
          <w:rFonts w:ascii="Times New Roman" w:eastAsia="Times New Roman" w:hAnsi="Times New Roman" w:cs="Times New Roman"/>
          <w:sz w:val="24"/>
          <w:szCs w:val="24"/>
        </w:rPr>
        <w:t xml:space="preserve"> FAME is most-abundant in 21 of the 31 ancient samples, while C</w:t>
      </w:r>
      <w:r w:rsidRPr="005F44EF">
        <w:rPr>
          <w:rFonts w:ascii="Times New Roman" w:eastAsia="Times New Roman" w:hAnsi="Times New Roman" w:cs="Times New Roman"/>
          <w:sz w:val="24"/>
          <w:szCs w:val="24"/>
          <w:vertAlign w:val="subscript"/>
        </w:rPr>
        <w:t>22</w:t>
      </w:r>
      <w:r w:rsidRPr="005F44EF">
        <w:rPr>
          <w:rFonts w:ascii="Times New Roman" w:eastAsia="Times New Roman" w:hAnsi="Times New Roman" w:cs="Times New Roman"/>
          <w:sz w:val="24"/>
          <w:szCs w:val="24"/>
        </w:rPr>
        <w:t xml:space="preserve"> is dominant in 9. </w:t>
      </w:r>
      <w:r w:rsidR="00420FC1" w:rsidRPr="005F44EF">
        <w:rPr>
          <w:rFonts w:ascii="Times New Roman" w:eastAsia="Times New Roman" w:hAnsi="Times New Roman" w:cs="Times New Roman"/>
          <w:sz w:val="24"/>
          <w:szCs w:val="24"/>
        </w:rPr>
        <w:t>S</w:t>
      </w:r>
      <w:r w:rsidRPr="005F44EF">
        <w:rPr>
          <w:rFonts w:ascii="Times New Roman" w:eastAsia="Times New Roman" w:hAnsi="Times New Roman" w:cs="Times New Roman"/>
          <w:sz w:val="24"/>
          <w:szCs w:val="24"/>
        </w:rPr>
        <w:t>ample 17 has C</w:t>
      </w:r>
      <w:r w:rsidRPr="005F44EF">
        <w:rPr>
          <w:rFonts w:ascii="Times New Roman" w:eastAsia="Times New Roman" w:hAnsi="Times New Roman" w:cs="Times New Roman"/>
          <w:sz w:val="24"/>
          <w:szCs w:val="24"/>
          <w:vertAlign w:val="subscript"/>
        </w:rPr>
        <w:t>26</w:t>
      </w:r>
      <w:r w:rsidRPr="005F44EF">
        <w:rPr>
          <w:rFonts w:ascii="Times New Roman" w:eastAsia="Times New Roman" w:hAnsi="Times New Roman" w:cs="Times New Roman"/>
          <w:sz w:val="24"/>
          <w:szCs w:val="24"/>
        </w:rPr>
        <w:t xml:space="preserve"> as the most abundant FAME (</w:t>
      </w:r>
      <w:r w:rsidRPr="005F44EF">
        <w:rPr>
          <w:rFonts w:ascii="Times New Roman" w:eastAsia="Times New Roman" w:hAnsi="Times New Roman" w:cs="Times New Roman"/>
          <w:b/>
          <w:sz w:val="24"/>
          <w:szCs w:val="24"/>
        </w:rPr>
        <w:t>Table S</w:t>
      </w:r>
      <w:r w:rsidR="0001712E" w:rsidRPr="005F44EF">
        <w:rPr>
          <w:rFonts w:ascii="Times New Roman" w:eastAsia="Times New Roman" w:hAnsi="Times New Roman" w:cs="Times New Roman"/>
          <w:b/>
          <w:sz w:val="24"/>
          <w:szCs w:val="24"/>
        </w:rPr>
        <w:t>13</w:t>
      </w:r>
      <w:r w:rsidRPr="005F44EF">
        <w:rPr>
          <w:rFonts w:ascii="Times New Roman" w:eastAsia="Times New Roman" w:hAnsi="Times New Roman" w:cs="Times New Roman"/>
          <w:b/>
          <w:sz w:val="24"/>
          <w:szCs w:val="24"/>
        </w:rPr>
        <w:t>; Figure S</w:t>
      </w:r>
      <w:r w:rsidR="0001712E" w:rsidRPr="005F44EF">
        <w:rPr>
          <w:rFonts w:ascii="Times New Roman" w:eastAsia="Times New Roman" w:hAnsi="Times New Roman" w:cs="Times New Roman"/>
          <w:b/>
          <w:sz w:val="24"/>
          <w:szCs w:val="24"/>
        </w:rPr>
        <w:t>15</w:t>
      </w:r>
      <w:r w:rsidRPr="005F44EF">
        <w:rPr>
          <w:rFonts w:ascii="Times New Roman" w:eastAsia="Times New Roman" w:hAnsi="Times New Roman" w:cs="Times New Roman"/>
          <w:sz w:val="24"/>
          <w:szCs w:val="24"/>
        </w:rPr>
        <w:t>). The carbon preference index (CPI) of the C</w:t>
      </w:r>
      <w:r w:rsidRPr="005F44EF">
        <w:rPr>
          <w:rFonts w:ascii="Times New Roman" w:eastAsia="Times New Roman" w:hAnsi="Times New Roman" w:cs="Times New Roman"/>
          <w:sz w:val="24"/>
          <w:szCs w:val="24"/>
          <w:vertAlign w:val="subscript"/>
        </w:rPr>
        <w:t>20</w:t>
      </w:r>
      <w:r w:rsidRPr="005F44EF">
        <w:rPr>
          <w:rFonts w:ascii="Times New Roman" w:eastAsia="Times New Roman" w:hAnsi="Times New Roman" w:cs="Times New Roman"/>
          <w:sz w:val="24"/>
          <w:szCs w:val="24"/>
        </w:rPr>
        <w:t>-C</w:t>
      </w:r>
      <w:r w:rsidRPr="005F44EF">
        <w:rPr>
          <w:rFonts w:ascii="Times New Roman" w:eastAsia="Times New Roman" w:hAnsi="Times New Roman" w:cs="Times New Roman"/>
          <w:sz w:val="24"/>
          <w:szCs w:val="24"/>
          <w:vertAlign w:val="subscript"/>
        </w:rPr>
        <w:t>34</w:t>
      </w:r>
      <w:r w:rsidRPr="005F44EF">
        <w:rPr>
          <w:rFonts w:ascii="Times New Roman" w:eastAsia="Times New Roman" w:hAnsi="Times New Roman" w:cs="Times New Roman"/>
          <w:sz w:val="24"/>
          <w:szCs w:val="24"/>
        </w:rPr>
        <w:t xml:space="preserve"> FAMEs ranges between 1.6 and 7.5 (3.8 ± 1.1, </w:t>
      </w:r>
      <w:r w:rsidRPr="005F44EF">
        <w:rPr>
          <w:rFonts w:ascii="Times New Roman" w:eastAsia="Times New Roman" w:hAnsi="Times New Roman" w:cs="Times New Roman"/>
          <w:i/>
          <w:sz w:val="24"/>
          <w:szCs w:val="24"/>
        </w:rPr>
        <w:t>n</w:t>
      </w:r>
      <w:r w:rsidRPr="005F44EF">
        <w:rPr>
          <w:rFonts w:ascii="Times New Roman" w:eastAsia="Times New Roman" w:hAnsi="Times New Roman" w:cs="Times New Roman"/>
          <w:sz w:val="24"/>
          <w:szCs w:val="24"/>
        </w:rPr>
        <w:t>=31). These values are, for the most part, typical of plant-derived CPI values and indicate that no significant plant wax degradation occurred. The relative contributions of the C</w:t>
      </w:r>
      <w:r w:rsidRPr="005F44EF">
        <w:rPr>
          <w:rFonts w:ascii="Times New Roman" w:eastAsia="Times New Roman" w:hAnsi="Times New Roman" w:cs="Times New Roman"/>
          <w:sz w:val="24"/>
          <w:szCs w:val="24"/>
          <w:vertAlign w:val="subscript"/>
        </w:rPr>
        <w:t>24</w:t>
      </w:r>
      <w:r w:rsidRPr="005F44EF">
        <w:rPr>
          <w:rFonts w:ascii="Times New Roman" w:eastAsia="Times New Roman" w:hAnsi="Times New Roman" w:cs="Times New Roman"/>
          <w:sz w:val="24"/>
          <w:szCs w:val="24"/>
        </w:rPr>
        <w:t xml:space="preserve"> and C</w:t>
      </w:r>
      <w:r w:rsidRPr="005F44EF">
        <w:rPr>
          <w:rFonts w:ascii="Times New Roman" w:eastAsia="Times New Roman" w:hAnsi="Times New Roman" w:cs="Times New Roman"/>
          <w:sz w:val="24"/>
          <w:szCs w:val="24"/>
          <w:vertAlign w:val="subscript"/>
        </w:rPr>
        <w:t>30</w:t>
      </w:r>
      <w:r w:rsidRPr="005F44EF">
        <w:rPr>
          <w:rFonts w:ascii="Times New Roman" w:eastAsia="Times New Roman" w:hAnsi="Times New Roman" w:cs="Times New Roman"/>
          <w:sz w:val="24"/>
          <w:szCs w:val="24"/>
        </w:rPr>
        <w:t xml:space="preserve"> FAMEs, biomarkers generally used as indicators for submerged/floating and terrestrial plants, respectively, are highly correlated but anti-phased (Spearman’s correlation, </w:t>
      </w:r>
      <w:proofErr w:type="spellStart"/>
      <w:r w:rsidRPr="005F44EF">
        <w:rPr>
          <w:rFonts w:ascii="Times New Roman" w:eastAsia="Times New Roman" w:hAnsi="Times New Roman" w:cs="Times New Roman"/>
          <w:i/>
          <w:sz w:val="24"/>
          <w:szCs w:val="24"/>
        </w:rPr>
        <w:t>r</w:t>
      </w:r>
      <w:r w:rsidRPr="005F44EF">
        <w:rPr>
          <w:rFonts w:ascii="Times New Roman" w:eastAsia="Times New Roman" w:hAnsi="Times New Roman" w:cs="Times New Roman"/>
          <w:i/>
          <w:sz w:val="24"/>
          <w:szCs w:val="24"/>
          <w:vertAlign w:val="subscript"/>
        </w:rPr>
        <w:t>s</w:t>
      </w:r>
      <w:proofErr w:type="spellEnd"/>
      <w:r w:rsidRPr="005F44EF">
        <w:rPr>
          <w:rFonts w:ascii="Times New Roman" w:eastAsia="Times New Roman" w:hAnsi="Times New Roman" w:cs="Times New Roman"/>
          <w:sz w:val="24"/>
          <w:szCs w:val="24"/>
        </w:rPr>
        <w:t xml:space="preserve"> = -0.77, </w:t>
      </w:r>
      <w:r w:rsidRPr="005F44EF">
        <w:rPr>
          <w:rFonts w:ascii="Times New Roman" w:eastAsia="Times New Roman" w:hAnsi="Times New Roman" w:cs="Times New Roman"/>
          <w:i/>
          <w:sz w:val="24"/>
          <w:szCs w:val="24"/>
        </w:rPr>
        <w:t>p</w:t>
      </w:r>
      <w:r w:rsidRPr="005F44EF">
        <w:rPr>
          <w:rFonts w:ascii="Times New Roman" w:eastAsia="Times New Roman" w:hAnsi="Times New Roman" w:cs="Times New Roman"/>
          <w:sz w:val="24"/>
          <w:szCs w:val="24"/>
        </w:rPr>
        <w:t xml:space="preserve"> = &lt;0.001), co-varying in opposite directions throughout the sequence (</w:t>
      </w:r>
      <w:r w:rsidRPr="005F44EF">
        <w:rPr>
          <w:rFonts w:ascii="Times New Roman" w:eastAsia="Times New Roman" w:hAnsi="Times New Roman" w:cs="Times New Roman"/>
          <w:b/>
          <w:sz w:val="24"/>
          <w:szCs w:val="24"/>
        </w:rPr>
        <w:t>Figure S</w:t>
      </w:r>
      <w:r w:rsidR="0001712E" w:rsidRPr="005F44EF">
        <w:rPr>
          <w:rFonts w:ascii="Times New Roman" w:eastAsia="Times New Roman" w:hAnsi="Times New Roman" w:cs="Times New Roman"/>
          <w:b/>
          <w:sz w:val="24"/>
          <w:szCs w:val="24"/>
        </w:rPr>
        <w:t>15</w:t>
      </w:r>
      <w:r w:rsidRPr="005F44EF">
        <w:rPr>
          <w:rFonts w:ascii="Times New Roman" w:eastAsia="Times New Roman" w:hAnsi="Times New Roman" w:cs="Times New Roman"/>
          <w:sz w:val="24"/>
          <w:szCs w:val="24"/>
        </w:rPr>
        <w:t>). This anti-phased relationship in the relative abundances between the C</w:t>
      </w:r>
      <w:r w:rsidRPr="005F44EF">
        <w:rPr>
          <w:rFonts w:ascii="Times New Roman" w:eastAsia="Times New Roman" w:hAnsi="Times New Roman" w:cs="Times New Roman"/>
          <w:sz w:val="24"/>
          <w:szCs w:val="24"/>
          <w:vertAlign w:val="subscript"/>
        </w:rPr>
        <w:t>24</w:t>
      </w:r>
      <w:r w:rsidRPr="005F44EF">
        <w:rPr>
          <w:rFonts w:ascii="Times New Roman" w:eastAsia="Times New Roman" w:hAnsi="Times New Roman" w:cs="Times New Roman"/>
          <w:sz w:val="24"/>
          <w:szCs w:val="24"/>
        </w:rPr>
        <w:t xml:space="preserve"> and C</w:t>
      </w:r>
      <w:r w:rsidRPr="005F44EF">
        <w:rPr>
          <w:rFonts w:ascii="Times New Roman" w:eastAsia="Times New Roman" w:hAnsi="Times New Roman" w:cs="Times New Roman"/>
          <w:sz w:val="24"/>
          <w:szCs w:val="24"/>
          <w:vertAlign w:val="subscript"/>
        </w:rPr>
        <w:t>30</w:t>
      </w:r>
      <w:r w:rsidRPr="005F44EF">
        <w:rPr>
          <w:rFonts w:ascii="Times New Roman" w:eastAsia="Times New Roman" w:hAnsi="Times New Roman" w:cs="Times New Roman"/>
          <w:sz w:val="24"/>
          <w:szCs w:val="24"/>
        </w:rPr>
        <w:t xml:space="preserve"> FAMEs may suggest that these two biomarkers came from multiple biosynthetic sources, with their proportions possibly reflecting variability in inputs from wetland and terrestrial plants, respectively</w:t>
      </w:r>
      <w:r w:rsidR="00420FC1" w:rsidRPr="005F44EF">
        <w:rPr>
          <w:rFonts w:ascii="Times New Roman" w:eastAsia="Times New Roman" w:hAnsi="Times New Roman" w:cs="Times New Roman"/>
          <w:sz w:val="24"/>
          <w:szCs w:val="24"/>
        </w:rPr>
        <w:t>. Meanwhile,</w:t>
      </w:r>
      <w:r w:rsidRPr="005F44EF">
        <w:rPr>
          <w:rFonts w:ascii="Times New Roman" w:eastAsia="Times New Roman" w:hAnsi="Times New Roman" w:cs="Times New Roman"/>
          <w:sz w:val="24"/>
          <w:szCs w:val="24"/>
        </w:rPr>
        <w:t xml:space="preserve"> the C</w:t>
      </w:r>
      <w:r w:rsidRPr="005F44EF">
        <w:rPr>
          <w:rFonts w:ascii="Times New Roman" w:eastAsia="Times New Roman" w:hAnsi="Times New Roman" w:cs="Times New Roman"/>
          <w:sz w:val="24"/>
          <w:szCs w:val="24"/>
          <w:vertAlign w:val="subscript"/>
        </w:rPr>
        <w:t>28</w:t>
      </w:r>
      <w:r w:rsidRPr="005F44EF">
        <w:rPr>
          <w:rFonts w:ascii="Times New Roman" w:eastAsia="Times New Roman" w:hAnsi="Times New Roman" w:cs="Times New Roman"/>
          <w:sz w:val="24"/>
          <w:szCs w:val="24"/>
        </w:rPr>
        <w:t xml:space="preserve"> and C</w:t>
      </w:r>
      <w:r w:rsidRPr="005F44EF">
        <w:rPr>
          <w:rFonts w:ascii="Times New Roman" w:eastAsia="Times New Roman" w:hAnsi="Times New Roman" w:cs="Times New Roman"/>
          <w:sz w:val="24"/>
          <w:szCs w:val="24"/>
          <w:vertAlign w:val="subscript"/>
        </w:rPr>
        <w:t>30</w:t>
      </w:r>
      <w:r w:rsidRPr="005F44EF">
        <w:rPr>
          <w:rFonts w:ascii="Times New Roman" w:eastAsia="Times New Roman" w:hAnsi="Times New Roman" w:cs="Times New Roman"/>
          <w:sz w:val="24"/>
          <w:szCs w:val="24"/>
        </w:rPr>
        <w:t xml:space="preserve"> FAMEs are positively correlated (Spearman’s correlation, </w:t>
      </w:r>
      <w:proofErr w:type="spellStart"/>
      <w:r w:rsidRPr="005F44EF">
        <w:rPr>
          <w:rFonts w:ascii="Times New Roman" w:eastAsia="Times New Roman" w:hAnsi="Times New Roman" w:cs="Times New Roman"/>
          <w:i/>
          <w:sz w:val="24"/>
          <w:szCs w:val="24"/>
        </w:rPr>
        <w:t>r</w:t>
      </w:r>
      <w:r w:rsidRPr="005F44EF">
        <w:rPr>
          <w:rFonts w:ascii="Times New Roman" w:eastAsia="Times New Roman" w:hAnsi="Times New Roman" w:cs="Times New Roman"/>
          <w:i/>
          <w:sz w:val="24"/>
          <w:szCs w:val="24"/>
          <w:vertAlign w:val="subscript"/>
        </w:rPr>
        <w:t>s</w:t>
      </w:r>
      <w:proofErr w:type="spellEnd"/>
      <w:r w:rsidRPr="005F44EF">
        <w:rPr>
          <w:rFonts w:ascii="Times New Roman" w:eastAsia="Times New Roman" w:hAnsi="Times New Roman" w:cs="Times New Roman"/>
          <w:sz w:val="24"/>
          <w:szCs w:val="24"/>
        </w:rPr>
        <w:t xml:space="preserve"> = 0.47, </w:t>
      </w:r>
      <w:r w:rsidRPr="005F44EF">
        <w:rPr>
          <w:rFonts w:ascii="Times New Roman" w:eastAsia="Times New Roman" w:hAnsi="Times New Roman" w:cs="Times New Roman"/>
          <w:i/>
          <w:sz w:val="24"/>
          <w:szCs w:val="24"/>
        </w:rPr>
        <w:t>p</w:t>
      </w:r>
      <w:r w:rsidRPr="005F44EF">
        <w:rPr>
          <w:rFonts w:ascii="Times New Roman" w:eastAsia="Times New Roman" w:hAnsi="Times New Roman" w:cs="Times New Roman"/>
          <w:sz w:val="24"/>
          <w:szCs w:val="24"/>
        </w:rPr>
        <w:t xml:space="preserve"> = 0.008), suggesting a similar biosynthetic source (</w:t>
      </w:r>
      <w:r w:rsidRPr="005F44EF">
        <w:rPr>
          <w:rFonts w:ascii="Times New Roman" w:eastAsia="Times New Roman" w:hAnsi="Times New Roman" w:cs="Times New Roman"/>
          <w:b/>
          <w:sz w:val="24"/>
          <w:szCs w:val="24"/>
        </w:rPr>
        <w:t>Figure S</w:t>
      </w:r>
      <w:r w:rsidR="00CD6CCC" w:rsidRPr="005F44EF">
        <w:rPr>
          <w:rFonts w:ascii="Times New Roman" w:eastAsia="Times New Roman" w:hAnsi="Times New Roman" w:cs="Times New Roman"/>
          <w:b/>
          <w:sz w:val="24"/>
          <w:szCs w:val="24"/>
        </w:rPr>
        <w:t>15</w:t>
      </w:r>
      <w:r w:rsidRPr="005F44EF">
        <w:rPr>
          <w:rFonts w:ascii="Times New Roman" w:eastAsia="Times New Roman" w:hAnsi="Times New Roman" w:cs="Times New Roman"/>
          <w:sz w:val="24"/>
          <w:szCs w:val="24"/>
        </w:rPr>
        <w:t>). Interestingly, C</w:t>
      </w:r>
      <w:r w:rsidRPr="005F44EF">
        <w:rPr>
          <w:rFonts w:ascii="Times New Roman" w:eastAsia="Times New Roman" w:hAnsi="Times New Roman" w:cs="Times New Roman"/>
          <w:sz w:val="24"/>
          <w:szCs w:val="24"/>
          <w:vertAlign w:val="subscript"/>
        </w:rPr>
        <w:t>22</w:t>
      </w:r>
      <w:r w:rsidRPr="005F44EF">
        <w:rPr>
          <w:rFonts w:ascii="Times New Roman" w:eastAsia="Times New Roman" w:hAnsi="Times New Roman" w:cs="Times New Roman"/>
          <w:sz w:val="24"/>
          <w:szCs w:val="24"/>
        </w:rPr>
        <w:t xml:space="preserve"> and C</w:t>
      </w:r>
      <w:r w:rsidRPr="005F44EF">
        <w:rPr>
          <w:rFonts w:ascii="Times New Roman" w:eastAsia="Times New Roman" w:hAnsi="Times New Roman" w:cs="Times New Roman"/>
          <w:sz w:val="24"/>
          <w:szCs w:val="24"/>
          <w:vertAlign w:val="subscript"/>
        </w:rPr>
        <w:t>24</w:t>
      </w:r>
      <w:r w:rsidRPr="005F44EF">
        <w:rPr>
          <w:rFonts w:ascii="Times New Roman" w:eastAsia="Times New Roman" w:hAnsi="Times New Roman" w:cs="Times New Roman"/>
          <w:sz w:val="24"/>
          <w:szCs w:val="24"/>
        </w:rPr>
        <w:t xml:space="preserve"> are anti-phased through much of the sequence, except for samples taken between 1.0 and 2.0 m depth, which co-vary in the same direction. C</w:t>
      </w:r>
      <w:r w:rsidRPr="005F44EF">
        <w:rPr>
          <w:rFonts w:ascii="Times New Roman" w:eastAsia="Times New Roman" w:hAnsi="Times New Roman" w:cs="Times New Roman"/>
          <w:sz w:val="24"/>
          <w:szCs w:val="24"/>
          <w:vertAlign w:val="subscript"/>
        </w:rPr>
        <w:t>24</w:t>
      </w:r>
      <w:r w:rsidRPr="005F44EF">
        <w:rPr>
          <w:rFonts w:ascii="Times New Roman" w:eastAsia="Times New Roman" w:hAnsi="Times New Roman" w:cs="Times New Roman"/>
          <w:sz w:val="24"/>
          <w:szCs w:val="24"/>
        </w:rPr>
        <w:t xml:space="preserve"> and C</w:t>
      </w:r>
      <w:r w:rsidRPr="005F44EF">
        <w:rPr>
          <w:rFonts w:ascii="Times New Roman" w:eastAsia="Times New Roman" w:hAnsi="Times New Roman" w:cs="Times New Roman"/>
          <w:sz w:val="24"/>
          <w:szCs w:val="24"/>
          <w:vertAlign w:val="subscript"/>
        </w:rPr>
        <w:t>26</w:t>
      </w:r>
      <w:r w:rsidRPr="005F44EF">
        <w:rPr>
          <w:rFonts w:ascii="Times New Roman" w:eastAsia="Times New Roman" w:hAnsi="Times New Roman" w:cs="Times New Roman"/>
          <w:sz w:val="24"/>
          <w:szCs w:val="24"/>
        </w:rPr>
        <w:t xml:space="preserve"> are anti-phased between 1.0 and 2.0 m, but co-vary in the same direction in the other sections of the sequence. Therefore, it appears that the C</w:t>
      </w:r>
      <w:r w:rsidRPr="005F44EF">
        <w:rPr>
          <w:rFonts w:ascii="Times New Roman" w:eastAsia="Times New Roman" w:hAnsi="Times New Roman" w:cs="Times New Roman"/>
          <w:sz w:val="24"/>
          <w:szCs w:val="24"/>
          <w:vertAlign w:val="subscript"/>
        </w:rPr>
        <w:t>22</w:t>
      </w:r>
      <w:r w:rsidRPr="005F44EF">
        <w:rPr>
          <w:rFonts w:ascii="Times New Roman" w:eastAsia="Times New Roman" w:hAnsi="Times New Roman" w:cs="Times New Roman"/>
          <w:sz w:val="24"/>
          <w:szCs w:val="24"/>
        </w:rPr>
        <w:t>, C</w:t>
      </w:r>
      <w:r w:rsidRPr="005F44EF">
        <w:rPr>
          <w:rFonts w:ascii="Times New Roman" w:eastAsia="Times New Roman" w:hAnsi="Times New Roman" w:cs="Times New Roman"/>
          <w:sz w:val="24"/>
          <w:szCs w:val="24"/>
          <w:vertAlign w:val="subscript"/>
        </w:rPr>
        <w:t>24</w:t>
      </w:r>
      <w:r w:rsidRPr="005F44EF">
        <w:rPr>
          <w:rFonts w:ascii="Times New Roman" w:eastAsia="Times New Roman" w:hAnsi="Times New Roman" w:cs="Times New Roman"/>
          <w:sz w:val="24"/>
          <w:szCs w:val="24"/>
        </w:rPr>
        <w:t>, and C</w:t>
      </w:r>
      <w:r w:rsidRPr="005F44EF">
        <w:rPr>
          <w:rFonts w:ascii="Times New Roman" w:eastAsia="Times New Roman" w:hAnsi="Times New Roman" w:cs="Times New Roman"/>
          <w:sz w:val="24"/>
          <w:szCs w:val="24"/>
          <w:vertAlign w:val="subscript"/>
        </w:rPr>
        <w:t>26</w:t>
      </w:r>
      <w:r w:rsidRPr="005F44EF">
        <w:rPr>
          <w:rFonts w:ascii="Times New Roman" w:eastAsia="Times New Roman" w:hAnsi="Times New Roman" w:cs="Times New Roman"/>
          <w:sz w:val="24"/>
          <w:szCs w:val="24"/>
        </w:rPr>
        <w:t xml:space="preserve"> FAMEs were synthesized by multiple photosynthesizing lifeforms, including aquatic, emergent, and terrestrial plants.</w:t>
      </w:r>
      <w:r w:rsidR="0029788E" w:rsidRPr="005F44EF">
        <w:rPr>
          <w:rFonts w:ascii="Times New Roman" w:eastAsia="Times New Roman" w:hAnsi="Times New Roman" w:cs="Times New Roman"/>
          <w:sz w:val="24"/>
          <w:szCs w:val="24"/>
        </w:rPr>
        <w:t xml:space="preserve"> Although these δ</w:t>
      </w:r>
      <w:r w:rsidR="0029788E" w:rsidRPr="005F44EF">
        <w:rPr>
          <w:rFonts w:ascii="Times New Roman" w:eastAsia="Times New Roman" w:hAnsi="Times New Roman" w:cs="Times New Roman"/>
          <w:sz w:val="24"/>
          <w:szCs w:val="24"/>
          <w:vertAlign w:val="superscript"/>
        </w:rPr>
        <w:t>13</w:t>
      </w:r>
      <w:r w:rsidR="0029788E" w:rsidRPr="005F44EF">
        <w:rPr>
          <w:rFonts w:ascii="Times New Roman" w:eastAsia="Times New Roman" w:hAnsi="Times New Roman" w:cs="Times New Roman"/>
          <w:sz w:val="24"/>
          <w:szCs w:val="24"/>
        </w:rPr>
        <w:t>C data suggest a C3-dominated environment, there is possibly some contribution from C</w:t>
      </w:r>
      <w:r w:rsidR="0029788E" w:rsidRPr="005F44EF">
        <w:rPr>
          <w:rFonts w:ascii="Times New Roman" w:eastAsia="Times New Roman" w:hAnsi="Times New Roman" w:cs="Times New Roman"/>
          <w:sz w:val="24"/>
          <w:szCs w:val="24"/>
          <w:vertAlign w:val="subscript"/>
        </w:rPr>
        <w:t>4</w:t>
      </w:r>
      <w:r w:rsidR="0029788E" w:rsidRPr="005F44EF">
        <w:rPr>
          <w:rFonts w:ascii="Times New Roman" w:eastAsia="Times New Roman" w:hAnsi="Times New Roman" w:cs="Times New Roman"/>
          <w:sz w:val="24"/>
          <w:szCs w:val="24"/>
        </w:rPr>
        <w:t xml:space="preserve"> plants. However, as some emergent plants, such as </w:t>
      </w:r>
      <w:r w:rsidR="0029788E" w:rsidRPr="005F44EF">
        <w:rPr>
          <w:rFonts w:ascii="Times New Roman" w:eastAsia="Times New Roman" w:hAnsi="Times New Roman" w:cs="Times New Roman"/>
          <w:i/>
          <w:iCs/>
          <w:sz w:val="24"/>
          <w:szCs w:val="24"/>
        </w:rPr>
        <w:t>Typha angustifolia</w:t>
      </w:r>
      <w:r w:rsidR="0029788E" w:rsidRPr="005F44EF">
        <w:rPr>
          <w:rFonts w:ascii="Times New Roman" w:eastAsia="Times New Roman" w:hAnsi="Times New Roman" w:cs="Times New Roman"/>
          <w:sz w:val="24"/>
          <w:szCs w:val="24"/>
        </w:rPr>
        <w:t>, have isotopic signals with values around -21 ‰, they can be misinterpreted as a C</w:t>
      </w:r>
      <w:r w:rsidR="0029788E" w:rsidRPr="005F44EF">
        <w:rPr>
          <w:rFonts w:ascii="Times New Roman" w:eastAsia="Times New Roman" w:hAnsi="Times New Roman" w:cs="Times New Roman"/>
          <w:sz w:val="24"/>
          <w:szCs w:val="24"/>
          <w:vertAlign w:val="subscript"/>
        </w:rPr>
        <w:t>4</w:t>
      </w:r>
      <w:r w:rsidR="0029788E" w:rsidRPr="005F44EF">
        <w:rPr>
          <w:rFonts w:ascii="Times New Roman" w:eastAsia="Times New Roman" w:hAnsi="Times New Roman" w:cs="Times New Roman"/>
          <w:sz w:val="24"/>
          <w:szCs w:val="24"/>
        </w:rPr>
        <w:t xml:space="preserve"> plant signal in </w:t>
      </w:r>
      <w:proofErr w:type="spellStart"/>
      <w:r w:rsidR="0029788E" w:rsidRPr="005F44EF">
        <w:rPr>
          <w:rFonts w:ascii="Times New Roman" w:eastAsia="Times New Roman" w:hAnsi="Times New Roman" w:cs="Times New Roman"/>
          <w:sz w:val="24"/>
          <w:szCs w:val="24"/>
        </w:rPr>
        <w:t>palaeo</w:t>
      </w:r>
      <w:proofErr w:type="spellEnd"/>
      <w:r w:rsidR="0029788E" w:rsidRPr="005F44EF">
        <w:rPr>
          <w:rFonts w:ascii="Times New Roman" w:eastAsia="Times New Roman" w:hAnsi="Times New Roman" w:cs="Times New Roman"/>
          <w:sz w:val="24"/>
          <w:szCs w:val="24"/>
        </w:rPr>
        <w:t xml:space="preserve">-archives. As both </w:t>
      </w:r>
      <w:proofErr w:type="spellStart"/>
      <w:r w:rsidR="0029788E" w:rsidRPr="005F44EF">
        <w:rPr>
          <w:rFonts w:ascii="Times New Roman" w:eastAsia="Times New Roman" w:hAnsi="Times New Roman" w:cs="Times New Roman"/>
          <w:sz w:val="24"/>
          <w:szCs w:val="24"/>
        </w:rPr>
        <w:t>Paq</w:t>
      </w:r>
      <w:proofErr w:type="spellEnd"/>
      <w:r w:rsidR="0029788E" w:rsidRPr="005F44EF">
        <w:rPr>
          <w:rFonts w:ascii="Times New Roman" w:eastAsia="Times New Roman" w:hAnsi="Times New Roman" w:cs="Times New Roman"/>
          <w:sz w:val="24"/>
          <w:szCs w:val="24"/>
        </w:rPr>
        <w:t xml:space="preserve"> and STR suggest the presence of emergent or submerged plants, we therefore cannot rule out the influence of these plant types on δ</w:t>
      </w:r>
      <w:r w:rsidR="0029788E" w:rsidRPr="005F44EF">
        <w:rPr>
          <w:rFonts w:ascii="Times New Roman" w:eastAsia="Times New Roman" w:hAnsi="Times New Roman" w:cs="Times New Roman"/>
          <w:sz w:val="24"/>
          <w:szCs w:val="24"/>
          <w:vertAlign w:val="superscript"/>
        </w:rPr>
        <w:t>13</w:t>
      </w:r>
      <w:r w:rsidR="0029788E" w:rsidRPr="005F44EF">
        <w:rPr>
          <w:rFonts w:ascii="Times New Roman" w:eastAsia="Times New Roman" w:hAnsi="Times New Roman" w:cs="Times New Roman"/>
          <w:sz w:val="24"/>
          <w:szCs w:val="24"/>
        </w:rPr>
        <w:t>C.</w:t>
      </w:r>
    </w:p>
    <w:p w14:paraId="62B52764" w14:textId="70C4C68C" w:rsidR="00215091" w:rsidRPr="005F44EF" w:rsidRDefault="00215091" w:rsidP="00251D38">
      <w:pPr>
        <w:spacing w:after="0" w:line="276" w:lineRule="auto"/>
        <w:jc w:val="both"/>
        <w:rPr>
          <w:rFonts w:ascii="Times New Roman" w:eastAsia="Times New Roman" w:hAnsi="Times New Roman" w:cs="Times New Roman"/>
          <w:sz w:val="24"/>
          <w:szCs w:val="24"/>
        </w:rPr>
      </w:pPr>
    </w:p>
    <w:p w14:paraId="102010FA" w14:textId="77777777" w:rsidR="00B166FC" w:rsidRPr="005F44EF" w:rsidRDefault="00B166FC" w:rsidP="00215091">
      <w:pPr>
        <w:spacing w:after="0" w:line="276" w:lineRule="auto"/>
        <w:jc w:val="both"/>
        <w:rPr>
          <w:rFonts w:ascii="Times New Roman" w:eastAsia="Times New Roman" w:hAnsi="Times New Roman" w:cs="Times New Roman"/>
          <w:b/>
          <w:sz w:val="24"/>
          <w:szCs w:val="24"/>
        </w:rPr>
      </w:pPr>
    </w:p>
    <w:p w14:paraId="6AC7E135" w14:textId="77777777" w:rsidR="00B166FC" w:rsidRPr="005F44EF" w:rsidRDefault="00B166FC" w:rsidP="00215091">
      <w:pPr>
        <w:spacing w:after="0" w:line="276" w:lineRule="auto"/>
        <w:jc w:val="both"/>
        <w:rPr>
          <w:rFonts w:ascii="Times New Roman" w:eastAsia="Times New Roman" w:hAnsi="Times New Roman" w:cs="Times New Roman"/>
          <w:b/>
          <w:sz w:val="24"/>
          <w:szCs w:val="24"/>
        </w:rPr>
      </w:pPr>
    </w:p>
    <w:p w14:paraId="66C231F6" w14:textId="77777777" w:rsidR="00B166FC" w:rsidRPr="005F44EF" w:rsidRDefault="00B166FC" w:rsidP="00215091">
      <w:pPr>
        <w:spacing w:after="0" w:line="276" w:lineRule="auto"/>
        <w:jc w:val="both"/>
        <w:rPr>
          <w:rFonts w:ascii="Times New Roman" w:eastAsia="Times New Roman" w:hAnsi="Times New Roman" w:cs="Times New Roman"/>
          <w:b/>
          <w:sz w:val="24"/>
          <w:szCs w:val="24"/>
        </w:rPr>
      </w:pPr>
    </w:p>
    <w:p w14:paraId="0E130BB6" w14:textId="77777777" w:rsidR="00B166FC" w:rsidRPr="005F44EF" w:rsidRDefault="00B166FC" w:rsidP="00215091">
      <w:pPr>
        <w:spacing w:after="0" w:line="276" w:lineRule="auto"/>
        <w:jc w:val="both"/>
        <w:rPr>
          <w:rFonts w:ascii="Times New Roman" w:eastAsia="Times New Roman" w:hAnsi="Times New Roman" w:cs="Times New Roman"/>
          <w:b/>
          <w:sz w:val="24"/>
          <w:szCs w:val="24"/>
        </w:rPr>
      </w:pPr>
    </w:p>
    <w:p w14:paraId="29C92774" w14:textId="77777777" w:rsidR="00B166FC" w:rsidRPr="005F44EF" w:rsidRDefault="00B166FC" w:rsidP="00215091">
      <w:pPr>
        <w:spacing w:after="0" w:line="276" w:lineRule="auto"/>
        <w:jc w:val="both"/>
        <w:rPr>
          <w:rFonts w:ascii="Times New Roman" w:eastAsia="Times New Roman" w:hAnsi="Times New Roman" w:cs="Times New Roman"/>
          <w:b/>
          <w:sz w:val="24"/>
          <w:szCs w:val="24"/>
        </w:rPr>
      </w:pPr>
    </w:p>
    <w:p w14:paraId="3139B364" w14:textId="77777777" w:rsidR="00B166FC" w:rsidRPr="005F44EF" w:rsidRDefault="00B166FC" w:rsidP="00215091">
      <w:pPr>
        <w:spacing w:after="0" w:line="276" w:lineRule="auto"/>
        <w:jc w:val="both"/>
        <w:rPr>
          <w:rFonts w:ascii="Times New Roman" w:eastAsia="Times New Roman" w:hAnsi="Times New Roman" w:cs="Times New Roman"/>
          <w:b/>
          <w:sz w:val="24"/>
          <w:szCs w:val="24"/>
        </w:rPr>
      </w:pPr>
    </w:p>
    <w:p w14:paraId="674EB9BC" w14:textId="77777777" w:rsidR="00341384" w:rsidRPr="005F44EF" w:rsidRDefault="00341384" w:rsidP="00215091">
      <w:pPr>
        <w:spacing w:after="0" w:line="276" w:lineRule="auto"/>
        <w:jc w:val="both"/>
        <w:rPr>
          <w:rFonts w:ascii="Times New Roman" w:eastAsia="Times New Roman" w:hAnsi="Times New Roman" w:cs="Times New Roman"/>
          <w:b/>
          <w:sz w:val="24"/>
          <w:szCs w:val="24"/>
        </w:rPr>
      </w:pPr>
    </w:p>
    <w:p w14:paraId="2B38DEC9" w14:textId="77777777" w:rsidR="00341384" w:rsidRPr="005F44EF" w:rsidRDefault="00341384" w:rsidP="00215091">
      <w:pPr>
        <w:spacing w:after="0" w:line="276" w:lineRule="auto"/>
        <w:jc w:val="both"/>
        <w:rPr>
          <w:rFonts w:ascii="Times New Roman" w:eastAsia="Times New Roman" w:hAnsi="Times New Roman" w:cs="Times New Roman"/>
          <w:b/>
          <w:sz w:val="24"/>
          <w:szCs w:val="24"/>
        </w:rPr>
      </w:pPr>
    </w:p>
    <w:p w14:paraId="54CAB7CE" w14:textId="77777777" w:rsidR="00341384" w:rsidRPr="005F44EF" w:rsidRDefault="00341384" w:rsidP="00215091">
      <w:pPr>
        <w:spacing w:after="0" w:line="276" w:lineRule="auto"/>
        <w:jc w:val="both"/>
        <w:rPr>
          <w:rFonts w:ascii="Times New Roman" w:eastAsia="Times New Roman" w:hAnsi="Times New Roman" w:cs="Times New Roman"/>
          <w:b/>
          <w:sz w:val="24"/>
          <w:szCs w:val="24"/>
        </w:rPr>
      </w:pPr>
    </w:p>
    <w:p w14:paraId="636BDE87" w14:textId="77777777" w:rsidR="00341384" w:rsidRPr="005F44EF" w:rsidRDefault="00341384" w:rsidP="00215091">
      <w:pPr>
        <w:spacing w:after="0" w:line="276" w:lineRule="auto"/>
        <w:jc w:val="both"/>
        <w:rPr>
          <w:rFonts w:ascii="Times New Roman" w:eastAsia="Times New Roman" w:hAnsi="Times New Roman" w:cs="Times New Roman"/>
          <w:b/>
          <w:sz w:val="24"/>
          <w:szCs w:val="24"/>
        </w:rPr>
      </w:pPr>
    </w:p>
    <w:p w14:paraId="6A8A5A42" w14:textId="77777777" w:rsidR="00341384" w:rsidRPr="005F44EF" w:rsidRDefault="00341384" w:rsidP="00215091">
      <w:pPr>
        <w:spacing w:after="0" w:line="276" w:lineRule="auto"/>
        <w:jc w:val="both"/>
        <w:rPr>
          <w:rFonts w:ascii="Times New Roman" w:eastAsia="Times New Roman" w:hAnsi="Times New Roman" w:cs="Times New Roman"/>
          <w:b/>
          <w:sz w:val="24"/>
          <w:szCs w:val="24"/>
        </w:rPr>
      </w:pPr>
    </w:p>
    <w:p w14:paraId="083F475D" w14:textId="77777777" w:rsidR="00341384" w:rsidRPr="005F44EF" w:rsidRDefault="00341384" w:rsidP="00215091">
      <w:pPr>
        <w:spacing w:after="0" w:line="276" w:lineRule="auto"/>
        <w:jc w:val="both"/>
        <w:rPr>
          <w:rFonts w:ascii="Times New Roman" w:eastAsia="Times New Roman" w:hAnsi="Times New Roman" w:cs="Times New Roman"/>
          <w:b/>
          <w:sz w:val="24"/>
          <w:szCs w:val="24"/>
        </w:rPr>
      </w:pPr>
    </w:p>
    <w:p w14:paraId="0AF30B7D" w14:textId="77777777" w:rsidR="00341384" w:rsidRPr="005F44EF" w:rsidRDefault="00341384" w:rsidP="00215091">
      <w:pPr>
        <w:spacing w:after="0" w:line="276" w:lineRule="auto"/>
        <w:jc w:val="both"/>
        <w:rPr>
          <w:rFonts w:ascii="Times New Roman" w:eastAsia="Times New Roman" w:hAnsi="Times New Roman" w:cs="Times New Roman"/>
          <w:b/>
          <w:sz w:val="24"/>
          <w:szCs w:val="24"/>
        </w:rPr>
      </w:pPr>
    </w:p>
    <w:p w14:paraId="19E81E57" w14:textId="77777777" w:rsidR="00341384" w:rsidRPr="005F44EF" w:rsidRDefault="00341384" w:rsidP="00215091">
      <w:pPr>
        <w:spacing w:after="0" w:line="276" w:lineRule="auto"/>
        <w:jc w:val="both"/>
        <w:rPr>
          <w:rFonts w:ascii="Times New Roman" w:eastAsia="Times New Roman" w:hAnsi="Times New Roman" w:cs="Times New Roman"/>
          <w:b/>
          <w:sz w:val="24"/>
          <w:szCs w:val="24"/>
        </w:rPr>
      </w:pPr>
    </w:p>
    <w:p w14:paraId="31002E88" w14:textId="77777777" w:rsidR="00341384" w:rsidRPr="005F44EF" w:rsidRDefault="00341384" w:rsidP="00215091">
      <w:pPr>
        <w:spacing w:after="0" w:line="276" w:lineRule="auto"/>
        <w:jc w:val="both"/>
        <w:rPr>
          <w:rFonts w:ascii="Times New Roman" w:eastAsia="Times New Roman" w:hAnsi="Times New Roman" w:cs="Times New Roman"/>
          <w:b/>
          <w:sz w:val="24"/>
          <w:szCs w:val="24"/>
        </w:rPr>
      </w:pPr>
    </w:p>
    <w:p w14:paraId="70923DA6" w14:textId="77777777" w:rsidR="00341384" w:rsidRPr="005F44EF" w:rsidRDefault="00341384" w:rsidP="00215091">
      <w:pPr>
        <w:spacing w:after="0" w:line="276" w:lineRule="auto"/>
        <w:jc w:val="both"/>
        <w:rPr>
          <w:rFonts w:ascii="Times New Roman" w:eastAsia="Times New Roman" w:hAnsi="Times New Roman" w:cs="Times New Roman"/>
          <w:b/>
          <w:sz w:val="24"/>
          <w:szCs w:val="24"/>
        </w:rPr>
      </w:pPr>
    </w:p>
    <w:p w14:paraId="62607F0A" w14:textId="57F04526" w:rsidR="00215091" w:rsidRPr="005F44EF" w:rsidRDefault="00215091" w:rsidP="00215091">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b/>
          <w:sz w:val="24"/>
          <w:szCs w:val="24"/>
        </w:rPr>
        <w:lastRenderedPageBreak/>
        <w:t>Figure S</w:t>
      </w:r>
      <w:r w:rsidR="0001712E" w:rsidRPr="005F44EF">
        <w:rPr>
          <w:rFonts w:ascii="Times New Roman" w:eastAsia="Times New Roman" w:hAnsi="Times New Roman" w:cs="Times New Roman"/>
          <w:b/>
          <w:sz w:val="24"/>
          <w:szCs w:val="24"/>
        </w:rPr>
        <w:t>15</w:t>
      </w:r>
      <w:r w:rsidRPr="005F44EF">
        <w:rPr>
          <w:rFonts w:ascii="Times New Roman" w:eastAsia="Times New Roman" w:hAnsi="Times New Roman" w:cs="Times New Roman"/>
          <w:b/>
          <w:sz w:val="24"/>
          <w:szCs w:val="24"/>
        </w:rPr>
        <w:t xml:space="preserve">: </w:t>
      </w:r>
      <w:r w:rsidRPr="005F44EF">
        <w:rPr>
          <w:rFonts w:ascii="Times New Roman" w:eastAsia="Times New Roman" w:hAnsi="Times New Roman" w:cs="Times New Roman"/>
          <w:sz w:val="24"/>
          <w:szCs w:val="24"/>
        </w:rPr>
        <w:t>Biomarker signatures of the Bété I archaeological sediments. See Section 4.2.1 for ACL and CPI calculations. Two versions of the Submerged/Terrestrial Ratio were calculated; STR</w:t>
      </w:r>
      <w:r w:rsidRPr="005F44EF">
        <w:rPr>
          <w:rFonts w:ascii="Times New Roman" w:eastAsia="Times New Roman" w:hAnsi="Times New Roman" w:cs="Times New Roman"/>
          <w:sz w:val="24"/>
          <w:szCs w:val="24"/>
          <w:vertAlign w:val="subscript"/>
        </w:rPr>
        <w:t>24</w:t>
      </w:r>
      <w:r w:rsidRPr="005F44EF">
        <w:rPr>
          <w:rFonts w:ascii="Times New Roman" w:eastAsia="Times New Roman" w:hAnsi="Times New Roman" w:cs="Times New Roman"/>
          <w:sz w:val="24"/>
          <w:szCs w:val="24"/>
        </w:rPr>
        <w:t xml:space="preserve"> and STR</w:t>
      </w:r>
      <w:r w:rsidRPr="005F44EF">
        <w:rPr>
          <w:rFonts w:ascii="Times New Roman" w:eastAsia="Times New Roman" w:hAnsi="Times New Roman" w:cs="Times New Roman"/>
          <w:sz w:val="24"/>
          <w:szCs w:val="24"/>
          <w:vertAlign w:val="subscript"/>
        </w:rPr>
        <w:t>24+26</w:t>
      </w:r>
      <w:r w:rsidRPr="005F44EF">
        <w:rPr>
          <w:rFonts w:ascii="Times New Roman" w:eastAsia="Times New Roman" w:hAnsi="Times New Roman" w:cs="Times New Roman"/>
          <w:sz w:val="24"/>
          <w:szCs w:val="24"/>
        </w:rPr>
        <w:t>. Submerged aquatic plants tend to have values greater than 0.25 and 0.50 for STR</w:t>
      </w:r>
      <w:r w:rsidRPr="005F44EF">
        <w:rPr>
          <w:rFonts w:ascii="Times New Roman" w:eastAsia="Times New Roman" w:hAnsi="Times New Roman" w:cs="Times New Roman"/>
          <w:sz w:val="24"/>
          <w:szCs w:val="24"/>
          <w:vertAlign w:val="subscript"/>
        </w:rPr>
        <w:t>24</w:t>
      </w:r>
      <w:r w:rsidRPr="005F44EF">
        <w:rPr>
          <w:rFonts w:ascii="Times New Roman" w:eastAsia="Times New Roman" w:hAnsi="Times New Roman" w:cs="Times New Roman"/>
          <w:sz w:val="24"/>
          <w:szCs w:val="24"/>
        </w:rPr>
        <w:t xml:space="preserve"> and STR</w:t>
      </w:r>
      <w:r w:rsidRPr="005F44EF">
        <w:rPr>
          <w:rFonts w:ascii="Times New Roman" w:eastAsia="Times New Roman" w:hAnsi="Times New Roman" w:cs="Times New Roman"/>
          <w:sz w:val="24"/>
          <w:szCs w:val="24"/>
          <w:vertAlign w:val="subscript"/>
        </w:rPr>
        <w:t>24+26</w:t>
      </w:r>
      <w:r w:rsidRPr="005F44EF">
        <w:rPr>
          <w:rFonts w:ascii="Times New Roman" w:eastAsia="Times New Roman" w:hAnsi="Times New Roman" w:cs="Times New Roman"/>
          <w:sz w:val="24"/>
          <w:szCs w:val="24"/>
        </w:rPr>
        <w:t>, respectively. Two versions of the Aquatic Plant Ratio (</w:t>
      </w:r>
      <w:proofErr w:type="spellStart"/>
      <w:r w:rsidRPr="005F44EF">
        <w:rPr>
          <w:rFonts w:ascii="Times New Roman" w:eastAsia="Times New Roman" w:hAnsi="Times New Roman" w:cs="Times New Roman"/>
          <w:sz w:val="24"/>
          <w:szCs w:val="24"/>
        </w:rPr>
        <w:t>P</w:t>
      </w:r>
      <w:r w:rsidRPr="005F44EF">
        <w:rPr>
          <w:rFonts w:ascii="Times New Roman" w:eastAsia="Times New Roman" w:hAnsi="Times New Roman" w:cs="Times New Roman"/>
          <w:sz w:val="24"/>
          <w:szCs w:val="24"/>
          <w:vertAlign w:val="subscript"/>
        </w:rPr>
        <w:t>aq</w:t>
      </w:r>
      <w:proofErr w:type="spellEnd"/>
      <w:r w:rsidRPr="005F44EF">
        <w:rPr>
          <w:rFonts w:ascii="Times New Roman" w:eastAsia="Times New Roman" w:hAnsi="Times New Roman" w:cs="Times New Roman"/>
          <w:sz w:val="24"/>
          <w:szCs w:val="24"/>
        </w:rPr>
        <w:t xml:space="preserve">) were also calculated to compare with STR. Terrestrial plants typically have sedimentary </w:t>
      </w:r>
      <w:proofErr w:type="spellStart"/>
      <w:r w:rsidRPr="005F44EF">
        <w:rPr>
          <w:rFonts w:ascii="Times New Roman" w:eastAsia="Times New Roman" w:hAnsi="Times New Roman" w:cs="Times New Roman"/>
          <w:sz w:val="24"/>
          <w:szCs w:val="24"/>
        </w:rPr>
        <w:t>P</w:t>
      </w:r>
      <w:r w:rsidRPr="005F44EF">
        <w:rPr>
          <w:rFonts w:ascii="Times New Roman" w:eastAsia="Times New Roman" w:hAnsi="Times New Roman" w:cs="Times New Roman"/>
          <w:sz w:val="24"/>
          <w:szCs w:val="24"/>
          <w:vertAlign w:val="subscript"/>
        </w:rPr>
        <w:t>aq</w:t>
      </w:r>
      <w:proofErr w:type="spellEnd"/>
      <w:r w:rsidRPr="005F44EF">
        <w:rPr>
          <w:rFonts w:ascii="Times New Roman" w:eastAsia="Times New Roman" w:hAnsi="Times New Roman" w:cs="Times New Roman"/>
          <w:sz w:val="24"/>
          <w:szCs w:val="24"/>
        </w:rPr>
        <w:t xml:space="preserve"> values of less than 0.1 while aquatic plants tend to have values greater than 0.7. Values ranging between 0.1 and 0.7 typically represent a mixed input that includes terrestrial, emergent, and aquatic plants. The percentages of compound abundances are relative to the dominant FAMEs (C</w:t>
      </w:r>
      <w:r w:rsidRPr="005F44EF">
        <w:rPr>
          <w:rFonts w:ascii="Times New Roman" w:eastAsia="Times New Roman" w:hAnsi="Times New Roman" w:cs="Times New Roman"/>
          <w:sz w:val="24"/>
          <w:szCs w:val="24"/>
          <w:vertAlign w:val="subscript"/>
        </w:rPr>
        <w:t>22</w:t>
      </w:r>
      <w:r w:rsidRPr="005F44EF">
        <w:rPr>
          <w:rFonts w:ascii="Times New Roman" w:eastAsia="Times New Roman" w:hAnsi="Times New Roman" w:cs="Times New Roman"/>
          <w:sz w:val="24"/>
          <w:szCs w:val="24"/>
        </w:rPr>
        <w:t xml:space="preserve"> + C</w:t>
      </w:r>
      <w:r w:rsidRPr="005F44EF">
        <w:rPr>
          <w:rFonts w:ascii="Times New Roman" w:eastAsia="Times New Roman" w:hAnsi="Times New Roman" w:cs="Times New Roman"/>
          <w:sz w:val="24"/>
          <w:szCs w:val="24"/>
          <w:vertAlign w:val="subscript"/>
        </w:rPr>
        <w:t>24</w:t>
      </w:r>
      <w:r w:rsidRPr="005F44EF">
        <w:rPr>
          <w:rFonts w:ascii="Times New Roman" w:eastAsia="Times New Roman" w:hAnsi="Times New Roman" w:cs="Times New Roman"/>
          <w:sz w:val="24"/>
          <w:szCs w:val="24"/>
        </w:rPr>
        <w:t xml:space="preserve"> + C</w:t>
      </w:r>
      <w:r w:rsidRPr="005F44EF">
        <w:rPr>
          <w:rFonts w:ascii="Times New Roman" w:eastAsia="Times New Roman" w:hAnsi="Times New Roman" w:cs="Times New Roman"/>
          <w:sz w:val="24"/>
          <w:szCs w:val="24"/>
          <w:vertAlign w:val="subscript"/>
        </w:rPr>
        <w:t>26</w:t>
      </w:r>
      <w:r w:rsidRPr="005F44EF">
        <w:rPr>
          <w:rFonts w:ascii="Times New Roman" w:eastAsia="Times New Roman" w:hAnsi="Times New Roman" w:cs="Times New Roman"/>
          <w:sz w:val="24"/>
          <w:szCs w:val="24"/>
        </w:rPr>
        <w:t xml:space="preserve"> + C</w:t>
      </w:r>
      <w:r w:rsidRPr="005F44EF">
        <w:rPr>
          <w:rFonts w:ascii="Times New Roman" w:eastAsia="Times New Roman" w:hAnsi="Times New Roman" w:cs="Times New Roman"/>
          <w:sz w:val="24"/>
          <w:szCs w:val="24"/>
          <w:vertAlign w:val="subscript"/>
        </w:rPr>
        <w:t>28</w:t>
      </w:r>
      <w:r w:rsidRPr="005F44EF">
        <w:rPr>
          <w:rFonts w:ascii="Times New Roman" w:eastAsia="Times New Roman" w:hAnsi="Times New Roman" w:cs="Times New Roman"/>
          <w:sz w:val="24"/>
          <w:szCs w:val="24"/>
        </w:rPr>
        <w:t xml:space="preserve"> + C</w:t>
      </w:r>
      <w:r w:rsidRPr="005F44EF">
        <w:rPr>
          <w:rFonts w:ascii="Times New Roman" w:eastAsia="Times New Roman" w:hAnsi="Times New Roman" w:cs="Times New Roman"/>
          <w:sz w:val="24"/>
          <w:szCs w:val="24"/>
          <w:vertAlign w:val="subscript"/>
        </w:rPr>
        <w:t>30</w:t>
      </w:r>
      <w:r w:rsidRPr="005F44EF">
        <w:rPr>
          <w:rFonts w:ascii="Times New Roman" w:eastAsia="Times New Roman" w:hAnsi="Times New Roman" w:cs="Times New Roman"/>
          <w:sz w:val="24"/>
          <w:szCs w:val="24"/>
        </w:rPr>
        <w:t>). Higher values reflect relatively increased inputs of the respective compounds.</w:t>
      </w:r>
    </w:p>
    <w:p w14:paraId="37999B25" w14:textId="77777777" w:rsidR="00341384" w:rsidRPr="005F44EF" w:rsidRDefault="00341384" w:rsidP="00215091">
      <w:pPr>
        <w:spacing w:after="0" w:line="276" w:lineRule="auto"/>
        <w:jc w:val="both"/>
        <w:rPr>
          <w:rFonts w:ascii="Times New Roman" w:eastAsia="Times New Roman" w:hAnsi="Times New Roman" w:cs="Times New Roman"/>
          <w:sz w:val="24"/>
          <w:szCs w:val="24"/>
        </w:rPr>
      </w:pPr>
    </w:p>
    <w:p w14:paraId="1431641F" w14:textId="77777777"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noProof/>
          <w:sz w:val="24"/>
          <w:szCs w:val="24"/>
          <w:lang w:val="en-AU" w:eastAsia="en-AU"/>
        </w:rPr>
        <w:drawing>
          <wp:inline distT="114300" distB="114300" distL="114300" distR="114300" wp14:anchorId="6B4CC0B9" wp14:editId="3F86AAFA">
            <wp:extent cx="6380943" cy="5845629"/>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9"/>
                    <a:srcRect/>
                    <a:stretch>
                      <a:fillRect/>
                    </a:stretch>
                  </pic:blipFill>
                  <pic:spPr>
                    <a:xfrm>
                      <a:off x="0" y="0"/>
                      <a:ext cx="6395617" cy="5859072"/>
                    </a:xfrm>
                    <a:prstGeom prst="rect">
                      <a:avLst/>
                    </a:prstGeom>
                    <a:ln/>
                  </pic:spPr>
                </pic:pic>
              </a:graphicData>
            </a:graphic>
          </wp:inline>
        </w:drawing>
      </w:r>
    </w:p>
    <w:p w14:paraId="0B6FD7B4" w14:textId="57F255CE" w:rsidR="00BB7AA9" w:rsidRPr="005F44EF" w:rsidRDefault="00B9564D">
      <w:pPr>
        <w:keepNext/>
        <w:pBdr>
          <w:top w:val="nil"/>
          <w:left w:val="nil"/>
          <w:bottom w:val="nil"/>
          <w:right w:val="nil"/>
          <w:between w:val="nil"/>
        </w:pBdr>
        <w:spacing w:after="0" w:line="240" w:lineRule="auto"/>
        <w:jc w:val="both"/>
        <w:rPr>
          <w:rFonts w:ascii="Times New Roman" w:eastAsia="Times New Roman" w:hAnsi="Times New Roman" w:cs="Times New Roman"/>
          <w:i/>
          <w:sz w:val="24"/>
          <w:szCs w:val="24"/>
        </w:rPr>
      </w:pPr>
      <w:r w:rsidRPr="005F44EF">
        <w:rPr>
          <w:rFonts w:ascii="Times New Roman" w:eastAsia="Times New Roman" w:hAnsi="Times New Roman" w:cs="Times New Roman"/>
          <w:b/>
          <w:sz w:val="24"/>
          <w:szCs w:val="24"/>
        </w:rPr>
        <w:lastRenderedPageBreak/>
        <w:t>Table S</w:t>
      </w:r>
      <w:r w:rsidR="0001712E" w:rsidRPr="005F44EF">
        <w:rPr>
          <w:rFonts w:ascii="Times New Roman" w:eastAsia="Times New Roman" w:hAnsi="Times New Roman" w:cs="Times New Roman"/>
          <w:b/>
          <w:sz w:val="24"/>
          <w:szCs w:val="24"/>
        </w:rPr>
        <w:t>13</w:t>
      </w:r>
      <w:r w:rsidRPr="005F44EF">
        <w:rPr>
          <w:rFonts w:ascii="Times New Roman" w:eastAsia="Times New Roman" w:hAnsi="Times New Roman" w:cs="Times New Roman"/>
          <w:b/>
          <w:sz w:val="24"/>
          <w:szCs w:val="24"/>
        </w:rPr>
        <w:t xml:space="preserve">: </w:t>
      </w:r>
      <w:r w:rsidRPr="005F44EF">
        <w:rPr>
          <w:rFonts w:ascii="Times New Roman" w:eastAsia="Times New Roman" w:hAnsi="Times New Roman" w:cs="Times New Roman"/>
          <w:sz w:val="24"/>
          <w:szCs w:val="24"/>
        </w:rPr>
        <w:t xml:space="preserve">Plant Wax Biomarker (FAME) metrics for each sample according to their chain length distributions. The sample numbers are presented according to </w:t>
      </w:r>
      <w:r w:rsidRPr="005F44EF">
        <w:rPr>
          <w:rFonts w:ascii="Times New Roman" w:eastAsia="Times New Roman" w:hAnsi="Times New Roman" w:cs="Times New Roman"/>
          <w:b/>
          <w:sz w:val="24"/>
          <w:szCs w:val="24"/>
        </w:rPr>
        <w:t>Figure 2.</w:t>
      </w:r>
      <w:r w:rsidR="00F24010">
        <w:rPr>
          <w:rFonts w:ascii="Times New Roman" w:eastAsia="Times New Roman" w:hAnsi="Times New Roman" w:cs="Times New Roman"/>
          <w:sz w:val="24"/>
          <w:szCs w:val="24"/>
        </w:rPr>
        <w:t xml:space="preserve"> </w:t>
      </w:r>
    </w:p>
    <w:p w14:paraId="63FFF5E6" w14:textId="77777777" w:rsidR="00886415" w:rsidRPr="005F44EF" w:rsidRDefault="00886415">
      <w:pPr>
        <w:keepNext/>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tbl>
      <w:tblPr>
        <w:tblStyle w:val="a7"/>
        <w:tblW w:w="9270" w:type="dxa"/>
        <w:tblInd w:w="-5" w:type="dxa"/>
        <w:tblLayout w:type="fixed"/>
        <w:tblLook w:val="0400" w:firstRow="0" w:lastRow="0" w:firstColumn="0" w:lastColumn="0" w:noHBand="0" w:noVBand="1"/>
      </w:tblPr>
      <w:tblGrid>
        <w:gridCol w:w="927"/>
        <w:gridCol w:w="927"/>
        <w:gridCol w:w="927"/>
        <w:gridCol w:w="927"/>
        <w:gridCol w:w="927"/>
        <w:gridCol w:w="927"/>
        <w:gridCol w:w="927"/>
        <w:gridCol w:w="927"/>
        <w:gridCol w:w="927"/>
        <w:gridCol w:w="927"/>
      </w:tblGrid>
      <w:tr w:rsidR="00BB7AA9" w:rsidRPr="005F44EF" w14:paraId="4F842A1B" w14:textId="77777777" w:rsidTr="002F40EE">
        <w:trPr>
          <w:trHeight w:val="291"/>
        </w:trPr>
        <w:tc>
          <w:tcPr>
            <w:tcW w:w="927" w:type="dxa"/>
            <w:tcBorders>
              <w:top w:val="single" w:sz="4" w:space="0" w:color="auto"/>
              <w:bottom w:val="single" w:sz="4" w:space="0" w:color="auto"/>
            </w:tcBorders>
            <w:shd w:val="clear" w:color="auto" w:fill="D9D9D9" w:themeFill="background1" w:themeFillShade="D9"/>
            <w:vAlign w:val="center"/>
          </w:tcPr>
          <w:p w14:paraId="5CB2CA7D" w14:textId="77777777" w:rsidR="00BB7AA9" w:rsidRPr="005F44EF" w:rsidRDefault="00B9564D" w:rsidP="00B166FC">
            <w:pPr>
              <w:spacing w:after="0" w:line="240" w:lineRule="auto"/>
              <w:jc w:val="center"/>
              <w:rPr>
                <w:rFonts w:ascii="Times New Roman" w:eastAsia="Times New Roman" w:hAnsi="Times New Roman" w:cs="Times New Roman"/>
                <w:b/>
                <w:sz w:val="18"/>
                <w:szCs w:val="18"/>
              </w:rPr>
            </w:pPr>
            <w:r w:rsidRPr="005F44EF">
              <w:rPr>
                <w:rFonts w:ascii="Times New Roman" w:eastAsia="Times New Roman" w:hAnsi="Times New Roman" w:cs="Times New Roman"/>
                <w:b/>
                <w:sz w:val="18"/>
                <w:szCs w:val="18"/>
              </w:rPr>
              <w:t>Sample number</w:t>
            </w:r>
          </w:p>
        </w:tc>
        <w:tc>
          <w:tcPr>
            <w:tcW w:w="927" w:type="dxa"/>
            <w:tcBorders>
              <w:top w:val="single" w:sz="4" w:space="0" w:color="auto"/>
              <w:bottom w:val="single" w:sz="4" w:space="0" w:color="auto"/>
            </w:tcBorders>
            <w:shd w:val="clear" w:color="auto" w:fill="D9D9D9" w:themeFill="background1" w:themeFillShade="D9"/>
            <w:vAlign w:val="center"/>
          </w:tcPr>
          <w:p w14:paraId="520EFCCB" w14:textId="77777777" w:rsidR="00BB7AA9" w:rsidRPr="005F44EF" w:rsidRDefault="00B9564D" w:rsidP="00B166FC">
            <w:pPr>
              <w:spacing w:after="0" w:line="240" w:lineRule="auto"/>
              <w:jc w:val="center"/>
              <w:rPr>
                <w:rFonts w:ascii="Times New Roman" w:eastAsia="Times New Roman" w:hAnsi="Times New Roman" w:cs="Times New Roman"/>
                <w:b/>
                <w:sz w:val="18"/>
                <w:szCs w:val="18"/>
              </w:rPr>
            </w:pPr>
            <w:r w:rsidRPr="005F44EF">
              <w:rPr>
                <w:rFonts w:ascii="Times New Roman" w:eastAsia="Times New Roman" w:hAnsi="Times New Roman" w:cs="Times New Roman"/>
                <w:b/>
                <w:sz w:val="18"/>
                <w:szCs w:val="18"/>
              </w:rPr>
              <w:t>Depth (m)</w:t>
            </w:r>
          </w:p>
        </w:tc>
        <w:tc>
          <w:tcPr>
            <w:tcW w:w="927" w:type="dxa"/>
            <w:tcBorders>
              <w:top w:val="single" w:sz="4" w:space="0" w:color="auto"/>
              <w:bottom w:val="single" w:sz="4" w:space="0" w:color="auto"/>
            </w:tcBorders>
            <w:shd w:val="clear" w:color="auto" w:fill="D9D9D9" w:themeFill="background1" w:themeFillShade="D9"/>
            <w:vAlign w:val="center"/>
          </w:tcPr>
          <w:p w14:paraId="2404DA5B" w14:textId="77777777" w:rsidR="00BB7AA9" w:rsidRPr="005F44EF" w:rsidRDefault="00B9564D" w:rsidP="00B166FC">
            <w:pPr>
              <w:spacing w:after="0" w:line="240" w:lineRule="auto"/>
              <w:jc w:val="center"/>
              <w:rPr>
                <w:rFonts w:ascii="Times New Roman" w:eastAsia="Times New Roman" w:hAnsi="Times New Roman" w:cs="Times New Roman"/>
                <w:b/>
                <w:sz w:val="18"/>
                <w:szCs w:val="18"/>
              </w:rPr>
            </w:pPr>
            <w:r w:rsidRPr="005F44EF">
              <w:rPr>
                <w:rFonts w:ascii="Times New Roman" w:eastAsia="Times New Roman" w:hAnsi="Times New Roman" w:cs="Times New Roman"/>
                <w:b/>
                <w:sz w:val="18"/>
                <w:szCs w:val="18"/>
              </w:rPr>
              <w:t>C Range</w:t>
            </w:r>
          </w:p>
        </w:tc>
        <w:tc>
          <w:tcPr>
            <w:tcW w:w="927" w:type="dxa"/>
            <w:tcBorders>
              <w:top w:val="single" w:sz="4" w:space="0" w:color="auto"/>
              <w:bottom w:val="single" w:sz="4" w:space="0" w:color="auto"/>
            </w:tcBorders>
            <w:shd w:val="clear" w:color="auto" w:fill="D9D9D9" w:themeFill="background1" w:themeFillShade="D9"/>
            <w:vAlign w:val="center"/>
          </w:tcPr>
          <w:p w14:paraId="69398A08" w14:textId="77777777" w:rsidR="00BB7AA9" w:rsidRPr="005F44EF" w:rsidRDefault="00B9564D" w:rsidP="00B166FC">
            <w:pPr>
              <w:spacing w:after="0" w:line="240" w:lineRule="auto"/>
              <w:jc w:val="center"/>
              <w:rPr>
                <w:rFonts w:ascii="Times New Roman" w:eastAsia="Times New Roman" w:hAnsi="Times New Roman" w:cs="Times New Roman"/>
                <w:b/>
                <w:sz w:val="18"/>
                <w:szCs w:val="18"/>
              </w:rPr>
            </w:pPr>
            <w:r w:rsidRPr="005F44EF">
              <w:rPr>
                <w:rFonts w:ascii="Times New Roman" w:eastAsia="Times New Roman" w:hAnsi="Times New Roman" w:cs="Times New Roman"/>
                <w:b/>
                <w:sz w:val="18"/>
                <w:szCs w:val="18"/>
              </w:rPr>
              <w:t>C Max</w:t>
            </w:r>
          </w:p>
        </w:tc>
        <w:tc>
          <w:tcPr>
            <w:tcW w:w="927" w:type="dxa"/>
            <w:tcBorders>
              <w:top w:val="single" w:sz="4" w:space="0" w:color="auto"/>
              <w:bottom w:val="single" w:sz="4" w:space="0" w:color="auto"/>
            </w:tcBorders>
            <w:shd w:val="clear" w:color="auto" w:fill="D9D9D9" w:themeFill="background1" w:themeFillShade="D9"/>
            <w:vAlign w:val="center"/>
          </w:tcPr>
          <w:p w14:paraId="5F713EDA" w14:textId="77777777" w:rsidR="00BB7AA9" w:rsidRPr="005F44EF" w:rsidRDefault="00B9564D" w:rsidP="00B166FC">
            <w:pPr>
              <w:spacing w:after="0" w:line="240" w:lineRule="auto"/>
              <w:jc w:val="center"/>
              <w:rPr>
                <w:rFonts w:ascii="Times New Roman" w:eastAsia="Times New Roman" w:hAnsi="Times New Roman" w:cs="Times New Roman"/>
                <w:b/>
                <w:sz w:val="18"/>
                <w:szCs w:val="18"/>
              </w:rPr>
            </w:pPr>
            <w:r w:rsidRPr="005F44EF">
              <w:rPr>
                <w:rFonts w:ascii="Times New Roman" w:eastAsia="Times New Roman" w:hAnsi="Times New Roman" w:cs="Times New Roman"/>
                <w:b/>
                <w:sz w:val="18"/>
                <w:szCs w:val="18"/>
              </w:rPr>
              <w:t>CPI</w:t>
            </w:r>
          </w:p>
        </w:tc>
        <w:tc>
          <w:tcPr>
            <w:tcW w:w="927" w:type="dxa"/>
            <w:tcBorders>
              <w:top w:val="single" w:sz="4" w:space="0" w:color="auto"/>
              <w:bottom w:val="single" w:sz="4" w:space="0" w:color="auto"/>
            </w:tcBorders>
            <w:shd w:val="clear" w:color="auto" w:fill="D9D9D9" w:themeFill="background1" w:themeFillShade="D9"/>
            <w:vAlign w:val="center"/>
          </w:tcPr>
          <w:p w14:paraId="16852B42" w14:textId="77777777" w:rsidR="00BB7AA9" w:rsidRPr="005F44EF" w:rsidRDefault="00B9564D" w:rsidP="00B166FC">
            <w:pPr>
              <w:spacing w:after="0" w:line="240" w:lineRule="auto"/>
              <w:jc w:val="center"/>
              <w:rPr>
                <w:rFonts w:ascii="Times New Roman" w:eastAsia="Times New Roman" w:hAnsi="Times New Roman" w:cs="Times New Roman"/>
                <w:b/>
                <w:sz w:val="18"/>
                <w:szCs w:val="18"/>
              </w:rPr>
            </w:pPr>
            <w:r w:rsidRPr="005F44EF">
              <w:rPr>
                <w:rFonts w:ascii="Times New Roman" w:eastAsia="Times New Roman" w:hAnsi="Times New Roman" w:cs="Times New Roman"/>
                <w:b/>
                <w:sz w:val="18"/>
                <w:szCs w:val="18"/>
              </w:rPr>
              <w:t>ACL</w:t>
            </w:r>
          </w:p>
        </w:tc>
        <w:tc>
          <w:tcPr>
            <w:tcW w:w="927" w:type="dxa"/>
            <w:tcBorders>
              <w:top w:val="single" w:sz="4" w:space="0" w:color="auto"/>
              <w:bottom w:val="single" w:sz="4" w:space="0" w:color="auto"/>
            </w:tcBorders>
            <w:shd w:val="clear" w:color="auto" w:fill="D9D9D9" w:themeFill="background1" w:themeFillShade="D9"/>
            <w:vAlign w:val="center"/>
          </w:tcPr>
          <w:p w14:paraId="0DD93256" w14:textId="77777777" w:rsidR="00BB7AA9" w:rsidRPr="005F44EF" w:rsidRDefault="00B9564D" w:rsidP="00B166FC">
            <w:pPr>
              <w:spacing w:after="0" w:line="240" w:lineRule="auto"/>
              <w:jc w:val="center"/>
              <w:rPr>
                <w:rFonts w:ascii="Times New Roman" w:eastAsia="Times New Roman" w:hAnsi="Times New Roman" w:cs="Times New Roman"/>
                <w:b/>
                <w:sz w:val="18"/>
                <w:szCs w:val="18"/>
              </w:rPr>
            </w:pPr>
            <w:r w:rsidRPr="005F44EF">
              <w:rPr>
                <w:rFonts w:ascii="Times New Roman" w:eastAsia="Times New Roman" w:hAnsi="Times New Roman" w:cs="Times New Roman"/>
                <w:b/>
                <w:sz w:val="18"/>
                <w:szCs w:val="18"/>
              </w:rPr>
              <w:t>STR</w:t>
            </w:r>
            <w:r w:rsidRPr="005F44EF">
              <w:rPr>
                <w:rFonts w:ascii="Times New Roman" w:eastAsia="Times New Roman" w:hAnsi="Times New Roman" w:cs="Times New Roman"/>
                <w:b/>
                <w:sz w:val="18"/>
                <w:szCs w:val="18"/>
                <w:vertAlign w:val="subscript"/>
              </w:rPr>
              <w:t>24</w:t>
            </w:r>
          </w:p>
        </w:tc>
        <w:tc>
          <w:tcPr>
            <w:tcW w:w="927" w:type="dxa"/>
            <w:tcBorders>
              <w:top w:val="single" w:sz="4" w:space="0" w:color="auto"/>
              <w:bottom w:val="single" w:sz="4" w:space="0" w:color="auto"/>
            </w:tcBorders>
            <w:shd w:val="clear" w:color="auto" w:fill="D9D9D9" w:themeFill="background1" w:themeFillShade="D9"/>
            <w:vAlign w:val="center"/>
          </w:tcPr>
          <w:p w14:paraId="606CB8EC" w14:textId="77777777" w:rsidR="00BB7AA9" w:rsidRPr="005F44EF" w:rsidRDefault="00B9564D" w:rsidP="00B166FC">
            <w:pPr>
              <w:spacing w:after="0" w:line="240" w:lineRule="auto"/>
              <w:jc w:val="center"/>
              <w:rPr>
                <w:rFonts w:ascii="Times New Roman" w:eastAsia="Times New Roman" w:hAnsi="Times New Roman" w:cs="Times New Roman"/>
                <w:b/>
                <w:sz w:val="18"/>
                <w:szCs w:val="18"/>
              </w:rPr>
            </w:pPr>
            <w:r w:rsidRPr="005F44EF">
              <w:rPr>
                <w:rFonts w:ascii="Times New Roman" w:eastAsia="Times New Roman" w:hAnsi="Times New Roman" w:cs="Times New Roman"/>
                <w:b/>
                <w:sz w:val="18"/>
                <w:szCs w:val="18"/>
              </w:rPr>
              <w:t>STR</w:t>
            </w:r>
            <w:r w:rsidRPr="005F44EF">
              <w:rPr>
                <w:rFonts w:ascii="Times New Roman" w:eastAsia="Times New Roman" w:hAnsi="Times New Roman" w:cs="Times New Roman"/>
                <w:b/>
                <w:sz w:val="18"/>
                <w:szCs w:val="18"/>
                <w:vertAlign w:val="subscript"/>
              </w:rPr>
              <w:t>24+26</w:t>
            </w:r>
          </w:p>
        </w:tc>
        <w:tc>
          <w:tcPr>
            <w:tcW w:w="927" w:type="dxa"/>
            <w:tcBorders>
              <w:top w:val="single" w:sz="4" w:space="0" w:color="auto"/>
              <w:bottom w:val="single" w:sz="4" w:space="0" w:color="auto"/>
            </w:tcBorders>
            <w:shd w:val="clear" w:color="auto" w:fill="D9D9D9" w:themeFill="background1" w:themeFillShade="D9"/>
            <w:vAlign w:val="center"/>
          </w:tcPr>
          <w:p w14:paraId="45FF31F7" w14:textId="77777777" w:rsidR="00BB7AA9" w:rsidRPr="005F44EF" w:rsidRDefault="00B9564D" w:rsidP="00B166FC">
            <w:pPr>
              <w:spacing w:after="0" w:line="240" w:lineRule="auto"/>
              <w:jc w:val="center"/>
              <w:rPr>
                <w:rFonts w:ascii="Times New Roman" w:eastAsia="Times New Roman" w:hAnsi="Times New Roman" w:cs="Times New Roman"/>
                <w:b/>
                <w:sz w:val="18"/>
                <w:szCs w:val="18"/>
              </w:rPr>
            </w:pPr>
            <w:proofErr w:type="spellStart"/>
            <w:r w:rsidRPr="005F44EF">
              <w:rPr>
                <w:rFonts w:ascii="Times New Roman" w:eastAsia="Times New Roman" w:hAnsi="Times New Roman" w:cs="Times New Roman"/>
                <w:b/>
                <w:sz w:val="18"/>
                <w:szCs w:val="18"/>
              </w:rPr>
              <w:t>P</w:t>
            </w:r>
            <w:r w:rsidRPr="005F44EF">
              <w:rPr>
                <w:rFonts w:ascii="Times New Roman" w:eastAsia="Times New Roman" w:hAnsi="Times New Roman" w:cs="Times New Roman"/>
                <w:sz w:val="18"/>
                <w:szCs w:val="18"/>
                <w:vertAlign w:val="subscript"/>
              </w:rPr>
              <w:t>aq</w:t>
            </w:r>
            <w:proofErr w:type="spellEnd"/>
            <w:r w:rsidRPr="005F44EF">
              <w:rPr>
                <w:rFonts w:ascii="Times New Roman" w:eastAsia="Times New Roman" w:hAnsi="Times New Roman" w:cs="Times New Roman"/>
                <w:b/>
                <w:sz w:val="18"/>
                <w:szCs w:val="18"/>
              </w:rPr>
              <w:t xml:space="preserve"> A</w:t>
            </w:r>
          </w:p>
        </w:tc>
        <w:tc>
          <w:tcPr>
            <w:tcW w:w="927" w:type="dxa"/>
            <w:tcBorders>
              <w:top w:val="single" w:sz="4" w:space="0" w:color="auto"/>
              <w:bottom w:val="single" w:sz="4" w:space="0" w:color="auto"/>
            </w:tcBorders>
            <w:shd w:val="clear" w:color="auto" w:fill="D9D9D9" w:themeFill="background1" w:themeFillShade="D9"/>
            <w:vAlign w:val="center"/>
          </w:tcPr>
          <w:p w14:paraId="6A2CB0B6" w14:textId="77777777" w:rsidR="00BB7AA9" w:rsidRPr="005F44EF" w:rsidRDefault="00B9564D" w:rsidP="00B166FC">
            <w:pPr>
              <w:spacing w:after="0" w:line="240" w:lineRule="auto"/>
              <w:jc w:val="center"/>
              <w:rPr>
                <w:rFonts w:ascii="Times New Roman" w:eastAsia="Times New Roman" w:hAnsi="Times New Roman" w:cs="Times New Roman"/>
                <w:b/>
                <w:sz w:val="18"/>
                <w:szCs w:val="18"/>
              </w:rPr>
            </w:pPr>
            <w:proofErr w:type="spellStart"/>
            <w:r w:rsidRPr="005F44EF">
              <w:rPr>
                <w:rFonts w:ascii="Times New Roman" w:eastAsia="Times New Roman" w:hAnsi="Times New Roman" w:cs="Times New Roman"/>
                <w:b/>
                <w:sz w:val="18"/>
                <w:szCs w:val="18"/>
              </w:rPr>
              <w:t>P</w:t>
            </w:r>
            <w:r w:rsidRPr="005F44EF">
              <w:rPr>
                <w:rFonts w:ascii="Times New Roman" w:eastAsia="Times New Roman" w:hAnsi="Times New Roman" w:cs="Times New Roman"/>
                <w:sz w:val="18"/>
                <w:szCs w:val="18"/>
                <w:vertAlign w:val="subscript"/>
              </w:rPr>
              <w:t>aq</w:t>
            </w:r>
            <w:proofErr w:type="spellEnd"/>
            <w:r w:rsidRPr="005F44EF">
              <w:rPr>
                <w:rFonts w:ascii="Times New Roman" w:eastAsia="Times New Roman" w:hAnsi="Times New Roman" w:cs="Times New Roman"/>
                <w:b/>
                <w:sz w:val="18"/>
                <w:szCs w:val="18"/>
              </w:rPr>
              <w:t xml:space="preserve"> B</w:t>
            </w:r>
          </w:p>
        </w:tc>
      </w:tr>
      <w:tr w:rsidR="00BB7AA9" w:rsidRPr="005F44EF" w14:paraId="5A2A1C7D" w14:textId="77777777" w:rsidTr="002F40EE">
        <w:trPr>
          <w:trHeight w:val="248"/>
        </w:trPr>
        <w:tc>
          <w:tcPr>
            <w:tcW w:w="927" w:type="dxa"/>
            <w:tcBorders>
              <w:top w:val="single" w:sz="4" w:space="0" w:color="auto"/>
            </w:tcBorders>
            <w:shd w:val="clear" w:color="auto" w:fill="auto"/>
            <w:vAlign w:val="center"/>
          </w:tcPr>
          <w:p w14:paraId="1C502E8B"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w:t>
            </w:r>
          </w:p>
        </w:tc>
        <w:tc>
          <w:tcPr>
            <w:tcW w:w="927" w:type="dxa"/>
            <w:tcBorders>
              <w:top w:val="single" w:sz="4" w:space="0" w:color="auto"/>
            </w:tcBorders>
            <w:shd w:val="clear" w:color="auto" w:fill="auto"/>
            <w:vAlign w:val="center"/>
          </w:tcPr>
          <w:p w14:paraId="4B165114"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w:t>
            </w:r>
          </w:p>
        </w:tc>
        <w:tc>
          <w:tcPr>
            <w:tcW w:w="927" w:type="dxa"/>
            <w:tcBorders>
              <w:top w:val="single" w:sz="4" w:space="0" w:color="auto"/>
            </w:tcBorders>
            <w:shd w:val="clear" w:color="auto" w:fill="auto"/>
            <w:vAlign w:val="center"/>
          </w:tcPr>
          <w:p w14:paraId="32314A27"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20-30</w:t>
            </w:r>
          </w:p>
        </w:tc>
        <w:tc>
          <w:tcPr>
            <w:tcW w:w="927" w:type="dxa"/>
            <w:tcBorders>
              <w:top w:val="single" w:sz="4" w:space="0" w:color="auto"/>
            </w:tcBorders>
            <w:shd w:val="clear" w:color="auto" w:fill="auto"/>
            <w:vAlign w:val="center"/>
          </w:tcPr>
          <w:p w14:paraId="27F68480"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22</w:t>
            </w:r>
          </w:p>
        </w:tc>
        <w:tc>
          <w:tcPr>
            <w:tcW w:w="927" w:type="dxa"/>
            <w:tcBorders>
              <w:top w:val="single" w:sz="4" w:space="0" w:color="auto"/>
            </w:tcBorders>
            <w:shd w:val="clear" w:color="auto" w:fill="auto"/>
            <w:vAlign w:val="center"/>
          </w:tcPr>
          <w:p w14:paraId="3745DD2B"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3.6</w:t>
            </w:r>
          </w:p>
        </w:tc>
        <w:tc>
          <w:tcPr>
            <w:tcW w:w="927" w:type="dxa"/>
            <w:tcBorders>
              <w:top w:val="single" w:sz="4" w:space="0" w:color="auto"/>
            </w:tcBorders>
            <w:shd w:val="clear" w:color="auto" w:fill="auto"/>
            <w:vAlign w:val="center"/>
          </w:tcPr>
          <w:p w14:paraId="0E429D15"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24.1</w:t>
            </w:r>
          </w:p>
        </w:tc>
        <w:tc>
          <w:tcPr>
            <w:tcW w:w="927" w:type="dxa"/>
            <w:tcBorders>
              <w:top w:val="single" w:sz="4" w:space="0" w:color="auto"/>
            </w:tcBorders>
            <w:shd w:val="clear" w:color="auto" w:fill="auto"/>
            <w:vAlign w:val="center"/>
          </w:tcPr>
          <w:p w14:paraId="2C90D5AB"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0.25</w:t>
            </w:r>
          </w:p>
        </w:tc>
        <w:tc>
          <w:tcPr>
            <w:tcW w:w="927" w:type="dxa"/>
            <w:tcBorders>
              <w:top w:val="single" w:sz="4" w:space="0" w:color="auto"/>
            </w:tcBorders>
            <w:shd w:val="clear" w:color="auto" w:fill="auto"/>
            <w:vAlign w:val="center"/>
          </w:tcPr>
          <w:p w14:paraId="4B61CCF3"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0.45</w:t>
            </w:r>
          </w:p>
        </w:tc>
        <w:tc>
          <w:tcPr>
            <w:tcW w:w="927" w:type="dxa"/>
            <w:tcBorders>
              <w:top w:val="single" w:sz="4" w:space="0" w:color="auto"/>
            </w:tcBorders>
            <w:shd w:val="clear" w:color="auto" w:fill="auto"/>
            <w:vAlign w:val="center"/>
          </w:tcPr>
          <w:p w14:paraId="0200593A"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0.77</w:t>
            </w:r>
          </w:p>
        </w:tc>
        <w:tc>
          <w:tcPr>
            <w:tcW w:w="927" w:type="dxa"/>
            <w:tcBorders>
              <w:top w:val="single" w:sz="4" w:space="0" w:color="auto"/>
            </w:tcBorders>
            <w:shd w:val="clear" w:color="auto" w:fill="auto"/>
            <w:vAlign w:val="center"/>
          </w:tcPr>
          <w:p w14:paraId="626BBC77"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0.74</w:t>
            </w:r>
          </w:p>
        </w:tc>
      </w:tr>
      <w:tr w:rsidR="00BB7AA9" w:rsidRPr="005F44EF" w14:paraId="6401E4C6" w14:textId="77777777" w:rsidTr="002F40EE">
        <w:trPr>
          <w:trHeight w:val="248"/>
        </w:trPr>
        <w:tc>
          <w:tcPr>
            <w:tcW w:w="927" w:type="dxa"/>
            <w:shd w:val="clear" w:color="auto" w:fill="auto"/>
            <w:vAlign w:val="center"/>
          </w:tcPr>
          <w:p w14:paraId="1C93D089"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w:t>
            </w:r>
          </w:p>
        </w:tc>
        <w:tc>
          <w:tcPr>
            <w:tcW w:w="927" w:type="dxa"/>
            <w:shd w:val="clear" w:color="auto" w:fill="auto"/>
            <w:vAlign w:val="center"/>
          </w:tcPr>
          <w:p w14:paraId="6DB3EB89"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w:t>
            </w:r>
          </w:p>
        </w:tc>
        <w:tc>
          <w:tcPr>
            <w:tcW w:w="927" w:type="dxa"/>
            <w:shd w:val="clear" w:color="auto" w:fill="auto"/>
            <w:vAlign w:val="center"/>
          </w:tcPr>
          <w:p w14:paraId="2A5FE9D2"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20-34</w:t>
            </w:r>
          </w:p>
        </w:tc>
        <w:tc>
          <w:tcPr>
            <w:tcW w:w="927" w:type="dxa"/>
            <w:shd w:val="clear" w:color="auto" w:fill="auto"/>
            <w:vAlign w:val="center"/>
          </w:tcPr>
          <w:p w14:paraId="3C99EB4A"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w:t>
            </w:r>
          </w:p>
        </w:tc>
        <w:tc>
          <w:tcPr>
            <w:tcW w:w="927" w:type="dxa"/>
            <w:shd w:val="clear" w:color="auto" w:fill="auto"/>
            <w:vAlign w:val="center"/>
          </w:tcPr>
          <w:p w14:paraId="77E45317"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4.1</w:t>
            </w:r>
          </w:p>
        </w:tc>
        <w:tc>
          <w:tcPr>
            <w:tcW w:w="927" w:type="dxa"/>
            <w:shd w:val="clear" w:color="auto" w:fill="auto"/>
            <w:vAlign w:val="center"/>
          </w:tcPr>
          <w:p w14:paraId="0D549810"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25.8</w:t>
            </w:r>
          </w:p>
        </w:tc>
        <w:tc>
          <w:tcPr>
            <w:tcW w:w="927" w:type="dxa"/>
            <w:shd w:val="clear" w:color="auto" w:fill="auto"/>
            <w:vAlign w:val="center"/>
          </w:tcPr>
          <w:p w14:paraId="015A5749"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0.28</w:t>
            </w:r>
          </w:p>
        </w:tc>
        <w:tc>
          <w:tcPr>
            <w:tcW w:w="927" w:type="dxa"/>
            <w:shd w:val="clear" w:color="auto" w:fill="auto"/>
            <w:vAlign w:val="center"/>
          </w:tcPr>
          <w:p w14:paraId="01D34B36"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0.53</w:t>
            </w:r>
          </w:p>
        </w:tc>
        <w:tc>
          <w:tcPr>
            <w:tcW w:w="927" w:type="dxa"/>
            <w:shd w:val="clear" w:color="auto" w:fill="auto"/>
            <w:vAlign w:val="center"/>
          </w:tcPr>
          <w:p w14:paraId="21F9193B"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0.64</w:t>
            </w:r>
          </w:p>
        </w:tc>
        <w:tc>
          <w:tcPr>
            <w:tcW w:w="927" w:type="dxa"/>
            <w:shd w:val="clear" w:color="auto" w:fill="auto"/>
            <w:vAlign w:val="center"/>
          </w:tcPr>
          <w:p w14:paraId="6C49BDC3"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0.69</w:t>
            </w:r>
          </w:p>
        </w:tc>
      </w:tr>
      <w:tr w:rsidR="00BB7AA9" w:rsidRPr="005F44EF" w14:paraId="183D8487" w14:textId="77777777" w:rsidTr="002F40EE">
        <w:trPr>
          <w:trHeight w:val="248"/>
        </w:trPr>
        <w:tc>
          <w:tcPr>
            <w:tcW w:w="927" w:type="dxa"/>
            <w:shd w:val="clear" w:color="auto" w:fill="auto"/>
            <w:vAlign w:val="center"/>
          </w:tcPr>
          <w:p w14:paraId="37B27CFC"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w:t>
            </w:r>
          </w:p>
        </w:tc>
        <w:tc>
          <w:tcPr>
            <w:tcW w:w="927" w:type="dxa"/>
            <w:shd w:val="clear" w:color="auto" w:fill="auto"/>
            <w:vAlign w:val="center"/>
          </w:tcPr>
          <w:p w14:paraId="5571AF74"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0.3</w:t>
            </w:r>
          </w:p>
        </w:tc>
        <w:tc>
          <w:tcPr>
            <w:tcW w:w="927" w:type="dxa"/>
            <w:shd w:val="clear" w:color="auto" w:fill="auto"/>
            <w:vAlign w:val="center"/>
          </w:tcPr>
          <w:p w14:paraId="0564E22A"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20-34</w:t>
            </w:r>
          </w:p>
        </w:tc>
        <w:tc>
          <w:tcPr>
            <w:tcW w:w="927" w:type="dxa"/>
            <w:shd w:val="clear" w:color="auto" w:fill="auto"/>
            <w:vAlign w:val="center"/>
          </w:tcPr>
          <w:p w14:paraId="0A4523C0"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w:t>
            </w:r>
          </w:p>
        </w:tc>
        <w:tc>
          <w:tcPr>
            <w:tcW w:w="927" w:type="dxa"/>
            <w:shd w:val="clear" w:color="auto" w:fill="auto"/>
            <w:vAlign w:val="center"/>
          </w:tcPr>
          <w:p w14:paraId="197942F6"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3.1</w:t>
            </w:r>
          </w:p>
        </w:tc>
        <w:tc>
          <w:tcPr>
            <w:tcW w:w="927" w:type="dxa"/>
            <w:shd w:val="clear" w:color="auto" w:fill="auto"/>
            <w:vAlign w:val="center"/>
          </w:tcPr>
          <w:p w14:paraId="5C0A9269"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25.6</w:t>
            </w:r>
          </w:p>
        </w:tc>
        <w:tc>
          <w:tcPr>
            <w:tcW w:w="927" w:type="dxa"/>
            <w:shd w:val="clear" w:color="auto" w:fill="auto"/>
            <w:vAlign w:val="center"/>
          </w:tcPr>
          <w:p w14:paraId="1C9FA515"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0.27</w:t>
            </w:r>
          </w:p>
        </w:tc>
        <w:tc>
          <w:tcPr>
            <w:tcW w:w="927" w:type="dxa"/>
            <w:shd w:val="clear" w:color="auto" w:fill="auto"/>
            <w:vAlign w:val="center"/>
          </w:tcPr>
          <w:p w14:paraId="338CCF6D"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0.50</w:t>
            </w:r>
          </w:p>
        </w:tc>
        <w:tc>
          <w:tcPr>
            <w:tcW w:w="927" w:type="dxa"/>
            <w:shd w:val="clear" w:color="auto" w:fill="auto"/>
            <w:vAlign w:val="center"/>
          </w:tcPr>
          <w:p w14:paraId="3BFE564D"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0.66</w:t>
            </w:r>
          </w:p>
        </w:tc>
        <w:tc>
          <w:tcPr>
            <w:tcW w:w="927" w:type="dxa"/>
            <w:shd w:val="clear" w:color="auto" w:fill="auto"/>
            <w:vAlign w:val="center"/>
          </w:tcPr>
          <w:p w14:paraId="27418950"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0.69</w:t>
            </w:r>
          </w:p>
        </w:tc>
      </w:tr>
      <w:tr w:rsidR="00BB7AA9" w:rsidRPr="005F44EF" w14:paraId="026BCD1F" w14:textId="77777777" w:rsidTr="002F40EE">
        <w:trPr>
          <w:trHeight w:val="248"/>
        </w:trPr>
        <w:tc>
          <w:tcPr>
            <w:tcW w:w="927" w:type="dxa"/>
            <w:shd w:val="clear" w:color="auto" w:fill="auto"/>
            <w:vAlign w:val="center"/>
          </w:tcPr>
          <w:p w14:paraId="0B11E6F1"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4</w:t>
            </w:r>
          </w:p>
        </w:tc>
        <w:tc>
          <w:tcPr>
            <w:tcW w:w="927" w:type="dxa"/>
            <w:shd w:val="clear" w:color="auto" w:fill="auto"/>
            <w:vAlign w:val="center"/>
          </w:tcPr>
          <w:p w14:paraId="48D5725C"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0.4</w:t>
            </w:r>
          </w:p>
        </w:tc>
        <w:tc>
          <w:tcPr>
            <w:tcW w:w="927" w:type="dxa"/>
            <w:shd w:val="clear" w:color="auto" w:fill="auto"/>
            <w:vAlign w:val="center"/>
          </w:tcPr>
          <w:p w14:paraId="3F90FFD9"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20-32</w:t>
            </w:r>
          </w:p>
        </w:tc>
        <w:tc>
          <w:tcPr>
            <w:tcW w:w="927" w:type="dxa"/>
            <w:shd w:val="clear" w:color="auto" w:fill="auto"/>
            <w:vAlign w:val="center"/>
          </w:tcPr>
          <w:p w14:paraId="38B40C29"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w:t>
            </w:r>
          </w:p>
        </w:tc>
        <w:tc>
          <w:tcPr>
            <w:tcW w:w="927" w:type="dxa"/>
            <w:shd w:val="clear" w:color="auto" w:fill="auto"/>
            <w:vAlign w:val="center"/>
          </w:tcPr>
          <w:p w14:paraId="6E43630C"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3.4</w:t>
            </w:r>
          </w:p>
        </w:tc>
        <w:tc>
          <w:tcPr>
            <w:tcW w:w="927" w:type="dxa"/>
            <w:shd w:val="clear" w:color="auto" w:fill="auto"/>
            <w:vAlign w:val="center"/>
          </w:tcPr>
          <w:p w14:paraId="2A3BC19D"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25.6</w:t>
            </w:r>
          </w:p>
        </w:tc>
        <w:tc>
          <w:tcPr>
            <w:tcW w:w="927" w:type="dxa"/>
            <w:shd w:val="clear" w:color="auto" w:fill="auto"/>
            <w:vAlign w:val="center"/>
          </w:tcPr>
          <w:p w14:paraId="517F806C"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0.29</w:t>
            </w:r>
          </w:p>
        </w:tc>
        <w:tc>
          <w:tcPr>
            <w:tcW w:w="927" w:type="dxa"/>
            <w:shd w:val="clear" w:color="auto" w:fill="auto"/>
            <w:vAlign w:val="center"/>
          </w:tcPr>
          <w:p w14:paraId="236E87A7"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0.56</w:t>
            </w:r>
          </w:p>
        </w:tc>
        <w:tc>
          <w:tcPr>
            <w:tcW w:w="927" w:type="dxa"/>
            <w:shd w:val="clear" w:color="auto" w:fill="auto"/>
            <w:vAlign w:val="center"/>
          </w:tcPr>
          <w:p w14:paraId="6256D208"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0.62</w:t>
            </w:r>
          </w:p>
        </w:tc>
        <w:tc>
          <w:tcPr>
            <w:tcW w:w="927" w:type="dxa"/>
            <w:shd w:val="clear" w:color="auto" w:fill="auto"/>
            <w:vAlign w:val="center"/>
          </w:tcPr>
          <w:p w14:paraId="37C457DF"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0.68</w:t>
            </w:r>
          </w:p>
        </w:tc>
      </w:tr>
      <w:tr w:rsidR="00BB7AA9" w:rsidRPr="005F44EF" w14:paraId="705D1365" w14:textId="77777777" w:rsidTr="002F40EE">
        <w:trPr>
          <w:trHeight w:val="248"/>
        </w:trPr>
        <w:tc>
          <w:tcPr>
            <w:tcW w:w="927" w:type="dxa"/>
            <w:shd w:val="clear" w:color="auto" w:fill="auto"/>
            <w:vAlign w:val="center"/>
          </w:tcPr>
          <w:p w14:paraId="7CA8E032"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5</w:t>
            </w:r>
          </w:p>
        </w:tc>
        <w:tc>
          <w:tcPr>
            <w:tcW w:w="927" w:type="dxa"/>
            <w:shd w:val="clear" w:color="auto" w:fill="auto"/>
            <w:vAlign w:val="center"/>
          </w:tcPr>
          <w:p w14:paraId="75ADD85F"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w:t>
            </w:r>
          </w:p>
        </w:tc>
        <w:tc>
          <w:tcPr>
            <w:tcW w:w="927" w:type="dxa"/>
            <w:shd w:val="clear" w:color="auto" w:fill="auto"/>
            <w:vAlign w:val="center"/>
          </w:tcPr>
          <w:p w14:paraId="2952AF2C"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20-32</w:t>
            </w:r>
          </w:p>
        </w:tc>
        <w:tc>
          <w:tcPr>
            <w:tcW w:w="927" w:type="dxa"/>
            <w:shd w:val="clear" w:color="auto" w:fill="auto"/>
            <w:vAlign w:val="center"/>
          </w:tcPr>
          <w:p w14:paraId="6416EBCC"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w:t>
            </w:r>
          </w:p>
        </w:tc>
        <w:tc>
          <w:tcPr>
            <w:tcW w:w="927" w:type="dxa"/>
            <w:shd w:val="clear" w:color="auto" w:fill="auto"/>
            <w:vAlign w:val="center"/>
          </w:tcPr>
          <w:p w14:paraId="5E60CF84"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4.8</w:t>
            </w:r>
          </w:p>
        </w:tc>
        <w:tc>
          <w:tcPr>
            <w:tcW w:w="927" w:type="dxa"/>
            <w:shd w:val="clear" w:color="auto" w:fill="auto"/>
            <w:vAlign w:val="center"/>
          </w:tcPr>
          <w:p w14:paraId="4305F60F"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25.3</w:t>
            </w:r>
          </w:p>
        </w:tc>
        <w:tc>
          <w:tcPr>
            <w:tcW w:w="927" w:type="dxa"/>
            <w:shd w:val="clear" w:color="auto" w:fill="auto"/>
            <w:vAlign w:val="center"/>
          </w:tcPr>
          <w:p w14:paraId="56BD87FF"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0.44</w:t>
            </w:r>
          </w:p>
        </w:tc>
        <w:tc>
          <w:tcPr>
            <w:tcW w:w="927" w:type="dxa"/>
            <w:shd w:val="clear" w:color="auto" w:fill="auto"/>
            <w:vAlign w:val="center"/>
          </w:tcPr>
          <w:p w14:paraId="401726B7"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0.62</w:t>
            </w:r>
          </w:p>
        </w:tc>
        <w:tc>
          <w:tcPr>
            <w:tcW w:w="927" w:type="dxa"/>
            <w:shd w:val="clear" w:color="auto" w:fill="auto"/>
            <w:vAlign w:val="center"/>
          </w:tcPr>
          <w:p w14:paraId="53351598"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0.72</w:t>
            </w:r>
          </w:p>
        </w:tc>
        <w:tc>
          <w:tcPr>
            <w:tcW w:w="927" w:type="dxa"/>
            <w:shd w:val="clear" w:color="auto" w:fill="auto"/>
            <w:vAlign w:val="center"/>
          </w:tcPr>
          <w:p w14:paraId="368A3D43"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0.74</w:t>
            </w:r>
          </w:p>
        </w:tc>
      </w:tr>
      <w:tr w:rsidR="00BB7AA9" w:rsidRPr="005F44EF" w14:paraId="228FC03D" w14:textId="77777777" w:rsidTr="002F40EE">
        <w:trPr>
          <w:trHeight w:val="248"/>
        </w:trPr>
        <w:tc>
          <w:tcPr>
            <w:tcW w:w="927" w:type="dxa"/>
            <w:shd w:val="clear" w:color="auto" w:fill="auto"/>
            <w:vAlign w:val="center"/>
          </w:tcPr>
          <w:p w14:paraId="3DBE04A6"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6</w:t>
            </w:r>
          </w:p>
        </w:tc>
        <w:tc>
          <w:tcPr>
            <w:tcW w:w="927" w:type="dxa"/>
            <w:shd w:val="clear" w:color="auto" w:fill="auto"/>
            <w:vAlign w:val="center"/>
          </w:tcPr>
          <w:p w14:paraId="3DC530FE"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w:t>
            </w:r>
          </w:p>
        </w:tc>
        <w:tc>
          <w:tcPr>
            <w:tcW w:w="927" w:type="dxa"/>
            <w:shd w:val="clear" w:color="auto" w:fill="auto"/>
            <w:vAlign w:val="center"/>
          </w:tcPr>
          <w:p w14:paraId="50F54E33"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20-32</w:t>
            </w:r>
          </w:p>
        </w:tc>
        <w:tc>
          <w:tcPr>
            <w:tcW w:w="927" w:type="dxa"/>
            <w:shd w:val="clear" w:color="auto" w:fill="auto"/>
            <w:vAlign w:val="center"/>
          </w:tcPr>
          <w:p w14:paraId="6DC5D0C4"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w:t>
            </w:r>
          </w:p>
        </w:tc>
        <w:tc>
          <w:tcPr>
            <w:tcW w:w="927" w:type="dxa"/>
            <w:shd w:val="clear" w:color="auto" w:fill="auto"/>
            <w:vAlign w:val="center"/>
          </w:tcPr>
          <w:p w14:paraId="58E6F207"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2.8</w:t>
            </w:r>
          </w:p>
        </w:tc>
        <w:tc>
          <w:tcPr>
            <w:tcW w:w="927" w:type="dxa"/>
            <w:shd w:val="clear" w:color="auto" w:fill="auto"/>
            <w:vAlign w:val="center"/>
          </w:tcPr>
          <w:p w14:paraId="2EDFD614"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26.7</w:t>
            </w:r>
          </w:p>
        </w:tc>
        <w:tc>
          <w:tcPr>
            <w:tcW w:w="927" w:type="dxa"/>
            <w:shd w:val="clear" w:color="auto" w:fill="auto"/>
            <w:vAlign w:val="center"/>
          </w:tcPr>
          <w:p w14:paraId="5C248771"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0.20</w:t>
            </w:r>
          </w:p>
        </w:tc>
        <w:tc>
          <w:tcPr>
            <w:tcW w:w="927" w:type="dxa"/>
            <w:shd w:val="clear" w:color="auto" w:fill="auto"/>
            <w:vAlign w:val="center"/>
          </w:tcPr>
          <w:p w14:paraId="006CF384"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0.37</w:t>
            </w:r>
          </w:p>
        </w:tc>
        <w:tc>
          <w:tcPr>
            <w:tcW w:w="927" w:type="dxa"/>
            <w:shd w:val="clear" w:color="auto" w:fill="auto"/>
            <w:vAlign w:val="center"/>
          </w:tcPr>
          <w:p w14:paraId="6EC6ACEC"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0.53</w:t>
            </w:r>
          </w:p>
        </w:tc>
        <w:tc>
          <w:tcPr>
            <w:tcW w:w="927" w:type="dxa"/>
            <w:shd w:val="clear" w:color="auto" w:fill="auto"/>
            <w:vAlign w:val="center"/>
          </w:tcPr>
          <w:p w14:paraId="56E4CCC0"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0.57</w:t>
            </w:r>
          </w:p>
        </w:tc>
      </w:tr>
      <w:tr w:rsidR="00BB7AA9" w:rsidRPr="005F44EF" w14:paraId="5FC41CEB" w14:textId="77777777" w:rsidTr="002F40EE">
        <w:trPr>
          <w:trHeight w:val="248"/>
        </w:trPr>
        <w:tc>
          <w:tcPr>
            <w:tcW w:w="927" w:type="dxa"/>
            <w:shd w:val="clear" w:color="auto" w:fill="auto"/>
            <w:vAlign w:val="center"/>
          </w:tcPr>
          <w:p w14:paraId="7FCE9981"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8</w:t>
            </w:r>
          </w:p>
        </w:tc>
        <w:tc>
          <w:tcPr>
            <w:tcW w:w="927" w:type="dxa"/>
            <w:shd w:val="clear" w:color="auto" w:fill="auto"/>
            <w:vAlign w:val="center"/>
          </w:tcPr>
          <w:p w14:paraId="33E3F6A8"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0.8</w:t>
            </w:r>
          </w:p>
        </w:tc>
        <w:tc>
          <w:tcPr>
            <w:tcW w:w="927" w:type="dxa"/>
            <w:shd w:val="clear" w:color="auto" w:fill="auto"/>
            <w:vAlign w:val="center"/>
          </w:tcPr>
          <w:p w14:paraId="4B7A4A32"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20-34</w:t>
            </w:r>
          </w:p>
        </w:tc>
        <w:tc>
          <w:tcPr>
            <w:tcW w:w="927" w:type="dxa"/>
            <w:shd w:val="clear" w:color="auto" w:fill="auto"/>
            <w:vAlign w:val="center"/>
          </w:tcPr>
          <w:p w14:paraId="2D7D3EBA"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w:t>
            </w:r>
          </w:p>
        </w:tc>
        <w:tc>
          <w:tcPr>
            <w:tcW w:w="927" w:type="dxa"/>
            <w:shd w:val="clear" w:color="auto" w:fill="auto"/>
            <w:vAlign w:val="center"/>
          </w:tcPr>
          <w:p w14:paraId="38DC21E3"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3.4</w:t>
            </w:r>
          </w:p>
        </w:tc>
        <w:tc>
          <w:tcPr>
            <w:tcW w:w="927" w:type="dxa"/>
            <w:shd w:val="clear" w:color="auto" w:fill="auto"/>
            <w:vAlign w:val="center"/>
          </w:tcPr>
          <w:p w14:paraId="700CE3C5"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25.9</w:t>
            </w:r>
          </w:p>
        </w:tc>
        <w:tc>
          <w:tcPr>
            <w:tcW w:w="927" w:type="dxa"/>
            <w:shd w:val="clear" w:color="auto" w:fill="auto"/>
            <w:vAlign w:val="center"/>
          </w:tcPr>
          <w:p w14:paraId="398AE265"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0.25</w:t>
            </w:r>
          </w:p>
        </w:tc>
        <w:tc>
          <w:tcPr>
            <w:tcW w:w="927" w:type="dxa"/>
            <w:shd w:val="clear" w:color="auto" w:fill="auto"/>
            <w:vAlign w:val="center"/>
          </w:tcPr>
          <w:p w14:paraId="201C10D7"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0.48</w:t>
            </w:r>
          </w:p>
        </w:tc>
        <w:tc>
          <w:tcPr>
            <w:tcW w:w="927" w:type="dxa"/>
            <w:shd w:val="clear" w:color="auto" w:fill="auto"/>
            <w:vAlign w:val="center"/>
          </w:tcPr>
          <w:p w14:paraId="6FBEBAE7"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0.59</w:t>
            </w:r>
          </w:p>
        </w:tc>
        <w:tc>
          <w:tcPr>
            <w:tcW w:w="927" w:type="dxa"/>
            <w:shd w:val="clear" w:color="auto" w:fill="auto"/>
            <w:vAlign w:val="center"/>
          </w:tcPr>
          <w:p w14:paraId="031535F8"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0.64</w:t>
            </w:r>
          </w:p>
        </w:tc>
      </w:tr>
      <w:tr w:rsidR="00BB7AA9" w:rsidRPr="005F44EF" w14:paraId="40E153A6" w14:textId="77777777" w:rsidTr="002F40EE">
        <w:trPr>
          <w:trHeight w:val="248"/>
        </w:trPr>
        <w:tc>
          <w:tcPr>
            <w:tcW w:w="927" w:type="dxa"/>
            <w:shd w:val="clear" w:color="auto" w:fill="auto"/>
            <w:vAlign w:val="center"/>
          </w:tcPr>
          <w:p w14:paraId="01965B90"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9</w:t>
            </w:r>
          </w:p>
        </w:tc>
        <w:tc>
          <w:tcPr>
            <w:tcW w:w="927" w:type="dxa"/>
            <w:shd w:val="clear" w:color="auto" w:fill="auto"/>
            <w:vAlign w:val="center"/>
          </w:tcPr>
          <w:p w14:paraId="004354EB"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0.9</w:t>
            </w:r>
          </w:p>
        </w:tc>
        <w:tc>
          <w:tcPr>
            <w:tcW w:w="927" w:type="dxa"/>
            <w:shd w:val="clear" w:color="auto" w:fill="auto"/>
            <w:vAlign w:val="center"/>
          </w:tcPr>
          <w:p w14:paraId="321D784A"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 22-32</w:t>
            </w:r>
          </w:p>
        </w:tc>
        <w:tc>
          <w:tcPr>
            <w:tcW w:w="927" w:type="dxa"/>
            <w:shd w:val="clear" w:color="auto" w:fill="auto"/>
            <w:vAlign w:val="center"/>
          </w:tcPr>
          <w:p w14:paraId="2F9C87B6"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w:t>
            </w:r>
          </w:p>
        </w:tc>
        <w:tc>
          <w:tcPr>
            <w:tcW w:w="927" w:type="dxa"/>
            <w:shd w:val="clear" w:color="auto" w:fill="auto"/>
            <w:vAlign w:val="center"/>
          </w:tcPr>
          <w:p w14:paraId="230F1082"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4.2</w:t>
            </w:r>
          </w:p>
        </w:tc>
        <w:tc>
          <w:tcPr>
            <w:tcW w:w="927" w:type="dxa"/>
            <w:shd w:val="clear" w:color="auto" w:fill="auto"/>
            <w:vAlign w:val="center"/>
          </w:tcPr>
          <w:p w14:paraId="13F91855"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25.8</w:t>
            </w:r>
          </w:p>
        </w:tc>
        <w:tc>
          <w:tcPr>
            <w:tcW w:w="927" w:type="dxa"/>
            <w:shd w:val="clear" w:color="auto" w:fill="auto"/>
            <w:vAlign w:val="center"/>
          </w:tcPr>
          <w:p w14:paraId="562724D5"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0.27</w:t>
            </w:r>
          </w:p>
        </w:tc>
        <w:tc>
          <w:tcPr>
            <w:tcW w:w="927" w:type="dxa"/>
            <w:shd w:val="clear" w:color="auto" w:fill="auto"/>
            <w:vAlign w:val="center"/>
          </w:tcPr>
          <w:p w14:paraId="36BCE2CF"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0.50</w:t>
            </w:r>
          </w:p>
        </w:tc>
        <w:tc>
          <w:tcPr>
            <w:tcW w:w="927" w:type="dxa"/>
            <w:shd w:val="clear" w:color="auto" w:fill="auto"/>
            <w:vAlign w:val="center"/>
          </w:tcPr>
          <w:p w14:paraId="0755FA77"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0.62</w:t>
            </w:r>
          </w:p>
        </w:tc>
        <w:tc>
          <w:tcPr>
            <w:tcW w:w="927" w:type="dxa"/>
            <w:shd w:val="clear" w:color="auto" w:fill="auto"/>
            <w:vAlign w:val="center"/>
          </w:tcPr>
          <w:p w14:paraId="087663DA"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0.66</w:t>
            </w:r>
          </w:p>
        </w:tc>
      </w:tr>
      <w:tr w:rsidR="00BB7AA9" w:rsidRPr="005F44EF" w14:paraId="5246E5A5" w14:textId="77777777" w:rsidTr="002F40EE">
        <w:trPr>
          <w:trHeight w:val="248"/>
        </w:trPr>
        <w:tc>
          <w:tcPr>
            <w:tcW w:w="927" w:type="dxa"/>
            <w:shd w:val="clear" w:color="auto" w:fill="auto"/>
            <w:vAlign w:val="center"/>
          </w:tcPr>
          <w:p w14:paraId="1F52DCA6"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10</w:t>
            </w:r>
          </w:p>
        </w:tc>
        <w:tc>
          <w:tcPr>
            <w:tcW w:w="927" w:type="dxa"/>
            <w:shd w:val="clear" w:color="auto" w:fill="auto"/>
            <w:vAlign w:val="center"/>
          </w:tcPr>
          <w:p w14:paraId="48E7A1DF"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w:t>
            </w:r>
          </w:p>
        </w:tc>
        <w:tc>
          <w:tcPr>
            <w:tcW w:w="927" w:type="dxa"/>
            <w:shd w:val="clear" w:color="auto" w:fill="auto"/>
            <w:vAlign w:val="center"/>
          </w:tcPr>
          <w:p w14:paraId="7939D27B"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20-30</w:t>
            </w:r>
          </w:p>
        </w:tc>
        <w:tc>
          <w:tcPr>
            <w:tcW w:w="927" w:type="dxa"/>
            <w:shd w:val="clear" w:color="auto" w:fill="auto"/>
            <w:vAlign w:val="center"/>
          </w:tcPr>
          <w:p w14:paraId="3A4CBD28"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22</w:t>
            </w:r>
          </w:p>
        </w:tc>
        <w:tc>
          <w:tcPr>
            <w:tcW w:w="927" w:type="dxa"/>
            <w:shd w:val="clear" w:color="auto" w:fill="auto"/>
            <w:vAlign w:val="center"/>
          </w:tcPr>
          <w:p w14:paraId="2D0186C4"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w:t>
            </w:r>
          </w:p>
        </w:tc>
        <w:tc>
          <w:tcPr>
            <w:tcW w:w="927" w:type="dxa"/>
            <w:shd w:val="clear" w:color="auto" w:fill="auto"/>
            <w:vAlign w:val="center"/>
          </w:tcPr>
          <w:p w14:paraId="2E9BE1E0"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24.1</w:t>
            </w:r>
          </w:p>
        </w:tc>
        <w:tc>
          <w:tcPr>
            <w:tcW w:w="927" w:type="dxa"/>
            <w:shd w:val="clear" w:color="auto" w:fill="auto"/>
            <w:vAlign w:val="center"/>
          </w:tcPr>
          <w:p w14:paraId="2D350B98"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0.25</w:t>
            </w:r>
          </w:p>
        </w:tc>
        <w:tc>
          <w:tcPr>
            <w:tcW w:w="927" w:type="dxa"/>
            <w:shd w:val="clear" w:color="auto" w:fill="auto"/>
            <w:vAlign w:val="center"/>
          </w:tcPr>
          <w:p w14:paraId="670A890D"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0.43</w:t>
            </w:r>
          </w:p>
        </w:tc>
        <w:tc>
          <w:tcPr>
            <w:tcW w:w="927" w:type="dxa"/>
            <w:shd w:val="clear" w:color="auto" w:fill="auto"/>
            <w:vAlign w:val="center"/>
          </w:tcPr>
          <w:p w14:paraId="1A38B8D4"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0.75</w:t>
            </w:r>
          </w:p>
        </w:tc>
        <w:tc>
          <w:tcPr>
            <w:tcW w:w="927" w:type="dxa"/>
            <w:shd w:val="clear" w:color="auto" w:fill="auto"/>
            <w:vAlign w:val="center"/>
          </w:tcPr>
          <w:p w14:paraId="0D174F39"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0.72</w:t>
            </w:r>
          </w:p>
        </w:tc>
      </w:tr>
      <w:tr w:rsidR="00BB7AA9" w:rsidRPr="005F44EF" w14:paraId="2B217C70" w14:textId="77777777" w:rsidTr="002F40EE">
        <w:trPr>
          <w:trHeight w:val="248"/>
        </w:trPr>
        <w:tc>
          <w:tcPr>
            <w:tcW w:w="927" w:type="dxa"/>
            <w:shd w:val="clear" w:color="auto" w:fill="auto"/>
            <w:vAlign w:val="center"/>
          </w:tcPr>
          <w:p w14:paraId="04E4BDAB"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11</w:t>
            </w:r>
          </w:p>
        </w:tc>
        <w:tc>
          <w:tcPr>
            <w:tcW w:w="927" w:type="dxa"/>
            <w:shd w:val="clear" w:color="auto" w:fill="auto"/>
            <w:vAlign w:val="center"/>
          </w:tcPr>
          <w:p w14:paraId="564CEA9D"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1.1</w:t>
            </w:r>
          </w:p>
        </w:tc>
        <w:tc>
          <w:tcPr>
            <w:tcW w:w="927" w:type="dxa"/>
            <w:shd w:val="clear" w:color="auto" w:fill="auto"/>
            <w:vAlign w:val="center"/>
          </w:tcPr>
          <w:p w14:paraId="5FD16A4A"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 22-32</w:t>
            </w:r>
          </w:p>
        </w:tc>
        <w:tc>
          <w:tcPr>
            <w:tcW w:w="927" w:type="dxa"/>
            <w:shd w:val="clear" w:color="auto" w:fill="auto"/>
            <w:vAlign w:val="center"/>
          </w:tcPr>
          <w:p w14:paraId="7FE7903D"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w:t>
            </w:r>
          </w:p>
        </w:tc>
        <w:tc>
          <w:tcPr>
            <w:tcW w:w="927" w:type="dxa"/>
            <w:shd w:val="clear" w:color="auto" w:fill="auto"/>
            <w:vAlign w:val="center"/>
          </w:tcPr>
          <w:p w14:paraId="719581EC"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4.9</w:t>
            </w:r>
          </w:p>
        </w:tc>
        <w:tc>
          <w:tcPr>
            <w:tcW w:w="927" w:type="dxa"/>
            <w:shd w:val="clear" w:color="auto" w:fill="auto"/>
            <w:vAlign w:val="center"/>
          </w:tcPr>
          <w:p w14:paraId="0FA62E0D"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25.1</w:t>
            </w:r>
          </w:p>
        </w:tc>
        <w:tc>
          <w:tcPr>
            <w:tcW w:w="927" w:type="dxa"/>
            <w:shd w:val="clear" w:color="auto" w:fill="auto"/>
            <w:vAlign w:val="center"/>
          </w:tcPr>
          <w:p w14:paraId="7541712D"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0.28</w:t>
            </w:r>
          </w:p>
        </w:tc>
        <w:tc>
          <w:tcPr>
            <w:tcW w:w="927" w:type="dxa"/>
            <w:shd w:val="clear" w:color="auto" w:fill="auto"/>
            <w:vAlign w:val="center"/>
          </w:tcPr>
          <w:p w14:paraId="6A9FBDFC"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0.50</w:t>
            </w:r>
          </w:p>
        </w:tc>
        <w:tc>
          <w:tcPr>
            <w:tcW w:w="927" w:type="dxa"/>
            <w:shd w:val="clear" w:color="auto" w:fill="auto"/>
            <w:vAlign w:val="center"/>
          </w:tcPr>
          <w:p w14:paraId="0D486975"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0.67</w:t>
            </w:r>
          </w:p>
        </w:tc>
        <w:tc>
          <w:tcPr>
            <w:tcW w:w="927" w:type="dxa"/>
            <w:shd w:val="clear" w:color="auto" w:fill="auto"/>
            <w:vAlign w:val="center"/>
          </w:tcPr>
          <w:p w14:paraId="2E02591D"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0.70</w:t>
            </w:r>
          </w:p>
        </w:tc>
      </w:tr>
      <w:tr w:rsidR="00BB7AA9" w:rsidRPr="005F44EF" w14:paraId="206BFDD4" w14:textId="77777777" w:rsidTr="002F40EE">
        <w:trPr>
          <w:trHeight w:val="248"/>
        </w:trPr>
        <w:tc>
          <w:tcPr>
            <w:tcW w:w="927" w:type="dxa"/>
            <w:shd w:val="clear" w:color="auto" w:fill="auto"/>
            <w:vAlign w:val="center"/>
          </w:tcPr>
          <w:p w14:paraId="3EAF926E"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12</w:t>
            </w:r>
          </w:p>
        </w:tc>
        <w:tc>
          <w:tcPr>
            <w:tcW w:w="927" w:type="dxa"/>
            <w:shd w:val="clear" w:color="auto" w:fill="auto"/>
            <w:vAlign w:val="center"/>
          </w:tcPr>
          <w:p w14:paraId="70915336"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1.2</w:t>
            </w:r>
          </w:p>
        </w:tc>
        <w:tc>
          <w:tcPr>
            <w:tcW w:w="927" w:type="dxa"/>
            <w:shd w:val="clear" w:color="auto" w:fill="auto"/>
            <w:vAlign w:val="center"/>
          </w:tcPr>
          <w:p w14:paraId="123222E0"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 22-30, 32</w:t>
            </w:r>
          </w:p>
        </w:tc>
        <w:tc>
          <w:tcPr>
            <w:tcW w:w="927" w:type="dxa"/>
            <w:shd w:val="clear" w:color="auto" w:fill="auto"/>
            <w:vAlign w:val="center"/>
          </w:tcPr>
          <w:p w14:paraId="2870A05A"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w:t>
            </w:r>
          </w:p>
        </w:tc>
        <w:tc>
          <w:tcPr>
            <w:tcW w:w="927" w:type="dxa"/>
            <w:shd w:val="clear" w:color="auto" w:fill="auto"/>
            <w:vAlign w:val="center"/>
          </w:tcPr>
          <w:p w14:paraId="03C46049"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4.5</w:t>
            </w:r>
          </w:p>
        </w:tc>
        <w:tc>
          <w:tcPr>
            <w:tcW w:w="927" w:type="dxa"/>
            <w:shd w:val="clear" w:color="auto" w:fill="auto"/>
            <w:vAlign w:val="center"/>
          </w:tcPr>
          <w:p w14:paraId="1FAE7DDA"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25.7</w:t>
            </w:r>
          </w:p>
        </w:tc>
        <w:tc>
          <w:tcPr>
            <w:tcW w:w="927" w:type="dxa"/>
            <w:shd w:val="clear" w:color="auto" w:fill="auto"/>
            <w:vAlign w:val="center"/>
          </w:tcPr>
          <w:p w14:paraId="041EE9EB"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0.20</w:t>
            </w:r>
          </w:p>
        </w:tc>
        <w:tc>
          <w:tcPr>
            <w:tcW w:w="927" w:type="dxa"/>
            <w:shd w:val="clear" w:color="auto" w:fill="auto"/>
            <w:vAlign w:val="center"/>
          </w:tcPr>
          <w:p w14:paraId="3100880E"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0.39</w:t>
            </w:r>
          </w:p>
        </w:tc>
        <w:tc>
          <w:tcPr>
            <w:tcW w:w="927" w:type="dxa"/>
            <w:shd w:val="clear" w:color="auto" w:fill="auto"/>
            <w:vAlign w:val="center"/>
          </w:tcPr>
          <w:p w14:paraId="7C7056F3"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0.57</w:t>
            </w:r>
          </w:p>
        </w:tc>
        <w:tc>
          <w:tcPr>
            <w:tcW w:w="927" w:type="dxa"/>
            <w:shd w:val="clear" w:color="auto" w:fill="auto"/>
            <w:vAlign w:val="center"/>
          </w:tcPr>
          <w:p w14:paraId="7CC4AE9F"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0.59</w:t>
            </w:r>
          </w:p>
        </w:tc>
      </w:tr>
      <w:tr w:rsidR="00BB7AA9" w:rsidRPr="005F44EF" w14:paraId="0737802E" w14:textId="77777777" w:rsidTr="002F40EE">
        <w:trPr>
          <w:trHeight w:val="248"/>
        </w:trPr>
        <w:tc>
          <w:tcPr>
            <w:tcW w:w="927" w:type="dxa"/>
            <w:shd w:val="clear" w:color="auto" w:fill="auto"/>
            <w:vAlign w:val="center"/>
          </w:tcPr>
          <w:p w14:paraId="69F56F6D"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14</w:t>
            </w:r>
          </w:p>
        </w:tc>
        <w:tc>
          <w:tcPr>
            <w:tcW w:w="927" w:type="dxa"/>
            <w:shd w:val="clear" w:color="auto" w:fill="auto"/>
            <w:vAlign w:val="center"/>
          </w:tcPr>
          <w:p w14:paraId="07C09865"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1.4</w:t>
            </w:r>
          </w:p>
        </w:tc>
        <w:tc>
          <w:tcPr>
            <w:tcW w:w="927" w:type="dxa"/>
            <w:shd w:val="clear" w:color="auto" w:fill="auto"/>
            <w:vAlign w:val="center"/>
          </w:tcPr>
          <w:p w14:paraId="02A30E79"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20-30</w:t>
            </w:r>
          </w:p>
        </w:tc>
        <w:tc>
          <w:tcPr>
            <w:tcW w:w="927" w:type="dxa"/>
            <w:shd w:val="clear" w:color="auto" w:fill="auto"/>
            <w:vAlign w:val="center"/>
          </w:tcPr>
          <w:p w14:paraId="446ED8C7"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w:t>
            </w:r>
          </w:p>
        </w:tc>
        <w:tc>
          <w:tcPr>
            <w:tcW w:w="927" w:type="dxa"/>
            <w:shd w:val="clear" w:color="auto" w:fill="auto"/>
            <w:vAlign w:val="center"/>
          </w:tcPr>
          <w:p w14:paraId="6B7F1333"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3.9</w:t>
            </w:r>
          </w:p>
        </w:tc>
        <w:tc>
          <w:tcPr>
            <w:tcW w:w="927" w:type="dxa"/>
            <w:shd w:val="clear" w:color="auto" w:fill="auto"/>
            <w:vAlign w:val="center"/>
          </w:tcPr>
          <w:p w14:paraId="05107242"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23.9</w:t>
            </w:r>
          </w:p>
        </w:tc>
        <w:tc>
          <w:tcPr>
            <w:tcW w:w="927" w:type="dxa"/>
            <w:shd w:val="clear" w:color="auto" w:fill="auto"/>
            <w:vAlign w:val="center"/>
          </w:tcPr>
          <w:p w14:paraId="62FC02A6"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0.31</w:t>
            </w:r>
          </w:p>
        </w:tc>
        <w:tc>
          <w:tcPr>
            <w:tcW w:w="927" w:type="dxa"/>
            <w:shd w:val="clear" w:color="auto" w:fill="auto"/>
            <w:vAlign w:val="center"/>
          </w:tcPr>
          <w:p w14:paraId="78FE8EBD"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0.46</w:t>
            </w:r>
          </w:p>
        </w:tc>
        <w:tc>
          <w:tcPr>
            <w:tcW w:w="927" w:type="dxa"/>
            <w:shd w:val="clear" w:color="auto" w:fill="auto"/>
            <w:vAlign w:val="center"/>
          </w:tcPr>
          <w:p w14:paraId="58B6F334"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0.83</w:t>
            </w:r>
          </w:p>
        </w:tc>
        <w:tc>
          <w:tcPr>
            <w:tcW w:w="927" w:type="dxa"/>
            <w:shd w:val="clear" w:color="auto" w:fill="auto"/>
            <w:vAlign w:val="center"/>
          </w:tcPr>
          <w:p w14:paraId="7D9CE62E"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0.79</w:t>
            </w:r>
          </w:p>
        </w:tc>
      </w:tr>
      <w:tr w:rsidR="00BB7AA9" w:rsidRPr="005F44EF" w14:paraId="72CF689B" w14:textId="77777777" w:rsidTr="002F40EE">
        <w:trPr>
          <w:trHeight w:val="248"/>
        </w:trPr>
        <w:tc>
          <w:tcPr>
            <w:tcW w:w="927" w:type="dxa"/>
            <w:shd w:val="clear" w:color="auto" w:fill="auto"/>
            <w:vAlign w:val="center"/>
          </w:tcPr>
          <w:p w14:paraId="773D15C9"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15</w:t>
            </w:r>
          </w:p>
        </w:tc>
        <w:tc>
          <w:tcPr>
            <w:tcW w:w="927" w:type="dxa"/>
            <w:shd w:val="clear" w:color="auto" w:fill="auto"/>
            <w:vAlign w:val="center"/>
          </w:tcPr>
          <w:p w14:paraId="7D79BF3F"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1.5</w:t>
            </w:r>
          </w:p>
        </w:tc>
        <w:tc>
          <w:tcPr>
            <w:tcW w:w="927" w:type="dxa"/>
            <w:shd w:val="clear" w:color="auto" w:fill="auto"/>
            <w:vAlign w:val="center"/>
          </w:tcPr>
          <w:p w14:paraId="42AABE36"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20-34</w:t>
            </w:r>
          </w:p>
        </w:tc>
        <w:tc>
          <w:tcPr>
            <w:tcW w:w="927" w:type="dxa"/>
            <w:shd w:val="clear" w:color="auto" w:fill="auto"/>
            <w:vAlign w:val="center"/>
          </w:tcPr>
          <w:p w14:paraId="2B4FEDDE"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w:t>
            </w:r>
          </w:p>
        </w:tc>
        <w:tc>
          <w:tcPr>
            <w:tcW w:w="927" w:type="dxa"/>
            <w:shd w:val="clear" w:color="auto" w:fill="auto"/>
            <w:vAlign w:val="center"/>
          </w:tcPr>
          <w:p w14:paraId="346525BB"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3.7</w:t>
            </w:r>
          </w:p>
        </w:tc>
        <w:tc>
          <w:tcPr>
            <w:tcW w:w="927" w:type="dxa"/>
            <w:shd w:val="clear" w:color="auto" w:fill="auto"/>
            <w:vAlign w:val="center"/>
          </w:tcPr>
          <w:p w14:paraId="276546BC"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25.9</w:t>
            </w:r>
          </w:p>
        </w:tc>
        <w:tc>
          <w:tcPr>
            <w:tcW w:w="927" w:type="dxa"/>
            <w:shd w:val="clear" w:color="auto" w:fill="auto"/>
            <w:vAlign w:val="center"/>
          </w:tcPr>
          <w:p w14:paraId="73575EEE"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0.22</w:t>
            </w:r>
          </w:p>
        </w:tc>
        <w:tc>
          <w:tcPr>
            <w:tcW w:w="927" w:type="dxa"/>
            <w:shd w:val="clear" w:color="auto" w:fill="auto"/>
            <w:vAlign w:val="center"/>
          </w:tcPr>
          <w:p w14:paraId="79E1B8FC"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0.40</w:t>
            </w:r>
          </w:p>
        </w:tc>
        <w:tc>
          <w:tcPr>
            <w:tcW w:w="927" w:type="dxa"/>
            <w:shd w:val="clear" w:color="auto" w:fill="auto"/>
            <w:vAlign w:val="center"/>
          </w:tcPr>
          <w:p w14:paraId="6382845F"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0.56</w:t>
            </w:r>
          </w:p>
        </w:tc>
        <w:tc>
          <w:tcPr>
            <w:tcW w:w="927" w:type="dxa"/>
            <w:shd w:val="clear" w:color="auto" w:fill="auto"/>
            <w:vAlign w:val="center"/>
          </w:tcPr>
          <w:p w14:paraId="211D0ED9"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0.56</w:t>
            </w:r>
          </w:p>
        </w:tc>
      </w:tr>
      <w:tr w:rsidR="00BB7AA9" w:rsidRPr="005F44EF" w14:paraId="7090F3F9" w14:textId="77777777" w:rsidTr="002F40EE">
        <w:trPr>
          <w:trHeight w:val="248"/>
        </w:trPr>
        <w:tc>
          <w:tcPr>
            <w:tcW w:w="927" w:type="dxa"/>
            <w:shd w:val="clear" w:color="auto" w:fill="auto"/>
            <w:vAlign w:val="center"/>
          </w:tcPr>
          <w:p w14:paraId="19ECF0FB"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16</w:t>
            </w:r>
          </w:p>
        </w:tc>
        <w:tc>
          <w:tcPr>
            <w:tcW w:w="927" w:type="dxa"/>
            <w:shd w:val="clear" w:color="auto" w:fill="auto"/>
            <w:vAlign w:val="center"/>
          </w:tcPr>
          <w:p w14:paraId="31E58B9A"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1.6</w:t>
            </w:r>
          </w:p>
        </w:tc>
        <w:tc>
          <w:tcPr>
            <w:tcW w:w="927" w:type="dxa"/>
            <w:shd w:val="clear" w:color="auto" w:fill="auto"/>
            <w:vAlign w:val="center"/>
          </w:tcPr>
          <w:p w14:paraId="4E29522F"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20-34</w:t>
            </w:r>
          </w:p>
        </w:tc>
        <w:tc>
          <w:tcPr>
            <w:tcW w:w="927" w:type="dxa"/>
            <w:shd w:val="clear" w:color="auto" w:fill="auto"/>
            <w:vAlign w:val="center"/>
          </w:tcPr>
          <w:p w14:paraId="2242BA9B"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w:t>
            </w:r>
          </w:p>
        </w:tc>
        <w:tc>
          <w:tcPr>
            <w:tcW w:w="927" w:type="dxa"/>
            <w:shd w:val="clear" w:color="auto" w:fill="auto"/>
            <w:vAlign w:val="center"/>
          </w:tcPr>
          <w:p w14:paraId="74FD8480"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4.8</w:t>
            </w:r>
          </w:p>
        </w:tc>
        <w:tc>
          <w:tcPr>
            <w:tcW w:w="927" w:type="dxa"/>
            <w:shd w:val="clear" w:color="auto" w:fill="auto"/>
            <w:vAlign w:val="center"/>
          </w:tcPr>
          <w:p w14:paraId="3CD12B8B"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25.5</w:t>
            </w:r>
          </w:p>
        </w:tc>
        <w:tc>
          <w:tcPr>
            <w:tcW w:w="927" w:type="dxa"/>
            <w:shd w:val="clear" w:color="auto" w:fill="auto"/>
            <w:vAlign w:val="center"/>
          </w:tcPr>
          <w:p w14:paraId="3F8055E1"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0.26</w:t>
            </w:r>
          </w:p>
        </w:tc>
        <w:tc>
          <w:tcPr>
            <w:tcW w:w="927" w:type="dxa"/>
            <w:shd w:val="clear" w:color="auto" w:fill="auto"/>
            <w:vAlign w:val="center"/>
          </w:tcPr>
          <w:p w14:paraId="396B5F2C"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0.42</w:t>
            </w:r>
          </w:p>
        </w:tc>
        <w:tc>
          <w:tcPr>
            <w:tcW w:w="927" w:type="dxa"/>
            <w:shd w:val="clear" w:color="auto" w:fill="auto"/>
            <w:vAlign w:val="center"/>
          </w:tcPr>
          <w:p w14:paraId="672EEAEE"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0.68</w:t>
            </w:r>
          </w:p>
        </w:tc>
        <w:tc>
          <w:tcPr>
            <w:tcW w:w="927" w:type="dxa"/>
            <w:shd w:val="clear" w:color="auto" w:fill="auto"/>
            <w:vAlign w:val="center"/>
          </w:tcPr>
          <w:p w14:paraId="0DF7A566"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0.65</w:t>
            </w:r>
          </w:p>
        </w:tc>
      </w:tr>
      <w:tr w:rsidR="00BB7AA9" w:rsidRPr="005F44EF" w14:paraId="0234914C" w14:textId="77777777" w:rsidTr="002F40EE">
        <w:trPr>
          <w:trHeight w:val="248"/>
        </w:trPr>
        <w:tc>
          <w:tcPr>
            <w:tcW w:w="927" w:type="dxa"/>
            <w:shd w:val="clear" w:color="auto" w:fill="auto"/>
            <w:vAlign w:val="center"/>
          </w:tcPr>
          <w:p w14:paraId="03EC80F6"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17</w:t>
            </w:r>
          </w:p>
        </w:tc>
        <w:tc>
          <w:tcPr>
            <w:tcW w:w="927" w:type="dxa"/>
            <w:shd w:val="clear" w:color="auto" w:fill="auto"/>
            <w:vAlign w:val="center"/>
          </w:tcPr>
          <w:p w14:paraId="231C0741"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1.7</w:t>
            </w:r>
          </w:p>
        </w:tc>
        <w:tc>
          <w:tcPr>
            <w:tcW w:w="927" w:type="dxa"/>
            <w:shd w:val="clear" w:color="auto" w:fill="auto"/>
            <w:vAlign w:val="center"/>
          </w:tcPr>
          <w:p w14:paraId="054F10B3"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 22-30, 32</w:t>
            </w:r>
          </w:p>
        </w:tc>
        <w:tc>
          <w:tcPr>
            <w:tcW w:w="927" w:type="dxa"/>
            <w:shd w:val="clear" w:color="auto" w:fill="auto"/>
            <w:vAlign w:val="center"/>
          </w:tcPr>
          <w:p w14:paraId="45404C76"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w:t>
            </w:r>
          </w:p>
        </w:tc>
        <w:tc>
          <w:tcPr>
            <w:tcW w:w="927" w:type="dxa"/>
            <w:shd w:val="clear" w:color="auto" w:fill="auto"/>
            <w:vAlign w:val="center"/>
          </w:tcPr>
          <w:p w14:paraId="4EC235DD"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3.0</w:t>
            </w:r>
          </w:p>
        </w:tc>
        <w:tc>
          <w:tcPr>
            <w:tcW w:w="927" w:type="dxa"/>
            <w:shd w:val="clear" w:color="auto" w:fill="auto"/>
            <w:vAlign w:val="center"/>
          </w:tcPr>
          <w:p w14:paraId="0B9947D0"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27.3</w:t>
            </w:r>
          </w:p>
        </w:tc>
        <w:tc>
          <w:tcPr>
            <w:tcW w:w="927" w:type="dxa"/>
            <w:shd w:val="clear" w:color="auto" w:fill="auto"/>
            <w:vAlign w:val="center"/>
          </w:tcPr>
          <w:p w14:paraId="1264B8F4"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0.17</w:t>
            </w:r>
          </w:p>
        </w:tc>
        <w:tc>
          <w:tcPr>
            <w:tcW w:w="927" w:type="dxa"/>
            <w:shd w:val="clear" w:color="auto" w:fill="auto"/>
            <w:vAlign w:val="center"/>
          </w:tcPr>
          <w:p w14:paraId="3D181992"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0.37</w:t>
            </w:r>
          </w:p>
        </w:tc>
        <w:tc>
          <w:tcPr>
            <w:tcW w:w="927" w:type="dxa"/>
            <w:shd w:val="clear" w:color="auto" w:fill="auto"/>
            <w:vAlign w:val="center"/>
          </w:tcPr>
          <w:p w14:paraId="6099C0F7"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0.41</w:t>
            </w:r>
          </w:p>
        </w:tc>
        <w:tc>
          <w:tcPr>
            <w:tcW w:w="927" w:type="dxa"/>
            <w:shd w:val="clear" w:color="auto" w:fill="auto"/>
            <w:vAlign w:val="center"/>
          </w:tcPr>
          <w:p w14:paraId="058CB626"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0.51</w:t>
            </w:r>
          </w:p>
        </w:tc>
      </w:tr>
      <w:tr w:rsidR="00BB7AA9" w:rsidRPr="005F44EF" w14:paraId="7A84FF6C" w14:textId="77777777" w:rsidTr="002F40EE">
        <w:trPr>
          <w:trHeight w:val="248"/>
        </w:trPr>
        <w:tc>
          <w:tcPr>
            <w:tcW w:w="927" w:type="dxa"/>
            <w:shd w:val="clear" w:color="auto" w:fill="auto"/>
            <w:vAlign w:val="center"/>
          </w:tcPr>
          <w:p w14:paraId="35B6BAA5"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18</w:t>
            </w:r>
          </w:p>
        </w:tc>
        <w:tc>
          <w:tcPr>
            <w:tcW w:w="927" w:type="dxa"/>
            <w:shd w:val="clear" w:color="auto" w:fill="auto"/>
            <w:vAlign w:val="center"/>
          </w:tcPr>
          <w:p w14:paraId="3E2321F6"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1.8</w:t>
            </w:r>
          </w:p>
        </w:tc>
        <w:tc>
          <w:tcPr>
            <w:tcW w:w="927" w:type="dxa"/>
            <w:shd w:val="clear" w:color="auto" w:fill="auto"/>
            <w:vAlign w:val="center"/>
          </w:tcPr>
          <w:p w14:paraId="64DAB8ED"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20-34</w:t>
            </w:r>
          </w:p>
        </w:tc>
        <w:tc>
          <w:tcPr>
            <w:tcW w:w="927" w:type="dxa"/>
            <w:shd w:val="clear" w:color="auto" w:fill="auto"/>
            <w:vAlign w:val="center"/>
          </w:tcPr>
          <w:p w14:paraId="35F53EC7"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w:t>
            </w:r>
          </w:p>
        </w:tc>
        <w:tc>
          <w:tcPr>
            <w:tcW w:w="927" w:type="dxa"/>
            <w:shd w:val="clear" w:color="auto" w:fill="auto"/>
            <w:vAlign w:val="center"/>
          </w:tcPr>
          <w:p w14:paraId="1C763A9A"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3.6</w:t>
            </w:r>
          </w:p>
        </w:tc>
        <w:tc>
          <w:tcPr>
            <w:tcW w:w="927" w:type="dxa"/>
            <w:shd w:val="clear" w:color="auto" w:fill="auto"/>
            <w:vAlign w:val="center"/>
          </w:tcPr>
          <w:p w14:paraId="7EB2E568"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25.5</w:t>
            </w:r>
          </w:p>
        </w:tc>
        <w:tc>
          <w:tcPr>
            <w:tcW w:w="927" w:type="dxa"/>
            <w:shd w:val="clear" w:color="auto" w:fill="auto"/>
            <w:vAlign w:val="center"/>
          </w:tcPr>
          <w:p w14:paraId="3017C137"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0.21</w:t>
            </w:r>
          </w:p>
        </w:tc>
        <w:tc>
          <w:tcPr>
            <w:tcW w:w="927" w:type="dxa"/>
            <w:shd w:val="clear" w:color="auto" w:fill="auto"/>
            <w:vAlign w:val="center"/>
          </w:tcPr>
          <w:p w14:paraId="1A5C2D54"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0.37</w:t>
            </w:r>
          </w:p>
        </w:tc>
        <w:tc>
          <w:tcPr>
            <w:tcW w:w="927" w:type="dxa"/>
            <w:shd w:val="clear" w:color="auto" w:fill="auto"/>
            <w:vAlign w:val="center"/>
          </w:tcPr>
          <w:p w14:paraId="5D43BAE4"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0.60</w:t>
            </w:r>
          </w:p>
        </w:tc>
        <w:tc>
          <w:tcPr>
            <w:tcW w:w="927" w:type="dxa"/>
            <w:shd w:val="clear" w:color="auto" w:fill="auto"/>
            <w:vAlign w:val="center"/>
          </w:tcPr>
          <w:p w14:paraId="0A65B2B2"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0.57</w:t>
            </w:r>
          </w:p>
        </w:tc>
      </w:tr>
      <w:tr w:rsidR="00BB7AA9" w:rsidRPr="005F44EF" w14:paraId="0312B083" w14:textId="77777777" w:rsidTr="002F40EE">
        <w:trPr>
          <w:trHeight w:val="248"/>
        </w:trPr>
        <w:tc>
          <w:tcPr>
            <w:tcW w:w="927" w:type="dxa"/>
            <w:shd w:val="clear" w:color="auto" w:fill="auto"/>
            <w:vAlign w:val="center"/>
          </w:tcPr>
          <w:p w14:paraId="5B47CB3E"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19</w:t>
            </w:r>
          </w:p>
        </w:tc>
        <w:tc>
          <w:tcPr>
            <w:tcW w:w="927" w:type="dxa"/>
            <w:shd w:val="clear" w:color="auto" w:fill="auto"/>
            <w:vAlign w:val="center"/>
          </w:tcPr>
          <w:p w14:paraId="6C4CF0D9"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1.9</w:t>
            </w:r>
          </w:p>
        </w:tc>
        <w:tc>
          <w:tcPr>
            <w:tcW w:w="927" w:type="dxa"/>
            <w:shd w:val="clear" w:color="auto" w:fill="auto"/>
            <w:vAlign w:val="center"/>
          </w:tcPr>
          <w:p w14:paraId="5EC0A12D"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 22-30</w:t>
            </w:r>
          </w:p>
        </w:tc>
        <w:tc>
          <w:tcPr>
            <w:tcW w:w="927" w:type="dxa"/>
            <w:shd w:val="clear" w:color="auto" w:fill="auto"/>
            <w:vAlign w:val="center"/>
          </w:tcPr>
          <w:p w14:paraId="1EF42E5D"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w:t>
            </w:r>
          </w:p>
        </w:tc>
        <w:tc>
          <w:tcPr>
            <w:tcW w:w="927" w:type="dxa"/>
            <w:shd w:val="clear" w:color="auto" w:fill="auto"/>
            <w:vAlign w:val="center"/>
          </w:tcPr>
          <w:p w14:paraId="18A378A9"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5.4</w:t>
            </w:r>
          </w:p>
        </w:tc>
        <w:tc>
          <w:tcPr>
            <w:tcW w:w="927" w:type="dxa"/>
            <w:shd w:val="clear" w:color="auto" w:fill="auto"/>
            <w:vAlign w:val="center"/>
          </w:tcPr>
          <w:p w14:paraId="52589AD3"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24.1</w:t>
            </w:r>
          </w:p>
        </w:tc>
        <w:tc>
          <w:tcPr>
            <w:tcW w:w="927" w:type="dxa"/>
            <w:shd w:val="clear" w:color="auto" w:fill="auto"/>
            <w:vAlign w:val="center"/>
          </w:tcPr>
          <w:p w14:paraId="2C3869AB"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0.39</w:t>
            </w:r>
          </w:p>
        </w:tc>
        <w:tc>
          <w:tcPr>
            <w:tcW w:w="927" w:type="dxa"/>
            <w:shd w:val="clear" w:color="auto" w:fill="auto"/>
            <w:vAlign w:val="center"/>
          </w:tcPr>
          <w:p w14:paraId="0B3A96DF"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0.57</w:t>
            </w:r>
          </w:p>
        </w:tc>
        <w:tc>
          <w:tcPr>
            <w:tcW w:w="927" w:type="dxa"/>
            <w:shd w:val="clear" w:color="auto" w:fill="auto"/>
            <w:vAlign w:val="center"/>
          </w:tcPr>
          <w:p w14:paraId="61BAA301"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0.86</w:t>
            </w:r>
          </w:p>
        </w:tc>
        <w:tc>
          <w:tcPr>
            <w:tcW w:w="927" w:type="dxa"/>
            <w:shd w:val="clear" w:color="auto" w:fill="auto"/>
            <w:vAlign w:val="center"/>
          </w:tcPr>
          <w:p w14:paraId="500C4DD4"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0.85</w:t>
            </w:r>
          </w:p>
        </w:tc>
      </w:tr>
      <w:tr w:rsidR="00BB7AA9" w:rsidRPr="005F44EF" w14:paraId="29BC921E" w14:textId="77777777" w:rsidTr="002F40EE">
        <w:trPr>
          <w:trHeight w:val="248"/>
        </w:trPr>
        <w:tc>
          <w:tcPr>
            <w:tcW w:w="927" w:type="dxa"/>
            <w:shd w:val="clear" w:color="auto" w:fill="auto"/>
            <w:vAlign w:val="center"/>
          </w:tcPr>
          <w:p w14:paraId="7F0A33AE"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w:t>
            </w:r>
          </w:p>
        </w:tc>
        <w:tc>
          <w:tcPr>
            <w:tcW w:w="927" w:type="dxa"/>
            <w:shd w:val="clear" w:color="auto" w:fill="auto"/>
            <w:vAlign w:val="center"/>
          </w:tcPr>
          <w:p w14:paraId="456D8CDB"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w:t>
            </w:r>
          </w:p>
        </w:tc>
        <w:tc>
          <w:tcPr>
            <w:tcW w:w="927" w:type="dxa"/>
            <w:shd w:val="clear" w:color="auto" w:fill="auto"/>
            <w:vAlign w:val="center"/>
          </w:tcPr>
          <w:p w14:paraId="16C174AB"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 22-32</w:t>
            </w:r>
          </w:p>
        </w:tc>
        <w:tc>
          <w:tcPr>
            <w:tcW w:w="927" w:type="dxa"/>
            <w:shd w:val="clear" w:color="auto" w:fill="auto"/>
            <w:vAlign w:val="center"/>
          </w:tcPr>
          <w:p w14:paraId="16A58610"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w:t>
            </w:r>
          </w:p>
        </w:tc>
        <w:tc>
          <w:tcPr>
            <w:tcW w:w="927" w:type="dxa"/>
            <w:shd w:val="clear" w:color="auto" w:fill="auto"/>
            <w:vAlign w:val="center"/>
          </w:tcPr>
          <w:p w14:paraId="6714C14B"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5.0</w:t>
            </w:r>
          </w:p>
        </w:tc>
        <w:tc>
          <w:tcPr>
            <w:tcW w:w="927" w:type="dxa"/>
            <w:shd w:val="clear" w:color="auto" w:fill="auto"/>
            <w:vAlign w:val="center"/>
          </w:tcPr>
          <w:p w14:paraId="22483DE7"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24.5</w:t>
            </w:r>
          </w:p>
        </w:tc>
        <w:tc>
          <w:tcPr>
            <w:tcW w:w="927" w:type="dxa"/>
            <w:shd w:val="clear" w:color="auto" w:fill="auto"/>
            <w:vAlign w:val="center"/>
          </w:tcPr>
          <w:p w14:paraId="487B90B9"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0.37</w:t>
            </w:r>
          </w:p>
        </w:tc>
        <w:tc>
          <w:tcPr>
            <w:tcW w:w="927" w:type="dxa"/>
            <w:shd w:val="clear" w:color="auto" w:fill="auto"/>
            <w:vAlign w:val="center"/>
          </w:tcPr>
          <w:p w14:paraId="476BDFD3"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0.58</w:t>
            </w:r>
          </w:p>
        </w:tc>
        <w:tc>
          <w:tcPr>
            <w:tcW w:w="927" w:type="dxa"/>
            <w:shd w:val="clear" w:color="auto" w:fill="auto"/>
            <w:vAlign w:val="center"/>
          </w:tcPr>
          <w:p w14:paraId="10767A98"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0.81</w:t>
            </w:r>
          </w:p>
        </w:tc>
        <w:tc>
          <w:tcPr>
            <w:tcW w:w="927" w:type="dxa"/>
            <w:shd w:val="clear" w:color="auto" w:fill="auto"/>
            <w:vAlign w:val="center"/>
          </w:tcPr>
          <w:p w14:paraId="2C49E400"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0.81</w:t>
            </w:r>
          </w:p>
        </w:tc>
      </w:tr>
      <w:tr w:rsidR="00BB7AA9" w:rsidRPr="005F44EF" w14:paraId="252ACAE2" w14:textId="77777777" w:rsidTr="002F40EE">
        <w:trPr>
          <w:trHeight w:val="248"/>
        </w:trPr>
        <w:tc>
          <w:tcPr>
            <w:tcW w:w="927" w:type="dxa"/>
            <w:shd w:val="clear" w:color="auto" w:fill="auto"/>
            <w:vAlign w:val="center"/>
          </w:tcPr>
          <w:p w14:paraId="423E52A1"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22</w:t>
            </w:r>
          </w:p>
        </w:tc>
        <w:tc>
          <w:tcPr>
            <w:tcW w:w="927" w:type="dxa"/>
            <w:shd w:val="clear" w:color="auto" w:fill="auto"/>
            <w:vAlign w:val="center"/>
          </w:tcPr>
          <w:p w14:paraId="6BF4BA22"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w:t>
            </w:r>
          </w:p>
        </w:tc>
        <w:tc>
          <w:tcPr>
            <w:tcW w:w="927" w:type="dxa"/>
            <w:shd w:val="clear" w:color="auto" w:fill="auto"/>
            <w:vAlign w:val="center"/>
          </w:tcPr>
          <w:p w14:paraId="2695ADC7"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 22-30</w:t>
            </w:r>
          </w:p>
        </w:tc>
        <w:tc>
          <w:tcPr>
            <w:tcW w:w="927" w:type="dxa"/>
            <w:shd w:val="clear" w:color="auto" w:fill="auto"/>
            <w:vAlign w:val="center"/>
          </w:tcPr>
          <w:p w14:paraId="573875D8"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w:t>
            </w:r>
          </w:p>
        </w:tc>
        <w:tc>
          <w:tcPr>
            <w:tcW w:w="927" w:type="dxa"/>
            <w:shd w:val="clear" w:color="auto" w:fill="auto"/>
            <w:vAlign w:val="center"/>
          </w:tcPr>
          <w:p w14:paraId="2C0DD568"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4.5</w:t>
            </w:r>
          </w:p>
        </w:tc>
        <w:tc>
          <w:tcPr>
            <w:tcW w:w="927" w:type="dxa"/>
            <w:shd w:val="clear" w:color="auto" w:fill="auto"/>
            <w:vAlign w:val="center"/>
          </w:tcPr>
          <w:p w14:paraId="29C0CCE0"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24.8</w:t>
            </w:r>
          </w:p>
        </w:tc>
        <w:tc>
          <w:tcPr>
            <w:tcW w:w="927" w:type="dxa"/>
            <w:shd w:val="clear" w:color="auto" w:fill="auto"/>
            <w:vAlign w:val="center"/>
          </w:tcPr>
          <w:p w14:paraId="64807BE6"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0.29</w:t>
            </w:r>
          </w:p>
        </w:tc>
        <w:tc>
          <w:tcPr>
            <w:tcW w:w="927" w:type="dxa"/>
            <w:shd w:val="clear" w:color="auto" w:fill="auto"/>
            <w:vAlign w:val="center"/>
          </w:tcPr>
          <w:p w14:paraId="301E0E2F"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0.46</w:t>
            </w:r>
          </w:p>
        </w:tc>
        <w:tc>
          <w:tcPr>
            <w:tcW w:w="927" w:type="dxa"/>
            <w:shd w:val="clear" w:color="auto" w:fill="auto"/>
            <w:vAlign w:val="center"/>
          </w:tcPr>
          <w:p w14:paraId="0C12DC92"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0.70</w:t>
            </w:r>
          </w:p>
        </w:tc>
        <w:tc>
          <w:tcPr>
            <w:tcW w:w="927" w:type="dxa"/>
            <w:shd w:val="clear" w:color="auto" w:fill="auto"/>
            <w:vAlign w:val="center"/>
          </w:tcPr>
          <w:p w14:paraId="4AA4890E"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0.67</w:t>
            </w:r>
          </w:p>
        </w:tc>
      </w:tr>
      <w:tr w:rsidR="00BB7AA9" w:rsidRPr="005F44EF" w14:paraId="274B9879" w14:textId="77777777" w:rsidTr="002F40EE">
        <w:trPr>
          <w:trHeight w:val="248"/>
        </w:trPr>
        <w:tc>
          <w:tcPr>
            <w:tcW w:w="927" w:type="dxa"/>
            <w:shd w:val="clear" w:color="auto" w:fill="auto"/>
            <w:vAlign w:val="center"/>
          </w:tcPr>
          <w:p w14:paraId="75B6100C"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23</w:t>
            </w:r>
          </w:p>
        </w:tc>
        <w:tc>
          <w:tcPr>
            <w:tcW w:w="927" w:type="dxa"/>
            <w:shd w:val="clear" w:color="auto" w:fill="auto"/>
            <w:vAlign w:val="center"/>
          </w:tcPr>
          <w:p w14:paraId="6492954B"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w:t>
            </w:r>
          </w:p>
        </w:tc>
        <w:tc>
          <w:tcPr>
            <w:tcW w:w="927" w:type="dxa"/>
            <w:shd w:val="clear" w:color="auto" w:fill="auto"/>
            <w:vAlign w:val="center"/>
          </w:tcPr>
          <w:p w14:paraId="66763EAD"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20-32</w:t>
            </w:r>
          </w:p>
        </w:tc>
        <w:tc>
          <w:tcPr>
            <w:tcW w:w="927" w:type="dxa"/>
            <w:shd w:val="clear" w:color="auto" w:fill="auto"/>
            <w:vAlign w:val="center"/>
          </w:tcPr>
          <w:p w14:paraId="614F6A48"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22</w:t>
            </w:r>
          </w:p>
        </w:tc>
        <w:tc>
          <w:tcPr>
            <w:tcW w:w="927" w:type="dxa"/>
            <w:shd w:val="clear" w:color="auto" w:fill="auto"/>
            <w:vAlign w:val="center"/>
          </w:tcPr>
          <w:p w14:paraId="3EAD3A87"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3.1</w:t>
            </w:r>
          </w:p>
        </w:tc>
        <w:tc>
          <w:tcPr>
            <w:tcW w:w="927" w:type="dxa"/>
            <w:shd w:val="clear" w:color="auto" w:fill="auto"/>
            <w:vAlign w:val="center"/>
          </w:tcPr>
          <w:p w14:paraId="16AB15E0"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25.1</w:t>
            </w:r>
          </w:p>
        </w:tc>
        <w:tc>
          <w:tcPr>
            <w:tcW w:w="927" w:type="dxa"/>
            <w:shd w:val="clear" w:color="auto" w:fill="auto"/>
            <w:vAlign w:val="center"/>
          </w:tcPr>
          <w:p w14:paraId="3C72FB22"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0.19</w:t>
            </w:r>
          </w:p>
        </w:tc>
        <w:tc>
          <w:tcPr>
            <w:tcW w:w="927" w:type="dxa"/>
            <w:shd w:val="clear" w:color="auto" w:fill="auto"/>
            <w:vAlign w:val="center"/>
          </w:tcPr>
          <w:p w14:paraId="22190924"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0.36</w:t>
            </w:r>
          </w:p>
        </w:tc>
        <w:tc>
          <w:tcPr>
            <w:tcW w:w="927" w:type="dxa"/>
            <w:shd w:val="clear" w:color="auto" w:fill="auto"/>
            <w:vAlign w:val="center"/>
          </w:tcPr>
          <w:p w14:paraId="35806FFD"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0.63</w:t>
            </w:r>
          </w:p>
        </w:tc>
        <w:tc>
          <w:tcPr>
            <w:tcW w:w="927" w:type="dxa"/>
            <w:shd w:val="clear" w:color="auto" w:fill="auto"/>
            <w:vAlign w:val="center"/>
          </w:tcPr>
          <w:p w14:paraId="1B550272"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0.59</w:t>
            </w:r>
          </w:p>
        </w:tc>
      </w:tr>
      <w:tr w:rsidR="00BB7AA9" w:rsidRPr="005F44EF" w14:paraId="54958BE5" w14:textId="77777777" w:rsidTr="002F40EE">
        <w:trPr>
          <w:trHeight w:val="248"/>
        </w:trPr>
        <w:tc>
          <w:tcPr>
            <w:tcW w:w="927" w:type="dxa"/>
            <w:shd w:val="clear" w:color="auto" w:fill="auto"/>
            <w:vAlign w:val="center"/>
          </w:tcPr>
          <w:p w14:paraId="1A251142"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w:t>
            </w:r>
          </w:p>
        </w:tc>
        <w:tc>
          <w:tcPr>
            <w:tcW w:w="927" w:type="dxa"/>
            <w:shd w:val="clear" w:color="auto" w:fill="auto"/>
            <w:vAlign w:val="center"/>
          </w:tcPr>
          <w:p w14:paraId="1B13C667"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2.8</w:t>
            </w:r>
          </w:p>
        </w:tc>
        <w:tc>
          <w:tcPr>
            <w:tcW w:w="927" w:type="dxa"/>
            <w:shd w:val="clear" w:color="auto" w:fill="auto"/>
            <w:vAlign w:val="center"/>
          </w:tcPr>
          <w:p w14:paraId="60AF2473"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20-32</w:t>
            </w:r>
          </w:p>
        </w:tc>
        <w:tc>
          <w:tcPr>
            <w:tcW w:w="927" w:type="dxa"/>
            <w:shd w:val="clear" w:color="auto" w:fill="auto"/>
            <w:vAlign w:val="center"/>
          </w:tcPr>
          <w:p w14:paraId="3A16311C"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22</w:t>
            </w:r>
          </w:p>
        </w:tc>
        <w:tc>
          <w:tcPr>
            <w:tcW w:w="927" w:type="dxa"/>
            <w:shd w:val="clear" w:color="auto" w:fill="auto"/>
            <w:vAlign w:val="center"/>
          </w:tcPr>
          <w:p w14:paraId="0066D724"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3.7</w:t>
            </w:r>
          </w:p>
        </w:tc>
        <w:tc>
          <w:tcPr>
            <w:tcW w:w="927" w:type="dxa"/>
            <w:shd w:val="clear" w:color="auto" w:fill="auto"/>
            <w:vAlign w:val="center"/>
          </w:tcPr>
          <w:p w14:paraId="04583D00"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25.0</w:t>
            </w:r>
          </w:p>
        </w:tc>
        <w:tc>
          <w:tcPr>
            <w:tcW w:w="927" w:type="dxa"/>
            <w:shd w:val="clear" w:color="auto" w:fill="auto"/>
            <w:vAlign w:val="center"/>
          </w:tcPr>
          <w:p w14:paraId="4828CFF7"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0.16</w:t>
            </w:r>
          </w:p>
        </w:tc>
        <w:tc>
          <w:tcPr>
            <w:tcW w:w="927" w:type="dxa"/>
            <w:shd w:val="clear" w:color="auto" w:fill="auto"/>
            <w:vAlign w:val="center"/>
          </w:tcPr>
          <w:p w14:paraId="60BF09F6"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0.29</w:t>
            </w:r>
          </w:p>
        </w:tc>
        <w:tc>
          <w:tcPr>
            <w:tcW w:w="927" w:type="dxa"/>
            <w:shd w:val="clear" w:color="auto" w:fill="auto"/>
            <w:vAlign w:val="center"/>
          </w:tcPr>
          <w:p w14:paraId="1BEE0427"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0.64</w:t>
            </w:r>
          </w:p>
        </w:tc>
        <w:tc>
          <w:tcPr>
            <w:tcW w:w="927" w:type="dxa"/>
            <w:shd w:val="clear" w:color="auto" w:fill="auto"/>
            <w:vAlign w:val="center"/>
          </w:tcPr>
          <w:p w14:paraId="15220138"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0.55</w:t>
            </w:r>
          </w:p>
        </w:tc>
      </w:tr>
      <w:tr w:rsidR="00BB7AA9" w:rsidRPr="005F44EF" w14:paraId="3174E762" w14:textId="77777777" w:rsidTr="002F40EE">
        <w:trPr>
          <w:trHeight w:val="248"/>
        </w:trPr>
        <w:tc>
          <w:tcPr>
            <w:tcW w:w="927" w:type="dxa"/>
            <w:shd w:val="clear" w:color="auto" w:fill="auto"/>
            <w:vAlign w:val="center"/>
          </w:tcPr>
          <w:p w14:paraId="0824C622"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w:t>
            </w:r>
          </w:p>
        </w:tc>
        <w:tc>
          <w:tcPr>
            <w:tcW w:w="927" w:type="dxa"/>
            <w:shd w:val="clear" w:color="auto" w:fill="auto"/>
            <w:vAlign w:val="center"/>
          </w:tcPr>
          <w:p w14:paraId="05D1B616"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w:t>
            </w:r>
          </w:p>
        </w:tc>
        <w:tc>
          <w:tcPr>
            <w:tcW w:w="927" w:type="dxa"/>
            <w:shd w:val="clear" w:color="auto" w:fill="auto"/>
            <w:vAlign w:val="center"/>
          </w:tcPr>
          <w:p w14:paraId="59431227"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 22-30, 32</w:t>
            </w:r>
          </w:p>
        </w:tc>
        <w:tc>
          <w:tcPr>
            <w:tcW w:w="927" w:type="dxa"/>
            <w:shd w:val="clear" w:color="auto" w:fill="auto"/>
            <w:vAlign w:val="center"/>
          </w:tcPr>
          <w:p w14:paraId="7D1C49CA"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w:t>
            </w:r>
          </w:p>
        </w:tc>
        <w:tc>
          <w:tcPr>
            <w:tcW w:w="927" w:type="dxa"/>
            <w:shd w:val="clear" w:color="auto" w:fill="auto"/>
            <w:vAlign w:val="center"/>
          </w:tcPr>
          <w:p w14:paraId="4147D29A"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7.5</w:t>
            </w:r>
          </w:p>
        </w:tc>
        <w:tc>
          <w:tcPr>
            <w:tcW w:w="927" w:type="dxa"/>
            <w:shd w:val="clear" w:color="auto" w:fill="auto"/>
            <w:vAlign w:val="center"/>
          </w:tcPr>
          <w:p w14:paraId="7B674079"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24.4</w:t>
            </w:r>
          </w:p>
        </w:tc>
        <w:tc>
          <w:tcPr>
            <w:tcW w:w="927" w:type="dxa"/>
            <w:shd w:val="clear" w:color="auto" w:fill="auto"/>
            <w:vAlign w:val="center"/>
          </w:tcPr>
          <w:p w14:paraId="43215CB1"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0.31</w:t>
            </w:r>
          </w:p>
        </w:tc>
        <w:tc>
          <w:tcPr>
            <w:tcW w:w="927" w:type="dxa"/>
            <w:shd w:val="clear" w:color="auto" w:fill="auto"/>
            <w:vAlign w:val="center"/>
          </w:tcPr>
          <w:p w14:paraId="71EDBA27"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0.53</w:t>
            </w:r>
          </w:p>
        </w:tc>
        <w:tc>
          <w:tcPr>
            <w:tcW w:w="927" w:type="dxa"/>
            <w:shd w:val="clear" w:color="auto" w:fill="auto"/>
            <w:vAlign w:val="center"/>
          </w:tcPr>
          <w:p w14:paraId="480B71CA"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0.78</w:t>
            </w:r>
          </w:p>
        </w:tc>
        <w:tc>
          <w:tcPr>
            <w:tcW w:w="927" w:type="dxa"/>
            <w:shd w:val="clear" w:color="auto" w:fill="auto"/>
            <w:vAlign w:val="center"/>
          </w:tcPr>
          <w:p w14:paraId="7A192387"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0.78</w:t>
            </w:r>
          </w:p>
        </w:tc>
      </w:tr>
      <w:tr w:rsidR="00BB7AA9" w:rsidRPr="005F44EF" w14:paraId="76F41243" w14:textId="77777777" w:rsidTr="002F40EE">
        <w:trPr>
          <w:trHeight w:val="248"/>
        </w:trPr>
        <w:tc>
          <w:tcPr>
            <w:tcW w:w="927" w:type="dxa"/>
            <w:shd w:val="clear" w:color="auto" w:fill="auto"/>
            <w:vAlign w:val="center"/>
          </w:tcPr>
          <w:p w14:paraId="6CDD5F75"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w:t>
            </w:r>
          </w:p>
        </w:tc>
        <w:tc>
          <w:tcPr>
            <w:tcW w:w="927" w:type="dxa"/>
            <w:shd w:val="clear" w:color="auto" w:fill="auto"/>
            <w:vAlign w:val="center"/>
          </w:tcPr>
          <w:p w14:paraId="03A408F0"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3.4</w:t>
            </w:r>
          </w:p>
        </w:tc>
        <w:tc>
          <w:tcPr>
            <w:tcW w:w="927" w:type="dxa"/>
            <w:shd w:val="clear" w:color="auto" w:fill="auto"/>
            <w:vAlign w:val="center"/>
          </w:tcPr>
          <w:p w14:paraId="46F7955C"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20-31</w:t>
            </w:r>
          </w:p>
        </w:tc>
        <w:tc>
          <w:tcPr>
            <w:tcW w:w="927" w:type="dxa"/>
            <w:shd w:val="clear" w:color="auto" w:fill="auto"/>
            <w:vAlign w:val="center"/>
          </w:tcPr>
          <w:p w14:paraId="2329D0C7"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22</w:t>
            </w:r>
          </w:p>
        </w:tc>
        <w:tc>
          <w:tcPr>
            <w:tcW w:w="927" w:type="dxa"/>
            <w:shd w:val="clear" w:color="auto" w:fill="auto"/>
            <w:vAlign w:val="center"/>
          </w:tcPr>
          <w:p w14:paraId="163B1A6B"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3.8</w:t>
            </w:r>
          </w:p>
        </w:tc>
        <w:tc>
          <w:tcPr>
            <w:tcW w:w="927" w:type="dxa"/>
            <w:shd w:val="clear" w:color="auto" w:fill="auto"/>
            <w:vAlign w:val="center"/>
          </w:tcPr>
          <w:p w14:paraId="74713038"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23.9</w:t>
            </w:r>
          </w:p>
        </w:tc>
        <w:tc>
          <w:tcPr>
            <w:tcW w:w="927" w:type="dxa"/>
            <w:shd w:val="clear" w:color="auto" w:fill="auto"/>
            <w:vAlign w:val="center"/>
          </w:tcPr>
          <w:p w14:paraId="3553BAC6"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0.16</w:t>
            </w:r>
          </w:p>
        </w:tc>
        <w:tc>
          <w:tcPr>
            <w:tcW w:w="927" w:type="dxa"/>
            <w:shd w:val="clear" w:color="auto" w:fill="auto"/>
            <w:vAlign w:val="center"/>
          </w:tcPr>
          <w:p w14:paraId="6830FD18"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0.25</w:t>
            </w:r>
          </w:p>
        </w:tc>
        <w:tc>
          <w:tcPr>
            <w:tcW w:w="927" w:type="dxa"/>
            <w:shd w:val="clear" w:color="auto" w:fill="auto"/>
            <w:vAlign w:val="center"/>
          </w:tcPr>
          <w:p w14:paraId="3A6A6047"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0.73</w:t>
            </w:r>
          </w:p>
        </w:tc>
        <w:tc>
          <w:tcPr>
            <w:tcW w:w="927" w:type="dxa"/>
            <w:shd w:val="clear" w:color="auto" w:fill="auto"/>
            <w:vAlign w:val="center"/>
          </w:tcPr>
          <w:p w14:paraId="1DFC667A"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0.56</w:t>
            </w:r>
          </w:p>
        </w:tc>
      </w:tr>
      <w:tr w:rsidR="00BB7AA9" w:rsidRPr="005F44EF" w14:paraId="465E933D" w14:textId="77777777" w:rsidTr="002F40EE">
        <w:trPr>
          <w:trHeight w:val="248"/>
        </w:trPr>
        <w:tc>
          <w:tcPr>
            <w:tcW w:w="927" w:type="dxa"/>
            <w:shd w:val="clear" w:color="auto" w:fill="auto"/>
            <w:vAlign w:val="center"/>
          </w:tcPr>
          <w:p w14:paraId="0C6D7A2C"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28</w:t>
            </w:r>
          </w:p>
        </w:tc>
        <w:tc>
          <w:tcPr>
            <w:tcW w:w="927" w:type="dxa"/>
            <w:shd w:val="clear" w:color="auto" w:fill="auto"/>
            <w:vAlign w:val="center"/>
          </w:tcPr>
          <w:p w14:paraId="5EF497C4"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3.6</w:t>
            </w:r>
          </w:p>
        </w:tc>
        <w:tc>
          <w:tcPr>
            <w:tcW w:w="927" w:type="dxa"/>
            <w:shd w:val="clear" w:color="auto" w:fill="auto"/>
            <w:vAlign w:val="center"/>
          </w:tcPr>
          <w:p w14:paraId="686F135E"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20-32</w:t>
            </w:r>
          </w:p>
        </w:tc>
        <w:tc>
          <w:tcPr>
            <w:tcW w:w="927" w:type="dxa"/>
            <w:shd w:val="clear" w:color="auto" w:fill="auto"/>
            <w:vAlign w:val="center"/>
          </w:tcPr>
          <w:p w14:paraId="0846DCD6"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w:t>
            </w:r>
          </w:p>
        </w:tc>
        <w:tc>
          <w:tcPr>
            <w:tcW w:w="927" w:type="dxa"/>
            <w:shd w:val="clear" w:color="auto" w:fill="auto"/>
            <w:vAlign w:val="center"/>
          </w:tcPr>
          <w:p w14:paraId="2192AF7F"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1.8</w:t>
            </w:r>
          </w:p>
        </w:tc>
        <w:tc>
          <w:tcPr>
            <w:tcW w:w="927" w:type="dxa"/>
            <w:shd w:val="clear" w:color="auto" w:fill="auto"/>
            <w:vAlign w:val="center"/>
          </w:tcPr>
          <w:p w14:paraId="136365FE"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25.8</w:t>
            </w:r>
          </w:p>
        </w:tc>
        <w:tc>
          <w:tcPr>
            <w:tcW w:w="927" w:type="dxa"/>
            <w:shd w:val="clear" w:color="auto" w:fill="auto"/>
            <w:vAlign w:val="center"/>
          </w:tcPr>
          <w:p w14:paraId="674C865B"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0.24</w:t>
            </w:r>
          </w:p>
        </w:tc>
        <w:tc>
          <w:tcPr>
            <w:tcW w:w="927" w:type="dxa"/>
            <w:shd w:val="clear" w:color="auto" w:fill="auto"/>
            <w:vAlign w:val="center"/>
          </w:tcPr>
          <w:p w14:paraId="7DCB3D07"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0.44</w:t>
            </w:r>
          </w:p>
        </w:tc>
        <w:tc>
          <w:tcPr>
            <w:tcW w:w="927" w:type="dxa"/>
            <w:shd w:val="clear" w:color="auto" w:fill="auto"/>
            <w:vAlign w:val="center"/>
          </w:tcPr>
          <w:p w14:paraId="78F12BED"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0.70</w:t>
            </w:r>
          </w:p>
        </w:tc>
        <w:tc>
          <w:tcPr>
            <w:tcW w:w="927" w:type="dxa"/>
            <w:shd w:val="clear" w:color="auto" w:fill="auto"/>
            <w:vAlign w:val="center"/>
          </w:tcPr>
          <w:p w14:paraId="572F2300"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0.69</w:t>
            </w:r>
          </w:p>
        </w:tc>
      </w:tr>
      <w:tr w:rsidR="00BB7AA9" w:rsidRPr="005F44EF" w14:paraId="3D2011AE" w14:textId="77777777" w:rsidTr="002F40EE">
        <w:trPr>
          <w:trHeight w:val="248"/>
        </w:trPr>
        <w:tc>
          <w:tcPr>
            <w:tcW w:w="927" w:type="dxa"/>
            <w:shd w:val="clear" w:color="auto" w:fill="auto"/>
            <w:vAlign w:val="center"/>
          </w:tcPr>
          <w:p w14:paraId="354355A4"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29</w:t>
            </w:r>
          </w:p>
        </w:tc>
        <w:tc>
          <w:tcPr>
            <w:tcW w:w="927" w:type="dxa"/>
            <w:shd w:val="clear" w:color="auto" w:fill="auto"/>
            <w:vAlign w:val="center"/>
          </w:tcPr>
          <w:p w14:paraId="73393D2E"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3.8</w:t>
            </w:r>
          </w:p>
        </w:tc>
        <w:tc>
          <w:tcPr>
            <w:tcW w:w="927" w:type="dxa"/>
            <w:shd w:val="clear" w:color="auto" w:fill="auto"/>
            <w:vAlign w:val="center"/>
          </w:tcPr>
          <w:p w14:paraId="75ED0E49"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20-26, 28-30, 32</w:t>
            </w:r>
          </w:p>
        </w:tc>
        <w:tc>
          <w:tcPr>
            <w:tcW w:w="927" w:type="dxa"/>
            <w:shd w:val="clear" w:color="auto" w:fill="auto"/>
            <w:vAlign w:val="center"/>
          </w:tcPr>
          <w:p w14:paraId="2249FB09"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22</w:t>
            </w:r>
          </w:p>
        </w:tc>
        <w:tc>
          <w:tcPr>
            <w:tcW w:w="927" w:type="dxa"/>
            <w:shd w:val="clear" w:color="auto" w:fill="auto"/>
            <w:vAlign w:val="center"/>
          </w:tcPr>
          <w:p w14:paraId="0B304D22"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4.6</w:t>
            </w:r>
          </w:p>
        </w:tc>
        <w:tc>
          <w:tcPr>
            <w:tcW w:w="927" w:type="dxa"/>
            <w:shd w:val="clear" w:color="auto" w:fill="auto"/>
            <w:vAlign w:val="center"/>
          </w:tcPr>
          <w:p w14:paraId="570BC20E"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24.3</w:t>
            </w:r>
          </w:p>
        </w:tc>
        <w:tc>
          <w:tcPr>
            <w:tcW w:w="927" w:type="dxa"/>
            <w:shd w:val="clear" w:color="auto" w:fill="auto"/>
            <w:vAlign w:val="center"/>
          </w:tcPr>
          <w:p w14:paraId="79206F78"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0.15</w:t>
            </w:r>
          </w:p>
        </w:tc>
        <w:tc>
          <w:tcPr>
            <w:tcW w:w="927" w:type="dxa"/>
            <w:shd w:val="clear" w:color="auto" w:fill="auto"/>
            <w:vAlign w:val="center"/>
          </w:tcPr>
          <w:p w14:paraId="6C614D5F"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0.26</w:t>
            </w:r>
          </w:p>
        </w:tc>
        <w:tc>
          <w:tcPr>
            <w:tcW w:w="927" w:type="dxa"/>
            <w:shd w:val="clear" w:color="auto" w:fill="auto"/>
            <w:vAlign w:val="center"/>
          </w:tcPr>
          <w:p w14:paraId="6BE21C3C"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0.68</w:t>
            </w:r>
          </w:p>
        </w:tc>
        <w:tc>
          <w:tcPr>
            <w:tcW w:w="927" w:type="dxa"/>
            <w:shd w:val="clear" w:color="auto" w:fill="auto"/>
            <w:vAlign w:val="center"/>
          </w:tcPr>
          <w:p w14:paraId="5C622B32"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0.58</w:t>
            </w:r>
          </w:p>
        </w:tc>
      </w:tr>
      <w:tr w:rsidR="00BB7AA9" w:rsidRPr="005F44EF" w14:paraId="7DCE9E84" w14:textId="77777777" w:rsidTr="002F40EE">
        <w:trPr>
          <w:trHeight w:val="248"/>
        </w:trPr>
        <w:tc>
          <w:tcPr>
            <w:tcW w:w="927" w:type="dxa"/>
            <w:shd w:val="clear" w:color="auto" w:fill="auto"/>
            <w:vAlign w:val="center"/>
          </w:tcPr>
          <w:p w14:paraId="12530500"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30</w:t>
            </w:r>
          </w:p>
        </w:tc>
        <w:tc>
          <w:tcPr>
            <w:tcW w:w="927" w:type="dxa"/>
            <w:shd w:val="clear" w:color="auto" w:fill="auto"/>
            <w:vAlign w:val="center"/>
          </w:tcPr>
          <w:p w14:paraId="15F37ABD"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4</w:t>
            </w:r>
          </w:p>
        </w:tc>
        <w:tc>
          <w:tcPr>
            <w:tcW w:w="927" w:type="dxa"/>
            <w:shd w:val="clear" w:color="auto" w:fill="auto"/>
            <w:vAlign w:val="center"/>
          </w:tcPr>
          <w:p w14:paraId="38B85ECE"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20-34</w:t>
            </w:r>
          </w:p>
        </w:tc>
        <w:tc>
          <w:tcPr>
            <w:tcW w:w="927" w:type="dxa"/>
            <w:shd w:val="clear" w:color="auto" w:fill="auto"/>
            <w:vAlign w:val="center"/>
          </w:tcPr>
          <w:p w14:paraId="1419DCE1"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w:t>
            </w:r>
          </w:p>
        </w:tc>
        <w:tc>
          <w:tcPr>
            <w:tcW w:w="927" w:type="dxa"/>
            <w:shd w:val="clear" w:color="auto" w:fill="auto"/>
            <w:vAlign w:val="center"/>
          </w:tcPr>
          <w:p w14:paraId="3F3B67A0"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3.8</w:t>
            </w:r>
          </w:p>
        </w:tc>
        <w:tc>
          <w:tcPr>
            <w:tcW w:w="927" w:type="dxa"/>
            <w:shd w:val="clear" w:color="auto" w:fill="auto"/>
            <w:vAlign w:val="center"/>
          </w:tcPr>
          <w:p w14:paraId="65032E54"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25.6</w:t>
            </w:r>
          </w:p>
        </w:tc>
        <w:tc>
          <w:tcPr>
            <w:tcW w:w="927" w:type="dxa"/>
            <w:shd w:val="clear" w:color="auto" w:fill="auto"/>
            <w:vAlign w:val="center"/>
          </w:tcPr>
          <w:p w14:paraId="4615381D"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0.17</w:t>
            </w:r>
          </w:p>
        </w:tc>
        <w:tc>
          <w:tcPr>
            <w:tcW w:w="927" w:type="dxa"/>
            <w:shd w:val="clear" w:color="auto" w:fill="auto"/>
            <w:vAlign w:val="center"/>
          </w:tcPr>
          <w:p w14:paraId="37168415"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0.29</w:t>
            </w:r>
          </w:p>
        </w:tc>
        <w:tc>
          <w:tcPr>
            <w:tcW w:w="927" w:type="dxa"/>
            <w:shd w:val="clear" w:color="auto" w:fill="auto"/>
            <w:vAlign w:val="center"/>
          </w:tcPr>
          <w:p w14:paraId="75D5E168"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0.56</w:t>
            </w:r>
          </w:p>
        </w:tc>
        <w:tc>
          <w:tcPr>
            <w:tcW w:w="927" w:type="dxa"/>
            <w:shd w:val="clear" w:color="auto" w:fill="auto"/>
            <w:vAlign w:val="center"/>
          </w:tcPr>
          <w:p w14:paraId="2935536F"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0.48</w:t>
            </w:r>
          </w:p>
        </w:tc>
      </w:tr>
      <w:tr w:rsidR="00BB7AA9" w:rsidRPr="005F44EF" w14:paraId="64299A8C" w14:textId="77777777" w:rsidTr="002F40EE">
        <w:trPr>
          <w:trHeight w:val="248"/>
        </w:trPr>
        <w:tc>
          <w:tcPr>
            <w:tcW w:w="927" w:type="dxa"/>
            <w:shd w:val="clear" w:color="auto" w:fill="auto"/>
            <w:vAlign w:val="center"/>
          </w:tcPr>
          <w:p w14:paraId="7AA41BF2"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31</w:t>
            </w:r>
          </w:p>
        </w:tc>
        <w:tc>
          <w:tcPr>
            <w:tcW w:w="927" w:type="dxa"/>
            <w:shd w:val="clear" w:color="auto" w:fill="auto"/>
            <w:vAlign w:val="center"/>
          </w:tcPr>
          <w:p w14:paraId="04D105A2"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4.2</w:t>
            </w:r>
          </w:p>
        </w:tc>
        <w:tc>
          <w:tcPr>
            <w:tcW w:w="927" w:type="dxa"/>
            <w:shd w:val="clear" w:color="auto" w:fill="auto"/>
            <w:vAlign w:val="center"/>
          </w:tcPr>
          <w:p w14:paraId="61D1CEEC"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20-34</w:t>
            </w:r>
          </w:p>
        </w:tc>
        <w:tc>
          <w:tcPr>
            <w:tcW w:w="927" w:type="dxa"/>
            <w:shd w:val="clear" w:color="auto" w:fill="auto"/>
            <w:vAlign w:val="center"/>
          </w:tcPr>
          <w:p w14:paraId="48FC20FB"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22</w:t>
            </w:r>
          </w:p>
        </w:tc>
        <w:tc>
          <w:tcPr>
            <w:tcW w:w="927" w:type="dxa"/>
            <w:shd w:val="clear" w:color="auto" w:fill="auto"/>
            <w:vAlign w:val="center"/>
          </w:tcPr>
          <w:p w14:paraId="0B8A1095"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4.0</w:t>
            </w:r>
          </w:p>
        </w:tc>
        <w:tc>
          <w:tcPr>
            <w:tcW w:w="927" w:type="dxa"/>
            <w:shd w:val="clear" w:color="auto" w:fill="auto"/>
            <w:vAlign w:val="center"/>
          </w:tcPr>
          <w:p w14:paraId="4AAADDF9"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26.4</w:t>
            </w:r>
          </w:p>
        </w:tc>
        <w:tc>
          <w:tcPr>
            <w:tcW w:w="927" w:type="dxa"/>
            <w:shd w:val="clear" w:color="auto" w:fill="auto"/>
            <w:vAlign w:val="center"/>
          </w:tcPr>
          <w:p w14:paraId="18127BFE"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0.17</w:t>
            </w:r>
          </w:p>
        </w:tc>
        <w:tc>
          <w:tcPr>
            <w:tcW w:w="927" w:type="dxa"/>
            <w:shd w:val="clear" w:color="auto" w:fill="auto"/>
            <w:vAlign w:val="center"/>
          </w:tcPr>
          <w:p w14:paraId="182B6D48"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0.29</w:t>
            </w:r>
          </w:p>
        </w:tc>
        <w:tc>
          <w:tcPr>
            <w:tcW w:w="927" w:type="dxa"/>
            <w:shd w:val="clear" w:color="auto" w:fill="auto"/>
            <w:vAlign w:val="center"/>
          </w:tcPr>
          <w:p w14:paraId="550C2ADD"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0.58</w:t>
            </w:r>
          </w:p>
        </w:tc>
        <w:tc>
          <w:tcPr>
            <w:tcW w:w="927" w:type="dxa"/>
            <w:shd w:val="clear" w:color="auto" w:fill="auto"/>
            <w:vAlign w:val="center"/>
          </w:tcPr>
          <w:p w14:paraId="4ED5339B"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0.53</w:t>
            </w:r>
          </w:p>
        </w:tc>
      </w:tr>
      <w:tr w:rsidR="00BB7AA9" w:rsidRPr="005F44EF" w14:paraId="2B3C847D" w14:textId="77777777" w:rsidTr="002F40EE">
        <w:trPr>
          <w:trHeight w:val="248"/>
        </w:trPr>
        <w:tc>
          <w:tcPr>
            <w:tcW w:w="927" w:type="dxa"/>
            <w:shd w:val="clear" w:color="auto" w:fill="auto"/>
            <w:vAlign w:val="center"/>
          </w:tcPr>
          <w:p w14:paraId="2B1AD383"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32</w:t>
            </w:r>
          </w:p>
        </w:tc>
        <w:tc>
          <w:tcPr>
            <w:tcW w:w="927" w:type="dxa"/>
            <w:shd w:val="clear" w:color="auto" w:fill="auto"/>
            <w:vAlign w:val="center"/>
          </w:tcPr>
          <w:p w14:paraId="3F311C96"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4.4</w:t>
            </w:r>
          </w:p>
        </w:tc>
        <w:tc>
          <w:tcPr>
            <w:tcW w:w="927" w:type="dxa"/>
            <w:shd w:val="clear" w:color="auto" w:fill="auto"/>
            <w:vAlign w:val="center"/>
          </w:tcPr>
          <w:p w14:paraId="5A2271B8"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20-30</w:t>
            </w:r>
          </w:p>
        </w:tc>
        <w:tc>
          <w:tcPr>
            <w:tcW w:w="927" w:type="dxa"/>
            <w:shd w:val="clear" w:color="auto" w:fill="auto"/>
            <w:vAlign w:val="center"/>
          </w:tcPr>
          <w:p w14:paraId="767187C4"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22</w:t>
            </w:r>
          </w:p>
        </w:tc>
        <w:tc>
          <w:tcPr>
            <w:tcW w:w="927" w:type="dxa"/>
            <w:shd w:val="clear" w:color="auto" w:fill="auto"/>
            <w:vAlign w:val="center"/>
          </w:tcPr>
          <w:p w14:paraId="7C7267EE"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1.6</w:t>
            </w:r>
          </w:p>
        </w:tc>
        <w:tc>
          <w:tcPr>
            <w:tcW w:w="927" w:type="dxa"/>
            <w:shd w:val="clear" w:color="auto" w:fill="auto"/>
            <w:vAlign w:val="center"/>
          </w:tcPr>
          <w:p w14:paraId="4C0A0DDF"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25.4</w:t>
            </w:r>
          </w:p>
        </w:tc>
        <w:tc>
          <w:tcPr>
            <w:tcW w:w="927" w:type="dxa"/>
            <w:shd w:val="clear" w:color="auto" w:fill="auto"/>
            <w:vAlign w:val="center"/>
          </w:tcPr>
          <w:p w14:paraId="38C2F9F5"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0.21</w:t>
            </w:r>
          </w:p>
        </w:tc>
        <w:tc>
          <w:tcPr>
            <w:tcW w:w="927" w:type="dxa"/>
            <w:shd w:val="clear" w:color="auto" w:fill="auto"/>
            <w:vAlign w:val="center"/>
          </w:tcPr>
          <w:p w14:paraId="2AFBEC98"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0.35</w:t>
            </w:r>
          </w:p>
        </w:tc>
        <w:tc>
          <w:tcPr>
            <w:tcW w:w="927" w:type="dxa"/>
            <w:shd w:val="clear" w:color="auto" w:fill="auto"/>
            <w:vAlign w:val="center"/>
          </w:tcPr>
          <w:p w14:paraId="1DB04CBA"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0.67</w:t>
            </w:r>
          </w:p>
        </w:tc>
        <w:tc>
          <w:tcPr>
            <w:tcW w:w="927" w:type="dxa"/>
            <w:shd w:val="clear" w:color="auto" w:fill="auto"/>
            <w:vAlign w:val="center"/>
          </w:tcPr>
          <w:p w14:paraId="0F7C3651"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0.59</w:t>
            </w:r>
          </w:p>
        </w:tc>
      </w:tr>
      <w:tr w:rsidR="00BB7AA9" w:rsidRPr="005F44EF" w14:paraId="2980E9C5" w14:textId="77777777" w:rsidTr="002F40EE">
        <w:trPr>
          <w:trHeight w:val="237"/>
        </w:trPr>
        <w:tc>
          <w:tcPr>
            <w:tcW w:w="927" w:type="dxa"/>
            <w:shd w:val="clear" w:color="auto" w:fill="auto"/>
            <w:vAlign w:val="center"/>
          </w:tcPr>
          <w:p w14:paraId="4BB378B1"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33</w:t>
            </w:r>
          </w:p>
        </w:tc>
        <w:tc>
          <w:tcPr>
            <w:tcW w:w="927" w:type="dxa"/>
            <w:shd w:val="clear" w:color="auto" w:fill="auto"/>
            <w:vAlign w:val="center"/>
          </w:tcPr>
          <w:p w14:paraId="3F29EA81"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4.6</w:t>
            </w:r>
          </w:p>
        </w:tc>
        <w:tc>
          <w:tcPr>
            <w:tcW w:w="927" w:type="dxa"/>
            <w:shd w:val="clear" w:color="auto" w:fill="auto"/>
            <w:vAlign w:val="center"/>
          </w:tcPr>
          <w:p w14:paraId="4616264A"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20-32</w:t>
            </w:r>
          </w:p>
        </w:tc>
        <w:tc>
          <w:tcPr>
            <w:tcW w:w="927" w:type="dxa"/>
            <w:shd w:val="clear" w:color="auto" w:fill="auto"/>
            <w:vAlign w:val="center"/>
          </w:tcPr>
          <w:p w14:paraId="5AC7AD0A"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w:t>
            </w:r>
          </w:p>
        </w:tc>
        <w:tc>
          <w:tcPr>
            <w:tcW w:w="927" w:type="dxa"/>
            <w:shd w:val="clear" w:color="auto" w:fill="auto"/>
            <w:vAlign w:val="center"/>
          </w:tcPr>
          <w:p w14:paraId="39462F67"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2.8</w:t>
            </w:r>
          </w:p>
        </w:tc>
        <w:tc>
          <w:tcPr>
            <w:tcW w:w="927" w:type="dxa"/>
            <w:shd w:val="clear" w:color="auto" w:fill="auto"/>
            <w:vAlign w:val="center"/>
          </w:tcPr>
          <w:p w14:paraId="549542EE"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25.0</w:t>
            </w:r>
          </w:p>
        </w:tc>
        <w:tc>
          <w:tcPr>
            <w:tcW w:w="927" w:type="dxa"/>
            <w:shd w:val="clear" w:color="auto" w:fill="auto"/>
            <w:vAlign w:val="center"/>
          </w:tcPr>
          <w:p w14:paraId="7D358D5B"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0.26</w:t>
            </w:r>
          </w:p>
        </w:tc>
        <w:tc>
          <w:tcPr>
            <w:tcW w:w="927" w:type="dxa"/>
            <w:shd w:val="clear" w:color="auto" w:fill="auto"/>
            <w:vAlign w:val="center"/>
          </w:tcPr>
          <w:p w14:paraId="0A7CE7A7"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0.42</w:t>
            </w:r>
          </w:p>
        </w:tc>
        <w:tc>
          <w:tcPr>
            <w:tcW w:w="927" w:type="dxa"/>
            <w:shd w:val="clear" w:color="auto" w:fill="auto"/>
            <w:vAlign w:val="center"/>
          </w:tcPr>
          <w:p w14:paraId="74CFB46D"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0.68</w:t>
            </w:r>
          </w:p>
        </w:tc>
        <w:tc>
          <w:tcPr>
            <w:tcW w:w="927" w:type="dxa"/>
            <w:shd w:val="clear" w:color="auto" w:fill="auto"/>
            <w:vAlign w:val="center"/>
          </w:tcPr>
          <w:p w14:paraId="5F49B3BB"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0.65</w:t>
            </w:r>
          </w:p>
        </w:tc>
      </w:tr>
      <w:tr w:rsidR="00BB7AA9" w:rsidRPr="005F44EF" w14:paraId="5E1B34A8" w14:textId="77777777" w:rsidTr="002F40EE">
        <w:trPr>
          <w:trHeight w:val="248"/>
        </w:trPr>
        <w:tc>
          <w:tcPr>
            <w:tcW w:w="927" w:type="dxa"/>
            <w:shd w:val="clear" w:color="auto" w:fill="auto"/>
            <w:vAlign w:val="center"/>
          </w:tcPr>
          <w:p w14:paraId="5195066E"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35</w:t>
            </w:r>
          </w:p>
        </w:tc>
        <w:tc>
          <w:tcPr>
            <w:tcW w:w="927" w:type="dxa"/>
            <w:shd w:val="clear" w:color="auto" w:fill="auto"/>
            <w:vAlign w:val="center"/>
          </w:tcPr>
          <w:p w14:paraId="5D2477F6"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5.0</w:t>
            </w:r>
          </w:p>
        </w:tc>
        <w:tc>
          <w:tcPr>
            <w:tcW w:w="927" w:type="dxa"/>
            <w:shd w:val="clear" w:color="auto" w:fill="auto"/>
            <w:vAlign w:val="center"/>
          </w:tcPr>
          <w:p w14:paraId="5B1AF594"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20-32</w:t>
            </w:r>
          </w:p>
        </w:tc>
        <w:tc>
          <w:tcPr>
            <w:tcW w:w="927" w:type="dxa"/>
            <w:shd w:val="clear" w:color="auto" w:fill="auto"/>
            <w:vAlign w:val="center"/>
          </w:tcPr>
          <w:p w14:paraId="344C071B"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22</w:t>
            </w:r>
          </w:p>
        </w:tc>
        <w:tc>
          <w:tcPr>
            <w:tcW w:w="927" w:type="dxa"/>
            <w:shd w:val="clear" w:color="auto" w:fill="auto"/>
            <w:vAlign w:val="center"/>
          </w:tcPr>
          <w:p w14:paraId="63B97691"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w:t>
            </w:r>
          </w:p>
        </w:tc>
        <w:tc>
          <w:tcPr>
            <w:tcW w:w="927" w:type="dxa"/>
            <w:shd w:val="clear" w:color="auto" w:fill="auto"/>
            <w:vAlign w:val="center"/>
          </w:tcPr>
          <w:p w14:paraId="5D0677C2"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24.7</w:t>
            </w:r>
          </w:p>
        </w:tc>
        <w:tc>
          <w:tcPr>
            <w:tcW w:w="927" w:type="dxa"/>
            <w:shd w:val="clear" w:color="auto" w:fill="auto"/>
            <w:vAlign w:val="center"/>
          </w:tcPr>
          <w:p w14:paraId="5C2D3A92"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0.17</w:t>
            </w:r>
          </w:p>
        </w:tc>
        <w:tc>
          <w:tcPr>
            <w:tcW w:w="927" w:type="dxa"/>
            <w:shd w:val="clear" w:color="auto" w:fill="auto"/>
            <w:vAlign w:val="center"/>
          </w:tcPr>
          <w:p w14:paraId="4E2CDEDC"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0.31</w:t>
            </w:r>
          </w:p>
        </w:tc>
        <w:tc>
          <w:tcPr>
            <w:tcW w:w="927" w:type="dxa"/>
            <w:shd w:val="clear" w:color="auto" w:fill="auto"/>
            <w:vAlign w:val="center"/>
          </w:tcPr>
          <w:p w14:paraId="2A6E8660"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0.65</w:t>
            </w:r>
          </w:p>
        </w:tc>
        <w:tc>
          <w:tcPr>
            <w:tcW w:w="927" w:type="dxa"/>
            <w:shd w:val="clear" w:color="auto" w:fill="auto"/>
            <w:vAlign w:val="center"/>
          </w:tcPr>
          <w:p w14:paraId="6D25CC4A"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0.58</w:t>
            </w:r>
          </w:p>
        </w:tc>
      </w:tr>
      <w:tr w:rsidR="00BB7AA9" w:rsidRPr="005F44EF" w14:paraId="1AE1A61A" w14:textId="77777777" w:rsidTr="002F40EE">
        <w:trPr>
          <w:trHeight w:val="248"/>
        </w:trPr>
        <w:tc>
          <w:tcPr>
            <w:tcW w:w="927" w:type="dxa"/>
            <w:shd w:val="clear" w:color="auto" w:fill="auto"/>
            <w:vAlign w:val="center"/>
          </w:tcPr>
          <w:p w14:paraId="54C001F2"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36</w:t>
            </w:r>
          </w:p>
        </w:tc>
        <w:tc>
          <w:tcPr>
            <w:tcW w:w="927" w:type="dxa"/>
            <w:shd w:val="clear" w:color="auto" w:fill="auto"/>
            <w:vAlign w:val="center"/>
          </w:tcPr>
          <w:p w14:paraId="651796D9"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5.2</w:t>
            </w:r>
          </w:p>
        </w:tc>
        <w:tc>
          <w:tcPr>
            <w:tcW w:w="927" w:type="dxa"/>
            <w:shd w:val="clear" w:color="auto" w:fill="auto"/>
            <w:vAlign w:val="center"/>
          </w:tcPr>
          <w:p w14:paraId="5502FF49"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20-32</w:t>
            </w:r>
          </w:p>
        </w:tc>
        <w:tc>
          <w:tcPr>
            <w:tcW w:w="927" w:type="dxa"/>
            <w:shd w:val="clear" w:color="auto" w:fill="auto"/>
            <w:vAlign w:val="center"/>
          </w:tcPr>
          <w:p w14:paraId="6F088868"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w:t>
            </w:r>
          </w:p>
        </w:tc>
        <w:tc>
          <w:tcPr>
            <w:tcW w:w="927" w:type="dxa"/>
            <w:shd w:val="clear" w:color="auto" w:fill="auto"/>
            <w:vAlign w:val="center"/>
          </w:tcPr>
          <w:p w14:paraId="3565E568"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3.3</w:t>
            </w:r>
          </w:p>
        </w:tc>
        <w:tc>
          <w:tcPr>
            <w:tcW w:w="927" w:type="dxa"/>
            <w:shd w:val="clear" w:color="auto" w:fill="auto"/>
            <w:vAlign w:val="center"/>
          </w:tcPr>
          <w:p w14:paraId="211EA8B7"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24.6</w:t>
            </w:r>
          </w:p>
        </w:tc>
        <w:tc>
          <w:tcPr>
            <w:tcW w:w="927" w:type="dxa"/>
            <w:shd w:val="clear" w:color="auto" w:fill="auto"/>
            <w:vAlign w:val="center"/>
          </w:tcPr>
          <w:p w14:paraId="303B3778"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0.27</w:t>
            </w:r>
          </w:p>
        </w:tc>
        <w:tc>
          <w:tcPr>
            <w:tcW w:w="927" w:type="dxa"/>
            <w:shd w:val="clear" w:color="auto" w:fill="auto"/>
            <w:vAlign w:val="center"/>
          </w:tcPr>
          <w:p w14:paraId="6ACBB8E7"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0.44</w:t>
            </w:r>
          </w:p>
        </w:tc>
        <w:tc>
          <w:tcPr>
            <w:tcW w:w="927" w:type="dxa"/>
            <w:shd w:val="clear" w:color="auto" w:fill="auto"/>
            <w:vAlign w:val="center"/>
          </w:tcPr>
          <w:p w14:paraId="24816C9B"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0.71</w:t>
            </w:r>
          </w:p>
        </w:tc>
        <w:tc>
          <w:tcPr>
            <w:tcW w:w="927" w:type="dxa"/>
            <w:shd w:val="clear" w:color="auto" w:fill="auto"/>
            <w:vAlign w:val="center"/>
          </w:tcPr>
          <w:p w14:paraId="1430455C" w14:textId="77777777" w:rsidR="00BB7AA9" w:rsidRPr="005F44EF" w:rsidRDefault="00B9564D" w:rsidP="00B166FC">
            <w:pPr>
              <w:spacing w:after="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0.69</w:t>
            </w:r>
          </w:p>
        </w:tc>
      </w:tr>
    </w:tbl>
    <w:p w14:paraId="4C31BC7D" w14:textId="77777777" w:rsidR="00CD6CCC" w:rsidRPr="005F44EF" w:rsidRDefault="00CD6CCC" w:rsidP="00CD6CCC">
      <w:pPr>
        <w:spacing w:after="0" w:line="276" w:lineRule="auto"/>
        <w:jc w:val="both"/>
        <w:rPr>
          <w:rFonts w:ascii="Times New Roman" w:eastAsia="Times New Roman" w:hAnsi="Times New Roman" w:cs="Times New Roman"/>
          <w:sz w:val="20"/>
          <w:szCs w:val="20"/>
          <w:lang w:val="de-DE"/>
        </w:rPr>
      </w:pPr>
      <w:r w:rsidRPr="005F44EF">
        <w:rPr>
          <w:rFonts w:ascii="Times New Roman" w:eastAsia="Times New Roman" w:hAnsi="Times New Roman" w:cs="Times New Roman"/>
          <w:sz w:val="20"/>
          <w:szCs w:val="20"/>
          <w:lang w:val="de-DE"/>
        </w:rPr>
        <w:t>STR</w:t>
      </w:r>
      <w:r w:rsidRPr="005F44EF">
        <w:rPr>
          <w:rFonts w:ascii="Times New Roman" w:eastAsia="Times New Roman" w:hAnsi="Times New Roman" w:cs="Times New Roman"/>
          <w:sz w:val="20"/>
          <w:szCs w:val="20"/>
          <w:vertAlign w:val="subscript"/>
          <w:lang w:val="de-DE"/>
        </w:rPr>
        <w:t>24</w:t>
      </w:r>
      <w:r w:rsidRPr="005F44EF">
        <w:rPr>
          <w:rFonts w:ascii="Times New Roman" w:eastAsia="Times New Roman" w:hAnsi="Times New Roman" w:cs="Times New Roman"/>
          <w:sz w:val="20"/>
          <w:szCs w:val="20"/>
          <w:lang w:val="de-DE"/>
        </w:rPr>
        <w:t>: C</w:t>
      </w:r>
      <w:r w:rsidRPr="005F44EF">
        <w:rPr>
          <w:rFonts w:ascii="Times New Roman" w:eastAsia="Times New Roman" w:hAnsi="Times New Roman" w:cs="Times New Roman"/>
          <w:sz w:val="20"/>
          <w:szCs w:val="20"/>
          <w:vertAlign w:val="subscript"/>
          <w:lang w:val="de-DE"/>
        </w:rPr>
        <w:t>24</w:t>
      </w:r>
      <w:proofErr w:type="gramStart"/>
      <w:r w:rsidRPr="005F44EF">
        <w:rPr>
          <w:rFonts w:ascii="Times New Roman" w:eastAsia="Times New Roman" w:hAnsi="Times New Roman" w:cs="Times New Roman"/>
          <w:sz w:val="20"/>
          <w:szCs w:val="20"/>
          <w:lang w:val="de-DE"/>
        </w:rPr>
        <w:t>/(</w:t>
      </w:r>
      <w:proofErr w:type="gramEnd"/>
      <w:r w:rsidRPr="005F44EF">
        <w:rPr>
          <w:rFonts w:ascii="Times New Roman" w:eastAsia="Times New Roman" w:hAnsi="Times New Roman" w:cs="Times New Roman"/>
          <w:sz w:val="20"/>
          <w:szCs w:val="20"/>
          <w:lang w:val="de-DE"/>
        </w:rPr>
        <w:t>C</w:t>
      </w:r>
      <w:r w:rsidRPr="005F44EF">
        <w:rPr>
          <w:rFonts w:ascii="Times New Roman" w:eastAsia="Times New Roman" w:hAnsi="Times New Roman" w:cs="Times New Roman"/>
          <w:sz w:val="20"/>
          <w:szCs w:val="20"/>
          <w:vertAlign w:val="subscript"/>
          <w:lang w:val="de-DE"/>
        </w:rPr>
        <w:t>20</w:t>
      </w:r>
      <w:r w:rsidRPr="005F44EF">
        <w:rPr>
          <w:rFonts w:ascii="Times New Roman" w:eastAsia="Times New Roman" w:hAnsi="Times New Roman" w:cs="Times New Roman"/>
          <w:sz w:val="20"/>
          <w:szCs w:val="20"/>
          <w:lang w:val="de-DE"/>
        </w:rPr>
        <w:t>+C</w:t>
      </w:r>
      <w:r w:rsidRPr="005F44EF">
        <w:rPr>
          <w:rFonts w:ascii="Times New Roman" w:eastAsia="Times New Roman" w:hAnsi="Times New Roman" w:cs="Times New Roman"/>
          <w:sz w:val="20"/>
          <w:szCs w:val="20"/>
          <w:vertAlign w:val="subscript"/>
          <w:lang w:val="de-DE"/>
        </w:rPr>
        <w:t>22</w:t>
      </w:r>
      <w:r w:rsidRPr="005F44EF">
        <w:rPr>
          <w:rFonts w:ascii="Times New Roman" w:eastAsia="Times New Roman" w:hAnsi="Times New Roman" w:cs="Times New Roman"/>
          <w:sz w:val="20"/>
          <w:szCs w:val="20"/>
          <w:lang w:val="de-DE"/>
        </w:rPr>
        <w:t>+…+C</w:t>
      </w:r>
      <w:r w:rsidRPr="005F44EF">
        <w:rPr>
          <w:rFonts w:ascii="Times New Roman" w:eastAsia="Times New Roman" w:hAnsi="Times New Roman" w:cs="Times New Roman"/>
          <w:sz w:val="20"/>
          <w:szCs w:val="20"/>
          <w:vertAlign w:val="subscript"/>
          <w:lang w:val="de-DE"/>
        </w:rPr>
        <w:t>32</w:t>
      </w:r>
      <w:r w:rsidRPr="005F44EF">
        <w:rPr>
          <w:rFonts w:ascii="Times New Roman" w:eastAsia="Times New Roman" w:hAnsi="Times New Roman" w:cs="Times New Roman"/>
          <w:sz w:val="20"/>
          <w:szCs w:val="20"/>
          <w:lang w:val="de-DE"/>
        </w:rPr>
        <w:t>+C</w:t>
      </w:r>
      <w:r w:rsidRPr="005F44EF">
        <w:rPr>
          <w:rFonts w:ascii="Times New Roman" w:eastAsia="Times New Roman" w:hAnsi="Times New Roman" w:cs="Times New Roman"/>
          <w:sz w:val="20"/>
          <w:szCs w:val="20"/>
          <w:vertAlign w:val="subscript"/>
          <w:lang w:val="de-DE"/>
        </w:rPr>
        <w:t>34</w:t>
      </w:r>
      <w:r w:rsidRPr="005F44EF">
        <w:rPr>
          <w:rFonts w:ascii="Times New Roman" w:eastAsia="Times New Roman" w:hAnsi="Times New Roman" w:cs="Times New Roman"/>
          <w:sz w:val="20"/>
          <w:szCs w:val="20"/>
          <w:lang w:val="de-DE"/>
        </w:rPr>
        <w:t>)</w:t>
      </w:r>
    </w:p>
    <w:p w14:paraId="2B18EDEA" w14:textId="77777777" w:rsidR="00CD6CCC" w:rsidRPr="005F44EF" w:rsidRDefault="00CD6CCC" w:rsidP="00CD6CCC">
      <w:pPr>
        <w:spacing w:after="0" w:line="276" w:lineRule="auto"/>
        <w:jc w:val="both"/>
        <w:rPr>
          <w:rFonts w:ascii="Times New Roman" w:eastAsia="Times New Roman" w:hAnsi="Times New Roman" w:cs="Times New Roman"/>
          <w:sz w:val="20"/>
          <w:szCs w:val="20"/>
          <w:lang w:val="de-DE"/>
        </w:rPr>
      </w:pPr>
      <w:r w:rsidRPr="005F44EF">
        <w:rPr>
          <w:rFonts w:ascii="Times New Roman" w:eastAsia="Times New Roman" w:hAnsi="Times New Roman" w:cs="Times New Roman"/>
          <w:sz w:val="20"/>
          <w:szCs w:val="20"/>
          <w:lang w:val="de-DE"/>
        </w:rPr>
        <w:t>STR</w:t>
      </w:r>
      <w:r w:rsidRPr="005F44EF">
        <w:rPr>
          <w:rFonts w:ascii="Times New Roman" w:eastAsia="Times New Roman" w:hAnsi="Times New Roman" w:cs="Times New Roman"/>
          <w:sz w:val="20"/>
          <w:szCs w:val="20"/>
          <w:vertAlign w:val="subscript"/>
          <w:lang w:val="de-DE"/>
        </w:rPr>
        <w:t>24+26</w:t>
      </w:r>
      <w:r w:rsidRPr="005F44EF">
        <w:rPr>
          <w:rFonts w:ascii="Times New Roman" w:eastAsia="Times New Roman" w:hAnsi="Times New Roman" w:cs="Times New Roman"/>
          <w:sz w:val="20"/>
          <w:szCs w:val="20"/>
          <w:lang w:val="de-DE"/>
        </w:rPr>
        <w:t>: (C</w:t>
      </w:r>
      <w:r w:rsidRPr="005F44EF">
        <w:rPr>
          <w:rFonts w:ascii="Times New Roman" w:eastAsia="Times New Roman" w:hAnsi="Times New Roman" w:cs="Times New Roman"/>
          <w:sz w:val="20"/>
          <w:szCs w:val="20"/>
          <w:vertAlign w:val="subscript"/>
          <w:lang w:val="de-DE"/>
        </w:rPr>
        <w:t>24</w:t>
      </w:r>
      <w:r w:rsidRPr="005F44EF">
        <w:rPr>
          <w:rFonts w:ascii="Times New Roman" w:eastAsia="Times New Roman" w:hAnsi="Times New Roman" w:cs="Times New Roman"/>
          <w:sz w:val="20"/>
          <w:szCs w:val="20"/>
          <w:lang w:val="de-DE"/>
        </w:rPr>
        <w:t>+C</w:t>
      </w:r>
      <w:proofErr w:type="gramStart"/>
      <w:r w:rsidRPr="005F44EF">
        <w:rPr>
          <w:rFonts w:ascii="Times New Roman" w:eastAsia="Times New Roman" w:hAnsi="Times New Roman" w:cs="Times New Roman"/>
          <w:sz w:val="20"/>
          <w:szCs w:val="20"/>
          <w:vertAlign w:val="subscript"/>
          <w:lang w:val="de-DE"/>
        </w:rPr>
        <w:t>26</w:t>
      </w:r>
      <w:r w:rsidRPr="005F44EF">
        <w:rPr>
          <w:rFonts w:ascii="Times New Roman" w:eastAsia="Times New Roman" w:hAnsi="Times New Roman" w:cs="Times New Roman"/>
          <w:sz w:val="20"/>
          <w:szCs w:val="20"/>
          <w:lang w:val="de-DE"/>
        </w:rPr>
        <w:t>)/</w:t>
      </w:r>
      <w:proofErr w:type="gramEnd"/>
      <w:r w:rsidRPr="005F44EF">
        <w:rPr>
          <w:rFonts w:ascii="Times New Roman" w:eastAsia="Times New Roman" w:hAnsi="Times New Roman" w:cs="Times New Roman"/>
          <w:sz w:val="20"/>
          <w:szCs w:val="20"/>
          <w:lang w:val="de-DE"/>
        </w:rPr>
        <w:t>(C</w:t>
      </w:r>
      <w:r w:rsidRPr="005F44EF">
        <w:rPr>
          <w:rFonts w:ascii="Times New Roman" w:eastAsia="Times New Roman" w:hAnsi="Times New Roman" w:cs="Times New Roman"/>
          <w:sz w:val="20"/>
          <w:szCs w:val="20"/>
          <w:vertAlign w:val="subscript"/>
          <w:lang w:val="de-DE"/>
        </w:rPr>
        <w:t>20</w:t>
      </w:r>
      <w:r w:rsidRPr="005F44EF">
        <w:rPr>
          <w:rFonts w:ascii="Times New Roman" w:eastAsia="Times New Roman" w:hAnsi="Times New Roman" w:cs="Times New Roman"/>
          <w:sz w:val="20"/>
          <w:szCs w:val="20"/>
          <w:lang w:val="de-DE"/>
        </w:rPr>
        <w:t>+C</w:t>
      </w:r>
      <w:r w:rsidRPr="005F44EF">
        <w:rPr>
          <w:rFonts w:ascii="Times New Roman" w:eastAsia="Times New Roman" w:hAnsi="Times New Roman" w:cs="Times New Roman"/>
          <w:sz w:val="20"/>
          <w:szCs w:val="20"/>
          <w:vertAlign w:val="subscript"/>
          <w:lang w:val="de-DE"/>
        </w:rPr>
        <w:t>22</w:t>
      </w:r>
      <w:r w:rsidRPr="005F44EF">
        <w:rPr>
          <w:rFonts w:ascii="Times New Roman" w:eastAsia="Times New Roman" w:hAnsi="Times New Roman" w:cs="Times New Roman"/>
          <w:sz w:val="20"/>
          <w:szCs w:val="20"/>
          <w:lang w:val="de-DE"/>
        </w:rPr>
        <w:t>+…+C</w:t>
      </w:r>
      <w:r w:rsidRPr="005F44EF">
        <w:rPr>
          <w:rFonts w:ascii="Times New Roman" w:eastAsia="Times New Roman" w:hAnsi="Times New Roman" w:cs="Times New Roman"/>
          <w:sz w:val="20"/>
          <w:szCs w:val="20"/>
          <w:vertAlign w:val="subscript"/>
          <w:lang w:val="de-DE"/>
        </w:rPr>
        <w:t>32</w:t>
      </w:r>
      <w:r w:rsidRPr="005F44EF">
        <w:rPr>
          <w:rFonts w:ascii="Times New Roman" w:eastAsia="Times New Roman" w:hAnsi="Times New Roman" w:cs="Times New Roman"/>
          <w:sz w:val="20"/>
          <w:szCs w:val="20"/>
          <w:lang w:val="de-DE"/>
        </w:rPr>
        <w:t>+C</w:t>
      </w:r>
      <w:r w:rsidRPr="005F44EF">
        <w:rPr>
          <w:rFonts w:ascii="Times New Roman" w:eastAsia="Times New Roman" w:hAnsi="Times New Roman" w:cs="Times New Roman"/>
          <w:sz w:val="20"/>
          <w:szCs w:val="20"/>
          <w:vertAlign w:val="subscript"/>
          <w:lang w:val="de-DE"/>
        </w:rPr>
        <w:t>34</w:t>
      </w:r>
      <w:r w:rsidRPr="005F44EF">
        <w:rPr>
          <w:rFonts w:ascii="Times New Roman" w:eastAsia="Times New Roman" w:hAnsi="Times New Roman" w:cs="Times New Roman"/>
          <w:sz w:val="20"/>
          <w:szCs w:val="20"/>
          <w:lang w:val="de-DE"/>
        </w:rPr>
        <w:t>)</w:t>
      </w:r>
      <w:r w:rsidRPr="005F44EF">
        <w:rPr>
          <w:rFonts w:ascii="Times New Roman" w:eastAsia="Times New Roman" w:hAnsi="Times New Roman" w:cs="Times New Roman"/>
          <w:sz w:val="20"/>
          <w:szCs w:val="20"/>
          <w:lang w:val="de-DE"/>
        </w:rPr>
        <w:tab/>
      </w:r>
    </w:p>
    <w:p w14:paraId="766BF010" w14:textId="77777777" w:rsidR="00CD6CCC" w:rsidRPr="005F44EF" w:rsidRDefault="00CD6CCC" w:rsidP="00CD6CCC">
      <w:pPr>
        <w:spacing w:after="0" w:line="276" w:lineRule="auto"/>
        <w:jc w:val="both"/>
        <w:rPr>
          <w:rFonts w:ascii="Times New Roman" w:eastAsia="Times New Roman" w:hAnsi="Times New Roman" w:cs="Times New Roman"/>
          <w:sz w:val="20"/>
          <w:szCs w:val="20"/>
        </w:rPr>
      </w:pPr>
      <w:proofErr w:type="spellStart"/>
      <w:r w:rsidRPr="005F44EF">
        <w:rPr>
          <w:rFonts w:ascii="Times New Roman" w:eastAsia="Times New Roman" w:hAnsi="Times New Roman" w:cs="Times New Roman"/>
          <w:sz w:val="20"/>
          <w:szCs w:val="20"/>
        </w:rPr>
        <w:t>P</w:t>
      </w:r>
      <w:r w:rsidRPr="005F44EF">
        <w:rPr>
          <w:rFonts w:ascii="Times New Roman" w:eastAsia="Times New Roman" w:hAnsi="Times New Roman" w:cs="Times New Roman"/>
          <w:sz w:val="20"/>
          <w:szCs w:val="20"/>
          <w:vertAlign w:val="subscript"/>
        </w:rPr>
        <w:t>aq</w:t>
      </w:r>
      <w:proofErr w:type="spellEnd"/>
      <w:r w:rsidRPr="005F44EF">
        <w:rPr>
          <w:rFonts w:ascii="Times New Roman" w:eastAsia="Times New Roman" w:hAnsi="Times New Roman" w:cs="Times New Roman"/>
          <w:sz w:val="20"/>
          <w:szCs w:val="20"/>
        </w:rPr>
        <w:t xml:space="preserve"> A: (C</w:t>
      </w:r>
      <w:r w:rsidRPr="005F44EF">
        <w:rPr>
          <w:rFonts w:ascii="Times New Roman" w:eastAsia="Times New Roman" w:hAnsi="Times New Roman" w:cs="Times New Roman"/>
          <w:sz w:val="20"/>
          <w:szCs w:val="20"/>
          <w:vertAlign w:val="subscript"/>
        </w:rPr>
        <w:t>22</w:t>
      </w:r>
      <w:r w:rsidRPr="005F44EF">
        <w:rPr>
          <w:rFonts w:ascii="Times New Roman" w:eastAsia="Times New Roman" w:hAnsi="Times New Roman" w:cs="Times New Roman"/>
          <w:sz w:val="20"/>
          <w:szCs w:val="20"/>
        </w:rPr>
        <w:t>+C</w:t>
      </w:r>
      <w:r w:rsidRPr="005F44EF">
        <w:rPr>
          <w:rFonts w:ascii="Times New Roman" w:eastAsia="Times New Roman" w:hAnsi="Times New Roman" w:cs="Times New Roman"/>
          <w:sz w:val="20"/>
          <w:szCs w:val="20"/>
          <w:vertAlign w:val="subscript"/>
        </w:rPr>
        <w:t>24</w:t>
      </w:r>
      <w:r w:rsidRPr="005F44EF">
        <w:rPr>
          <w:rFonts w:ascii="Times New Roman" w:eastAsia="Times New Roman" w:hAnsi="Times New Roman" w:cs="Times New Roman"/>
          <w:sz w:val="20"/>
          <w:szCs w:val="20"/>
        </w:rPr>
        <w:t>)/(C</w:t>
      </w:r>
      <w:r w:rsidRPr="005F44EF">
        <w:rPr>
          <w:rFonts w:ascii="Times New Roman" w:eastAsia="Times New Roman" w:hAnsi="Times New Roman" w:cs="Times New Roman"/>
          <w:sz w:val="20"/>
          <w:szCs w:val="20"/>
          <w:vertAlign w:val="subscript"/>
        </w:rPr>
        <w:t>22</w:t>
      </w:r>
      <w:r w:rsidRPr="005F44EF">
        <w:rPr>
          <w:rFonts w:ascii="Times New Roman" w:eastAsia="Times New Roman" w:hAnsi="Times New Roman" w:cs="Times New Roman"/>
          <w:sz w:val="20"/>
          <w:szCs w:val="20"/>
        </w:rPr>
        <w:t>+C</w:t>
      </w:r>
      <w:r w:rsidRPr="005F44EF">
        <w:rPr>
          <w:rFonts w:ascii="Times New Roman" w:eastAsia="Times New Roman" w:hAnsi="Times New Roman" w:cs="Times New Roman"/>
          <w:sz w:val="20"/>
          <w:szCs w:val="20"/>
          <w:vertAlign w:val="subscript"/>
        </w:rPr>
        <w:t>24</w:t>
      </w:r>
      <w:r w:rsidRPr="005F44EF">
        <w:rPr>
          <w:rFonts w:ascii="Times New Roman" w:eastAsia="Times New Roman" w:hAnsi="Times New Roman" w:cs="Times New Roman"/>
          <w:sz w:val="20"/>
          <w:szCs w:val="20"/>
        </w:rPr>
        <w:t>+C</w:t>
      </w:r>
      <w:r w:rsidRPr="005F44EF">
        <w:rPr>
          <w:rFonts w:ascii="Times New Roman" w:eastAsia="Times New Roman" w:hAnsi="Times New Roman" w:cs="Times New Roman"/>
          <w:sz w:val="20"/>
          <w:szCs w:val="20"/>
          <w:vertAlign w:val="subscript"/>
        </w:rPr>
        <w:t>28</w:t>
      </w:r>
      <w:r w:rsidRPr="005F44EF">
        <w:rPr>
          <w:rFonts w:ascii="Times New Roman" w:eastAsia="Times New Roman" w:hAnsi="Times New Roman" w:cs="Times New Roman"/>
          <w:sz w:val="20"/>
          <w:szCs w:val="20"/>
        </w:rPr>
        <w:t>+C</w:t>
      </w:r>
      <w:r w:rsidRPr="005F44EF">
        <w:rPr>
          <w:rFonts w:ascii="Times New Roman" w:eastAsia="Times New Roman" w:hAnsi="Times New Roman" w:cs="Times New Roman"/>
          <w:sz w:val="20"/>
          <w:szCs w:val="20"/>
          <w:vertAlign w:val="subscript"/>
        </w:rPr>
        <w:t>30</w:t>
      </w:r>
      <w:r w:rsidRPr="005F44EF">
        <w:rPr>
          <w:rFonts w:ascii="Times New Roman" w:eastAsia="Times New Roman" w:hAnsi="Times New Roman" w:cs="Times New Roman"/>
          <w:sz w:val="20"/>
          <w:szCs w:val="20"/>
        </w:rPr>
        <w:t>)</w:t>
      </w:r>
    </w:p>
    <w:p w14:paraId="25E58FA6" w14:textId="77777777" w:rsidR="00CD6CCC" w:rsidRPr="007655BB" w:rsidRDefault="00CD6CCC" w:rsidP="00CD6CCC">
      <w:pPr>
        <w:spacing w:after="0" w:line="276" w:lineRule="auto"/>
        <w:jc w:val="both"/>
        <w:rPr>
          <w:rFonts w:ascii="Times New Roman" w:eastAsia="Times New Roman" w:hAnsi="Times New Roman" w:cs="Times New Roman"/>
          <w:sz w:val="20"/>
          <w:szCs w:val="20"/>
          <w:lang w:val="fr-FR"/>
        </w:rPr>
      </w:pPr>
      <w:proofErr w:type="spellStart"/>
      <w:r w:rsidRPr="007655BB">
        <w:rPr>
          <w:rFonts w:ascii="Times New Roman" w:eastAsia="Times New Roman" w:hAnsi="Times New Roman" w:cs="Times New Roman"/>
          <w:sz w:val="20"/>
          <w:szCs w:val="20"/>
          <w:lang w:val="fr-FR"/>
        </w:rPr>
        <w:t>P</w:t>
      </w:r>
      <w:r w:rsidRPr="007655BB">
        <w:rPr>
          <w:rFonts w:ascii="Times New Roman" w:eastAsia="Times New Roman" w:hAnsi="Times New Roman" w:cs="Times New Roman"/>
          <w:sz w:val="20"/>
          <w:szCs w:val="20"/>
          <w:vertAlign w:val="subscript"/>
          <w:lang w:val="fr-FR"/>
        </w:rPr>
        <w:t>aq</w:t>
      </w:r>
      <w:proofErr w:type="spellEnd"/>
      <w:r w:rsidRPr="007655BB">
        <w:rPr>
          <w:rFonts w:ascii="Times New Roman" w:eastAsia="Times New Roman" w:hAnsi="Times New Roman" w:cs="Times New Roman"/>
          <w:sz w:val="20"/>
          <w:szCs w:val="20"/>
          <w:lang w:val="fr-FR"/>
        </w:rPr>
        <w:t xml:space="preserve"> B: (C</w:t>
      </w:r>
      <w:r w:rsidRPr="007655BB">
        <w:rPr>
          <w:rFonts w:ascii="Times New Roman" w:eastAsia="Times New Roman" w:hAnsi="Times New Roman" w:cs="Times New Roman"/>
          <w:sz w:val="20"/>
          <w:szCs w:val="20"/>
          <w:vertAlign w:val="subscript"/>
          <w:lang w:val="fr-FR"/>
        </w:rPr>
        <w:t>24</w:t>
      </w:r>
      <w:r w:rsidRPr="007655BB">
        <w:rPr>
          <w:rFonts w:ascii="Times New Roman" w:eastAsia="Times New Roman" w:hAnsi="Times New Roman" w:cs="Times New Roman"/>
          <w:sz w:val="20"/>
          <w:szCs w:val="20"/>
          <w:lang w:val="fr-FR"/>
        </w:rPr>
        <w:t>+C</w:t>
      </w:r>
      <w:r w:rsidRPr="007655BB">
        <w:rPr>
          <w:rFonts w:ascii="Times New Roman" w:eastAsia="Times New Roman" w:hAnsi="Times New Roman" w:cs="Times New Roman"/>
          <w:sz w:val="20"/>
          <w:szCs w:val="20"/>
          <w:vertAlign w:val="subscript"/>
          <w:lang w:val="fr-FR"/>
        </w:rPr>
        <w:t>26</w:t>
      </w:r>
      <w:r w:rsidRPr="007655BB">
        <w:rPr>
          <w:rFonts w:ascii="Times New Roman" w:eastAsia="Times New Roman" w:hAnsi="Times New Roman" w:cs="Times New Roman"/>
          <w:sz w:val="20"/>
          <w:szCs w:val="20"/>
          <w:lang w:val="fr-FR"/>
        </w:rPr>
        <w:t>)/(C</w:t>
      </w:r>
      <w:r w:rsidRPr="007655BB">
        <w:rPr>
          <w:rFonts w:ascii="Times New Roman" w:eastAsia="Times New Roman" w:hAnsi="Times New Roman" w:cs="Times New Roman"/>
          <w:sz w:val="20"/>
          <w:szCs w:val="20"/>
          <w:vertAlign w:val="subscript"/>
          <w:lang w:val="fr-FR"/>
        </w:rPr>
        <w:t>24</w:t>
      </w:r>
      <w:r w:rsidRPr="007655BB">
        <w:rPr>
          <w:rFonts w:ascii="Times New Roman" w:eastAsia="Times New Roman" w:hAnsi="Times New Roman" w:cs="Times New Roman"/>
          <w:sz w:val="20"/>
          <w:szCs w:val="20"/>
          <w:lang w:val="fr-FR"/>
        </w:rPr>
        <w:t>+C</w:t>
      </w:r>
      <w:r w:rsidRPr="007655BB">
        <w:rPr>
          <w:rFonts w:ascii="Times New Roman" w:eastAsia="Times New Roman" w:hAnsi="Times New Roman" w:cs="Times New Roman"/>
          <w:sz w:val="20"/>
          <w:szCs w:val="20"/>
          <w:vertAlign w:val="subscript"/>
          <w:lang w:val="fr-FR"/>
        </w:rPr>
        <w:t>26</w:t>
      </w:r>
      <w:r w:rsidRPr="007655BB">
        <w:rPr>
          <w:rFonts w:ascii="Times New Roman" w:eastAsia="Times New Roman" w:hAnsi="Times New Roman" w:cs="Times New Roman"/>
          <w:sz w:val="20"/>
          <w:szCs w:val="20"/>
          <w:lang w:val="fr-FR"/>
        </w:rPr>
        <w:t>+C</w:t>
      </w:r>
      <w:r w:rsidRPr="007655BB">
        <w:rPr>
          <w:rFonts w:ascii="Times New Roman" w:eastAsia="Times New Roman" w:hAnsi="Times New Roman" w:cs="Times New Roman"/>
          <w:sz w:val="20"/>
          <w:szCs w:val="20"/>
          <w:vertAlign w:val="subscript"/>
          <w:lang w:val="fr-FR"/>
        </w:rPr>
        <w:t>28</w:t>
      </w:r>
      <w:r w:rsidRPr="007655BB">
        <w:rPr>
          <w:rFonts w:ascii="Times New Roman" w:eastAsia="Times New Roman" w:hAnsi="Times New Roman" w:cs="Times New Roman"/>
          <w:sz w:val="20"/>
          <w:szCs w:val="20"/>
          <w:lang w:val="fr-FR"/>
        </w:rPr>
        <w:t>+C</w:t>
      </w:r>
      <w:r w:rsidRPr="007655BB">
        <w:rPr>
          <w:rFonts w:ascii="Times New Roman" w:eastAsia="Times New Roman" w:hAnsi="Times New Roman" w:cs="Times New Roman"/>
          <w:sz w:val="20"/>
          <w:szCs w:val="20"/>
          <w:vertAlign w:val="subscript"/>
          <w:lang w:val="fr-FR"/>
        </w:rPr>
        <w:t>30</w:t>
      </w:r>
      <w:r w:rsidRPr="007655BB">
        <w:rPr>
          <w:rFonts w:ascii="Times New Roman" w:eastAsia="Times New Roman" w:hAnsi="Times New Roman" w:cs="Times New Roman"/>
          <w:sz w:val="20"/>
          <w:szCs w:val="20"/>
          <w:lang w:val="fr-FR"/>
        </w:rPr>
        <w:t>)</w:t>
      </w:r>
    </w:p>
    <w:p w14:paraId="2A3E045F" w14:textId="746CB6FB" w:rsidR="00CD6CCC" w:rsidRPr="007655BB" w:rsidRDefault="00CD6CCC" w:rsidP="00CD6CCC">
      <w:pPr>
        <w:spacing w:after="0" w:line="276" w:lineRule="auto"/>
        <w:jc w:val="both"/>
        <w:rPr>
          <w:rFonts w:ascii="Times New Roman" w:eastAsia="Times New Roman" w:hAnsi="Times New Roman" w:cs="Times New Roman"/>
          <w:b/>
          <w:sz w:val="24"/>
          <w:szCs w:val="24"/>
          <w:lang w:val="fr-FR"/>
        </w:rPr>
      </w:pPr>
    </w:p>
    <w:p w14:paraId="09B4A968" w14:textId="7200E7C6" w:rsidR="00CD6CCC" w:rsidRPr="007655BB" w:rsidRDefault="00CD6CCC" w:rsidP="00CD6CCC">
      <w:pPr>
        <w:spacing w:after="0" w:line="276" w:lineRule="auto"/>
        <w:jc w:val="both"/>
        <w:rPr>
          <w:rFonts w:ascii="Times New Roman" w:eastAsia="Times New Roman" w:hAnsi="Times New Roman" w:cs="Times New Roman"/>
          <w:b/>
          <w:sz w:val="24"/>
          <w:szCs w:val="24"/>
          <w:lang w:val="fr-FR"/>
        </w:rPr>
      </w:pPr>
    </w:p>
    <w:p w14:paraId="27C88A8C" w14:textId="55DAF3C7" w:rsidR="00CD6CCC" w:rsidRPr="007655BB" w:rsidRDefault="00CD6CCC" w:rsidP="00215091">
      <w:pPr>
        <w:spacing w:line="276" w:lineRule="auto"/>
        <w:jc w:val="both"/>
        <w:rPr>
          <w:rFonts w:ascii="Times New Roman" w:eastAsia="Times New Roman" w:hAnsi="Times New Roman" w:cs="Times New Roman"/>
          <w:b/>
          <w:sz w:val="24"/>
          <w:szCs w:val="24"/>
          <w:lang w:val="fr-FR"/>
        </w:rPr>
      </w:pPr>
    </w:p>
    <w:p w14:paraId="4BC6FD8C" w14:textId="55D0F598" w:rsidR="00CD6CCC" w:rsidRPr="007655BB" w:rsidRDefault="00CD6CCC" w:rsidP="00215091">
      <w:pPr>
        <w:spacing w:line="276" w:lineRule="auto"/>
        <w:jc w:val="both"/>
        <w:rPr>
          <w:rFonts w:ascii="Times New Roman" w:eastAsia="Times New Roman" w:hAnsi="Times New Roman" w:cs="Times New Roman"/>
          <w:b/>
          <w:sz w:val="24"/>
          <w:szCs w:val="24"/>
          <w:lang w:val="fr-FR"/>
        </w:rPr>
      </w:pPr>
    </w:p>
    <w:p w14:paraId="4C6A9984" w14:textId="6141B307" w:rsidR="00341384" w:rsidRPr="007655BB" w:rsidRDefault="00341384" w:rsidP="00215091">
      <w:pPr>
        <w:spacing w:line="276" w:lineRule="auto"/>
        <w:jc w:val="both"/>
        <w:rPr>
          <w:rFonts w:ascii="Times New Roman" w:eastAsia="Times New Roman" w:hAnsi="Times New Roman" w:cs="Times New Roman"/>
          <w:b/>
          <w:sz w:val="24"/>
          <w:szCs w:val="24"/>
          <w:lang w:val="fr-FR"/>
        </w:rPr>
      </w:pPr>
    </w:p>
    <w:p w14:paraId="307DEB96" w14:textId="77777777" w:rsidR="00341384" w:rsidRPr="007655BB" w:rsidRDefault="00341384" w:rsidP="00215091">
      <w:pPr>
        <w:spacing w:line="276" w:lineRule="auto"/>
        <w:jc w:val="both"/>
        <w:rPr>
          <w:rFonts w:ascii="Times New Roman" w:eastAsia="Times New Roman" w:hAnsi="Times New Roman" w:cs="Times New Roman"/>
          <w:b/>
          <w:sz w:val="24"/>
          <w:szCs w:val="24"/>
          <w:lang w:val="fr-FR"/>
        </w:rPr>
      </w:pPr>
    </w:p>
    <w:p w14:paraId="15BE85AA" w14:textId="1E237D6B" w:rsidR="00BB7AA9" w:rsidRPr="005F44EF" w:rsidRDefault="00215091" w:rsidP="00217793">
      <w:pPr>
        <w:spacing w:line="276" w:lineRule="auto"/>
        <w:jc w:val="both"/>
        <w:rPr>
          <w:rFonts w:ascii="Times New Roman" w:eastAsia="Times New Roman" w:hAnsi="Times New Roman" w:cs="Times New Roman"/>
          <w:sz w:val="20"/>
          <w:szCs w:val="20"/>
          <w:lang w:val="en-US"/>
        </w:rPr>
      </w:pPr>
      <w:r w:rsidRPr="005F44EF">
        <w:rPr>
          <w:rFonts w:ascii="Times New Roman" w:eastAsia="Times New Roman" w:hAnsi="Times New Roman" w:cs="Times New Roman"/>
          <w:b/>
          <w:sz w:val="24"/>
          <w:szCs w:val="24"/>
        </w:rPr>
        <w:lastRenderedPageBreak/>
        <w:t>Figure S1</w:t>
      </w:r>
      <w:r w:rsidR="0001712E" w:rsidRPr="005F44EF">
        <w:rPr>
          <w:rFonts w:ascii="Times New Roman" w:eastAsia="Times New Roman" w:hAnsi="Times New Roman" w:cs="Times New Roman"/>
          <w:b/>
          <w:sz w:val="24"/>
          <w:szCs w:val="24"/>
        </w:rPr>
        <w:t>6</w:t>
      </w:r>
      <w:r w:rsidRPr="005F44EF">
        <w:rPr>
          <w:rFonts w:ascii="Times New Roman" w:eastAsia="Times New Roman" w:hAnsi="Times New Roman" w:cs="Times New Roman"/>
          <w:b/>
          <w:sz w:val="24"/>
          <w:szCs w:val="24"/>
        </w:rPr>
        <w:t xml:space="preserve">: </w:t>
      </w:r>
      <w:r w:rsidRPr="005F44EF">
        <w:rPr>
          <w:rFonts w:ascii="Times New Roman" w:eastAsia="Times New Roman" w:hAnsi="Times New Roman" w:cs="Times New Roman"/>
          <w:sz w:val="24"/>
          <w:szCs w:val="24"/>
        </w:rPr>
        <w:t>Typical gas chromatograph for Bété I FAME distributions. Generally, mid-chain homologues (e.g., C</w:t>
      </w:r>
      <w:r w:rsidRPr="005F44EF">
        <w:rPr>
          <w:rFonts w:ascii="Times New Roman" w:eastAsia="Times New Roman" w:hAnsi="Times New Roman" w:cs="Times New Roman"/>
          <w:sz w:val="24"/>
          <w:szCs w:val="24"/>
          <w:vertAlign w:val="subscript"/>
        </w:rPr>
        <w:t>20</w:t>
      </w:r>
      <w:r w:rsidRPr="005F44EF">
        <w:rPr>
          <w:rFonts w:ascii="Times New Roman" w:eastAsia="Times New Roman" w:hAnsi="Times New Roman" w:cs="Times New Roman"/>
          <w:sz w:val="24"/>
          <w:szCs w:val="24"/>
        </w:rPr>
        <w:t>-C</w:t>
      </w:r>
      <w:r w:rsidRPr="005F44EF">
        <w:rPr>
          <w:rFonts w:ascii="Times New Roman" w:eastAsia="Times New Roman" w:hAnsi="Times New Roman" w:cs="Times New Roman"/>
          <w:sz w:val="24"/>
          <w:szCs w:val="24"/>
          <w:vertAlign w:val="subscript"/>
        </w:rPr>
        <w:t>26</w:t>
      </w:r>
      <w:r w:rsidRPr="005F44EF">
        <w:rPr>
          <w:rFonts w:ascii="Times New Roman" w:eastAsia="Times New Roman" w:hAnsi="Times New Roman" w:cs="Times New Roman"/>
          <w:i/>
          <w:sz w:val="24"/>
          <w:szCs w:val="24"/>
        </w:rPr>
        <w:t xml:space="preserve"> </w:t>
      </w:r>
      <w:r w:rsidRPr="005F44EF">
        <w:rPr>
          <w:rFonts w:ascii="Times New Roman" w:eastAsia="Times New Roman" w:hAnsi="Times New Roman" w:cs="Times New Roman"/>
          <w:sz w:val="24"/>
          <w:szCs w:val="24"/>
        </w:rPr>
        <w:t>FAMEs) characterize submerged and floating aquatic macrophytes and long-chain homologues (e.g., C</w:t>
      </w:r>
      <w:r w:rsidRPr="005F44EF">
        <w:rPr>
          <w:rFonts w:ascii="Times New Roman" w:eastAsia="Times New Roman" w:hAnsi="Times New Roman" w:cs="Times New Roman"/>
          <w:sz w:val="24"/>
          <w:szCs w:val="24"/>
          <w:vertAlign w:val="subscript"/>
        </w:rPr>
        <w:t>26</w:t>
      </w:r>
      <w:r w:rsidRPr="005F44EF">
        <w:rPr>
          <w:rFonts w:ascii="Times New Roman" w:eastAsia="Times New Roman" w:hAnsi="Times New Roman" w:cs="Times New Roman"/>
          <w:sz w:val="24"/>
          <w:szCs w:val="24"/>
        </w:rPr>
        <w:t>-C</w:t>
      </w:r>
      <w:r w:rsidRPr="005F44EF">
        <w:rPr>
          <w:rFonts w:ascii="Times New Roman" w:eastAsia="Times New Roman" w:hAnsi="Times New Roman" w:cs="Times New Roman"/>
          <w:sz w:val="24"/>
          <w:szCs w:val="24"/>
          <w:vertAlign w:val="subscript"/>
        </w:rPr>
        <w:t>32</w:t>
      </w:r>
      <w:r w:rsidRPr="005F44EF">
        <w:rPr>
          <w:rFonts w:ascii="Times New Roman" w:eastAsia="Times New Roman" w:hAnsi="Times New Roman" w:cs="Times New Roman"/>
          <w:sz w:val="24"/>
          <w:szCs w:val="24"/>
        </w:rPr>
        <w:t>) characterize terrestrial vegetation</w:t>
      </w:r>
      <w:r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{"citationItems":[{"id":"ITEM-1","itemData":{"DOI":"10.1002/EVAN.21921","ISSN":"1520-6505","abstract":"Plant wax biomarkers are an innovative proxy for reconstructing vegetation composition and structure, rainfall intensity, temperature, and other climatic and environmental dynamics. Traditionally used in earth sciences and climate studies from “off-site” ocean and lake records, biomarker research is now incorporated in archeology and paleoanthropology to answer questions relating to past human-environment interactions and human evolution. Biomarker research is generating new and exciting information on the ecological context in which Homo and its closest relatives evolved, adapted, and invented stone tool technologies. In this review, we examine plant wax biomarkers and their use in reconstructing past plant landscapes and hydroclimates. We summarize the applications of plant wax molecular proxies in archeological research, assess challenges relating to taphonomy, consider the role of modern plant ecosystems in interpreting ancient habitats, and examine case studies conducted at key paleoanthropological locations in eastern and southern Africa and Europe.","author":[{"dropping-particle":"","family":"Patalano","given":"Robert","non-dropping-particle":"","parse-names":false,"suffix":""},{"dropping-particle":"","family":"Roberts","given":"Patrick","non-dropping-particle":"","parse-names":false,"suffix":""},{"dropping-particle":"","family":"Boivin","given":"Nicole","non-dropping-particle":"","parse-names":false,"suffix":""},{"dropping-particle":"","family":"Petraglia","given":"Michael D.","non-dropping-particle":"","parse-names":false,"suffix":""},{"dropping-particle":"","family":"Mercader","given":"Julio","non-dropping-particle":"","parse-names":false,"suffix":""}],"container-title":"Evolutionary Anthropology: Issues, News, and Reviews","id":"ITEM-1","issue":"6","issued":{"date-parts":[["2021","11","1"]]},"page":"385-398","publisher":"John Wiley &amp; Sons, Ltd","title":"Plant wax biomarkers in human evolutionary studies","type":"article-journal","volume":"30"},"uris":["http://www.mendeley.com/documents/?uuid=c0a126db-6a0f-34df-80a8-66580b946db9"]}],"mendeley":{"formattedCitation":"&lt;sup&gt;129&lt;/sup&gt;","plainTextFormattedCitation":"129","previouslyFormattedCitation":"&lt;sup&gt;129&lt;/sup&gt;"},"properties":{"noteIndex":0},"schema":"https://github.com/citation-style-language/schema/raw/master/csl-citation.json"}</w:instrText>
      </w:r>
      <w:r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129</w:t>
      </w:r>
      <w:r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There is overlap in the distribution, however, as seen in FAME C</w:t>
      </w:r>
      <w:r w:rsidRPr="005F44EF">
        <w:rPr>
          <w:rFonts w:ascii="Times New Roman" w:eastAsia="Times New Roman" w:hAnsi="Times New Roman" w:cs="Times New Roman"/>
          <w:sz w:val="24"/>
          <w:szCs w:val="24"/>
          <w:vertAlign w:val="subscript"/>
        </w:rPr>
        <w:t>26</w:t>
      </w:r>
      <w:r w:rsidRPr="005F44EF">
        <w:rPr>
          <w:rFonts w:ascii="Times New Roman" w:eastAsia="Times New Roman" w:hAnsi="Times New Roman" w:cs="Times New Roman"/>
          <w:sz w:val="24"/>
          <w:szCs w:val="24"/>
        </w:rPr>
        <w:t>. Compounds C</w:t>
      </w:r>
      <w:r w:rsidRPr="005F44EF">
        <w:rPr>
          <w:rFonts w:ascii="Times New Roman" w:eastAsia="Times New Roman" w:hAnsi="Times New Roman" w:cs="Times New Roman"/>
          <w:sz w:val="24"/>
          <w:szCs w:val="24"/>
          <w:vertAlign w:val="subscript"/>
        </w:rPr>
        <w:t>16</w:t>
      </w:r>
      <w:r w:rsidRPr="005F44EF">
        <w:rPr>
          <w:rFonts w:ascii="Times New Roman" w:eastAsia="Times New Roman" w:hAnsi="Times New Roman" w:cs="Times New Roman"/>
          <w:sz w:val="24"/>
          <w:szCs w:val="24"/>
        </w:rPr>
        <w:t xml:space="preserve"> and C</w:t>
      </w:r>
      <w:r w:rsidRPr="005F44EF">
        <w:rPr>
          <w:rFonts w:ascii="Times New Roman" w:eastAsia="Times New Roman" w:hAnsi="Times New Roman" w:cs="Times New Roman"/>
          <w:sz w:val="24"/>
          <w:szCs w:val="24"/>
          <w:vertAlign w:val="subscript"/>
        </w:rPr>
        <w:t>18</w:t>
      </w:r>
      <w:r w:rsidRPr="005F44EF">
        <w:rPr>
          <w:rFonts w:ascii="Times New Roman" w:eastAsia="Times New Roman" w:hAnsi="Times New Roman" w:cs="Times New Roman"/>
          <w:sz w:val="24"/>
          <w:szCs w:val="24"/>
        </w:rPr>
        <w:t xml:space="preserve"> are ubiquitous in all lifeforms and are not diagnostic of biosynthetic origin.</w:t>
      </w:r>
    </w:p>
    <w:p w14:paraId="491A7F6F" w14:textId="100D10EB" w:rsidR="00BB7AA9" w:rsidRPr="005F44EF" w:rsidRDefault="00CE02D5">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noProof/>
          <w:sz w:val="24"/>
          <w:szCs w:val="24"/>
          <w:lang w:val="en-AU" w:eastAsia="en-AU"/>
        </w:rPr>
        <mc:AlternateContent>
          <mc:Choice Requires="wps">
            <w:drawing>
              <wp:anchor distT="0" distB="0" distL="114300" distR="114300" simplePos="0" relativeHeight="251660288" behindDoc="0" locked="0" layoutInCell="1" allowOverlap="1" wp14:anchorId="17645E2D" wp14:editId="627669B7">
                <wp:simplePos x="0" y="0"/>
                <wp:positionH relativeFrom="column">
                  <wp:posOffset>967005</wp:posOffset>
                </wp:positionH>
                <wp:positionV relativeFrom="paragraph">
                  <wp:posOffset>43180</wp:posOffset>
                </wp:positionV>
                <wp:extent cx="125129" cy="211756"/>
                <wp:effectExtent l="0" t="0" r="27305" b="17145"/>
                <wp:wrapNone/>
                <wp:docPr id="23" name="Rectangle 23"/>
                <wp:cNvGraphicFramePr/>
                <a:graphic xmlns:a="http://schemas.openxmlformats.org/drawingml/2006/main">
                  <a:graphicData uri="http://schemas.microsoft.com/office/word/2010/wordprocessingShape">
                    <wps:wsp>
                      <wps:cNvSpPr/>
                      <wps:spPr>
                        <a:xfrm>
                          <a:off x="0" y="0"/>
                          <a:ext cx="125129" cy="211756"/>
                        </a:xfrm>
                        <a:prstGeom prst="rect">
                          <a:avLst/>
                        </a:prstGeom>
                        <a:solidFill>
                          <a:schemeClr val="bg1"/>
                        </a:solidFill>
                        <a:ln>
                          <a:solidFill>
                            <a:schemeClr val="bg1"/>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3FB4341C" id="Rectangle 23" o:spid="_x0000_s1026" style="position:absolute;margin-left:76.15pt;margin-top:3.4pt;width:9.85pt;height:1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" fillcolor="white [3212]" strokecolor="white [3212]"/>
            </w:pict>
          </mc:Fallback>
        </mc:AlternateContent>
      </w:r>
      <w:r w:rsidR="00B9564D" w:rsidRPr="005F44EF">
        <w:rPr>
          <w:rFonts w:ascii="Times New Roman" w:eastAsia="Times New Roman" w:hAnsi="Times New Roman" w:cs="Times New Roman"/>
          <w:noProof/>
          <w:sz w:val="24"/>
          <w:szCs w:val="24"/>
          <w:lang w:val="en-AU" w:eastAsia="en-AU"/>
        </w:rPr>
        <w:drawing>
          <wp:inline distT="0" distB="0" distL="0" distR="0" wp14:anchorId="2CC269EE" wp14:editId="5D4349AA">
            <wp:extent cx="5972810" cy="4435779"/>
            <wp:effectExtent l="0" t="0" r="0" b="0"/>
            <wp:docPr id="2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0"/>
                    <a:srcRect/>
                    <a:stretch>
                      <a:fillRect/>
                    </a:stretch>
                  </pic:blipFill>
                  <pic:spPr>
                    <a:xfrm>
                      <a:off x="0" y="0"/>
                      <a:ext cx="5972810" cy="4435779"/>
                    </a:xfrm>
                    <a:prstGeom prst="rect">
                      <a:avLst/>
                    </a:prstGeom>
                    <a:ln/>
                  </pic:spPr>
                </pic:pic>
              </a:graphicData>
            </a:graphic>
          </wp:inline>
        </w:drawing>
      </w:r>
    </w:p>
    <w:p w14:paraId="604ED3A5" w14:textId="77777777" w:rsidR="00886415" w:rsidRPr="005F44EF" w:rsidRDefault="00886415">
      <w:pPr>
        <w:spacing w:after="0" w:line="276" w:lineRule="auto"/>
        <w:jc w:val="both"/>
        <w:rPr>
          <w:rFonts w:ascii="Times New Roman" w:eastAsia="Times New Roman" w:hAnsi="Times New Roman" w:cs="Times New Roman"/>
          <w:sz w:val="24"/>
          <w:szCs w:val="24"/>
        </w:rPr>
      </w:pPr>
    </w:p>
    <w:p w14:paraId="674CF796" w14:textId="77777777" w:rsidR="00BB7AA9" w:rsidRPr="005F44EF" w:rsidRDefault="00B9564D" w:rsidP="008524E9">
      <w:pPr>
        <w:pStyle w:val="Heading2"/>
        <w:rPr>
          <w:rFonts w:cs="Times New Roman"/>
        </w:rPr>
      </w:pPr>
      <w:bookmarkStart w:id="100" w:name="_Toc178429941"/>
      <w:r w:rsidRPr="005F44EF">
        <w:rPr>
          <w:rFonts w:cs="Times New Roman"/>
        </w:rPr>
        <w:t>4.2. Phytolith analyses</w:t>
      </w:r>
      <w:bookmarkEnd w:id="100"/>
    </w:p>
    <w:p w14:paraId="0EC3110F" w14:textId="77777777" w:rsidR="00BB7AA9" w:rsidRPr="005F44EF" w:rsidRDefault="00B9564D">
      <w:pPr>
        <w:spacing w:before="240" w:after="24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The phytolith samples were processed using a standard phytolith extraction protocol as follows: (1) the sample was screened through a 0.5 mm mesh to remove coarse sized particles; (2) approximately 2gm of dried raw sediment was weighed out; (3) calcium carbonates were dissolved using a dilution of 10% hydrochloric acid and then washed in distilled water three times; (4) clay was removed using a settling procedure and sodium hexametaphosphate (Calgon) as a dispersant. Distilled water was added and the samples left for seventy-five minutes before pouring off the suspense. This was repeated at hourly intervals until the samples were clear. Samples were then transferred into crucibles and left to dry at a temperature of less than 50°C; (5) after drying, samples were placed in a muffle furnace for two hours at 500°C to remove organic matter; (6) phytoliths were then separated from the remaining material using a heavy liquid calibrated to a specific gravity </w:t>
      </w:r>
      <w:r w:rsidRPr="005F44EF">
        <w:rPr>
          <w:rFonts w:ascii="Times New Roman" w:eastAsia="Times New Roman" w:hAnsi="Times New Roman" w:cs="Times New Roman"/>
          <w:sz w:val="24"/>
          <w:szCs w:val="24"/>
        </w:rPr>
        <w:lastRenderedPageBreak/>
        <w:t xml:space="preserve">of 2.3. Phytoliths were transferred to centrifuge tubes and washed three times in distilled water. They were then placed in small Pyrex beakers and left to dry; (7) approximately two milligrams of phytoliths per sample were mounted onto microscope slides, using the mounting agent </w:t>
      </w:r>
      <w:proofErr w:type="spellStart"/>
      <w:r w:rsidRPr="005F44EF">
        <w:rPr>
          <w:rFonts w:ascii="Times New Roman" w:eastAsia="Times New Roman" w:hAnsi="Times New Roman" w:cs="Times New Roman"/>
          <w:sz w:val="24"/>
          <w:szCs w:val="24"/>
        </w:rPr>
        <w:t>Entellan</w:t>
      </w:r>
      <w:proofErr w:type="spellEnd"/>
      <w:r w:rsidRPr="005F44EF">
        <w:rPr>
          <w:rFonts w:ascii="Times New Roman" w:eastAsia="Times New Roman" w:hAnsi="Times New Roman" w:cs="Times New Roman"/>
          <w:sz w:val="24"/>
          <w:szCs w:val="24"/>
        </w:rPr>
        <w:t>. Microscope slides were assessed using a Meiji MT4300L transmitted light microscope using x100 and x400 magnifications. The phytoliths were counted and categorised into types. Phytoliths were further classified as deriving either from woody (dicotyledon) or non-woody (monocotyledon) taxa.</w:t>
      </w:r>
    </w:p>
    <w:p w14:paraId="4CA0410F" w14:textId="701E622E" w:rsidR="00B87D5E" w:rsidRPr="005F44EF" w:rsidRDefault="00B9564D">
      <w:pPr>
        <w:spacing w:before="240" w:after="24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The weight percentage of phytoliths produced by each sediment sample is calculated by dividing the weight of phytoliths extracted from the sample by the original sample weight multiplied by 100 (</w:t>
      </w:r>
      <w:r w:rsidRPr="005F44EF">
        <w:rPr>
          <w:rFonts w:ascii="Times New Roman" w:eastAsia="Times New Roman" w:hAnsi="Times New Roman" w:cs="Times New Roman"/>
          <w:b/>
          <w:sz w:val="24"/>
          <w:szCs w:val="24"/>
        </w:rPr>
        <w:t>Figure S1</w:t>
      </w:r>
      <w:r w:rsidR="0001712E" w:rsidRPr="005F44EF">
        <w:rPr>
          <w:rFonts w:ascii="Times New Roman" w:eastAsia="Times New Roman" w:hAnsi="Times New Roman" w:cs="Times New Roman"/>
          <w:b/>
          <w:sz w:val="24"/>
          <w:szCs w:val="24"/>
        </w:rPr>
        <w:t>7</w:t>
      </w:r>
      <w:r w:rsidRPr="005F44EF">
        <w:rPr>
          <w:rFonts w:ascii="Times New Roman" w:eastAsia="Times New Roman" w:hAnsi="Times New Roman" w:cs="Times New Roman"/>
          <w:sz w:val="24"/>
          <w:szCs w:val="24"/>
        </w:rPr>
        <w:t xml:space="preserve">). This number is an approximation because other siliceous materials may also be extracted at the same time (e.g. diatoms and sponge spicules), and some residual material is likely to remain in the extracted samples. It is clear that sample 10 has a higher percentage of phytoliths in comparison to samples 21, 27 and 30. </w:t>
      </w:r>
      <w:r w:rsidR="000017BF" w:rsidRPr="000017BF">
        <w:rPr>
          <w:rFonts w:ascii="Times New Roman" w:eastAsia="Times New Roman" w:hAnsi="Times New Roman" w:cs="Times New Roman"/>
          <w:sz w:val="24"/>
          <w:szCs w:val="24"/>
        </w:rPr>
        <w:t xml:space="preserve">The phytolith data </w:t>
      </w:r>
      <w:r w:rsidR="000017BF">
        <w:rPr>
          <w:rFonts w:ascii="Times New Roman" w:eastAsia="Times New Roman" w:hAnsi="Times New Roman" w:cs="Times New Roman"/>
          <w:sz w:val="24"/>
          <w:szCs w:val="24"/>
        </w:rPr>
        <w:t xml:space="preserve">in </w:t>
      </w:r>
      <w:r w:rsidR="000017BF" w:rsidRPr="00C753AF">
        <w:rPr>
          <w:rFonts w:ascii="Times New Roman" w:eastAsia="Times New Roman" w:hAnsi="Times New Roman" w:cs="Times New Roman"/>
          <w:b/>
          <w:sz w:val="24"/>
          <w:szCs w:val="24"/>
        </w:rPr>
        <w:t>Figure S18</w:t>
      </w:r>
      <w:r w:rsidR="000017BF">
        <w:rPr>
          <w:rFonts w:ascii="Times New Roman" w:eastAsia="Times New Roman" w:hAnsi="Times New Roman" w:cs="Times New Roman"/>
          <w:sz w:val="24"/>
          <w:szCs w:val="24"/>
        </w:rPr>
        <w:t xml:space="preserve"> </w:t>
      </w:r>
      <w:r w:rsidR="000017BF" w:rsidRPr="000017BF">
        <w:rPr>
          <w:rFonts w:ascii="Times New Roman" w:eastAsia="Times New Roman" w:hAnsi="Times New Roman" w:cs="Times New Roman"/>
          <w:sz w:val="24"/>
          <w:szCs w:val="24"/>
        </w:rPr>
        <w:t>w</w:t>
      </w:r>
      <w:r w:rsidR="00D27227">
        <w:rPr>
          <w:rFonts w:ascii="Times New Roman" w:eastAsia="Times New Roman" w:hAnsi="Times New Roman" w:cs="Times New Roman"/>
          <w:sz w:val="24"/>
          <w:szCs w:val="24"/>
        </w:rPr>
        <w:t xml:space="preserve">ere </w:t>
      </w:r>
      <w:r w:rsidR="000017BF" w:rsidRPr="000017BF">
        <w:rPr>
          <w:rFonts w:ascii="Times New Roman" w:eastAsia="Times New Roman" w:hAnsi="Times New Roman" w:cs="Times New Roman"/>
          <w:sz w:val="24"/>
          <w:szCs w:val="24"/>
        </w:rPr>
        <w:t xml:space="preserve">plotted using C2 </w:t>
      </w:r>
      <w:r w:rsidR="000017BF">
        <w:rPr>
          <w:rFonts w:ascii="Times New Roman" w:eastAsia="Times New Roman" w:hAnsi="Times New Roman" w:cs="Times New Roman"/>
          <w:sz w:val="24"/>
          <w:szCs w:val="24"/>
        </w:rPr>
        <w:t xml:space="preserve">software. </w:t>
      </w:r>
    </w:p>
    <w:p w14:paraId="710BDB18" w14:textId="04087CBD" w:rsidR="00BB7AA9" w:rsidRPr="005F44EF" w:rsidRDefault="00B9564D">
      <w:pPr>
        <w:spacing w:before="240" w:after="24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b/>
          <w:sz w:val="24"/>
          <w:szCs w:val="24"/>
        </w:rPr>
        <w:t>Figure S1</w:t>
      </w:r>
      <w:r w:rsidR="0001712E" w:rsidRPr="005F44EF">
        <w:rPr>
          <w:rFonts w:ascii="Times New Roman" w:eastAsia="Times New Roman" w:hAnsi="Times New Roman" w:cs="Times New Roman"/>
          <w:b/>
          <w:sz w:val="24"/>
          <w:szCs w:val="24"/>
        </w:rPr>
        <w:t>7</w:t>
      </w:r>
      <w:r w:rsidRPr="005F44EF">
        <w:rPr>
          <w:rFonts w:ascii="Times New Roman" w:eastAsia="Times New Roman" w:hAnsi="Times New Roman" w:cs="Times New Roman"/>
          <w:b/>
          <w:sz w:val="24"/>
          <w:szCs w:val="24"/>
        </w:rPr>
        <w:t xml:space="preserve">: </w:t>
      </w:r>
      <w:r w:rsidRPr="005F44EF">
        <w:rPr>
          <w:rFonts w:ascii="Times New Roman" w:eastAsia="Times New Roman" w:hAnsi="Times New Roman" w:cs="Times New Roman"/>
          <w:sz w:val="24"/>
          <w:szCs w:val="24"/>
        </w:rPr>
        <w:t>Weight percent of phytoliths produced in samples 10, 11, 21, 22, 26, 27, 30, 31 and 36.</w:t>
      </w:r>
    </w:p>
    <w:p w14:paraId="6EE124EC" w14:textId="77777777" w:rsidR="00BB7AA9" w:rsidRPr="005F44EF" w:rsidRDefault="00B9564D">
      <w:pPr>
        <w:spacing w:before="240" w:after="240" w:line="276" w:lineRule="auto"/>
        <w:jc w:val="both"/>
        <w:rPr>
          <w:rFonts w:ascii="Times New Roman" w:eastAsia="Times New Roman" w:hAnsi="Times New Roman" w:cs="Times New Roman"/>
          <w:b/>
          <w:sz w:val="24"/>
          <w:szCs w:val="24"/>
        </w:rPr>
      </w:pPr>
      <w:r w:rsidRPr="005F44EF">
        <w:rPr>
          <w:rFonts w:ascii="Times New Roman" w:eastAsia="Times New Roman" w:hAnsi="Times New Roman" w:cs="Times New Roman"/>
          <w:b/>
          <w:noProof/>
          <w:sz w:val="24"/>
          <w:szCs w:val="24"/>
          <w:lang w:val="en-AU" w:eastAsia="en-AU"/>
        </w:rPr>
        <w:drawing>
          <wp:inline distT="114300" distB="114300" distL="114300" distR="114300" wp14:anchorId="31E4475F" wp14:editId="1D92D105">
            <wp:extent cx="5972810" cy="35941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1"/>
                    <a:srcRect/>
                    <a:stretch>
                      <a:fillRect/>
                    </a:stretch>
                  </pic:blipFill>
                  <pic:spPr>
                    <a:xfrm>
                      <a:off x="0" y="0"/>
                      <a:ext cx="5972810" cy="3594100"/>
                    </a:xfrm>
                    <a:prstGeom prst="rect">
                      <a:avLst/>
                    </a:prstGeom>
                    <a:ln/>
                  </pic:spPr>
                </pic:pic>
              </a:graphicData>
            </a:graphic>
          </wp:inline>
        </w:drawing>
      </w:r>
    </w:p>
    <w:p w14:paraId="47835136" w14:textId="77777777" w:rsidR="00341384" w:rsidRPr="005F44EF" w:rsidRDefault="00341384">
      <w:pPr>
        <w:spacing w:after="0" w:line="276" w:lineRule="auto"/>
        <w:jc w:val="both"/>
        <w:rPr>
          <w:rFonts w:ascii="Times New Roman" w:eastAsia="Times New Roman" w:hAnsi="Times New Roman" w:cs="Times New Roman"/>
          <w:b/>
          <w:sz w:val="24"/>
          <w:szCs w:val="24"/>
        </w:rPr>
      </w:pPr>
    </w:p>
    <w:p w14:paraId="41B61A14" w14:textId="77777777" w:rsidR="00341384" w:rsidRPr="005F44EF" w:rsidRDefault="00341384">
      <w:pPr>
        <w:spacing w:after="0" w:line="276" w:lineRule="auto"/>
        <w:jc w:val="both"/>
        <w:rPr>
          <w:rFonts w:ascii="Times New Roman" w:eastAsia="Times New Roman" w:hAnsi="Times New Roman" w:cs="Times New Roman"/>
          <w:b/>
          <w:sz w:val="24"/>
          <w:szCs w:val="24"/>
        </w:rPr>
      </w:pPr>
    </w:p>
    <w:p w14:paraId="3926EDB4" w14:textId="2951C9C4" w:rsidR="00BB7AA9" w:rsidRPr="005F44EF" w:rsidRDefault="00B9564D">
      <w:pPr>
        <w:spacing w:after="0" w:line="276" w:lineRule="auto"/>
        <w:jc w:val="both"/>
        <w:rPr>
          <w:rFonts w:ascii="Times New Roman" w:eastAsia="Times New Roman" w:hAnsi="Times New Roman" w:cs="Times New Roman"/>
          <w:b/>
          <w:sz w:val="24"/>
          <w:szCs w:val="24"/>
        </w:rPr>
      </w:pPr>
      <w:r w:rsidRPr="005F44EF">
        <w:rPr>
          <w:rFonts w:ascii="Times New Roman" w:eastAsia="Times New Roman" w:hAnsi="Times New Roman" w:cs="Times New Roman"/>
          <w:b/>
          <w:sz w:val="24"/>
          <w:szCs w:val="24"/>
        </w:rPr>
        <w:lastRenderedPageBreak/>
        <w:t>Table S1</w:t>
      </w:r>
      <w:r w:rsidR="0001712E" w:rsidRPr="005F44EF">
        <w:rPr>
          <w:rFonts w:ascii="Times New Roman" w:eastAsia="Times New Roman" w:hAnsi="Times New Roman" w:cs="Times New Roman"/>
          <w:b/>
          <w:sz w:val="24"/>
          <w:szCs w:val="24"/>
        </w:rPr>
        <w:t>4</w:t>
      </w:r>
      <w:r w:rsidR="00215091" w:rsidRPr="005F44EF">
        <w:rPr>
          <w:rFonts w:ascii="Times New Roman" w:eastAsia="Times New Roman" w:hAnsi="Times New Roman" w:cs="Times New Roman"/>
          <w:b/>
          <w:sz w:val="24"/>
          <w:szCs w:val="24"/>
        </w:rPr>
        <w:t xml:space="preserve">: </w:t>
      </w:r>
      <w:r w:rsidR="003A03DB" w:rsidRPr="005F44EF">
        <w:rPr>
          <w:rFonts w:ascii="Times New Roman" w:hAnsi="Times New Roman" w:cs="Times New Roman"/>
          <w:bCs/>
          <w:color w:val="000000"/>
          <w:sz w:val="24"/>
          <w:szCs w:val="24"/>
        </w:rPr>
        <w:t>Phytolith counts including total phytoliths counted for each slide and numbers of fragmented silica aggregate, diatoms and indication of taphonomy (e.g. burning, melting and degradation)</w:t>
      </w:r>
      <w:r w:rsidR="003A03DB" w:rsidRPr="005F44EF">
        <w:rPr>
          <w:rFonts w:ascii="Times New Roman" w:eastAsia="Times New Roman" w:hAnsi="Times New Roman" w:cs="Times New Roman"/>
          <w:sz w:val="24"/>
          <w:szCs w:val="24"/>
        </w:rPr>
        <w:t>.</w:t>
      </w:r>
      <w:r w:rsidR="003A03DB" w:rsidRPr="005F44EF">
        <w:rPr>
          <w:rFonts w:ascii="Times New Roman" w:eastAsia="Times New Roman" w:hAnsi="Times New Roman" w:cs="Times New Roman"/>
          <w:b/>
          <w:sz w:val="24"/>
          <w:szCs w:val="24"/>
        </w:rPr>
        <w:t xml:space="preserve"> </w:t>
      </w:r>
    </w:p>
    <w:p w14:paraId="51A4C264" w14:textId="77777777"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noProof/>
          <w:sz w:val="24"/>
          <w:szCs w:val="24"/>
          <w:lang w:val="en-AU" w:eastAsia="en-AU"/>
        </w:rPr>
        <w:drawing>
          <wp:inline distT="114300" distB="114300" distL="114300" distR="114300" wp14:anchorId="24696790" wp14:editId="2141C31E">
            <wp:extent cx="5529943" cy="3927283"/>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2"/>
                    <a:srcRect/>
                    <a:stretch>
                      <a:fillRect/>
                    </a:stretch>
                  </pic:blipFill>
                  <pic:spPr>
                    <a:xfrm>
                      <a:off x="0" y="0"/>
                      <a:ext cx="5539868" cy="3934332"/>
                    </a:xfrm>
                    <a:prstGeom prst="rect">
                      <a:avLst/>
                    </a:prstGeom>
                    <a:ln/>
                  </pic:spPr>
                </pic:pic>
              </a:graphicData>
            </a:graphic>
          </wp:inline>
        </w:drawing>
      </w:r>
    </w:p>
    <w:p w14:paraId="10008504" w14:textId="77777777" w:rsidR="00BB7AA9" w:rsidRPr="005F44EF" w:rsidRDefault="00BB7AA9">
      <w:pPr>
        <w:spacing w:after="0" w:line="276" w:lineRule="auto"/>
        <w:jc w:val="both"/>
        <w:rPr>
          <w:rFonts w:ascii="Times New Roman" w:eastAsia="Times New Roman" w:hAnsi="Times New Roman" w:cs="Times New Roman"/>
          <w:b/>
          <w:sz w:val="24"/>
          <w:szCs w:val="24"/>
        </w:rPr>
      </w:pPr>
    </w:p>
    <w:p w14:paraId="581C5BC3" w14:textId="6D476F26"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b/>
          <w:sz w:val="24"/>
          <w:szCs w:val="24"/>
        </w:rPr>
        <w:t>Figure S1</w:t>
      </w:r>
      <w:r w:rsidR="0001712E" w:rsidRPr="005F44EF">
        <w:rPr>
          <w:rFonts w:ascii="Times New Roman" w:eastAsia="Times New Roman" w:hAnsi="Times New Roman" w:cs="Times New Roman"/>
          <w:b/>
          <w:sz w:val="24"/>
          <w:szCs w:val="24"/>
        </w:rPr>
        <w:t>8</w:t>
      </w:r>
      <w:r w:rsidRPr="005F44EF">
        <w:rPr>
          <w:rFonts w:ascii="Times New Roman" w:eastAsia="Times New Roman" w:hAnsi="Times New Roman" w:cs="Times New Roman"/>
          <w:b/>
          <w:sz w:val="24"/>
          <w:szCs w:val="24"/>
        </w:rPr>
        <w:t xml:space="preserve">: </w:t>
      </w:r>
      <w:r w:rsidRPr="005F44EF">
        <w:rPr>
          <w:rFonts w:ascii="Times New Roman" w:eastAsia="Times New Roman" w:hAnsi="Times New Roman" w:cs="Times New Roman"/>
          <w:sz w:val="24"/>
          <w:szCs w:val="24"/>
        </w:rPr>
        <w:t>C2 diagram of percentages of phytoliths types. NB. Samples 21, 22, 26, 27 and 36 are calculated on phytolith counts below the statistically viable minimum number of recorded phytoliths so interpretation should be with caution.</w:t>
      </w:r>
    </w:p>
    <w:p w14:paraId="3E4DF6B0" w14:textId="77777777"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noProof/>
          <w:sz w:val="24"/>
          <w:szCs w:val="24"/>
          <w:lang w:val="en-AU" w:eastAsia="en-AU"/>
        </w:rPr>
        <w:drawing>
          <wp:inline distT="114300" distB="114300" distL="114300" distR="114300" wp14:anchorId="504BA627" wp14:editId="205336BD">
            <wp:extent cx="5972810" cy="2794000"/>
            <wp:effectExtent l="0" t="0" r="5715" b="0"/>
            <wp:docPr id="7"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43"/>
                    <a:srcRect/>
                    <a:stretch>
                      <a:fillRect/>
                    </a:stretch>
                  </pic:blipFill>
                  <pic:spPr>
                    <a:xfrm>
                      <a:off x="0" y="0"/>
                      <a:ext cx="5972810" cy="2794000"/>
                    </a:xfrm>
                    <a:prstGeom prst="rect">
                      <a:avLst/>
                    </a:prstGeom>
                    <a:ln/>
                  </pic:spPr>
                </pic:pic>
              </a:graphicData>
            </a:graphic>
          </wp:inline>
        </w:drawing>
      </w:r>
    </w:p>
    <w:p w14:paraId="4FFD9BF9" w14:textId="0A602AAA" w:rsidR="00BB7AA9" w:rsidRPr="005F44EF" w:rsidRDefault="00B9564D">
      <w:pPr>
        <w:spacing w:before="240" w:after="24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lastRenderedPageBreak/>
        <w:t xml:space="preserve">All of the arboreal phytolith types identified are produced in most dicotyledons so cannot be attributed to genus or species. All samples </w:t>
      </w:r>
      <w:r w:rsidR="000D62DC" w:rsidRPr="005F44EF">
        <w:rPr>
          <w:rFonts w:ascii="Times New Roman" w:eastAsia="Times New Roman" w:hAnsi="Times New Roman" w:cs="Times New Roman"/>
          <w:sz w:val="24"/>
          <w:szCs w:val="24"/>
        </w:rPr>
        <w:t>(</w:t>
      </w:r>
      <w:r w:rsidR="000D62DC" w:rsidRPr="005F44EF">
        <w:rPr>
          <w:rFonts w:ascii="Times New Roman" w:eastAsia="Times New Roman" w:hAnsi="Times New Roman" w:cs="Times New Roman"/>
          <w:b/>
          <w:sz w:val="24"/>
          <w:szCs w:val="24"/>
        </w:rPr>
        <w:t>Figure S1</w:t>
      </w:r>
      <w:r w:rsidR="0001712E" w:rsidRPr="005F44EF">
        <w:rPr>
          <w:rFonts w:ascii="Times New Roman" w:eastAsia="Times New Roman" w:hAnsi="Times New Roman" w:cs="Times New Roman"/>
          <w:b/>
          <w:sz w:val="24"/>
          <w:szCs w:val="24"/>
        </w:rPr>
        <w:t>8</w:t>
      </w:r>
      <w:r w:rsidR="000D62DC"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are dominated by arboreal phytolith types (82-96%). Sample 10 has the most palm phytoliths</w:t>
      </w:r>
      <w:r w:rsidR="000D62DC"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 xml:space="preserve">(7%), samples 22 and 36 have no palm phytoliths. Sample 36 has the highest percentage of grasses (18%), followed by sample 27 (~16%) the lowest grasses being in the uppermost samples (10 and 11), there is a peak in grasses in sample 27, the remainder having between 4 and 11% grass phytoliths. Most of the grass phytoliths identified are produced in most species of grasses, however elongate smooth and sinuate can be attributed to grass leaves and stems (rather than the inflorescence). Short celled </w:t>
      </w:r>
      <w:proofErr w:type="spellStart"/>
      <w:r w:rsidRPr="005F44EF">
        <w:rPr>
          <w:rFonts w:ascii="Times New Roman" w:eastAsia="Times New Roman" w:hAnsi="Times New Roman" w:cs="Times New Roman"/>
          <w:sz w:val="24"/>
          <w:szCs w:val="24"/>
        </w:rPr>
        <w:t>bilobe</w:t>
      </w:r>
      <w:proofErr w:type="spellEnd"/>
      <w:r w:rsidRPr="005F44EF">
        <w:rPr>
          <w:rFonts w:ascii="Times New Roman" w:eastAsia="Times New Roman" w:hAnsi="Times New Roman" w:cs="Times New Roman"/>
          <w:sz w:val="24"/>
          <w:szCs w:val="24"/>
        </w:rPr>
        <w:t xml:space="preserve"> phytoliths were identified in three of the samples, these are predominantly produced in C4 grasses. Silica aggregate is produced in the bark of trees and is dominant in sample 27, and high in samples 22, 31 and 36.</w:t>
      </w:r>
    </w:p>
    <w:p w14:paraId="4F5577B9" w14:textId="4E5F979B" w:rsidR="00BB7AA9" w:rsidRPr="005F44EF" w:rsidRDefault="00B9564D">
      <w:pPr>
        <w:spacing w:before="240" w:after="24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Because samples 10, 11, 30 and 31 (the four samples with &gt;250 identifiable phytoliths and therefore statistically viable) are not likely to be stratigraphically contemporary (Sample 30/31 are nearly 3m deeper than </w:t>
      </w:r>
      <w:r w:rsidR="000D62DC" w:rsidRPr="005F44EF">
        <w:rPr>
          <w:rFonts w:ascii="Times New Roman" w:eastAsia="Times New Roman" w:hAnsi="Times New Roman" w:cs="Times New Roman"/>
          <w:sz w:val="24"/>
          <w:szCs w:val="24"/>
        </w:rPr>
        <w:t xml:space="preserve">samples </w:t>
      </w:r>
      <w:r w:rsidRPr="005F44EF">
        <w:rPr>
          <w:rFonts w:ascii="Times New Roman" w:eastAsia="Times New Roman" w:hAnsi="Times New Roman" w:cs="Times New Roman"/>
          <w:sz w:val="24"/>
          <w:szCs w:val="24"/>
        </w:rPr>
        <w:t>10/11) we can examine the ratio of grasses, tree and palms to see if there is a change in vegetation composition by depth. Samples 30 and 31, the stratigraphically older samples, are likely to be an arboreal dominated environment with more grasses in comparison to sample 10/11 which are also arboreal dominated but with less grasses. The least palms are in sample 31 and the most in sample 10. There is also more silica aggregate (from tree bark) in the deeper samples in comparison to the samples at the top of the analysed sequence.</w:t>
      </w:r>
    </w:p>
    <w:p w14:paraId="2A6B35D8" w14:textId="5698A3A2" w:rsidR="00BB7AA9" w:rsidRPr="005F44EF" w:rsidRDefault="00B9564D" w:rsidP="008524E9">
      <w:pPr>
        <w:pStyle w:val="Heading2"/>
        <w:rPr>
          <w:rFonts w:cs="Times New Roman"/>
        </w:rPr>
      </w:pPr>
      <w:bookmarkStart w:id="101" w:name="_Toc178429942"/>
      <w:r w:rsidRPr="005F44EF">
        <w:rPr>
          <w:rFonts w:cs="Times New Roman"/>
        </w:rPr>
        <w:t>4.3. Pollen Analyses</w:t>
      </w:r>
      <w:bookmarkEnd w:id="101"/>
    </w:p>
    <w:p w14:paraId="6DFD65D3" w14:textId="77777777" w:rsidR="00BB7AA9" w:rsidRPr="005F44EF" w:rsidRDefault="00B9564D" w:rsidP="008524E9">
      <w:pPr>
        <w:pStyle w:val="Heading3"/>
        <w:rPr>
          <w:rFonts w:cs="Times New Roman"/>
        </w:rPr>
      </w:pPr>
      <w:bookmarkStart w:id="102" w:name="_Toc178429943"/>
      <w:r w:rsidRPr="005F44EF">
        <w:rPr>
          <w:rFonts w:cs="Times New Roman"/>
        </w:rPr>
        <w:t>4.3.1 Laboratory Methods</w:t>
      </w:r>
      <w:bookmarkEnd w:id="102"/>
    </w:p>
    <w:p w14:paraId="2D383EFF" w14:textId="77777777" w:rsidR="00BB7AA9" w:rsidRPr="005F44EF" w:rsidRDefault="00BB7AA9">
      <w:pPr>
        <w:spacing w:after="0" w:line="276" w:lineRule="auto"/>
        <w:jc w:val="both"/>
        <w:rPr>
          <w:rFonts w:ascii="Times New Roman" w:eastAsia="Times New Roman" w:hAnsi="Times New Roman" w:cs="Times New Roman"/>
          <w:sz w:val="24"/>
          <w:szCs w:val="24"/>
        </w:rPr>
      </w:pPr>
    </w:p>
    <w:p w14:paraId="61D5937A" w14:textId="5F28B68E" w:rsidR="00BB7AA9" w:rsidRPr="005F44EF" w:rsidRDefault="00CD6CCC">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Analysed s</w:t>
      </w:r>
      <w:r w:rsidR="00B9564D" w:rsidRPr="005F44EF">
        <w:rPr>
          <w:rFonts w:ascii="Times New Roman" w:eastAsia="Times New Roman" w:hAnsi="Times New Roman" w:cs="Times New Roman"/>
          <w:sz w:val="24"/>
          <w:szCs w:val="24"/>
        </w:rPr>
        <w:t>amples (</w:t>
      </w:r>
      <w:r w:rsidR="00B9564D" w:rsidRPr="005F44EF">
        <w:rPr>
          <w:rFonts w:ascii="Times New Roman" w:eastAsia="Times New Roman" w:hAnsi="Times New Roman" w:cs="Times New Roman"/>
          <w:b/>
          <w:sz w:val="24"/>
          <w:szCs w:val="24"/>
        </w:rPr>
        <w:t>Table S</w:t>
      </w:r>
      <w:r w:rsidR="0001712E" w:rsidRPr="005F44EF">
        <w:rPr>
          <w:rFonts w:ascii="Times New Roman" w:eastAsia="Times New Roman" w:hAnsi="Times New Roman" w:cs="Times New Roman"/>
          <w:b/>
          <w:sz w:val="24"/>
          <w:szCs w:val="24"/>
        </w:rPr>
        <w:t>15</w:t>
      </w:r>
      <w:r w:rsidR="00B9564D" w:rsidRPr="005F44EF">
        <w:rPr>
          <w:rFonts w:ascii="Times New Roman" w:eastAsia="Times New Roman" w:hAnsi="Times New Roman" w:cs="Times New Roman"/>
          <w:sz w:val="24"/>
          <w:szCs w:val="24"/>
        </w:rPr>
        <w:t xml:space="preserve">) were shipped to the IASCE paleoecology laboratory at the University of South Florida, Tampa. Samples were weighed and their volume was estimated using displacement. Two tablets of Lycopodium sp. spores were added to each sample (Batch #100320201) and dissolved with 10% Hydrochloric acid (HCl). Samples were centrifugated-decanted-rinsed until pH neutral, and then placed on a shaker overnight in </w:t>
      </w:r>
      <w:proofErr w:type="spellStart"/>
      <w:r w:rsidR="00B9564D" w:rsidRPr="005F44EF">
        <w:rPr>
          <w:rFonts w:ascii="Times New Roman" w:eastAsia="Times New Roman" w:hAnsi="Times New Roman" w:cs="Times New Roman"/>
          <w:sz w:val="24"/>
          <w:szCs w:val="24"/>
        </w:rPr>
        <w:t>calgon</w:t>
      </w:r>
      <w:proofErr w:type="spellEnd"/>
      <w:r w:rsidR="00B9564D" w:rsidRPr="005F44EF">
        <w:rPr>
          <w:rFonts w:ascii="Times New Roman" w:eastAsia="Times New Roman" w:hAnsi="Times New Roman" w:cs="Times New Roman"/>
          <w:sz w:val="24"/>
          <w:szCs w:val="24"/>
        </w:rPr>
        <w:t xml:space="preserve"> solution (10% sodium hexametaphosphate). Fine materials were isolated using gravity separation and screening through 250µm sieves. Degraded and other complex organics were digested in a </w:t>
      </w:r>
      <w:r w:rsidR="00E7043F" w:rsidRPr="005F44EF">
        <w:rPr>
          <w:rFonts w:ascii="Times New Roman" w:eastAsia="Times New Roman" w:hAnsi="Times New Roman" w:cs="Times New Roman"/>
          <w:sz w:val="24"/>
          <w:szCs w:val="24"/>
        </w:rPr>
        <w:t>10-minute</w:t>
      </w:r>
      <w:r w:rsidR="00B9564D" w:rsidRPr="005F44EF">
        <w:rPr>
          <w:rFonts w:ascii="Times New Roman" w:eastAsia="Times New Roman" w:hAnsi="Times New Roman" w:cs="Times New Roman"/>
          <w:sz w:val="24"/>
          <w:szCs w:val="24"/>
        </w:rPr>
        <w:t xml:space="preserve"> hot bath at 80º C in a 10% Potassium Hydroxide solution. Samples were then centrifuged, the solution was decanted, and a small (~0.5 ml) volume of concentrated (27%) HCl was added to the samples. Samples were centrifugated-decanted-rinsed until their pH became neutral and the supernatant is clean. Samples were rinsed into 99% Glacial Acetic Acid, centrifugated-decanted, and then were treated using the Acetolysis reaction series. Acetolysis is triggered by the addition of a 9:1 solution of Acetic Anhydride and Sulfuric Acid, each at stock concentrations (99.5% and 48% respectively). Samples were left in a 90º C hot bath for 6 minutes, centrifugated-decanted, rinsed in Glacial Acetic Acid, and then centrifugated-decanted-rinsed until pH neutral. </w:t>
      </w:r>
      <w:proofErr w:type="spellStart"/>
      <w:r w:rsidR="00B9564D" w:rsidRPr="005F44EF">
        <w:rPr>
          <w:rFonts w:ascii="Times New Roman" w:eastAsia="Times New Roman" w:hAnsi="Times New Roman" w:cs="Times New Roman"/>
          <w:sz w:val="24"/>
          <w:szCs w:val="24"/>
        </w:rPr>
        <w:t>Microbotanical</w:t>
      </w:r>
      <w:proofErr w:type="spellEnd"/>
      <w:r w:rsidR="00B9564D" w:rsidRPr="005F44EF">
        <w:rPr>
          <w:rFonts w:ascii="Times New Roman" w:eastAsia="Times New Roman" w:hAnsi="Times New Roman" w:cs="Times New Roman"/>
          <w:sz w:val="24"/>
          <w:szCs w:val="24"/>
        </w:rPr>
        <w:t xml:space="preserve"> fossils were recovered from the remaining residue using density separation in a solution of 5% HCl and Zinc </w:t>
      </w:r>
      <w:r w:rsidR="00B9564D" w:rsidRPr="005F44EF">
        <w:rPr>
          <w:rFonts w:ascii="Times New Roman" w:eastAsia="Times New Roman" w:hAnsi="Times New Roman" w:cs="Times New Roman"/>
          <w:sz w:val="24"/>
          <w:szCs w:val="24"/>
        </w:rPr>
        <w:lastRenderedPageBreak/>
        <w:t xml:space="preserve">Bromide at a specific gravity of 2.3 g/ml. At this density, we were able to retrieve both pollen and phytoliths from the samples. This material was retrieved from the density separation in Ethanol with a pipette and then transferred into </w:t>
      </w:r>
      <w:proofErr w:type="spellStart"/>
      <w:r w:rsidR="00B9564D" w:rsidRPr="005F44EF">
        <w:rPr>
          <w:rFonts w:ascii="Times New Roman" w:eastAsia="Times New Roman" w:hAnsi="Times New Roman" w:cs="Times New Roman"/>
          <w:sz w:val="24"/>
          <w:szCs w:val="24"/>
        </w:rPr>
        <w:t>glycerin</w:t>
      </w:r>
      <w:proofErr w:type="spellEnd"/>
      <w:r w:rsidR="00B9564D" w:rsidRPr="005F44EF">
        <w:rPr>
          <w:rFonts w:ascii="Times New Roman" w:eastAsia="Times New Roman" w:hAnsi="Times New Roman" w:cs="Times New Roman"/>
          <w:sz w:val="24"/>
          <w:szCs w:val="24"/>
        </w:rPr>
        <w:t xml:space="preserve"> and stored in dram vials.</w:t>
      </w:r>
    </w:p>
    <w:p w14:paraId="7208A6EB" w14:textId="77777777" w:rsidR="00E26999" w:rsidRPr="005F44EF" w:rsidRDefault="00E26999" w:rsidP="00E26999">
      <w:pPr>
        <w:spacing w:after="0" w:line="276" w:lineRule="auto"/>
        <w:jc w:val="both"/>
        <w:rPr>
          <w:rFonts w:ascii="Times New Roman" w:eastAsia="Times New Roman" w:hAnsi="Times New Roman" w:cs="Times New Roman"/>
          <w:b/>
          <w:sz w:val="24"/>
          <w:szCs w:val="24"/>
        </w:rPr>
      </w:pPr>
    </w:p>
    <w:p w14:paraId="50F88978" w14:textId="22E6DCAA" w:rsidR="00E26999" w:rsidRPr="005F44EF" w:rsidRDefault="00E26999" w:rsidP="00E26999">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b/>
          <w:sz w:val="24"/>
          <w:szCs w:val="24"/>
        </w:rPr>
        <w:t>Table S1</w:t>
      </w:r>
      <w:r w:rsidR="0001712E" w:rsidRPr="005F44EF">
        <w:rPr>
          <w:rFonts w:ascii="Times New Roman" w:eastAsia="Times New Roman" w:hAnsi="Times New Roman" w:cs="Times New Roman"/>
          <w:b/>
          <w:sz w:val="24"/>
          <w:szCs w:val="24"/>
        </w:rPr>
        <w:t>5</w:t>
      </w:r>
      <w:r w:rsidRPr="005F44EF">
        <w:rPr>
          <w:rFonts w:ascii="Times New Roman" w:eastAsia="Times New Roman" w:hAnsi="Times New Roman" w:cs="Times New Roman"/>
          <w:sz w:val="24"/>
          <w:szCs w:val="24"/>
        </w:rPr>
        <w:t>: sample numbers, depths, weights, and number of Lycopodium tracer spores added.</w:t>
      </w:r>
    </w:p>
    <w:tbl>
      <w:tblPr>
        <w:tblStyle w:val="a8"/>
        <w:tblW w:w="94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1"/>
        <w:gridCol w:w="2351"/>
        <w:gridCol w:w="2352"/>
        <w:gridCol w:w="2352"/>
      </w:tblGrid>
      <w:tr w:rsidR="00BB7AA9" w:rsidRPr="005F44EF" w14:paraId="6E15D3FB" w14:textId="77777777" w:rsidTr="00217793">
        <w:tc>
          <w:tcPr>
            <w:tcW w:w="2351" w:type="dxa"/>
            <w:tcBorders>
              <w:top w:val="single" w:sz="4" w:space="0" w:color="auto"/>
              <w:left w:val="nil"/>
              <w:bottom w:val="single" w:sz="6" w:space="0" w:color="000000"/>
              <w:right w:val="nil"/>
            </w:tcBorders>
            <w:shd w:val="clear" w:color="auto" w:fill="D9D9D9" w:themeFill="background1" w:themeFillShade="D9"/>
            <w:tcMar>
              <w:top w:w="0" w:type="dxa"/>
              <w:left w:w="100" w:type="dxa"/>
              <w:bottom w:w="0" w:type="dxa"/>
              <w:right w:w="100" w:type="dxa"/>
            </w:tcMar>
            <w:vAlign w:val="center"/>
          </w:tcPr>
          <w:p w14:paraId="42A53909"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b/>
                <w:sz w:val="18"/>
                <w:szCs w:val="24"/>
              </w:rPr>
            </w:pPr>
            <w:r w:rsidRPr="005F44EF">
              <w:rPr>
                <w:rFonts w:ascii="Times New Roman" w:eastAsia="Times New Roman" w:hAnsi="Times New Roman" w:cs="Times New Roman"/>
                <w:b/>
                <w:sz w:val="18"/>
                <w:szCs w:val="24"/>
              </w:rPr>
              <w:t>Sample number</w:t>
            </w:r>
          </w:p>
        </w:tc>
        <w:tc>
          <w:tcPr>
            <w:tcW w:w="2351" w:type="dxa"/>
            <w:tcBorders>
              <w:top w:val="single" w:sz="4" w:space="0" w:color="auto"/>
              <w:left w:val="nil"/>
              <w:bottom w:val="single" w:sz="6" w:space="0" w:color="000000"/>
              <w:right w:val="nil"/>
            </w:tcBorders>
            <w:shd w:val="clear" w:color="auto" w:fill="D9D9D9" w:themeFill="background1" w:themeFillShade="D9"/>
            <w:tcMar>
              <w:top w:w="0" w:type="dxa"/>
              <w:left w:w="100" w:type="dxa"/>
              <w:bottom w:w="0" w:type="dxa"/>
              <w:right w:w="100" w:type="dxa"/>
            </w:tcMar>
            <w:vAlign w:val="center"/>
          </w:tcPr>
          <w:p w14:paraId="5789F3DF"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b/>
                <w:sz w:val="18"/>
                <w:szCs w:val="24"/>
              </w:rPr>
            </w:pPr>
            <w:r w:rsidRPr="005F44EF">
              <w:rPr>
                <w:rFonts w:ascii="Times New Roman" w:eastAsia="Times New Roman" w:hAnsi="Times New Roman" w:cs="Times New Roman"/>
                <w:b/>
                <w:sz w:val="18"/>
                <w:szCs w:val="24"/>
              </w:rPr>
              <w:t>Depth cm</w:t>
            </w:r>
          </w:p>
        </w:tc>
        <w:tc>
          <w:tcPr>
            <w:tcW w:w="2352" w:type="dxa"/>
            <w:tcBorders>
              <w:top w:val="single" w:sz="4" w:space="0" w:color="auto"/>
              <w:left w:val="nil"/>
              <w:bottom w:val="single" w:sz="6" w:space="0" w:color="000000"/>
              <w:right w:val="nil"/>
            </w:tcBorders>
            <w:shd w:val="clear" w:color="auto" w:fill="D9D9D9" w:themeFill="background1" w:themeFillShade="D9"/>
            <w:tcMar>
              <w:top w:w="0" w:type="dxa"/>
              <w:left w:w="100" w:type="dxa"/>
              <w:bottom w:w="0" w:type="dxa"/>
              <w:right w:w="100" w:type="dxa"/>
            </w:tcMar>
            <w:vAlign w:val="center"/>
          </w:tcPr>
          <w:p w14:paraId="625D978A"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b/>
                <w:sz w:val="18"/>
                <w:szCs w:val="24"/>
              </w:rPr>
            </w:pPr>
            <w:r w:rsidRPr="005F44EF">
              <w:rPr>
                <w:rFonts w:ascii="Times New Roman" w:eastAsia="Times New Roman" w:hAnsi="Times New Roman" w:cs="Times New Roman"/>
                <w:b/>
                <w:sz w:val="18"/>
                <w:szCs w:val="24"/>
              </w:rPr>
              <w:t>Weight g.</w:t>
            </w:r>
          </w:p>
        </w:tc>
        <w:tc>
          <w:tcPr>
            <w:tcW w:w="2352" w:type="dxa"/>
            <w:tcBorders>
              <w:top w:val="single" w:sz="4" w:space="0" w:color="auto"/>
              <w:left w:val="nil"/>
              <w:bottom w:val="single" w:sz="6" w:space="0" w:color="000000"/>
              <w:right w:val="nil"/>
            </w:tcBorders>
            <w:shd w:val="clear" w:color="auto" w:fill="D9D9D9" w:themeFill="background1" w:themeFillShade="D9"/>
            <w:tcMar>
              <w:top w:w="0" w:type="dxa"/>
              <w:left w:w="100" w:type="dxa"/>
              <w:bottom w:w="0" w:type="dxa"/>
              <w:right w:w="100" w:type="dxa"/>
            </w:tcMar>
            <w:vAlign w:val="center"/>
          </w:tcPr>
          <w:p w14:paraId="3B8B67B1"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b/>
                <w:sz w:val="18"/>
                <w:szCs w:val="24"/>
              </w:rPr>
            </w:pPr>
            <w:r w:rsidRPr="005F44EF">
              <w:rPr>
                <w:rFonts w:ascii="Times New Roman" w:eastAsia="Times New Roman" w:hAnsi="Times New Roman" w:cs="Times New Roman"/>
                <w:b/>
                <w:sz w:val="18"/>
                <w:szCs w:val="24"/>
              </w:rPr>
              <w:t>Lycopodium Added</w:t>
            </w:r>
          </w:p>
        </w:tc>
      </w:tr>
      <w:tr w:rsidR="00BB7AA9" w:rsidRPr="005F44EF" w14:paraId="5E580C08" w14:textId="77777777" w:rsidTr="00217793">
        <w:tc>
          <w:tcPr>
            <w:tcW w:w="2351" w:type="dxa"/>
            <w:tcBorders>
              <w:top w:val="nil"/>
              <w:left w:val="nil"/>
              <w:bottom w:val="nil"/>
              <w:right w:val="nil"/>
            </w:tcBorders>
            <w:tcMar>
              <w:top w:w="0" w:type="dxa"/>
              <w:left w:w="100" w:type="dxa"/>
              <w:bottom w:w="0" w:type="dxa"/>
              <w:right w:w="100" w:type="dxa"/>
            </w:tcMar>
            <w:vAlign w:val="center"/>
          </w:tcPr>
          <w:p w14:paraId="5672267D"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10</w:t>
            </w:r>
          </w:p>
        </w:tc>
        <w:tc>
          <w:tcPr>
            <w:tcW w:w="2351" w:type="dxa"/>
            <w:tcBorders>
              <w:top w:val="nil"/>
              <w:left w:val="nil"/>
              <w:bottom w:val="nil"/>
              <w:right w:val="nil"/>
            </w:tcBorders>
            <w:tcMar>
              <w:top w:w="0" w:type="dxa"/>
              <w:left w:w="100" w:type="dxa"/>
              <w:bottom w:w="0" w:type="dxa"/>
              <w:right w:w="100" w:type="dxa"/>
            </w:tcMar>
            <w:vAlign w:val="center"/>
          </w:tcPr>
          <w:p w14:paraId="743B6F3C"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100</w:t>
            </w:r>
          </w:p>
        </w:tc>
        <w:tc>
          <w:tcPr>
            <w:tcW w:w="2352" w:type="dxa"/>
            <w:tcBorders>
              <w:top w:val="nil"/>
              <w:left w:val="nil"/>
              <w:bottom w:val="nil"/>
              <w:right w:val="nil"/>
            </w:tcBorders>
            <w:tcMar>
              <w:top w:w="0" w:type="dxa"/>
              <w:left w:w="100" w:type="dxa"/>
              <w:bottom w:w="0" w:type="dxa"/>
              <w:right w:w="100" w:type="dxa"/>
            </w:tcMar>
            <w:vAlign w:val="center"/>
          </w:tcPr>
          <w:p w14:paraId="27274B3B"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5</w:t>
            </w:r>
          </w:p>
        </w:tc>
        <w:tc>
          <w:tcPr>
            <w:tcW w:w="2352" w:type="dxa"/>
            <w:tcBorders>
              <w:top w:val="nil"/>
              <w:left w:val="nil"/>
              <w:bottom w:val="nil"/>
              <w:right w:val="nil"/>
            </w:tcBorders>
            <w:tcMar>
              <w:top w:w="0" w:type="dxa"/>
              <w:left w:w="100" w:type="dxa"/>
              <w:bottom w:w="0" w:type="dxa"/>
              <w:right w:w="100" w:type="dxa"/>
            </w:tcMar>
            <w:vAlign w:val="center"/>
          </w:tcPr>
          <w:p w14:paraId="297DE8C8"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57138</w:t>
            </w:r>
          </w:p>
        </w:tc>
      </w:tr>
      <w:tr w:rsidR="00BB7AA9" w:rsidRPr="005F44EF" w14:paraId="149B4FA4" w14:textId="77777777" w:rsidTr="00217793">
        <w:tc>
          <w:tcPr>
            <w:tcW w:w="2351" w:type="dxa"/>
            <w:tcBorders>
              <w:top w:val="nil"/>
              <w:left w:val="nil"/>
              <w:bottom w:val="nil"/>
              <w:right w:val="nil"/>
            </w:tcBorders>
            <w:tcMar>
              <w:top w:w="0" w:type="dxa"/>
              <w:left w:w="100" w:type="dxa"/>
              <w:bottom w:w="0" w:type="dxa"/>
              <w:right w:w="100" w:type="dxa"/>
            </w:tcMar>
            <w:vAlign w:val="center"/>
          </w:tcPr>
          <w:p w14:paraId="72D284C4"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11</w:t>
            </w:r>
          </w:p>
        </w:tc>
        <w:tc>
          <w:tcPr>
            <w:tcW w:w="2351" w:type="dxa"/>
            <w:tcBorders>
              <w:top w:val="nil"/>
              <w:left w:val="nil"/>
              <w:bottom w:val="nil"/>
              <w:right w:val="nil"/>
            </w:tcBorders>
            <w:tcMar>
              <w:top w:w="0" w:type="dxa"/>
              <w:left w:w="100" w:type="dxa"/>
              <w:bottom w:w="0" w:type="dxa"/>
              <w:right w:w="100" w:type="dxa"/>
            </w:tcMar>
            <w:vAlign w:val="center"/>
          </w:tcPr>
          <w:p w14:paraId="113C48B2"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110</w:t>
            </w:r>
          </w:p>
        </w:tc>
        <w:tc>
          <w:tcPr>
            <w:tcW w:w="2352" w:type="dxa"/>
            <w:tcBorders>
              <w:top w:val="nil"/>
              <w:left w:val="nil"/>
              <w:bottom w:val="nil"/>
              <w:right w:val="nil"/>
            </w:tcBorders>
            <w:tcMar>
              <w:top w:w="0" w:type="dxa"/>
              <w:left w:w="100" w:type="dxa"/>
              <w:bottom w:w="0" w:type="dxa"/>
              <w:right w:w="100" w:type="dxa"/>
            </w:tcMar>
            <w:vAlign w:val="center"/>
          </w:tcPr>
          <w:p w14:paraId="50BD80F2"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5</w:t>
            </w:r>
          </w:p>
        </w:tc>
        <w:tc>
          <w:tcPr>
            <w:tcW w:w="2352" w:type="dxa"/>
            <w:tcBorders>
              <w:top w:val="nil"/>
              <w:left w:val="nil"/>
              <w:bottom w:val="nil"/>
              <w:right w:val="nil"/>
            </w:tcBorders>
            <w:tcMar>
              <w:top w:w="0" w:type="dxa"/>
              <w:left w:w="100" w:type="dxa"/>
              <w:bottom w:w="0" w:type="dxa"/>
              <w:right w:w="100" w:type="dxa"/>
            </w:tcMar>
            <w:vAlign w:val="center"/>
          </w:tcPr>
          <w:p w14:paraId="1108AB2B"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57138</w:t>
            </w:r>
          </w:p>
        </w:tc>
      </w:tr>
      <w:tr w:rsidR="00BB7AA9" w:rsidRPr="005F44EF" w14:paraId="269E9BBE" w14:textId="77777777" w:rsidTr="00217793">
        <w:tc>
          <w:tcPr>
            <w:tcW w:w="2351" w:type="dxa"/>
            <w:tcBorders>
              <w:top w:val="nil"/>
              <w:left w:val="nil"/>
              <w:bottom w:val="nil"/>
              <w:right w:val="nil"/>
            </w:tcBorders>
            <w:tcMar>
              <w:top w:w="0" w:type="dxa"/>
              <w:left w:w="100" w:type="dxa"/>
              <w:bottom w:w="0" w:type="dxa"/>
              <w:right w:w="100" w:type="dxa"/>
            </w:tcMar>
            <w:vAlign w:val="center"/>
          </w:tcPr>
          <w:p w14:paraId="254AF0D7"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21</w:t>
            </w:r>
          </w:p>
        </w:tc>
        <w:tc>
          <w:tcPr>
            <w:tcW w:w="2351" w:type="dxa"/>
            <w:tcBorders>
              <w:top w:val="nil"/>
              <w:left w:val="nil"/>
              <w:bottom w:val="nil"/>
              <w:right w:val="nil"/>
            </w:tcBorders>
            <w:tcMar>
              <w:top w:w="0" w:type="dxa"/>
              <w:left w:w="100" w:type="dxa"/>
              <w:bottom w:w="0" w:type="dxa"/>
              <w:right w:w="100" w:type="dxa"/>
            </w:tcMar>
            <w:vAlign w:val="center"/>
          </w:tcPr>
          <w:p w14:paraId="47062CAA"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210</w:t>
            </w:r>
          </w:p>
        </w:tc>
        <w:tc>
          <w:tcPr>
            <w:tcW w:w="2352" w:type="dxa"/>
            <w:tcBorders>
              <w:top w:val="nil"/>
              <w:left w:val="nil"/>
              <w:bottom w:val="nil"/>
              <w:right w:val="nil"/>
            </w:tcBorders>
            <w:tcMar>
              <w:top w:w="0" w:type="dxa"/>
              <w:left w:w="100" w:type="dxa"/>
              <w:bottom w:w="0" w:type="dxa"/>
              <w:right w:w="100" w:type="dxa"/>
            </w:tcMar>
            <w:vAlign w:val="center"/>
          </w:tcPr>
          <w:p w14:paraId="52EC5750"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5</w:t>
            </w:r>
          </w:p>
        </w:tc>
        <w:tc>
          <w:tcPr>
            <w:tcW w:w="2352" w:type="dxa"/>
            <w:tcBorders>
              <w:top w:val="nil"/>
              <w:left w:val="nil"/>
              <w:bottom w:val="nil"/>
              <w:right w:val="nil"/>
            </w:tcBorders>
            <w:tcMar>
              <w:top w:w="0" w:type="dxa"/>
              <w:left w:w="100" w:type="dxa"/>
              <w:bottom w:w="0" w:type="dxa"/>
              <w:right w:w="100" w:type="dxa"/>
            </w:tcMar>
            <w:vAlign w:val="center"/>
          </w:tcPr>
          <w:p w14:paraId="4FDE84EF"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57138</w:t>
            </w:r>
          </w:p>
        </w:tc>
      </w:tr>
      <w:tr w:rsidR="00BB7AA9" w:rsidRPr="005F44EF" w14:paraId="14B17F0A" w14:textId="77777777" w:rsidTr="00217793">
        <w:tc>
          <w:tcPr>
            <w:tcW w:w="2351" w:type="dxa"/>
            <w:tcBorders>
              <w:top w:val="nil"/>
              <w:left w:val="nil"/>
              <w:bottom w:val="nil"/>
              <w:right w:val="nil"/>
            </w:tcBorders>
            <w:tcMar>
              <w:top w:w="0" w:type="dxa"/>
              <w:left w:w="100" w:type="dxa"/>
              <w:bottom w:w="0" w:type="dxa"/>
              <w:right w:w="100" w:type="dxa"/>
            </w:tcMar>
            <w:vAlign w:val="center"/>
          </w:tcPr>
          <w:p w14:paraId="2DC9967A"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22</w:t>
            </w:r>
          </w:p>
        </w:tc>
        <w:tc>
          <w:tcPr>
            <w:tcW w:w="2351" w:type="dxa"/>
            <w:tcBorders>
              <w:top w:val="nil"/>
              <w:left w:val="nil"/>
              <w:bottom w:val="nil"/>
              <w:right w:val="nil"/>
            </w:tcBorders>
            <w:tcMar>
              <w:top w:w="0" w:type="dxa"/>
              <w:left w:w="100" w:type="dxa"/>
              <w:bottom w:w="0" w:type="dxa"/>
              <w:right w:w="100" w:type="dxa"/>
            </w:tcMar>
            <w:vAlign w:val="center"/>
          </w:tcPr>
          <w:p w14:paraId="299E809E"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220</w:t>
            </w:r>
          </w:p>
        </w:tc>
        <w:tc>
          <w:tcPr>
            <w:tcW w:w="2352" w:type="dxa"/>
            <w:tcBorders>
              <w:top w:val="nil"/>
              <w:left w:val="nil"/>
              <w:bottom w:val="nil"/>
              <w:right w:val="nil"/>
            </w:tcBorders>
            <w:tcMar>
              <w:top w:w="0" w:type="dxa"/>
              <w:left w:w="100" w:type="dxa"/>
              <w:bottom w:w="0" w:type="dxa"/>
              <w:right w:w="100" w:type="dxa"/>
            </w:tcMar>
            <w:vAlign w:val="center"/>
          </w:tcPr>
          <w:p w14:paraId="40B8ED03"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5</w:t>
            </w:r>
          </w:p>
        </w:tc>
        <w:tc>
          <w:tcPr>
            <w:tcW w:w="2352" w:type="dxa"/>
            <w:tcBorders>
              <w:top w:val="nil"/>
              <w:left w:val="nil"/>
              <w:bottom w:val="nil"/>
              <w:right w:val="nil"/>
            </w:tcBorders>
            <w:tcMar>
              <w:top w:w="0" w:type="dxa"/>
              <w:left w:w="100" w:type="dxa"/>
              <w:bottom w:w="0" w:type="dxa"/>
              <w:right w:w="100" w:type="dxa"/>
            </w:tcMar>
            <w:vAlign w:val="center"/>
          </w:tcPr>
          <w:p w14:paraId="11696E19"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57138</w:t>
            </w:r>
          </w:p>
        </w:tc>
      </w:tr>
      <w:tr w:rsidR="00BB7AA9" w:rsidRPr="005F44EF" w14:paraId="74B19736" w14:textId="77777777" w:rsidTr="00217793">
        <w:tc>
          <w:tcPr>
            <w:tcW w:w="2351" w:type="dxa"/>
            <w:tcBorders>
              <w:top w:val="nil"/>
              <w:left w:val="nil"/>
              <w:bottom w:val="nil"/>
              <w:right w:val="nil"/>
            </w:tcBorders>
            <w:tcMar>
              <w:top w:w="0" w:type="dxa"/>
              <w:left w:w="100" w:type="dxa"/>
              <w:bottom w:w="0" w:type="dxa"/>
              <w:right w:w="100" w:type="dxa"/>
            </w:tcMar>
            <w:vAlign w:val="center"/>
          </w:tcPr>
          <w:p w14:paraId="786360D2"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26</w:t>
            </w:r>
          </w:p>
        </w:tc>
        <w:tc>
          <w:tcPr>
            <w:tcW w:w="2351" w:type="dxa"/>
            <w:tcBorders>
              <w:top w:val="nil"/>
              <w:left w:val="nil"/>
              <w:bottom w:val="nil"/>
              <w:right w:val="nil"/>
            </w:tcBorders>
            <w:tcMar>
              <w:top w:w="0" w:type="dxa"/>
              <w:left w:w="100" w:type="dxa"/>
              <w:bottom w:w="0" w:type="dxa"/>
              <w:right w:w="100" w:type="dxa"/>
            </w:tcMar>
            <w:vAlign w:val="center"/>
          </w:tcPr>
          <w:p w14:paraId="17864F5A"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260</w:t>
            </w:r>
          </w:p>
        </w:tc>
        <w:tc>
          <w:tcPr>
            <w:tcW w:w="2352" w:type="dxa"/>
            <w:tcBorders>
              <w:top w:val="nil"/>
              <w:left w:val="nil"/>
              <w:bottom w:val="nil"/>
              <w:right w:val="nil"/>
            </w:tcBorders>
            <w:tcMar>
              <w:top w:w="0" w:type="dxa"/>
              <w:left w:w="100" w:type="dxa"/>
              <w:bottom w:w="0" w:type="dxa"/>
              <w:right w:w="100" w:type="dxa"/>
            </w:tcMar>
            <w:vAlign w:val="center"/>
          </w:tcPr>
          <w:p w14:paraId="169EFB4D"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5</w:t>
            </w:r>
          </w:p>
        </w:tc>
        <w:tc>
          <w:tcPr>
            <w:tcW w:w="2352" w:type="dxa"/>
            <w:tcBorders>
              <w:top w:val="nil"/>
              <w:left w:val="nil"/>
              <w:bottom w:val="nil"/>
              <w:right w:val="nil"/>
            </w:tcBorders>
            <w:tcMar>
              <w:top w:w="0" w:type="dxa"/>
              <w:left w:w="100" w:type="dxa"/>
              <w:bottom w:w="0" w:type="dxa"/>
              <w:right w:w="100" w:type="dxa"/>
            </w:tcMar>
            <w:vAlign w:val="center"/>
          </w:tcPr>
          <w:p w14:paraId="6C1B7703"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57138</w:t>
            </w:r>
          </w:p>
        </w:tc>
      </w:tr>
      <w:tr w:rsidR="00BB7AA9" w:rsidRPr="005F44EF" w14:paraId="52BDCC91" w14:textId="77777777" w:rsidTr="00217793">
        <w:tc>
          <w:tcPr>
            <w:tcW w:w="2351" w:type="dxa"/>
            <w:tcBorders>
              <w:top w:val="nil"/>
              <w:left w:val="nil"/>
              <w:bottom w:val="nil"/>
              <w:right w:val="nil"/>
            </w:tcBorders>
            <w:tcMar>
              <w:top w:w="0" w:type="dxa"/>
              <w:left w:w="100" w:type="dxa"/>
              <w:bottom w:w="0" w:type="dxa"/>
              <w:right w:w="100" w:type="dxa"/>
            </w:tcMar>
            <w:vAlign w:val="center"/>
          </w:tcPr>
          <w:p w14:paraId="5C02ECD3"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27</w:t>
            </w:r>
          </w:p>
        </w:tc>
        <w:tc>
          <w:tcPr>
            <w:tcW w:w="2351" w:type="dxa"/>
            <w:tcBorders>
              <w:top w:val="nil"/>
              <w:left w:val="nil"/>
              <w:bottom w:val="nil"/>
              <w:right w:val="nil"/>
            </w:tcBorders>
            <w:tcMar>
              <w:top w:w="0" w:type="dxa"/>
              <w:left w:w="100" w:type="dxa"/>
              <w:bottom w:w="0" w:type="dxa"/>
              <w:right w:w="100" w:type="dxa"/>
            </w:tcMar>
            <w:vAlign w:val="center"/>
          </w:tcPr>
          <w:p w14:paraId="77443E61"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270</w:t>
            </w:r>
          </w:p>
        </w:tc>
        <w:tc>
          <w:tcPr>
            <w:tcW w:w="2352" w:type="dxa"/>
            <w:tcBorders>
              <w:top w:val="nil"/>
              <w:left w:val="nil"/>
              <w:bottom w:val="nil"/>
              <w:right w:val="nil"/>
            </w:tcBorders>
            <w:tcMar>
              <w:top w:w="0" w:type="dxa"/>
              <w:left w:w="100" w:type="dxa"/>
              <w:bottom w:w="0" w:type="dxa"/>
              <w:right w:w="100" w:type="dxa"/>
            </w:tcMar>
            <w:vAlign w:val="center"/>
          </w:tcPr>
          <w:p w14:paraId="101A0661"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5</w:t>
            </w:r>
          </w:p>
        </w:tc>
        <w:tc>
          <w:tcPr>
            <w:tcW w:w="2352" w:type="dxa"/>
            <w:tcBorders>
              <w:top w:val="nil"/>
              <w:left w:val="nil"/>
              <w:bottom w:val="nil"/>
              <w:right w:val="nil"/>
            </w:tcBorders>
            <w:tcMar>
              <w:top w:w="0" w:type="dxa"/>
              <w:left w:w="100" w:type="dxa"/>
              <w:bottom w:w="0" w:type="dxa"/>
              <w:right w:w="100" w:type="dxa"/>
            </w:tcMar>
            <w:vAlign w:val="center"/>
          </w:tcPr>
          <w:p w14:paraId="51736385"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57138</w:t>
            </w:r>
          </w:p>
        </w:tc>
      </w:tr>
      <w:tr w:rsidR="00BB7AA9" w:rsidRPr="005F44EF" w14:paraId="04181571" w14:textId="77777777" w:rsidTr="00217793">
        <w:tc>
          <w:tcPr>
            <w:tcW w:w="2351" w:type="dxa"/>
            <w:tcBorders>
              <w:top w:val="nil"/>
              <w:left w:val="nil"/>
              <w:bottom w:val="nil"/>
              <w:right w:val="nil"/>
            </w:tcBorders>
            <w:tcMar>
              <w:top w:w="0" w:type="dxa"/>
              <w:left w:w="100" w:type="dxa"/>
              <w:bottom w:w="0" w:type="dxa"/>
              <w:right w:w="100" w:type="dxa"/>
            </w:tcMar>
            <w:vAlign w:val="center"/>
          </w:tcPr>
          <w:p w14:paraId="565DBC0D"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30</w:t>
            </w:r>
          </w:p>
        </w:tc>
        <w:tc>
          <w:tcPr>
            <w:tcW w:w="2351" w:type="dxa"/>
            <w:tcBorders>
              <w:top w:val="nil"/>
              <w:left w:val="nil"/>
              <w:bottom w:val="nil"/>
              <w:right w:val="nil"/>
            </w:tcBorders>
            <w:tcMar>
              <w:top w:w="0" w:type="dxa"/>
              <w:left w:w="100" w:type="dxa"/>
              <w:bottom w:w="0" w:type="dxa"/>
              <w:right w:w="100" w:type="dxa"/>
            </w:tcMar>
            <w:vAlign w:val="center"/>
          </w:tcPr>
          <w:p w14:paraId="650435B5"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300</w:t>
            </w:r>
          </w:p>
        </w:tc>
        <w:tc>
          <w:tcPr>
            <w:tcW w:w="2352" w:type="dxa"/>
            <w:tcBorders>
              <w:top w:val="nil"/>
              <w:left w:val="nil"/>
              <w:bottom w:val="nil"/>
              <w:right w:val="nil"/>
            </w:tcBorders>
            <w:tcMar>
              <w:top w:w="0" w:type="dxa"/>
              <w:left w:w="100" w:type="dxa"/>
              <w:bottom w:w="0" w:type="dxa"/>
              <w:right w:w="100" w:type="dxa"/>
            </w:tcMar>
            <w:vAlign w:val="center"/>
          </w:tcPr>
          <w:p w14:paraId="6D8D4BAD"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5</w:t>
            </w:r>
          </w:p>
        </w:tc>
        <w:tc>
          <w:tcPr>
            <w:tcW w:w="2352" w:type="dxa"/>
            <w:tcBorders>
              <w:top w:val="nil"/>
              <w:left w:val="nil"/>
              <w:bottom w:val="nil"/>
              <w:right w:val="nil"/>
            </w:tcBorders>
            <w:tcMar>
              <w:top w:w="0" w:type="dxa"/>
              <w:left w:w="100" w:type="dxa"/>
              <w:bottom w:w="0" w:type="dxa"/>
              <w:right w:w="100" w:type="dxa"/>
            </w:tcMar>
            <w:vAlign w:val="center"/>
          </w:tcPr>
          <w:p w14:paraId="609D0D67"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57138</w:t>
            </w:r>
          </w:p>
        </w:tc>
      </w:tr>
      <w:tr w:rsidR="00BB7AA9" w:rsidRPr="005F44EF" w14:paraId="7A5D6C3A" w14:textId="77777777" w:rsidTr="00217793">
        <w:tc>
          <w:tcPr>
            <w:tcW w:w="2351" w:type="dxa"/>
            <w:tcBorders>
              <w:top w:val="nil"/>
              <w:left w:val="nil"/>
              <w:bottom w:val="nil"/>
              <w:right w:val="nil"/>
            </w:tcBorders>
            <w:tcMar>
              <w:top w:w="0" w:type="dxa"/>
              <w:left w:w="100" w:type="dxa"/>
              <w:bottom w:w="0" w:type="dxa"/>
              <w:right w:w="100" w:type="dxa"/>
            </w:tcMar>
            <w:vAlign w:val="center"/>
          </w:tcPr>
          <w:p w14:paraId="2AFB4E8B"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31</w:t>
            </w:r>
          </w:p>
        </w:tc>
        <w:tc>
          <w:tcPr>
            <w:tcW w:w="2351" w:type="dxa"/>
            <w:tcBorders>
              <w:top w:val="nil"/>
              <w:left w:val="nil"/>
              <w:bottom w:val="nil"/>
              <w:right w:val="nil"/>
            </w:tcBorders>
            <w:tcMar>
              <w:top w:w="0" w:type="dxa"/>
              <w:left w:w="100" w:type="dxa"/>
              <w:bottom w:w="0" w:type="dxa"/>
              <w:right w:w="100" w:type="dxa"/>
            </w:tcMar>
            <w:vAlign w:val="center"/>
          </w:tcPr>
          <w:p w14:paraId="0600F0B5"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310</w:t>
            </w:r>
          </w:p>
        </w:tc>
        <w:tc>
          <w:tcPr>
            <w:tcW w:w="2352" w:type="dxa"/>
            <w:tcBorders>
              <w:top w:val="nil"/>
              <w:left w:val="nil"/>
              <w:bottom w:val="nil"/>
              <w:right w:val="nil"/>
            </w:tcBorders>
            <w:tcMar>
              <w:top w:w="0" w:type="dxa"/>
              <w:left w:w="100" w:type="dxa"/>
              <w:bottom w:w="0" w:type="dxa"/>
              <w:right w:w="100" w:type="dxa"/>
            </w:tcMar>
            <w:vAlign w:val="center"/>
          </w:tcPr>
          <w:p w14:paraId="6D1F0ACC"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5</w:t>
            </w:r>
          </w:p>
        </w:tc>
        <w:tc>
          <w:tcPr>
            <w:tcW w:w="2352" w:type="dxa"/>
            <w:tcBorders>
              <w:top w:val="nil"/>
              <w:left w:val="nil"/>
              <w:bottom w:val="nil"/>
              <w:right w:val="nil"/>
            </w:tcBorders>
            <w:tcMar>
              <w:top w:w="0" w:type="dxa"/>
              <w:left w:w="100" w:type="dxa"/>
              <w:bottom w:w="0" w:type="dxa"/>
              <w:right w:w="100" w:type="dxa"/>
            </w:tcMar>
            <w:vAlign w:val="center"/>
          </w:tcPr>
          <w:p w14:paraId="5AEE130B"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57138</w:t>
            </w:r>
          </w:p>
        </w:tc>
      </w:tr>
      <w:tr w:rsidR="00BB7AA9" w:rsidRPr="005F44EF" w14:paraId="4A6F2CAE" w14:textId="77777777" w:rsidTr="00217793">
        <w:tc>
          <w:tcPr>
            <w:tcW w:w="2351" w:type="dxa"/>
            <w:tcBorders>
              <w:top w:val="nil"/>
              <w:left w:val="nil"/>
              <w:bottom w:val="nil"/>
              <w:right w:val="nil"/>
            </w:tcBorders>
            <w:tcMar>
              <w:top w:w="0" w:type="dxa"/>
              <w:left w:w="100" w:type="dxa"/>
              <w:bottom w:w="0" w:type="dxa"/>
              <w:right w:w="100" w:type="dxa"/>
            </w:tcMar>
            <w:vAlign w:val="center"/>
          </w:tcPr>
          <w:p w14:paraId="6D0DE81A"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36</w:t>
            </w:r>
          </w:p>
        </w:tc>
        <w:tc>
          <w:tcPr>
            <w:tcW w:w="2351" w:type="dxa"/>
            <w:tcBorders>
              <w:top w:val="nil"/>
              <w:left w:val="nil"/>
              <w:bottom w:val="nil"/>
              <w:right w:val="nil"/>
            </w:tcBorders>
            <w:tcMar>
              <w:top w:w="0" w:type="dxa"/>
              <w:left w:w="100" w:type="dxa"/>
              <w:bottom w:w="0" w:type="dxa"/>
              <w:right w:w="100" w:type="dxa"/>
            </w:tcMar>
            <w:vAlign w:val="center"/>
          </w:tcPr>
          <w:p w14:paraId="498E112D"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360</w:t>
            </w:r>
          </w:p>
        </w:tc>
        <w:tc>
          <w:tcPr>
            <w:tcW w:w="2352" w:type="dxa"/>
            <w:tcBorders>
              <w:top w:val="nil"/>
              <w:left w:val="nil"/>
              <w:bottom w:val="nil"/>
              <w:right w:val="nil"/>
            </w:tcBorders>
            <w:tcMar>
              <w:top w:w="0" w:type="dxa"/>
              <w:left w:w="100" w:type="dxa"/>
              <w:bottom w:w="0" w:type="dxa"/>
              <w:right w:w="100" w:type="dxa"/>
            </w:tcMar>
            <w:vAlign w:val="center"/>
          </w:tcPr>
          <w:p w14:paraId="6A35BC31"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5</w:t>
            </w:r>
          </w:p>
        </w:tc>
        <w:tc>
          <w:tcPr>
            <w:tcW w:w="2352" w:type="dxa"/>
            <w:tcBorders>
              <w:top w:val="nil"/>
              <w:left w:val="nil"/>
              <w:bottom w:val="nil"/>
              <w:right w:val="nil"/>
            </w:tcBorders>
            <w:tcMar>
              <w:top w:w="0" w:type="dxa"/>
              <w:left w:w="100" w:type="dxa"/>
              <w:bottom w:w="0" w:type="dxa"/>
              <w:right w:w="100" w:type="dxa"/>
            </w:tcMar>
            <w:vAlign w:val="center"/>
          </w:tcPr>
          <w:p w14:paraId="2A81A3A1"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24"/>
              </w:rPr>
            </w:pPr>
            <w:r w:rsidRPr="005F44EF">
              <w:rPr>
                <w:rFonts w:ascii="Times New Roman" w:eastAsia="Times New Roman" w:hAnsi="Times New Roman" w:cs="Times New Roman"/>
                <w:sz w:val="18"/>
                <w:szCs w:val="24"/>
              </w:rPr>
              <w:t>57138</w:t>
            </w:r>
          </w:p>
        </w:tc>
      </w:tr>
    </w:tbl>
    <w:p w14:paraId="74A365AB" w14:textId="77777777" w:rsidR="00BB7AA9" w:rsidRPr="005F44EF" w:rsidRDefault="00BB7AA9">
      <w:pPr>
        <w:spacing w:after="0" w:line="276" w:lineRule="auto"/>
        <w:jc w:val="both"/>
        <w:rPr>
          <w:rFonts w:ascii="Times New Roman" w:eastAsia="Times New Roman" w:hAnsi="Times New Roman" w:cs="Times New Roman"/>
          <w:sz w:val="24"/>
          <w:szCs w:val="24"/>
        </w:rPr>
      </w:pPr>
    </w:p>
    <w:p w14:paraId="3B803766" w14:textId="77777777" w:rsidR="00BB7AA9" w:rsidRPr="005F44EF" w:rsidRDefault="00B9564D" w:rsidP="008524E9">
      <w:pPr>
        <w:pStyle w:val="Heading3"/>
        <w:rPr>
          <w:rFonts w:cs="Times New Roman"/>
        </w:rPr>
      </w:pPr>
      <w:bookmarkStart w:id="103" w:name="_Toc178429944"/>
      <w:r w:rsidRPr="005F44EF">
        <w:rPr>
          <w:rFonts w:cs="Times New Roman"/>
        </w:rPr>
        <w:t>4.3.2 Analytical Methods</w:t>
      </w:r>
      <w:bookmarkEnd w:id="103"/>
    </w:p>
    <w:p w14:paraId="40DA1BA5" w14:textId="77777777" w:rsidR="00BB7AA9" w:rsidRPr="005F44EF" w:rsidRDefault="00BB7AA9">
      <w:pPr>
        <w:spacing w:after="0" w:line="276" w:lineRule="auto"/>
        <w:jc w:val="both"/>
        <w:rPr>
          <w:rFonts w:ascii="Times New Roman" w:eastAsia="Times New Roman" w:hAnsi="Times New Roman" w:cs="Times New Roman"/>
          <w:sz w:val="24"/>
          <w:szCs w:val="24"/>
        </w:rPr>
      </w:pPr>
    </w:p>
    <w:p w14:paraId="0A636FBF" w14:textId="039A0032"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Samples were mounted on glass slides in </w:t>
      </w:r>
      <w:proofErr w:type="spellStart"/>
      <w:r w:rsidRPr="005F44EF">
        <w:rPr>
          <w:rFonts w:ascii="Times New Roman" w:eastAsia="Times New Roman" w:hAnsi="Times New Roman" w:cs="Times New Roman"/>
          <w:sz w:val="24"/>
          <w:szCs w:val="24"/>
        </w:rPr>
        <w:t>glycerin</w:t>
      </w:r>
      <w:proofErr w:type="spellEnd"/>
      <w:r w:rsidRPr="005F44EF">
        <w:rPr>
          <w:rFonts w:ascii="Times New Roman" w:eastAsia="Times New Roman" w:hAnsi="Times New Roman" w:cs="Times New Roman"/>
          <w:sz w:val="24"/>
          <w:szCs w:val="24"/>
        </w:rPr>
        <w:t xml:space="preserve"> and were fixed under a cover slip with fingernail polish. Analysis was conducted using a binocular light microscope by counting the number of </w:t>
      </w:r>
      <w:r w:rsidRPr="005F44EF">
        <w:rPr>
          <w:rFonts w:ascii="Times New Roman" w:eastAsia="Times New Roman" w:hAnsi="Times New Roman" w:cs="Times New Roman"/>
          <w:i/>
          <w:sz w:val="24"/>
          <w:szCs w:val="24"/>
        </w:rPr>
        <w:t>Lycopodium</w:t>
      </w:r>
      <w:r w:rsidRPr="005F44EF">
        <w:rPr>
          <w:rFonts w:ascii="Times New Roman" w:eastAsia="Times New Roman" w:hAnsi="Times New Roman" w:cs="Times New Roman"/>
          <w:sz w:val="24"/>
          <w:szCs w:val="24"/>
        </w:rPr>
        <w:t xml:space="preserve"> tracer spores, native fern spores, and pollen encountered during vertical transects across the microscope slide at 400x magnification. Pollen and spores were photographed and identified at 400x and 1000x magnification using published reference material</w:t>
      </w:r>
      <w:r w:rsidR="00B6715C"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uthor":[{"dropping-particle":"","family":"Caratini","given":"C.","non-dropping-particle":"","parse-names":false,"suffix":""},{"dropping-particle":"","family":"Guinet","given":"P","non-dropping-particle":"","parse-names":false,"suffix":""}],"container-title":"Association des Palynologues de Langue francaise","id":"ITEM-1","issued":{"date-parts":[["1974"]]},"title":"Pollen et Spores d ' Afrique tropicale","type":"article-journal"},"uris":["http://www.mendeley.com/documents/?uuid=a3362136-c1ee-480a-b21f-c1a98e7eb602"]},{"id":"ITEM-2","itemData":{"ISBN":"2709905450","author":[{"dropping-particle":"","family":"Ybert","given":"J.P","non-dropping-particle":"","parse-names":false,"suffix":""}],"id":"ITEM-2","issued":{"date-parts":[["1979"]]},"number-of-pages":"68","title":"Atlas de pollens de cote d'Ivoire","type":"book"},"uris":["http://www.mendeley.com/documents/?uuid=fbefb8b7-3860-4046-86fc-f08f097977cd"]},{"id":"ITEM-3","itemData":{"DOI":"10.1016/J.REVPALBO.2013.01.003","ISSN":"0034-6667","abstract":"The accurate and consistent identification of fossil pollen is essential to allow robust inferences to be drawn with regard to past climate and vegetation change. Identifications are best achieved through the direct inspection of reference material. Most substantial reference collections are held at prestigious universities in Europe or the United States of America which can restrict access for researchers trying to advance palynology in less developed countries. Digital imaging and fast spreading access to the internet means that it is now possible to produce and disseminate high quality images from pollen reference collections. In this paper we contribute to this growing body of work by presenting images of 364 pollen taxa from West Tropical Africa both as printed plates with a key, and within an associated online searchable database. © 2013 Elsevier B.V.","author":[{"dropping-particle":"","family":"Gosling","given":"William D.","non-dropping-particle":"","parse-names":false,"suffix":""},{"dropping-particle":"","family":"Miller","given":"Charlotte S.","non-dropping-particle":"","parse-names":false,"suffix":""},{"dropping-particle":"","family":"Livingstone","given":"Daniel A.","non-dropping-particle":"","parse-names":false,"suffix":""}],"container-title":"Review of Palaeobotany and Palynology","id":"ITEM-3","issued":{"date-parts":[["2013","12","1"]]},"page":"1-135","publisher":"Elsevier","title":"Atlas of the tropical West African pollen flora","type":"article-journal","volume":"199"},"uris":["http://www.mendeley.com/documents/?uuid=791d32a3-4191-3aad-89fc-3148a07514b5"]}],"mendeley":{"formattedCitation":"&lt;sup&gt;130–132&lt;/sup&gt;","plainTextFormattedCitation":"130–132","previouslyFormattedCitation":"&lt;sup&gt;130–132&lt;/sup&gt;"},"properties":{"noteIndex":0},"schema":"https://github.com/citation-style-language/schema/raw/master/csl-citation.json"}</w:instrText>
      </w:r>
      <w:r w:rsidR="00B6715C"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130–132</w:t>
      </w:r>
      <w:r w:rsidR="00B6715C"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 online reference material (African Pollen Database</w:t>
      </w:r>
      <w:r w:rsidR="00943A0A">
        <w:rPr>
          <w:rFonts w:ascii="Times New Roman" w:eastAsia="Times New Roman" w:hAnsi="Times New Roman" w:cs="Times New Roman"/>
          <w:sz w:val="24"/>
          <w:szCs w:val="24"/>
        </w:rPr>
        <w:t xml:space="preserve">, available here: </w:t>
      </w:r>
      <w:r w:rsidR="00943A0A" w:rsidRPr="00943A0A">
        <w:rPr>
          <w:rFonts w:ascii="Times New Roman" w:eastAsia="Times New Roman" w:hAnsi="Times New Roman" w:cs="Times New Roman"/>
          <w:sz w:val="24"/>
          <w:szCs w:val="24"/>
        </w:rPr>
        <w:t>https://africanpollendatabase.ipsl.fr</w:t>
      </w:r>
      <w:r w:rsidRPr="005F44EF">
        <w:rPr>
          <w:rFonts w:ascii="Times New Roman" w:eastAsia="Times New Roman" w:hAnsi="Times New Roman" w:cs="Times New Roman"/>
          <w:sz w:val="24"/>
          <w:szCs w:val="24"/>
        </w:rPr>
        <w:t xml:space="preserve">), and unpublished digitised reference material held at </w:t>
      </w:r>
      <w:proofErr w:type="spellStart"/>
      <w:r w:rsidRPr="005F44EF">
        <w:rPr>
          <w:rFonts w:ascii="Times New Roman" w:eastAsia="Times New Roman" w:hAnsi="Times New Roman" w:cs="Times New Roman"/>
          <w:sz w:val="24"/>
          <w:szCs w:val="24"/>
        </w:rPr>
        <w:t>Göthe</w:t>
      </w:r>
      <w:proofErr w:type="spellEnd"/>
      <w:r w:rsidRPr="005F44EF">
        <w:rPr>
          <w:rFonts w:ascii="Times New Roman" w:eastAsia="Times New Roman" w:hAnsi="Times New Roman" w:cs="Times New Roman"/>
          <w:sz w:val="24"/>
          <w:szCs w:val="24"/>
        </w:rPr>
        <w:t xml:space="preserve"> Universität, Pierre et Marie Curie </w:t>
      </w:r>
      <w:proofErr w:type="spellStart"/>
      <w:r w:rsidRPr="005F44EF">
        <w:rPr>
          <w:rFonts w:ascii="Times New Roman" w:eastAsia="Times New Roman" w:hAnsi="Times New Roman" w:cs="Times New Roman"/>
          <w:sz w:val="24"/>
          <w:szCs w:val="24"/>
        </w:rPr>
        <w:t>Université</w:t>
      </w:r>
      <w:proofErr w:type="spellEnd"/>
      <w:r w:rsidRPr="005F44EF">
        <w:rPr>
          <w:rFonts w:ascii="Times New Roman" w:eastAsia="Times New Roman" w:hAnsi="Times New Roman" w:cs="Times New Roman"/>
          <w:sz w:val="24"/>
          <w:szCs w:val="24"/>
        </w:rPr>
        <w:t>, and CEREGE. Tracers, spores, and pollen were tallied until either a total of 200 pollen were encountered or 100 Lycopodium spores were encountered.</w:t>
      </w:r>
      <w:r w:rsidR="00651581">
        <w:rPr>
          <w:rFonts w:ascii="Times New Roman" w:eastAsia="Times New Roman" w:hAnsi="Times New Roman" w:cs="Times New Roman"/>
          <w:sz w:val="24"/>
          <w:szCs w:val="24"/>
        </w:rPr>
        <w:t xml:space="preserve"> A</w:t>
      </w:r>
      <w:r w:rsidR="00651581" w:rsidRPr="00651581">
        <w:rPr>
          <w:rFonts w:ascii="Times New Roman" w:eastAsia="Times New Roman" w:hAnsi="Times New Roman" w:cs="Times New Roman"/>
          <w:sz w:val="24"/>
          <w:szCs w:val="24"/>
        </w:rPr>
        <w:t xml:space="preserve">ll the plots related to the pollen analysis were </w:t>
      </w:r>
      <w:r w:rsidR="00651581">
        <w:rPr>
          <w:rFonts w:ascii="Times New Roman" w:eastAsia="Times New Roman" w:hAnsi="Times New Roman" w:cs="Times New Roman"/>
          <w:sz w:val="24"/>
          <w:szCs w:val="24"/>
        </w:rPr>
        <w:t>generated</w:t>
      </w:r>
      <w:r w:rsidR="00651581" w:rsidRPr="00651581">
        <w:rPr>
          <w:rFonts w:ascii="Times New Roman" w:eastAsia="Times New Roman" w:hAnsi="Times New Roman" w:cs="Times New Roman"/>
          <w:sz w:val="24"/>
          <w:szCs w:val="24"/>
        </w:rPr>
        <w:t xml:space="preserve"> with R Statistical Software </w:t>
      </w:r>
      <w:r w:rsidR="00651581">
        <w:rPr>
          <w:rFonts w:ascii="Times New Roman" w:eastAsia="Times New Roman" w:hAnsi="Times New Roman" w:cs="Times New Roman"/>
          <w:sz w:val="24"/>
          <w:szCs w:val="24"/>
        </w:rPr>
        <w:t>using the ‘</w:t>
      </w:r>
      <w:proofErr w:type="spellStart"/>
      <w:r w:rsidR="00651581" w:rsidRPr="00651581">
        <w:rPr>
          <w:rFonts w:ascii="Times New Roman" w:eastAsia="Times New Roman" w:hAnsi="Times New Roman" w:cs="Times New Roman"/>
          <w:sz w:val="24"/>
          <w:szCs w:val="24"/>
        </w:rPr>
        <w:t>wesanderson</w:t>
      </w:r>
      <w:proofErr w:type="spellEnd"/>
      <w:r w:rsidR="00651581" w:rsidRPr="00651581">
        <w:rPr>
          <w:rFonts w:ascii="Times New Roman" w:eastAsia="Times New Roman" w:hAnsi="Times New Roman" w:cs="Times New Roman"/>
          <w:sz w:val="24"/>
          <w:szCs w:val="24"/>
        </w:rPr>
        <w:t>' package</w:t>
      </w:r>
      <w:r w:rsidR="00651581">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10.32614/CRAN.PACKAGE.WESANDERSON","author":[{"dropping-particle":"","family":"Ram","given":"Karthik","non-dropping-particle":"","parse-names":false,"suffix":""},{"dropping-particle":"","family":"Wickham","given":"Hadley","non-dropping-particle":"","parse-names":false,"suffix":""}],"container-title":"CRAN: Contributed Packages","id":"ITEM-1","issued":{"date-parts":[["2023","10","31"]]},"publisher":"Comprehensive R Archive Network (CRAN)","title":"A Wes Anderson Palette Generator [R package wesanderson version 0.3.7]","type":"article-journal"},"uris":["http://www.mendeley.com/documents/?uuid=14da541f-8266-3bbb-9d9c-bf3cbe4b1fd7"]}],"mendeley":{"formattedCitation":"&lt;sup&gt;133&lt;/sup&gt;","plainTextFormattedCitation":"133","previouslyFormattedCitation":"&lt;sup&gt;133&lt;/sup&gt;"},"properties":{"noteIndex":0},"schema":"https://github.com/citation-style-language/schema/raw/master/csl-citation.json"}</w:instrText>
      </w:r>
      <w:r w:rsidR="00651581">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133</w:t>
      </w:r>
      <w:r w:rsidR="00651581">
        <w:rPr>
          <w:rFonts w:ascii="Times New Roman" w:eastAsia="Times New Roman" w:hAnsi="Times New Roman" w:cs="Times New Roman"/>
          <w:sz w:val="24"/>
          <w:szCs w:val="24"/>
        </w:rPr>
        <w:fldChar w:fldCharType="end"/>
      </w:r>
      <w:r w:rsidR="00651581">
        <w:rPr>
          <w:rFonts w:ascii="Times New Roman" w:eastAsia="Times New Roman" w:hAnsi="Times New Roman" w:cs="Times New Roman"/>
          <w:sz w:val="24"/>
          <w:szCs w:val="24"/>
        </w:rPr>
        <w:t>.</w:t>
      </w:r>
    </w:p>
    <w:p w14:paraId="23C2ADF5" w14:textId="77777777" w:rsidR="00BB7AA9" w:rsidRPr="005F44EF" w:rsidRDefault="00BB7AA9">
      <w:pPr>
        <w:spacing w:after="0" w:line="276" w:lineRule="auto"/>
        <w:jc w:val="both"/>
        <w:rPr>
          <w:rFonts w:ascii="Times New Roman" w:eastAsia="Times New Roman" w:hAnsi="Times New Roman" w:cs="Times New Roman"/>
          <w:sz w:val="24"/>
          <w:szCs w:val="24"/>
        </w:rPr>
      </w:pPr>
    </w:p>
    <w:p w14:paraId="7E9852FC" w14:textId="77777777" w:rsidR="00BB7AA9" w:rsidRPr="005F44EF" w:rsidRDefault="00B9564D" w:rsidP="008524E9">
      <w:pPr>
        <w:pStyle w:val="Heading3"/>
        <w:rPr>
          <w:rFonts w:cs="Times New Roman"/>
        </w:rPr>
      </w:pPr>
      <w:bookmarkStart w:id="104" w:name="_Toc178429945"/>
      <w:r w:rsidRPr="005F44EF">
        <w:rPr>
          <w:rFonts w:cs="Times New Roman"/>
        </w:rPr>
        <w:t>4.3.3. Palynological Results</w:t>
      </w:r>
      <w:bookmarkEnd w:id="104"/>
    </w:p>
    <w:p w14:paraId="34B49C96" w14:textId="77777777" w:rsidR="00BB7AA9" w:rsidRPr="005F44EF" w:rsidRDefault="00BB7AA9">
      <w:pPr>
        <w:spacing w:after="0" w:line="276" w:lineRule="auto"/>
        <w:jc w:val="both"/>
        <w:rPr>
          <w:rFonts w:ascii="Times New Roman" w:eastAsia="Times New Roman" w:hAnsi="Times New Roman" w:cs="Times New Roman"/>
          <w:sz w:val="24"/>
          <w:szCs w:val="24"/>
        </w:rPr>
      </w:pPr>
    </w:p>
    <w:p w14:paraId="0FE7F6E5" w14:textId="10A21821" w:rsidR="00BB7AA9"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The Bété I </w:t>
      </w:r>
      <w:proofErr w:type="gramStart"/>
      <w:r w:rsidR="005D3EE7" w:rsidRPr="005F44EF">
        <w:rPr>
          <w:rFonts w:ascii="Times New Roman" w:eastAsia="Times New Roman" w:hAnsi="Times New Roman" w:cs="Times New Roman"/>
          <w:sz w:val="24"/>
          <w:szCs w:val="24"/>
        </w:rPr>
        <w:t>samples</w:t>
      </w:r>
      <w:proofErr w:type="gramEnd"/>
      <w:r w:rsidRPr="005F44EF">
        <w:rPr>
          <w:rFonts w:ascii="Times New Roman" w:eastAsia="Times New Roman" w:hAnsi="Times New Roman" w:cs="Times New Roman"/>
          <w:sz w:val="24"/>
          <w:szCs w:val="24"/>
        </w:rPr>
        <w:t xml:space="preserve"> </w:t>
      </w:r>
      <w:r w:rsidR="005D3EE7" w:rsidRPr="005F44EF">
        <w:rPr>
          <w:rFonts w:ascii="Times New Roman" w:eastAsia="Times New Roman" w:hAnsi="Times New Roman" w:cs="Times New Roman"/>
          <w:sz w:val="24"/>
          <w:szCs w:val="24"/>
        </w:rPr>
        <w:t>(</w:t>
      </w:r>
      <w:r w:rsidR="005D3EE7" w:rsidRPr="005F44EF">
        <w:rPr>
          <w:rFonts w:ascii="Times New Roman" w:eastAsia="Times New Roman" w:hAnsi="Times New Roman" w:cs="Times New Roman"/>
          <w:b/>
          <w:sz w:val="24"/>
          <w:szCs w:val="24"/>
        </w:rPr>
        <w:t>Table S1</w:t>
      </w:r>
      <w:r w:rsidR="0001712E" w:rsidRPr="005F44EF">
        <w:rPr>
          <w:rFonts w:ascii="Times New Roman" w:eastAsia="Times New Roman" w:hAnsi="Times New Roman" w:cs="Times New Roman"/>
          <w:b/>
          <w:sz w:val="24"/>
          <w:szCs w:val="24"/>
        </w:rPr>
        <w:t>6</w:t>
      </w:r>
      <w:r w:rsidR="005D3EE7"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 xml:space="preserve">show two phases of enhanced pollen preservation and concentration at 210 and 300 cm, separated by three nearly sterile samples. There is a high number of indeterminable </w:t>
      </w:r>
      <w:proofErr w:type="gramStart"/>
      <w:r w:rsidRPr="005F44EF">
        <w:rPr>
          <w:rFonts w:ascii="Times New Roman" w:eastAsia="Times New Roman" w:hAnsi="Times New Roman" w:cs="Times New Roman"/>
          <w:sz w:val="24"/>
          <w:szCs w:val="24"/>
        </w:rPr>
        <w:t>pollen</w:t>
      </w:r>
      <w:proofErr w:type="gramEnd"/>
      <w:r w:rsidRPr="005F44EF">
        <w:rPr>
          <w:rFonts w:ascii="Times New Roman" w:eastAsia="Times New Roman" w:hAnsi="Times New Roman" w:cs="Times New Roman"/>
          <w:sz w:val="24"/>
          <w:szCs w:val="24"/>
        </w:rPr>
        <w:t xml:space="preserve"> in the samples and these were classified as either entirely indeterminable or as indeterminable </w:t>
      </w:r>
      <w:proofErr w:type="spellStart"/>
      <w:r w:rsidRPr="005F44EF">
        <w:rPr>
          <w:rFonts w:ascii="Times New Roman" w:eastAsia="Times New Roman" w:hAnsi="Times New Roman" w:cs="Times New Roman"/>
          <w:sz w:val="24"/>
          <w:szCs w:val="24"/>
        </w:rPr>
        <w:t>eudicotyledons</w:t>
      </w:r>
      <w:proofErr w:type="spellEnd"/>
      <w:r w:rsidRPr="005F44EF">
        <w:rPr>
          <w:rFonts w:ascii="Times New Roman" w:eastAsia="Times New Roman" w:hAnsi="Times New Roman" w:cs="Times New Roman"/>
          <w:sz w:val="24"/>
          <w:szCs w:val="24"/>
        </w:rPr>
        <w:t xml:space="preserve">. The latter share some morphological traits which set them apart from monocots like grasses, sedges, and palms, but which were not preserved well enough to assign them to a pollen morphotaxon. In the samples with greater preservation, the pollen types represented in the samples include fern, grass, sedge, tree palms, climbing palms, annual weeds, trees/shrubs, and climbers. Below, these results are explored in greater detail starting with </w:t>
      </w:r>
      <w:r w:rsidRPr="005F44EF">
        <w:rPr>
          <w:rFonts w:ascii="Times New Roman" w:eastAsia="Times New Roman" w:hAnsi="Times New Roman" w:cs="Times New Roman"/>
          <w:sz w:val="24"/>
          <w:szCs w:val="24"/>
        </w:rPr>
        <w:lastRenderedPageBreak/>
        <w:t>assessments of fossil pollen recovery followed by a discussion of taxonomic representation in the samples.</w:t>
      </w:r>
    </w:p>
    <w:p w14:paraId="35846BA0" w14:textId="77777777" w:rsidR="000017BF" w:rsidRPr="005F44EF" w:rsidRDefault="000017BF">
      <w:pPr>
        <w:spacing w:after="0" w:line="276" w:lineRule="auto"/>
        <w:jc w:val="both"/>
        <w:rPr>
          <w:rFonts w:ascii="Times New Roman" w:eastAsia="Times New Roman" w:hAnsi="Times New Roman" w:cs="Times New Roman"/>
          <w:sz w:val="24"/>
          <w:szCs w:val="24"/>
        </w:rPr>
      </w:pPr>
    </w:p>
    <w:p w14:paraId="6314A10F" w14:textId="51B586C9" w:rsidR="00D467C1" w:rsidRPr="005F44EF" w:rsidRDefault="00D467C1" w:rsidP="00D467C1">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b/>
          <w:sz w:val="24"/>
          <w:szCs w:val="24"/>
        </w:rPr>
        <w:t>Table S1</w:t>
      </w:r>
      <w:r w:rsidR="0001712E" w:rsidRPr="005F44EF">
        <w:rPr>
          <w:rFonts w:ascii="Times New Roman" w:eastAsia="Times New Roman" w:hAnsi="Times New Roman" w:cs="Times New Roman"/>
          <w:b/>
          <w:sz w:val="24"/>
          <w:szCs w:val="24"/>
        </w:rPr>
        <w:t>6</w:t>
      </w:r>
      <w:r w:rsidRPr="005F44EF">
        <w:rPr>
          <w:rFonts w:ascii="Times New Roman" w:eastAsia="Times New Roman" w:hAnsi="Times New Roman" w:cs="Times New Roman"/>
          <w:b/>
          <w:sz w:val="24"/>
          <w:szCs w:val="24"/>
        </w:rPr>
        <w:t>:</w:t>
      </w:r>
      <w:r w:rsidRPr="005F44EF">
        <w:rPr>
          <w:rFonts w:ascii="Times New Roman" w:eastAsia="Times New Roman" w:hAnsi="Times New Roman" w:cs="Times New Roman"/>
          <w:sz w:val="24"/>
          <w:szCs w:val="24"/>
        </w:rPr>
        <w:t xml:space="preserve"> </w:t>
      </w:r>
      <w:r w:rsidR="00C615E9" w:rsidRPr="005F44EF">
        <w:rPr>
          <w:rFonts w:ascii="Times New Roman" w:eastAsia="Times New Roman" w:hAnsi="Times New Roman" w:cs="Times New Roman"/>
          <w:sz w:val="24"/>
          <w:szCs w:val="24"/>
        </w:rPr>
        <w:t>Bété I p</w:t>
      </w:r>
      <w:r w:rsidRPr="005F44EF">
        <w:rPr>
          <w:rFonts w:ascii="Times New Roman" w:eastAsia="Times New Roman" w:hAnsi="Times New Roman" w:cs="Times New Roman"/>
          <w:sz w:val="24"/>
          <w:szCs w:val="24"/>
        </w:rPr>
        <w:t>ollen, tracer spore, and fern spore counts.</w:t>
      </w:r>
    </w:p>
    <w:tbl>
      <w:tblPr>
        <w:tblStyle w:val="a9"/>
        <w:tblW w:w="94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82"/>
        <w:gridCol w:w="1881"/>
        <w:gridCol w:w="1881"/>
        <w:gridCol w:w="1881"/>
        <w:gridCol w:w="1881"/>
      </w:tblGrid>
      <w:tr w:rsidR="00BB7AA9" w:rsidRPr="005F44EF" w14:paraId="15DB5312" w14:textId="77777777" w:rsidTr="00217793">
        <w:tc>
          <w:tcPr>
            <w:tcW w:w="1882" w:type="dxa"/>
            <w:tcBorders>
              <w:top w:val="single" w:sz="4" w:space="0" w:color="auto"/>
              <w:left w:val="nil"/>
              <w:bottom w:val="single" w:sz="6" w:space="0" w:color="000000"/>
              <w:right w:val="nil"/>
            </w:tcBorders>
            <w:shd w:val="clear" w:color="auto" w:fill="D9D9D9" w:themeFill="background1" w:themeFillShade="D9"/>
            <w:tcMar>
              <w:top w:w="0" w:type="dxa"/>
              <w:left w:w="100" w:type="dxa"/>
              <w:bottom w:w="0" w:type="dxa"/>
              <w:right w:w="100" w:type="dxa"/>
            </w:tcMar>
            <w:vAlign w:val="bottom"/>
          </w:tcPr>
          <w:p w14:paraId="3CFE7264" w14:textId="77777777" w:rsidR="00BB7AA9" w:rsidRPr="005F44EF" w:rsidRDefault="00B9564D">
            <w:pPr>
              <w:widowControl w:val="0"/>
              <w:spacing w:before="40" w:after="40" w:line="240" w:lineRule="auto"/>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Sample number</w:t>
            </w:r>
          </w:p>
        </w:tc>
        <w:tc>
          <w:tcPr>
            <w:tcW w:w="1881" w:type="dxa"/>
            <w:tcBorders>
              <w:top w:val="single" w:sz="4" w:space="0" w:color="auto"/>
              <w:left w:val="nil"/>
              <w:bottom w:val="single" w:sz="6" w:space="0" w:color="000000"/>
              <w:right w:val="nil"/>
            </w:tcBorders>
            <w:shd w:val="clear" w:color="auto" w:fill="D9D9D9" w:themeFill="background1" w:themeFillShade="D9"/>
            <w:tcMar>
              <w:top w:w="0" w:type="dxa"/>
              <w:left w:w="100" w:type="dxa"/>
              <w:bottom w:w="0" w:type="dxa"/>
              <w:right w:w="100" w:type="dxa"/>
            </w:tcMar>
            <w:vAlign w:val="center"/>
          </w:tcPr>
          <w:p w14:paraId="08772BB7"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proofErr w:type="spellStart"/>
            <w:r w:rsidRPr="005F44EF">
              <w:rPr>
                <w:rFonts w:ascii="Times New Roman" w:eastAsia="Times New Roman" w:hAnsi="Times New Roman" w:cs="Times New Roman"/>
                <w:sz w:val="18"/>
                <w:szCs w:val="18"/>
              </w:rPr>
              <w:t>Lyco</w:t>
            </w:r>
            <w:proofErr w:type="spellEnd"/>
          </w:p>
        </w:tc>
        <w:tc>
          <w:tcPr>
            <w:tcW w:w="1881" w:type="dxa"/>
            <w:tcBorders>
              <w:top w:val="single" w:sz="4" w:space="0" w:color="auto"/>
              <w:left w:val="nil"/>
              <w:bottom w:val="single" w:sz="6" w:space="0" w:color="000000"/>
              <w:right w:val="nil"/>
            </w:tcBorders>
            <w:shd w:val="clear" w:color="auto" w:fill="D9D9D9" w:themeFill="background1" w:themeFillShade="D9"/>
            <w:tcMar>
              <w:top w:w="0" w:type="dxa"/>
              <w:left w:w="100" w:type="dxa"/>
              <w:bottom w:w="0" w:type="dxa"/>
              <w:right w:w="100" w:type="dxa"/>
            </w:tcMar>
            <w:vAlign w:val="center"/>
          </w:tcPr>
          <w:p w14:paraId="5ED4C699"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Ferns</w:t>
            </w:r>
          </w:p>
        </w:tc>
        <w:tc>
          <w:tcPr>
            <w:tcW w:w="1881" w:type="dxa"/>
            <w:tcBorders>
              <w:top w:val="single" w:sz="4" w:space="0" w:color="auto"/>
              <w:left w:val="nil"/>
              <w:bottom w:val="single" w:sz="6" w:space="0" w:color="000000"/>
              <w:right w:val="nil"/>
            </w:tcBorders>
            <w:shd w:val="clear" w:color="auto" w:fill="D9D9D9" w:themeFill="background1" w:themeFillShade="D9"/>
            <w:tcMar>
              <w:top w:w="0" w:type="dxa"/>
              <w:left w:w="100" w:type="dxa"/>
              <w:bottom w:w="0" w:type="dxa"/>
              <w:right w:w="100" w:type="dxa"/>
            </w:tcMar>
            <w:vAlign w:val="center"/>
          </w:tcPr>
          <w:p w14:paraId="23D3C17D"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proofErr w:type="spellStart"/>
            <w:r w:rsidRPr="005F44EF">
              <w:rPr>
                <w:rFonts w:ascii="Times New Roman" w:eastAsia="Times New Roman" w:hAnsi="Times New Roman" w:cs="Times New Roman"/>
                <w:sz w:val="18"/>
                <w:szCs w:val="18"/>
              </w:rPr>
              <w:t>Indet</w:t>
            </w:r>
            <w:proofErr w:type="spellEnd"/>
            <w:r w:rsidRPr="005F44EF">
              <w:rPr>
                <w:rFonts w:ascii="Times New Roman" w:eastAsia="Times New Roman" w:hAnsi="Times New Roman" w:cs="Times New Roman"/>
                <w:sz w:val="18"/>
                <w:szCs w:val="18"/>
              </w:rPr>
              <w:t>.</w:t>
            </w:r>
          </w:p>
        </w:tc>
        <w:tc>
          <w:tcPr>
            <w:tcW w:w="1881" w:type="dxa"/>
            <w:tcBorders>
              <w:top w:val="single" w:sz="4" w:space="0" w:color="auto"/>
              <w:left w:val="nil"/>
              <w:bottom w:val="single" w:sz="6" w:space="0" w:color="000000"/>
              <w:right w:val="nil"/>
            </w:tcBorders>
            <w:shd w:val="clear" w:color="auto" w:fill="D9D9D9" w:themeFill="background1" w:themeFillShade="D9"/>
            <w:tcMar>
              <w:top w:w="0" w:type="dxa"/>
              <w:left w:w="100" w:type="dxa"/>
              <w:bottom w:w="0" w:type="dxa"/>
              <w:right w:w="100" w:type="dxa"/>
            </w:tcMar>
            <w:vAlign w:val="center"/>
          </w:tcPr>
          <w:p w14:paraId="0DB28D17"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Pollen</w:t>
            </w:r>
          </w:p>
        </w:tc>
      </w:tr>
      <w:tr w:rsidR="00BB7AA9" w:rsidRPr="005F44EF" w14:paraId="103B82CD" w14:textId="77777777" w:rsidTr="00217793">
        <w:tc>
          <w:tcPr>
            <w:tcW w:w="1882" w:type="dxa"/>
            <w:tcBorders>
              <w:top w:val="nil"/>
              <w:left w:val="nil"/>
              <w:bottom w:val="nil"/>
              <w:right w:val="nil"/>
            </w:tcBorders>
            <w:tcMar>
              <w:top w:w="0" w:type="dxa"/>
              <w:left w:w="100" w:type="dxa"/>
              <w:bottom w:w="0" w:type="dxa"/>
              <w:right w:w="100" w:type="dxa"/>
            </w:tcMar>
          </w:tcPr>
          <w:p w14:paraId="1A0E975C" w14:textId="77777777" w:rsidR="00BB7AA9" w:rsidRPr="005F44EF" w:rsidRDefault="00B9564D">
            <w:pPr>
              <w:widowControl w:val="0"/>
              <w:spacing w:before="40" w:after="40" w:line="240" w:lineRule="auto"/>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10</w:t>
            </w:r>
          </w:p>
        </w:tc>
        <w:tc>
          <w:tcPr>
            <w:tcW w:w="1881" w:type="dxa"/>
            <w:tcBorders>
              <w:top w:val="nil"/>
              <w:left w:val="nil"/>
              <w:bottom w:val="nil"/>
              <w:right w:val="nil"/>
            </w:tcBorders>
            <w:tcMar>
              <w:top w:w="0" w:type="dxa"/>
              <w:left w:w="100" w:type="dxa"/>
              <w:bottom w:w="0" w:type="dxa"/>
              <w:right w:w="100" w:type="dxa"/>
            </w:tcMar>
            <w:vAlign w:val="center"/>
          </w:tcPr>
          <w:p w14:paraId="3CD15247"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11</w:t>
            </w:r>
          </w:p>
        </w:tc>
        <w:tc>
          <w:tcPr>
            <w:tcW w:w="1881" w:type="dxa"/>
            <w:tcBorders>
              <w:top w:val="nil"/>
              <w:left w:val="nil"/>
              <w:bottom w:val="nil"/>
              <w:right w:val="nil"/>
            </w:tcBorders>
            <w:tcMar>
              <w:top w:w="0" w:type="dxa"/>
              <w:left w:w="100" w:type="dxa"/>
              <w:bottom w:w="0" w:type="dxa"/>
              <w:right w:w="100" w:type="dxa"/>
            </w:tcMar>
            <w:vAlign w:val="center"/>
          </w:tcPr>
          <w:p w14:paraId="454E4DED"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29</w:t>
            </w:r>
          </w:p>
        </w:tc>
        <w:tc>
          <w:tcPr>
            <w:tcW w:w="1881" w:type="dxa"/>
            <w:tcBorders>
              <w:top w:val="nil"/>
              <w:left w:val="nil"/>
              <w:bottom w:val="nil"/>
              <w:right w:val="nil"/>
            </w:tcBorders>
            <w:tcMar>
              <w:top w:w="0" w:type="dxa"/>
              <w:left w:w="100" w:type="dxa"/>
              <w:bottom w:w="0" w:type="dxa"/>
              <w:right w:w="100" w:type="dxa"/>
            </w:tcMar>
            <w:vAlign w:val="center"/>
          </w:tcPr>
          <w:p w14:paraId="681058A8"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35</w:t>
            </w:r>
          </w:p>
        </w:tc>
        <w:tc>
          <w:tcPr>
            <w:tcW w:w="1881" w:type="dxa"/>
            <w:tcBorders>
              <w:top w:val="nil"/>
              <w:left w:val="nil"/>
              <w:bottom w:val="nil"/>
              <w:right w:val="nil"/>
            </w:tcBorders>
            <w:tcMar>
              <w:top w:w="0" w:type="dxa"/>
              <w:left w:w="100" w:type="dxa"/>
              <w:bottom w:w="0" w:type="dxa"/>
              <w:right w:w="100" w:type="dxa"/>
            </w:tcMar>
            <w:vAlign w:val="center"/>
          </w:tcPr>
          <w:p w14:paraId="562623E2"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53</w:t>
            </w:r>
          </w:p>
        </w:tc>
      </w:tr>
      <w:tr w:rsidR="00BB7AA9" w:rsidRPr="005F44EF" w14:paraId="237496B7" w14:textId="77777777" w:rsidTr="00217793">
        <w:tc>
          <w:tcPr>
            <w:tcW w:w="1882" w:type="dxa"/>
            <w:tcBorders>
              <w:top w:val="nil"/>
              <w:left w:val="nil"/>
              <w:bottom w:val="nil"/>
              <w:right w:val="nil"/>
            </w:tcBorders>
            <w:tcMar>
              <w:top w:w="0" w:type="dxa"/>
              <w:left w:w="100" w:type="dxa"/>
              <w:bottom w:w="0" w:type="dxa"/>
              <w:right w:w="100" w:type="dxa"/>
            </w:tcMar>
          </w:tcPr>
          <w:p w14:paraId="5615A2F3" w14:textId="77777777" w:rsidR="00BB7AA9" w:rsidRPr="005F44EF" w:rsidRDefault="00B9564D">
            <w:pPr>
              <w:widowControl w:val="0"/>
              <w:spacing w:before="40" w:after="40" w:line="240" w:lineRule="auto"/>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11</w:t>
            </w:r>
          </w:p>
        </w:tc>
        <w:tc>
          <w:tcPr>
            <w:tcW w:w="1881" w:type="dxa"/>
            <w:tcBorders>
              <w:top w:val="nil"/>
              <w:left w:val="nil"/>
              <w:bottom w:val="nil"/>
              <w:right w:val="nil"/>
            </w:tcBorders>
            <w:tcMar>
              <w:top w:w="0" w:type="dxa"/>
              <w:left w:w="100" w:type="dxa"/>
              <w:bottom w:w="0" w:type="dxa"/>
              <w:right w:w="100" w:type="dxa"/>
            </w:tcMar>
            <w:vAlign w:val="center"/>
          </w:tcPr>
          <w:p w14:paraId="17193220"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55</w:t>
            </w:r>
          </w:p>
        </w:tc>
        <w:tc>
          <w:tcPr>
            <w:tcW w:w="1881" w:type="dxa"/>
            <w:tcBorders>
              <w:top w:val="nil"/>
              <w:left w:val="nil"/>
              <w:bottom w:val="nil"/>
              <w:right w:val="nil"/>
            </w:tcBorders>
            <w:tcMar>
              <w:top w:w="0" w:type="dxa"/>
              <w:left w:w="100" w:type="dxa"/>
              <w:bottom w:w="0" w:type="dxa"/>
              <w:right w:w="100" w:type="dxa"/>
            </w:tcMar>
            <w:vAlign w:val="center"/>
          </w:tcPr>
          <w:p w14:paraId="3CA4B40A"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84</w:t>
            </w:r>
          </w:p>
        </w:tc>
        <w:tc>
          <w:tcPr>
            <w:tcW w:w="1881" w:type="dxa"/>
            <w:tcBorders>
              <w:top w:val="nil"/>
              <w:left w:val="nil"/>
              <w:bottom w:val="nil"/>
              <w:right w:val="nil"/>
            </w:tcBorders>
            <w:tcMar>
              <w:top w:w="0" w:type="dxa"/>
              <w:left w:w="100" w:type="dxa"/>
              <w:bottom w:w="0" w:type="dxa"/>
              <w:right w:w="100" w:type="dxa"/>
            </w:tcMar>
            <w:vAlign w:val="center"/>
          </w:tcPr>
          <w:p w14:paraId="159BC93D"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70</w:t>
            </w:r>
          </w:p>
        </w:tc>
        <w:tc>
          <w:tcPr>
            <w:tcW w:w="1881" w:type="dxa"/>
            <w:tcBorders>
              <w:top w:val="nil"/>
              <w:left w:val="nil"/>
              <w:bottom w:val="nil"/>
              <w:right w:val="nil"/>
            </w:tcBorders>
            <w:tcMar>
              <w:top w:w="0" w:type="dxa"/>
              <w:left w:w="100" w:type="dxa"/>
              <w:bottom w:w="0" w:type="dxa"/>
              <w:right w:w="100" w:type="dxa"/>
            </w:tcMar>
            <w:vAlign w:val="center"/>
          </w:tcPr>
          <w:p w14:paraId="1483E854"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157</w:t>
            </w:r>
          </w:p>
        </w:tc>
      </w:tr>
      <w:tr w:rsidR="00BB7AA9" w:rsidRPr="005F44EF" w14:paraId="63E4F3C7" w14:textId="77777777" w:rsidTr="00217793">
        <w:tc>
          <w:tcPr>
            <w:tcW w:w="1882" w:type="dxa"/>
            <w:tcBorders>
              <w:top w:val="nil"/>
              <w:left w:val="nil"/>
              <w:bottom w:val="nil"/>
              <w:right w:val="nil"/>
            </w:tcBorders>
            <w:tcMar>
              <w:top w:w="0" w:type="dxa"/>
              <w:left w:w="100" w:type="dxa"/>
              <w:bottom w:w="0" w:type="dxa"/>
              <w:right w:w="100" w:type="dxa"/>
            </w:tcMar>
          </w:tcPr>
          <w:p w14:paraId="4AC6A6CC" w14:textId="77777777" w:rsidR="00BB7AA9" w:rsidRPr="005F44EF" w:rsidRDefault="00B9564D">
            <w:pPr>
              <w:widowControl w:val="0"/>
              <w:spacing w:before="40" w:after="40" w:line="240" w:lineRule="auto"/>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21</w:t>
            </w:r>
          </w:p>
        </w:tc>
        <w:tc>
          <w:tcPr>
            <w:tcW w:w="1881" w:type="dxa"/>
            <w:tcBorders>
              <w:top w:val="nil"/>
              <w:left w:val="nil"/>
              <w:bottom w:val="nil"/>
              <w:right w:val="nil"/>
            </w:tcBorders>
            <w:tcMar>
              <w:top w:w="0" w:type="dxa"/>
              <w:left w:w="100" w:type="dxa"/>
              <w:bottom w:w="0" w:type="dxa"/>
              <w:right w:w="100" w:type="dxa"/>
            </w:tcMar>
            <w:vAlign w:val="center"/>
          </w:tcPr>
          <w:p w14:paraId="41F9C26A"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5</w:t>
            </w:r>
          </w:p>
        </w:tc>
        <w:tc>
          <w:tcPr>
            <w:tcW w:w="1881" w:type="dxa"/>
            <w:tcBorders>
              <w:top w:val="nil"/>
              <w:left w:val="nil"/>
              <w:bottom w:val="nil"/>
              <w:right w:val="nil"/>
            </w:tcBorders>
            <w:tcMar>
              <w:top w:w="0" w:type="dxa"/>
              <w:left w:w="100" w:type="dxa"/>
              <w:bottom w:w="0" w:type="dxa"/>
              <w:right w:w="100" w:type="dxa"/>
            </w:tcMar>
            <w:vAlign w:val="center"/>
          </w:tcPr>
          <w:p w14:paraId="25A44256"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18</w:t>
            </w:r>
          </w:p>
        </w:tc>
        <w:tc>
          <w:tcPr>
            <w:tcW w:w="1881" w:type="dxa"/>
            <w:tcBorders>
              <w:top w:val="nil"/>
              <w:left w:val="nil"/>
              <w:bottom w:val="nil"/>
              <w:right w:val="nil"/>
            </w:tcBorders>
            <w:tcMar>
              <w:top w:w="0" w:type="dxa"/>
              <w:left w:w="100" w:type="dxa"/>
              <w:bottom w:w="0" w:type="dxa"/>
              <w:right w:w="100" w:type="dxa"/>
            </w:tcMar>
            <w:vAlign w:val="center"/>
          </w:tcPr>
          <w:p w14:paraId="2991B150"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55</w:t>
            </w:r>
          </w:p>
        </w:tc>
        <w:tc>
          <w:tcPr>
            <w:tcW w:w="1881" w:type="dxa"/>
            <w:tcBorders>
              <w:top w:val="nil"/>
              <w:left w:val="nil"/>
              <w:bottom w:val="nil"/>
              <w:right w:val="nil"/>
            </w:tcBorders>
            <w:tcMar>
              <w:top w:w="0" w:type="dxa"/>
              <w:left w:w="100" w:type="dxa"/>
              <w:bottom w:w="0" w:type="dxa"/>
              <w:right w:w="100" w:type="dxa"/>
            </w:tcMar>
            <w:vAlign w:val="center"/>
          </w:tcPr>
          <w:p w14:paraId="554C1C42"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190</w:t>
            </w:r>
          </w:p>
        </w:tc>
      </w:tr>
      <w:tr w:rsidR="00BB7AA9" w:rsidRPr="005F44EF" w14:paraId="62848246" w14:textId="77777777" w:rsidTr="00217793">
        <w:tc>
          <w:tcPr>
            <w:tcW w:w="1882" w:type="dxa"/>
            <w:tcBorders>
              <w:top w:val="nil"/>
              <w:left w:val="nil"/>
              <w:bottom w:val="nil"/>
              <w:right w:val="nil"/>
            </w:tcBorders>
            <w:tcMar>
              <w:top w:w="0" w:type="dxa"/>
              <w:left w:w="100" w:type="dxa"/>
              <w:bottom w:w="0" w:type="dxa"/>
              <w:right w:w="100" w:type="dxa"/>
            </w:tcMar>
          </w:tcPr>
          <w:p w14:paraId="61691765" w14:textId="77777777" w:rsidR="00BB7AA9" w:rsidRPr="005F44EF" w:rsidRDefault="00B9564D">
            <w:pPr>
              <w:widowControl w:val="0"/>
              <w:spacing w:before="40" w:after="40" w:line="240" w:lineRule="auto"/>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22</w:t>
            </w:r>
          </w:p>
        </w:tc>
        <w:tc>
          <w:tcPr>
            <w:tcW w:w="1881" w:type="dxa"/>
            <w:tcBorders>
              <w:top w:val="nil"/>
              <w:left w:val="nil"/>
              <w:bottom w:val="nil"/>
              <w:right w:val="nil"/>
            </w:tcBorders>
            <w:tcMar>
              <w:top w:w="0" w:type="dxa"/>
              <w:left w:w="100" w:type="dxa"/>
              <w:bottom w:w="0" w:type="dxa"/>
              <w:right w:w="100" w:type="dxa"/>
            </w:tcMar>
            <w:vAlign w:val="center"/>
          </w:tcPr>
          <w:p w14:paraId="17B3726F"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98</w:t>
            </w:r>
          </w:p>
        </w:tc>
        <w:tc>
          <w:tcPr>
            <w:tcW w:w="1881" w:type="dxa"/>
            <w:tcBorders>
              <w:top w:val="nil"/>
              <w:left w:val="nil"/>
              <w:bottom w:val="nil"/>
              <w:right w:val="nil"/>
            </w:tcBorders>
            <w:tcMar>
              <w:top w:w="0" w:type="dxa"/>
              <w:left w:w="100" w:type="dxa"/>
              <w:bottom w:w="0" w:type="dxa"/>
              <w:right w:w="100" w:type="dxa"/>
            </w:tcMar>
            <w:vAlign w:val="center"/>
          </w:tcPr>
          <w:p w14:paraId="5A39BFA6"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w:t>
            </w:r>
          </w:p>
        </w:tc>
        <w:tc>
          <w:tcPr>
            <w:tcW w:w="1881" w:type="dxa"/>
            <w:tcBorders>
              <w:top w:val="nil"/>
              <w:left w:val="nil"/>
              <w:bottom w:val="nil"/>
              <w:right w:val="nil"/>
            </w:tcBorders>
            <w:tcMar>
              <w:top w:w="0" w:type="dxa"/>
              <w:left w:w="100" w:type="dxa"/>
              <w:bottom w:w="0" w:type="dxa"/>
              <w:right w:w="100" w:type="dxa"/>
            </w:tcMar>
            <w:vAlign w:val="center"/>
          </w:tcPr>
          <w:p w14:paraId="747A2D66"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5</w:t>
            </w:r>
          </w:p>
        </w:tc>
        <w:tc>
          <w:tcPr>
            <w:tcW w:w="1881" w:type="dxa"/>
            <w:tcBorders>
              <w:top w:val="nil"/>
              <w:left w:val="nil"/>
              <w:bottom w:val="nil"/>
              <w:right w:val="nil"/>
            </w:tcBorders>
            <w:tcMar>
              <w:top w:w="0" w:type="dxa"/>
              <w:left w:w="100" w:type="dxa"/>
              <w:bottom w:w="0" w:type="dxa"/>
              <w:right w:w="100" w:type="dxa"/>
            </w:tcMar>
            <w:vAlign w:val="center"/>
          </w:tcPr>
          <w:p w14:paraId="0E2CAA0E"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18</w:t>
            </w:r>
          </w:p>
        </w:tc>
      </w:tr>
      <w:tr w:rsidR="00BB7AA9" w:rsidRPr="005F44EF" w14:paraId="7621BAD8" w14:textId="77777777" w:rsidTr="00217793">
        <w:tc>
          <w:tcPr>
            <w:tcW w:w="1882" w:type="dxa"/>
            <w:tcBorders>
              <w:top w:val="nil"/>
              <w:left w:val="nil"/>
              <w:bottom w:val="nil"/>
              <w:right w:val="nil"/>
            </w:tcBorders>
            <w:tcMar>
              <w:top w:w="0" w:type="dxa"/>
              <w:left w:w="100" w:type="dxa"/>
              <w:bottom w:w="0" w:type="dxa"/>
              <w:right w:w="100" w:type="dxa"/>
            </w:tcMar>
          </w:tcPr>
          <w:p w14:paraId="10869132" w14:textId="77777777" w:rsidR="00BB7AA9" w:rsidRPr="005F44EF" w:rsidRDefault="00B9564D">
            <w:pPr>
              <w:widowControl w:val="0"/>
              <w:spacing w:before="40" w:after="40" w:line="240" w:lineRule="auto"/>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w:t>
            </w:r>
          </w:p>
        </w:tc>
        <w:tc>
          <w:tcPr>
            <w:tcW w:w="1881" w:type="dxa"/>
            <w:tcBorders>
              <w:top w:val="nil"/>
              <w:left w:val="nil"/>
              <w:bottom w:val="nil"/>
              <w:right w:val="nil"/>
            </w:tcBorders>
            <w:tcMar>
              <w:top w:w="0" w:type="dxa"/>
              <w:left w:w="100" w:type="dxa"/>
              <w:bottom w:w="0" w:type="dxa"/>
              <w:right w:w="100" w:type="dxa"/>
            </w:tcMar>
            <w:vAlign w:val="center"/>
          </w:tcPr>
          <w:p w14:paraId="157CF5DF"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110</w:t>
            </w:r>
          </w:p>
        </w:tc>
        <w:tc>
          <w:tcPr>
            <w:tcW w:w="1881" w:type="dxa"/>
            <w:tcBorders>
              <w:top w:val="nil"/>
              <w:left w:val="nil"/>
              <w:bottom w:val="nil"/>
              <w:right w:val="nil"/>
            </w:tcBorders>
            <w:tcMar>
              <w:top w:w="0" w:type="dxa"/>
              <w:left w:w="100" w:type="dxa"/>
              <w:bottom w:w="0" w:type="dxa"/>
              <w:right w:w="100" w:type="dxa"/>
            </w:tcMar>
            <w:vAlign w:val="center"/>
          </w:tcPr>
          <w:p w14:paraId="75F12328"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0</w:t>
            </w:r>
          </w:p>
        </w:tc>
        <w:tc>
          <w:tcPr>
            <w:tcW w:w="1881" w:type="dxa"/>
            <w:tcBorders>
              <w:top w:val="nil"/>
              <w:left w:val="nil"/>
              <w:bottom w:val="nil"/>
              <w:right w:val="nil"/>
            </w:tcBorders>
            <w:tcMar>
              <w:top w:w="0" w:type="dxa"/>
              <w:left w:w="100" w:type="dxa"/>
              <w:bottom w:w="0" w:type="dxa"/>
              <w:right w:w="100" w:type="dxa"/>
            </w:tcMar>
            <w:vAlign w:val="center"/>
          </w:tcPr>
          <w:p w14:paraId="3EDEA9BF"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w:t>
            </w:r>
          </w:p>
        </w:tc>
        <w:tc>
          <w:tcPr>
            <w:tcW w:w="1881" w:type="dxa"/>
            <w:tcBorders>
              <w:top w:val="nil"/>
              <w:left w:val="nil"/>
              <w:bottom w:val="nil"/>
              <w:right w:val="nil"/>
            </w:tcBorders>
            <w:tcMar>
              <w:top w:w="0" w:type="dxa"/>
              <w:left w:w="100" w:type="dxa"/>
              <w:bottom w:w="0" w:type="dxa"/>
              <w:right w:w="100" w:type="dxa"/>
            </w:tcMar>
            <w:vAlign w:val="center"/>
          </w:tcPr>
          <w:p w14:paraId="7F22D3BB"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w:t>
            </w:r>
          </w:p>
        </w:tc>
      </w:tr>
      <w:tr w:rsidR="00BB7AA9" w:rsidRPr="005F44EF" w14:paraId="7C3B1A1C" w14:textId="77777777" w:rsidTr="00217793">
        <w:tc>
          <w:tcPr>
            <w:tcW w:w="1882" w:type="dxa"/>
            <w:tcBorders>
              <w:top w:val="nil"/>
              <w:left w:val="nil"/>
              <w:bottom w:val="nil"/>
              <w:right w:val="nil"/>
            </w:tcBorders>
            <w:tcMar>
              <w:top w:w="0" w:type="dxa"/>
              <w:left w:w="100" w:type="dxa"/>
              <w:bottom w:w="0" w:type="dxa"/>
              <w:right w:w="100" w:type="dxa"/>
            </w:tcMar>
          </w:tcPr>
          <w:p w14:paraId="0709F1E0" w14:textId="77777777" w:rsidR="00BB7AA9" w:rsidRPr="005F44EF" w:rsidRDefault="00B9564D">
            <w:pPr>
              <w:widowControl w:val="0"/>
              <w:spacing w:before="40" w:after="40" w:line="240" w:lineRule="auto"/>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w:t>
            </w:r>
          </w:p>
        </w:tc>
        <w:tc>
          <w:tcPr>
            <w:tcW w:w="1881" w:type="dxa"/>
            <w:tcBorders>
              <w:top w:val="nil"/>
              <w:left w:val="nil"/>
              <w:bottom w:val="nil"/>
              <w:right w:val="nil"/>
            </w:tcBorders>
            <w:tcMar>
              <w:top w:w="0" w:type="dxa"/>
              <w:left w:w="100" w:type="dxa"/>
              <w:bottom w:w="0" w:type="dxa"/>
              <w:right w:w="100" w:type="dxa"/>
            </w:tcMar>
            <w:vAlign w:val="center"/>
          </w:tcPr>
          <w:p w14:paraId="2390C62A"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111</w:t>
            </w:r>
          </w:p>
        </w:tc>
        <w:tc>
          <w:tcPr>
            <w:tcW w:w="1881" w:type="dxa"/>
            <w:tcBorders>
              <w:top w:val="nil"/>
              <w:left w:val="nil"/>
              <w:bottom w:val="nil"/>
              <w:right w:val="nil"/>
            </w:tcBorders>
            <w:tcMar>
              <w:top w:w="0" w:type="dxa"/>
              <w:left w:w="100" w:type="dxa"/>
              <w:bottom w:w="0" w:type="dxa"/>
              <w:right w:w="100" w:type="dxa"/>
            </w:tcMar>
            <w:vAlign w:val="center"/>
          </w:tcPr>
          <w:p w14:paraId="040EFE0C"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w:t>
            </w:r>
          </w:p>
        </w:tc>
        <w:tc>
          <w:tcPr>
            <w:tcW w:w="1881" w:type="dxa"/>
            <w:tcBorders>
              <w:top w:val="nil"/>
              <w:left w:val="nil"/>
              <w:bottom w:val="nil"/>
              <w:right w:val="nil"/>
            </w:tcBorders>
            <w:tcMar>
              <w:top w:w="0" w:type="dxa"/>
              <w:left w:w="100" w:type="dxa"/>
              <w:bottom w:w="0" w:type="dxa"/>
              <w:right w:w="100" w:type="dxa"/>
            </w:tcMar>
            <w:vAlign w:val="center"/>
          </w:tcPr>
          <w:p w14:paraId="4E34BC18"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5</w:t>
            </w:r>
          </w:p>
        </w:tc>
        <w:tc>
          <w:tcPr>
            <w:tcW w:w="1881" w:type="dxa"/>
            <w:tcBorders>
              <w:top w:val="nil"/>
              <w:left w:val="nil"/>
              <w:bottom w:val="nil"/>
              <w:right w:val="nil"/>
            </w:tcBorders>
            <w:tcMar>
              <w:top w:w="0" w:type="dxa"/>
              <w:left w:w="100" w:type="dxa"/>
              <w:bottom w:w="0" w:type="dxa"/>
              <w:right w:w="100" w:type="dxa"/>
            </w:tcMar>
            <w:vAlign w:val="center"/>
          </w:tcPr>
          <w:p w14:paraId="5820C53A"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w:t>
            </w:r>
          </w:p>
        </w:tc>
      </w:tr>
      <w:tr w:rsidR="00BB7AA9" w:rsidRPr="005F44EF" w14:paraId="344B482D" w14:textId="77777777" w:rsidTr="00217793">
        <w:tc>
          <w:tcPr>
            <w:tcW w:w="1882" w:type="dxa"/>
            <w:tcBorders>
              <w:top w:val="nil"/>
              <w:left w:val="nil"/>
              <w:bottom w:val="nil"/>
              <w:right w:val="nil"/>
            </w:tcBorders>
            <w:tcMar>
              <w:top w:w="0" w:type="dxa"/>
              <w:left w:w="100" w:type="dxa"/>
              <w:bottom w:w="0" w:type="dxa"/>
              <w:right w:w="100" w:type="dxa"/>
            </w:tcMar>
          </w:tcPr>
          <w:p w14:paraId="02658E6D" w14:textId="77777777" w:rsidR="00BB7AA9" w:rsidRPr="005F44EF" w:rsidRDefault="00B9564D">
            <w:pPr>
              <w:widowControl w:val="0"/>
              <w:spacing w:before="40" w:after="40" w:line="240" w:lineRule="auto"/>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30</w:t>
            </w:r>
          </w:p>
        </w:tc>
        <w:tc>
          <w:tcPr>
            <w:tcW w:w="1881" w:type="dxa"/>
            <w:tcBorders>
              <w:top w:val="nil"/>
              <w:left w:val="nil"/>
              <w:bottom w:val="nil"/>
              <w:right w:val="nil"/>
            </w:tcBorders>
            <w:tcMar>
              <w:top w:w="0" w:type="dxa"/>
              <w:left w:w="100" w:type="dxa"/>
              <w:bottom w:w="0" w:type="dxa"/>
              <w:right w:w="100" w:type="dxa"/>
            </w:tcMar>
            <w:vAlign w:val="center"/>
          </w:tcPr>
          <w:p w14:paraId="0D158E98"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15</w:t>
            </w:r>
          </w:p>
        </w:tc>
        <w:tc>
          <w:tcPr>
            <w:tcW w:w="1881" w:type="dxa"/>
            <w:tcBorders>
              <w:top w:val="nil"/>
              <w:left w:val="nil"/>
              <w:bottom w:val="nil"/>
              <w:right w:val="nil"/>
            </w:tcBorders>
            <w:tcMar>
              <w:top w:w="0" w:type="dxa"/>
              <w:left w:w="100" w:type="dxa"/>
              <w:bottom w:w="0" w:type="dxa"/>
              <w:right w:w="100" w:type="dxa"/>
            </w:tcMar>
            <w:vAlign w:val="center"/>
          </w:tcPr>
          <w:p w14:paraId="0F0C0A08"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67</w:t>
            </w:r>
          </w:p>
        </w:tc>
        <w:tc>
          <w:tcPr>
            <w:tcW w:w="1881" w:type="dxa"/>
            <w:tcBorders>
              <w:top w:val="nil"/>
              <w:left w:val="nil"/>
              <w:bottom w:val="nil"/>
              <w:right w:val="nil"/>
            </w:tcBorders>
            <w:tcMar>
              <w:top w:w="0" w:type="dxa"/>
              <w:left w:w="100" w:type="dxa"/>
              <w:bottom w:w="0" w:type="dxa"/>
              <w:right w:w="100" w:type="dxa"/>
            </w:tcMar>
            <w:vAlign w:val="center"/>
          </w:tcPr>
          <w:p w14:paraId="5BE990D7"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104</w:t>
            </w:r>
          </w:p>
        </w:tc>
        <w:tc>
          <w:tcPr>
            <w:tcW w:w="1881" w:type="dxa"/>
            <w:tcBorders>
              <w:top w:val="nil"/>
              <w:left w:val="nil"/>
              <w:bottom w:val="nil"/>
              <w:right w:val="nil"/>
            </w:tcBorders>
            <w:tcMar>
              <w:top w:w="0" w:type="dxa"/>
              <w:left w:w="100" w:type="dxa"/>
              <w:bottom w:w="0" w:type="dxa"/>
              <w:right w:w="100" w:type="dxa"/>
            </w:tcMar>
            <w:vAlign w:val="center"/>
          </w:tcPr>
          <w:p w14:paraId="2A665EB0"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181</w:t>
            </w:r>
          </w:p>
        </w:tc>
      </w:tr>
      <w:tr w:rsidR="00BB7AA9" w:rsidRPr="005F44EF" w14:paraId="68DBA206" w14:textId="77777777" w:rsidTr="00217793">
        <w:tc>
          <w:tcPr>
            <w:tcW w:w="1882" w:type="dxa"/>
            <w:tcBorders>
              <w:top w:val="nil"/>
              <w:left w:val="nil"/>
              <w:bottom w:val="nil"/>
              <w:right w:val="nil"/>
            </w:tcBorders>
            <w:tcMar>
              <w:top w:w="0" w:type="dxa"/>
              <w:left w:w="100" w:type="dxa"/>
              <w:bottom w:w="0" w:type="dxa"/>
              <w:right w:w="100" w:type="dxa"/>
            </w:tcMar>
          </w:tcPr>
          <w:p w14:paraId="471CAFB4" w14:textId="77777777" w:rsidR="00BB7AA9" w:rsidRPr="005F44EF" w:rsidRDefault="00B9564D">
            <w:pPr>
              <w:widowControl w:val="0"/>
              <w:spacing w:before="40" w:after="40" w:line="240" w:lineRule="auto"/>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31</w:t>
            </w:r>
          </w:p>
        </w:tc>
        <w:tc>
          <w:tcPr>
            <w:tcW w:w="1881" w:type="dxa"/>
            <w:tcBorders>
              <w:top w:val="nil"/>
              <w:left w:val="nil"/>
              <w:bottom w:val="nil"/>
              <w:right w:val="nil"/>
            </w:tcBorders>
            <w:tcMar>
              <w:top w:w="0" w:type="dxa"/>
              <w:left w:w="100" w:type="dxa"/>
              <w:bottom w:w="0" w:type="dxa"/>
              <w:right w:w="100" w:type="dxa"/>
            </w:tcMar>
            <w:vAlign w:val="center"/>
          </w:tcPr>
          <w:p w14:paraId="328D5F90"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326</w:t>
            </w:r>
          </w:p>
        </w:tc>
        <w:tc>
          <w:tcPr>
            <w:tcW w:w="1881" w:type="dxa"/>
            <w:tcBorders>
              <w:top w:val="nil"/>
              <w:left w:val="nil"/>
              <w:bottom w:val="nil"/>
              <w:right w:val="nil"/>
            </w:tcBorders>
            <w:tcMar>
              <w:top w:w="0" w:type="dxa"/>
              <w:left w:w="100" w:type="dxa"/>
              <w:bottom w:w="0" w:type="dxa"/>
              <w:right w:w="100" w:type="dxa"/>
            </w:tcMar>
            <w:vAlign w:val="center"/>
          </w:tcPr>
          <w:p w14:paraId="7497E29D"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w:t>
            </w:r>
          </w:p>
        </w:tc>
        <w:tc>
          <w:tcPr>
            <w:tcW w:w="1881" w:type="dxa"/>
            <w:tcBorders>
              <w:top w:val="nil"/>
              <w:left w:val="nil"/>
              <w:bottom w:val="nil"/>
              <w:right w:val="nil"/>
            </w:tcBorders>
            <w:tcMar>
              <w:top w:w="0" w:type="dxa"/>
              <w:left w:w="100" w:type="dxa"/>
              <w:bottom w:w="0" w:type="dxa"/>
              <w:right w:w="100" w:type="dxa"/>
            </w:tcMar>
            <w:vAlign w:val="center"/>
          </w:tcPr>
          <w:p w14:paraId="01DD8FEF"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24</w:t>
            </w:r>
          </w:p>
        </w:tc>
        <w:tc>
          <w:tcPr>
            <w:tcW w:w="1881" w:type="dxa"/>
            <w:tcBorders>
              <w:top w:val="nil"/>
              <w:left w:val="nil"/>
              <w:bottom w:val="nil"/>
              <w:right w:val="nil"/>
            </w:tcBorders>
            <w:tcMar>
              <w:top w:w="0" w:type="dxa"/>
              <w:left w:w="100" w:type="dxa"/>
              <w:bottom w:w="0" w:type="dxa"/>
              <w:right w:w="100" w:type="dxa"/>
            </w:tcMar>
            <w:vAlign w:val="center"/>
          </w:tcPr>
          <w:p w14:paraId="2BE770B5"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26</w:t>
            </w:r>
          </w:p>
        </w:tc>
      </w:tr>
      <w:tr w:rsidR="00BB7AA9" w:rsidRPr="005F44EF" w14:paraId="627C84C4" w14:textId="77777777" w:rsidTr="00217793">
        <w:tc>
          <w:tcPr>
            <w:tcW w:w="1882" w:type="dxa"/>
            <w:tcBorders>
              <w:top w:val="nil"/>
              <w:left w:val="nil"/>
              <w:bottom w:val="nil"/>
              <w:right w:val="nil"/>
            </w:tcBorders>
            <w:tcMar>
              <w:top w:w="0" w:type="dxa"/>
              <w:left w:w="100" w:type="dxa"/>
              <w:bottom w:w="0" w:type="dxa"/>
              <w:right w:w="100" w:type="dxa"/>
            </w:tcMar>
          </w:tcPr>
          <w:p w14:paraId="4CE3C1F4" w14:textId="77777777" w:rsidR="00BB7AA9" w:rsidRPr="005F44EF" w:rsidRDefault="00B9564D">
            <w:pPr>
              <w:widowControl w:val="0"/>
              <w:spacing w:before="40" w:after="40" w:line="240" w:lineRule="auto"/>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36</w:t>
            </w:r>
          </w:p>
        </w:tc>
        <w:tc>
          <w:tcPr>
            <w:tcW w:w="1881" w:type="dxa"/>
            <w:tcBorders>
              <w:top w:val="nil"/>
              <w:left w:val="nil"/>
              <w:bottom w:val="nil"/>
              <w:right w:val="nil"/>
            </w:tcBorders>
            <w:tcMar>
              <w:top w:w="0" w:type="dxa"/>
              <w:left w:w="100" w:type="dxa"/>
              <w:bottom w:w="0" w:type="dxa"/>
              <w:right w:w="100" w:type="dxa"/>
            </w:tcMar>
            <w:vAlign w:val="center"/>
          </w:tcPr>
          <w:p w14:paraId="58949E8E"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271</w:t>
            </w:r>
          </w:p>
        </w:tc>
        <w:tc>
          <w:tcPr>
            <w:tcW w:w="1881" w:type="dxa"/>
            <w:tcBorders>
              <w:top w:val="nil"/>
              <w:left w:val="nil"/>
              <w:bottom w:val="nil"/>
              <w:right w:val="nil"/>
            </w:tcBorders>
            <w:tcMar>
              <w:top w:w="0" w:type="dxa"/>
              <w:left w:w="100" w:type="dxa"/>
              <w:bottom w:w="0" w:type="dxa"/>
              <w:right w:w="100" w:type="dxa"/>
            </w:tcMar>
            <w:vAlign w:val="center"/>
          </w:tcPr>
          <w:p w14:paraId="5893A386"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28</w:t>
            </w:r>
          </w:p>
        </w:tc>
        <w:tc>
          <w:tcPr>
            <w:tcW w:w="1881" w:type="dxa"/>
            <w:tcBorders>
              <w:top w:val="nil"/>
              <w:left w:val="nil"/>
              <w:bottom w:val="nil"/>
              <w:right w:val="nil"/>
            </w:tcBorders>
            <w:tcMar>
              <w:top w:w="0" w:type="dxa"/>
              <w:left w:w="100" w:type="dxa"/>
              <w:bottom w:w="0" w:type="dxa"/>
              <w:right w:w="100" w:type="dxa"/>
            </w:tcMar>
            <w:vAlign w:val="center"/>
          </w:tcPr>
          <w:p w14:paraId="32F521C6"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11</w:t>
            </w:r>
          </w:p>
        </w:tc>
        <w:tc>
          <w:tcPr>
            <w:tcW w:w="1881" w:type="dxa"/>
            <w:tcBorders>
              <w:top w:val="nil"/>
              <w:left w:val="nil"/>
              <w:bottom w:val="nil"/>
              <w:right w:val="nil"/>
            </w:tcBorders>
            <w:tcMar>
              <w:top w:w="0" w:type="dxa"/>
              <w:left w:w="100" w:type="dxa"/>
              <w:bottom w:w="0" w:type="dxa"/>
              <w:right w:w="100" w:type="dxa"/>
            </w:tcMar>
            <w:vAlign w:val="center"/>
          </w:tcPr>
          <w:p w14:paraId="011D7775" w14:textId="77777777" w:rsidR="00BB7AA9" w:rsidRPr="005F44EF" w:rsidRDefault="00B9564D" w:rsidP="00217793">
            <w:pPr>
              <w:widowControl w:val="0"/>
              <w:spacing w:before="40" w:after="40" w:line="240" w:lineRule="auto"/>
              <w:jc w:val="center"/>
              <w:rPr>
                <w:rFonts w:ascii="Times New Roman" w:eastAsia="Times New Roman" w:hAnsi="Times New Roman" w:cs="Times New Roman"/>
                <w:sz w:val="18"/>
                <w:szCs w:val="18"/>
              </w:rPr>
            </w:pPr>
            <w:r w:rsidRPr="005F44EF">
              <w:rPr>
                <w:rFonts w:ascii="Times New Roman" w:eastAsia="Times New Roman" w:hAnsi="Times New Roman" w:cs="Times New Roman"/>
                <w:sz w:val="18"/>
                <w:szCs w:val="18"/>
              </w:rPr>
              <w:t>19</w:t>
            </w:r>
          </w:p>
        </w:tc>
      </w:tr>
    </w:tbl>
    <w:p w14:paraId="5DFE350F" w14:textId="77777777" w:rsidR="00BB7AA9" w:rsidRPr="005F44EF" w:rsidRDefault="00BB7AA9">
      <w:pPr>
        <w:spacing w:after="0" w:line="276" w:lineRule="auto"/>
        <w:jc w:val="both"/>
        <w:rPr>
          <w:rFonts w:ascii="Times New Roman" w:eastAsia="Times New Roman" w:hAnsi="Times New Roman" w:cs="Times New Roman"/>
          <w:b/>
          <w:sz w:val="24"/>
          <w:szCs w:val="24"/>
        </w:rPr>
      </w:pPr>
    </w:p>
    <w:p w14:paraId="2C6083DC" w14:textId="61416A3F"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Frequencies of </w:t>
      </w:r>
      <w:r w:rsidRPr="005F44EF">
        <w:rPr>
          <w:rFonts w:ascii="Times New Roman" w:eastAsia="Times New Roman" w:hAnsi="Times New Roman" w:cs="Times New Roman"/>
          <w:i/>
          <w:sz w:val="24"/>
          <w:szCs w:val="24"/>
        </w:rPr>
        <w:t>Lycopodium</w:t>
      </w:r>
      <w:r w:rsidRPr="005F44EF">
        <w:rPr>
          <w:rFonts w:ascii="Times New Roman" w:eastAsia="Times New Roman" w:hAnsi="Times New Roman" w:cs="Times New Roman"/>
          <w:sz w:val="24"/>
          <w:szCs w:val="24"/>
        </w:rPr>
        <w:t xml:space="preserve"> tracer spores and fossil pollen/fern spores show clear differences between pollen concentrations in the samples (</w:t>
      </w:r>
      <w:r w:rsidRPr="005F44EF">
        <w:rPr>
          <w:rFonts w:ascii="Times New Roman" w:eastAsia="Times New Roman" w:hAnsi="Times New Roman" w:cs="Times New Roman"/>
          <w:b/>
          <w:sz w:val="24"/>
          <w:szCs w:val="24"/>
        </w:rPr>
        <w:t>Figure S1</w:t>
      </w:r>
      <w:r w:rsidR="0001712E" w:rsidRPr="005F44EF">
        <w:rPr>
          <w:rFonts w:ascii="Times New Roman" w:eastAsia="Times New Roman" w:hAnsi="Times New Roman" w:cs="Times New Roman"/>
          <w:b/>
          <w:sz w:val="24"/>
          <w:szCs w:val="24"/>
        </w:rPr>
        <w:t>9</w:t>
      </w:r>
      <w:r w:rsidRPr="005F44EF">
        <w:rPr>
          <w:rFonts w:ascii="Times New Roman" w:eastAsia="Times New Roman" w:hAnsi="Times New Roman" w:cs="Times New Roman"/>
          <w:sz w:val="24"/>
          <w:szCs w:val="24"/>
        </w:rPr>
        <w:t xml:space="preserve">). Pollen concentrations are calculated using the product of the ratio of the known weight of the samples and the known number of tracer spores against the ratio of fossil pollen to tracer spores encountered during analysis. Concentrations are useful for assessing the influx/preservation of pollen between samples. Given both the low preservation of these samples and the high rate of indeterminable pollen, the results will be presented as concentrations, rather than </w:t>
      </w:r>
      <w:proofErr w:type="spellStart"/>
      <w:r w:rsidRPr="005F44EF">
        <w:rPr>
          <w:rFonts w:ascii="Times New Roman" w:eastAsia="Times New Roman" w:hAnsi="Times New Roman" w:cs="Times New Roman"/>
          <w:sz w:val="24"/>
          <w:szCs w:val="24"/>
        </w:rPr>
        <w:t>percents</w:t>
      </w:r>
      <w:proofErr w:type="spellEnd"/>
      <w:r w:rsidRPr="005F44EF">
        <w:rPr>
          <w:rFonts w:ascii="Times New Roman" w:eastAsia="Times New Roman" w:hAnsi="Times New Roman" w:cs="Times New Roman"/>
          <w:sz w:val="24"/>
          <w:szCs w:val="24"/>
        </w:rPr>
        <w:t xml:space="preserve"> or other ratios derived from frequency alone. These results are presented below (</w:t>
      </w:r>
      <w:r w:rsidRPr="005F44EF">
        <w:rPr>
          <w:rFonts w:ascii="Times New Roman" w:eastAsia="Times New Roman" w:hAnsi="Times New Roman" w:cs="Times New Roman"/>
          <w:b/>
          <w:sz w:val="24"/>
          <w:szCs w:val="24"/>
        </w:rPr>
        <w:t>Figure S1</w:t>
      </w:r>
      <w:r w:rsidR="0001712E" w:rsidRPr="005F44EF">
        <w:rPr>
          <w:rFonts w:ascii="Times New Roman" w:eastAsia="Times New Roman" w:hAnsi="Times New Roman" w:cs="Times New Roman"/>
          <w:b/>
          <w:sz w:val="24"/>
          <w:szCs w:val="24"/>
        </w:rPr>
        <w:t>9</w:t>
      </w:r>
      <w:r w:rsidRPr="005F44EF">
        <w:rPr>
          <w:rFonts w:ascii="Times New Roman" w:eastAsia="Times New Roman" w:hAnsi="Times New Roman" w:cs="Times New Roman"/>
          <w:sz w:val="24"/>
          <w:szCs w:val="24"/>
        </w:rPr>
        <w:t>) on normal and logarithmic scales.</w:t>
      </w:r>
    </w:p>
    <w:p w14:paraId="2D4411D6" w14:textId="77777777" w:rsidR="00341384" w:rsidRPr="005F44EF" w:rsidRDefault="00341384" w:rsidP="00D467C1">
      <w:pPr>
        <w:spacing w:after="0" w:line="276" w:lineRule="auto"/>
        <w:jc w:val="both"/>
        <w:rPr>
          <w:rFonts w:ascii="Times New Roman" w:eastAsia="Times New Roman" w:hAnsi="Times New Roman" w:cs="Times New Roman"/>
          <w:b/>
          <w:sz w:val="24"/>
          <w:szCs w:val="24"/>
        </w:rPr>
      </w:pPr>
    </w:p>
    <w:p w14:paraId="3DC53A15" w14:textId="202164EC" w:rsidR="00BB7AA9" w:rsidRPr="005F44EF" w:rsidRDefault="00D467C1">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b/>
          <w:sz w:val="24"/>
          <w:szCs w:val="24"/>
        </w:rPr>
        <w:lastRenderedPageBreak/>
        <w:t>Figure S1</w:t>
      </w:r>
      <w:r w:rsidR="0001712E" w:rsidRPr="005F44EF">
        <w:rPr>
          <w:rFonts w:ascii="Times New Roman" w:eastAsia="Times New Roman" w:hAnsi="Times New Roman" w:cs="Times New Roman"/>
          <w:b/>
          <w:sz w:val="24"/>
          <w:szCs w:val="24"/>
        </w:rPr>
        <w:t>9</w:t>
      </w:r>
      <w:r w:rsidRPr="005F44EF">
        <w:rPr>
          <w:rFonts w:ascii="Times New Roman" w:eastAsia="Times New Roman" w:hAnsi="Times New Roman" w:cs="Times New Roman"/>
          <w:b/>
          <w:sz w:val="24"/>
          <w:szCs w:val="24"/>
        </w:rPr>
        <w:t xml:space="preserve">: </w:t>
      </w:r>
      <w:proofErr w:type="spellStart"/>
      <w:r w:rsidRPr="005F44EF">
        <w:rPr>
          <w:rFonts w:ascii="Times New Roman" w:eastAsia="Times New Roman" w:hAnsi="Times New Roman" w:cs="Times New Roman"/>
          <w:sz w:val="24"/>
          <w:szCs w:val="24"/>
        </w:rPr>
        <w:t>Barplot</w:t>
      </w:r>
      <w:proofErr w:type="spellEnd"/>
      <w:r w:rsidRPr="005F44EF">
        <w:rPr>
          <w:rFonts w:ascii="Times New Roman" w:eastAsia="Times New Roman" w:hAnsi="Times New Roman" w:cs="Times New Roman"/>
          <w:sz w:val="24"/>
          <w:szCs w:val="24"/>
        </w:rPr>
        <w:t xml:space="preserve"> showing frequency of pollen, ferns, and tracer spores encountered during analysis.</w:t>
      </w:r>
      <w:r w:rsidR="00251D38" w:rsidRPr="005F44EF">
        <w:rPr>
          <w:rFonts w:ascii="Times New Roman" w:eastAsia="Times New Roman" w:hAnsi="Times New Roman" w:cs="Times New Roman"/>
          <w:noProof/>
          <w:sz w:val="24"/>
          <w:szCs w:val="24"/>
          <w:lang w:val="en-AU" w:eastAsia="en-AU"/>
        </w:rPr>
        <mc:AlternateContent>
          <mc:Choice Requires="wps">
            <w:drawing>
              <wp:anchor distT="0" distB="0" distL="114300" distR="114300" simplePos="0" relativeHeight="251669504" behindDoc="0" locked="0" layoutInCell="1" allowOverlap="1" wp14:anchorId="0DE0D947" wp14:editId="1D2D827F">
                <wp:simplePos x="0" y="0"/>
                <wp:positionH relativeFrom="column">
                  <wp:posOffset>47262</wp:posOffset>
                </wp:positionH>
                <wp:positionV relativeFrom="paragraph">
                  <wp:posOffset>460466</wp:posOffset>
                </wp:positionV>
                <wp:extent cx="259715" cy="2775857"/>
                <wp:effectExtent l="0" t="0" r="26035" b="24765"/>
                <wp:wrapNone/>
                <wp:docPr id="28" name="Rectangle 28"/>
                <wp:cNvGraphicFramePr/>
                <a:graphic xmlns:a="http://schemas.openxmlformats.org/drawingml/2006/main">
                  <a:graphicData uri="http://schemas.microsoft.com/office/word/2010/wordprocessingShape">
                    <wps:wsp>
                      <wps:cNvSpPr/>
                      <wps:spPr>
                        <a:xfrm>
                          <a:off x="0" y="0"/>
                          <a:ext cx="259715" cy="2775857"/>
                        </a:xfrm>
                        <a:prstGeom prst="rect">
                          <a:avLst/>
                        </a:prstGeom>
                        <a:solidFill>
                          <a:schemeClr val="bg1"/>
                        </a:solidFill>
                        <a:ln>
                          <a:solidFill>
                            <a:schemeClr val="bg1"/>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1FBC00AD" id="Rectangle 28" o:spid="_x0000_s1026" style="position:absolute;margin-left:3.7pt;margin-top:36.25pt;width:20.45pt;height:218.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" fillcolor="white [3212]" strokecolor="white [3212]"/>
            </w:pict>
          </mc:Fallback>
        </mc:AlternateContent>
      </w:r>
      <w:r w:rsidR="00B9564D" w:rsidRPr="005F44EF">
        <w:rPr>
          <w:rFonts w:ascii="Times New Roman" w:eastAsia="Times New Roman" w:hAnsi="Times New Roman" w:cs="Times New Roman"/>
          <w:noProof/>
          <w:sz w:val="24"/>
          <w:szCs w:val="24"/>
          <w:lang w:val="en-AU" w:eastAsia="en-AU"/>
        </w:rPr>
        <w:drawing>
          <wp:inline distT="114300" distB="114300" distL="114300" distR="114300" wp14:anchorId="79F17376" wp14:editId="40923C11">
            <wp:extent cx="5747657" cy="3540660"/>
            <wp:effectExtent l="0" t="0" r="5715" b="3175"/>
            <wp:docPr id="1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rotWithShape="1">
                    <a:blip r:embed="rId44"/>
                    <a:srcRect t="2731" b="5004"/>
                    <a:stretch/>
                  </pic:blipFill>
                  <pic:spPr bwMode="auto">
                    <a:xfrm>
                      <a:off x="0" y="0"/>
                      <a:ext cx="5755720" cy="3545627"/>
                    </a:xfrm>
                    <a:prstGeom prst="rect">
                      <a:avLst/>
                    </a:prstGeom>
                    <a:ln>
                      <a:noFill/>
                    </a:ln>
                    <a:extLst>
                      <a:ext uri="{53640926-AAD7-44D8-BBD7-CCE9431645EC}">
                        <a14:shadowObscured xmlns:a14="http://schemas.microsoft.com/office/drawing/2010/main"/>
                      </a:ext>
                    </a:extLst>
                  </pic:spPr>
                </pic:pic>
              </a:graphicData>
            </a:graphic>
          </wp:inline>
        </w:drawing>
      </w:r>
    </w:p>
    <w:p w14:paraId="525208DA" w14:textId="328042FC" w:rsidR="00BB7AA9" w:rsidRPr="005F44EF" w:rsidRDefault="008F7669">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b/>
          <w:sz w:val="24"/>
          <w:szCs w:val="24"/>
        </w:rPr>
        <w:t>Figure S</w:t>
      </w:r>
      <w:r w:rsidR="0001712E" w:rsidRPr="005F44EF">
        <w:rPr>
          <w:rFonts w:ascii="Times New Roman" w:eastAsia="Times New Roman" w:hAnsi="Times New Roman" w:cs="Times New Roman"/>
          <w:b/>
          <w:sz w:val="24"/>
          <w:szCs w:val="24"/>
        </w:rPr>
        <w:t>2</w:t>
      </w:r>
      <w:r w:rsidR="00C25F0A" w:rsidRPr="005F44EF">
        <w:rPr>
          <w:rFonts w:ascii="Times New Roman" w:eastAsia="Times New Roman" w:hAnsi="Times New Roman" w:cs="Times New Roman"/>
          <w:b/>
          <w:sz w:val="24"/>
          <w:szCs w:val="24"/>
        </w:rPr>
        <w:t>0</w:t>
      </w:r>
      <w:r w:rsidRPr="005F44EF">
        <w:rPr>
          <w:rFonts w:ascii="Times New Roman" w:eastAsia="Times New Roman" w:hAnsi="Times New Roman" w:cs="Times New Roman"/>
          <w:b/>
          <w:sz w:val="24"/>
          <w:szCs w:val="24"/>
        </w:rPr>
        <w:t xml:space="preserve">: </w:t>
      </w:r>
      <w:proofErr w:type="spellStart"/>
      <w:r w:rsidRPr="005F44EF">
        <w:rPr>
          <w:rFonts w:ascii="Times New Roman" w:eastAsia="Times New Roman" w:hAnsi="Times New Roman" w:cs="Times New Roman"/>
          <w:sz w:val="24"/>
          <w:szCs w:val="24"/>
        </w:rPr>
        <w:t>Barplots</w:t>
      </w:r>
      <w:proofErr w:type="spellEnd"/>
      <w:r w:rsidRPr="005F44EF">
        <w:rPr>
          <w:rFonts w:ascii="Times New Roman" w:eastAsia="Times New Roman" w:hAnsi="Times New Roman" w:cs="Times New Roman"/>
          <w:sz w:val="24"/>
          <w:szCs w:val="24"/>
        </w:rPr>
        <w:t xml:space="preserve"> showing concentrations per gram of pollen, indeterminable palynomorphs, and ferns in Bété I samples. Left plot shows total frequencies and right plot is on logarithmic scale.</w:t>
      </w:r>
      <w:r w:rsidR="00CD6CCC" w:rsidRPr="005F44EF">
        <w:rPr>
          <w:rFonts w:ascii="Times New Roman" w:eastAsia="Times New Roman" w:hAnsi="Times New Roman" w:cs="Times New Roman"/>
          <w:sz w:val="24"/>
          <w:szCs w:val="24"/>
        </w:rPr>
        <w:t xml:space="preserve"> </w:t>
      </w:r>
      <w:r w:rsidR="009F3ADB" w:rsidRPr="005F44EF">
        <w:rPr>
          <w:rFonts w:ascii="Times New Roman" w:eastAsia="Times New Roman" w:hAnsi="Times New Roman" w:cs="Times New Roman"/>
          <w:noProof/>
          <w:sz w:val="24"/>
          <w:szCs w:val="24"/>
          <w:lang w:val="en-AU" w:eastAsia="en-AU"/>
        </w:rPr>
        <mc:AlternateContent>
          <mc:Choice Requires="wps">
            <w:drawing>
              <wp:anchor distT="0" distB="0" distL="114300" distR="114300" simplePos="0" relativeHeight="251663360" behindDoc="0" locked="0" layoutInCell="1" allowOverlap="1" wp14:anchorId="22B530A4" wp14:editId="42A7174E">
                <wp:simplePos x="0" y="0"/>
                <wp:positionH relativeFrom="column">
                  <wp:posOffset>3025408</wp:posOffset>
                </wp:positionH>
                <wp:positionV relativeFrom="paragraph">
                  <wp:posOffset>426318</wp:posOffset>
                </wp:positionV>
                <wp:extent cx="259848" cy="3243714"/>
                <wp:effectExtent l="0" t="0" r="26035" b="13970"/>
                <wp:wrapNone/>
                <wp:docPr id="25" name="Rectangle 25"/>
                <wp:cNvGraphicFramePr/>
                <a:graphic xmlns:a="http://schemas.openxmlformats.org/drawingml/2006/main">
                  <a:graphicData uri="http://schemas.microsoft.com/office/word/2010/wordprocessingShape">
                    <wps:wsp>
                      <wps:cNvSpPr/>
                      <wps:spPr>
                        <a:xfrm>
                          <a:off x="0" y="0"/>
                          <a:ext cx="259848" cy="3243714"/>
                        </a:xfrm>
                        <a:prstGeom prst="rect">
                          <a:avLst/>
                        </a:prstGeom>
                        <a:solidFill>
                          <a:schemeClr val="bg1"/>
                        </a:solidFill>
                        <a:ln>
                          <a:solidFill>
                            <a:schemeClr val="bg1"/>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2FA8899C" id="Rectangle 25" o:spid="_x0000_s1026" style="position:absolute;margin-left:238.2pt;margin-top:33.55pt;width:20.45pt;height:255.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" fillcolor="white [3212]" strokecolor="white [3212]"/>
            </w:pict>
          </mc:Fallback>
        </mc:AlternateContent>
      </w:r>
      <w:r w:rsidR="009F3ADB" w:rsidRPr="005F44EF">
        <w:rPr>
          <w:rFonts w:ascii="Times New Roman" w:eastAsia="Times New Roman" w:hAnsi="Times New Roman" w:cs="Times New Roman"/>
          <w:noProof/>
          <w:sz w:val="24"/>
          <w:szCs w:val="24"/>
          <w:lang w:val="en-AU" w:eastAsia="en-AU"/>
        </w:rPr>
        <mc:AlternateContent>
          <mc:Choice Requires="wps">
            <w:drawing>
              <wp:anchor distT="0" distB="0" distL="114300" distR="114300" simplePos="0" relativeHeight="251661312" behindDoc="0" locked="0" layoutInCell="1" allowOverlap="1" wp14:anchorId="3A6DA9FE" wp14:editId="354D60EB">
                <wp:simplePos x="0" y="0"/>
                <wp:positionH relativeFrom="column">
                  <wp:posOffset>43280</wp:posOffset>
                </wp:positionH>
                <wp:positionV relativeFrom="paragraph">
                  <wp:posOffset>495300</wp:posOffset>
                </wp:positionV>
                <wp:extent cx="259848" cy="3243714"/>
                <wp:effectExtent l="0" t="0" r="26035" b="13970"/>
                <wp:wrapNone/>
                <wp:docPr id="24" name="Rectangle 24"/>
                <wp:cNvGraphicFramePr/>
                <a:graphic xmlns:a="http://schemas.openxmlformats.org/drawingml/2006/main">
                  <a:graphicData uri="http://schemas.microsoft.com/office/word/2010/wordprocessingShape">
                    <wps:wsp>
                      <wps:cNvSpPr/>
                      <wps:spPr>
                        <a:xfrm>
                          <a:off x="0" y="0"/>
                          <a:ext cx="259848" cy="3243714"/>
                        </a:xfrm>
                        <a:prstGeom prst="rect">
                          <a:avLst/>
                        </a:prstGeom>
                        <a:solidFill>
                          <a:schemeClr val="bg1"/>
                        </a:solidFill>
                        <a:ln>
                          <a:solidFill>
                            <a:schemeClr val="bg1"/>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7E11EE16" id="Rectangle 24" o:spid="_x0000_s1026" style="position:absolute;margin-left:3.4pt;margin-top:39pt;width:20.45pt;height:255.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" fillcolor="white [3212]" strokecolor="white [3212]"/>
            </w:pict>
          </mc:Fallback>
        </mc:AlternateContent>
      </w:r>
      <w:r w:rsidR="00B9564D" w:rsidRPr="005F44EF">
        <w:rPr>
          <w:rFonts w:ascii="Times New Roman" w:eastAsia="Times New Roman" w:hAnsi="Times New Roman" w:cs="Times New Roman"/>
          <w:noProof/>
          <w:sz w:val="24"/>
          <w:szCs w:val="24"/>
          <w:lang w:val="en-AU" w:eastAsia="en-AU"/>
        </w:rPr>
        <w:drawing>
          <wp:inline distT="114300" distB="114300" distL="114300" distR="114300" wp14:anchorId="4CC6DA92" wp14:editId="7C16F7CF">
            <wp:extent cx="5834743" cy="3658116"/>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45"/>
                    <a:srcRect t="2457" b="3640"/>
                    <a:stretch/>
                  </pic:blipFill>
                  <pic:spPr bwMode="auto">
                    <a:xfrm>
                      <a:off x="0" y="0"/>
                      <a:ext cx="5838895" cy="3660719"/>
                    </a:xfrm>
                    <a:prstGeom prst="rect">
                      <a:avLst/>
                    </a:prstGeom>
                    <a:ln>
                      <a:noFill/>
                    </a:ln>
                    <a:extLst>
                      <a:ext uri="{53640926-AAD7-44D8-BBD7-CCE9431645EC}">
                        <a14:shadowObscured xmlns:a14="http://schemas.microsoft.com/office/drawing/2010/main"/>
                      </a:ext>
                    </a:extLst>
                  </pic:spPr>
                </pic:pic>
              </a:graphicData>
            </a:graphic>
          </wp:inline>
        </w:drawing>
      </w:r>
    </w:p>
    <w:p w14:paraId="1A0D4BA1" w14:textId="14A09213" w:rsidR="00BB7AA9" w:rsidRPr="005F44EF" w:rsidRDefault="00B9564D">
      <w:pPr>
        <w:spacing w:before="180" w:after="18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lastRenderedPageBreak/>
        <w:t xml:space="preserve">Pollen concentrations in the Bété I </w:t>
      </w:r>
      <w:proofErr w:type="gramStart"/>
      <w:r w:rsidRPr="005F44EF">
        <w:rPr>
          <w:rFonts w:ascii="Times New Roman" w:eastAsia="Times New Roman" w:hAnsi="Times New Roman" w:cs="Times New Roman"/>
          <w:sz w:val="24"/>
          <w:szCs w:val="24"/>
        </w:rPr>
        <w:t>samples</w:t>
      </w:r>
      <w:proofErr w:type="gramEnd"/>
      <w:r w:rsidRPr="005F44EF">
        <w:rPr>
          <w:rFonts w:ascii="Times New Roman" w:eastAsia="Times New Roman" w:hAnsi="Times New Roman" w:cs="Times New Roman"/>
          <w:sz w:val="24"/>
          <w:szCs w:val="24"/>
        </w:rPr>
        <w:t xml:space="preserve"> vary by orders of magnitude. The higher concentration samples also tend to have more pollen that are identifiable rather than indeterminable, which is not the case for the low concentration samples which have more indeterminable than identifiable pollen. Higher concentrations of ferns in these samples is consistent with strong </w:t>
      </w:r>
      <w:proofErr w:type="spellStart"/>
      <w:r w:rsidRPr="005F44EF">
        <w:rPr>
          <w:rFonts w:ascii="Times New Roman" w:eastAsia="Times New Roman" w:hAnsi="Times New Roman" w:cs="Times New Roman"/>
          <w:sz w:val="24"/>
          <w:szCs w:val="24"/>
        </w:rPr>
        <w:t>taphonomic</w:t>
      </w:r>
      <w:proofErr w:type="spellEnd"/>
      <w:r w:rsidRPr="005F44EF">
        <w:rPr>
          <w:rFonts w:ascii="Times New Roman" w:eastAsia="Times New Roman" w:hAnsi="Times New Roman" w:cs="Times New Roman"/>
          <w:sz w:val="24"/>
          <w:szCs w:val="24"/>
        </w:rPr>
        <w:t xml:space="preserve"> degradation, as fern spores have thick walls and higher local production. Because there are likely comparatively more ferns and they tend to preserve in greater abundances than many pollen types, we should expect higher frequencies of ferns and </w:t>
      </w:r>
      <w:proofErr w:type="spellStart"/>
      <w:r w:rsidRPr="005F44EF">
        <w:rPr>
          <w:rFonts w:ascii="Times New Roman" w:eastAsia="Times New Roman" w:hAnsi="Times New Roman" w:cs="Times New Roman"/>
          <w:sz w:val="24"/>
          <w:szCs w:val="24"/>
        </w:rPr>
        <w:t>indeterminables</w:t>
      </w:r>
      <w:proofErr w:type="spellEnd"/>
      <w:r w:rsidRPr="005F44EF">
        <w:rPr>
          <w:rFonts w:ascii="Times New Roman" w:eastAsia="Times New Roman" w:hAnsi="Times New Roman" w:cs="Times New Roman"/>
          <w:sz w:val="24"/>
          <w:szCs w:val="24"/>
        </w:rPr>
        <w:t xml:space="preserve"> in highly degraded samples. However, some Bété I </w:t>
      </w:r>
      <w:proofErr w:type="gramStart"/>
      <w:r w:rsidRPr="005F44EF">
        <w:rPr>
          <w:rFonts w:ascii="Times New Roman" w:eastAsia="Times New Roman" w:hAnsi="Times New Roman" w:cs="Times New Roman"/>
          <w:sz w:val="24"/>
          <w:szCs w:val="24"/>
        </w:rPr>
        <w:t>samples</w:t>
      </w:r>
      <w:proofErr w:type="gramEnd"/>
      <w:r w:rsidRPr="005F44EF">
        <w:rPr>
          <w:rFonts w:ascii="Times New Roman" w:eastAsia="Times New Roman" w:hAnsi="Times New Roman" w:cs="Times New Roman"/>
          <w:sz w:val="24"/>
          <w:szCs w:val="24"/>
        </w:rPr>
        <w:t xml:space="preserve"> show a lesser degree of </w:t>
      </w:r>
      <w:proofErr w:type="spellStart"/>
      <w:r w:rsidRPr="005F44EF">
        <w:rPr>
          <w:rFonts w:ascii="Times New Roman" w:eastAsia="Times New Roman" w:hAnsi="Times New Roman" w:cs="Times New Roman"/>
          <w:sz w:val="24"/>
          <w:szCs w:val="24"/>
        </w:rPr>
        <w:t>taphonomic</w:t>
      </w:r>
      <w:proofErr w:type="spellEnd"/>
      <w:r w:rsidRPr="005F44EF">
        <w:rPr>
          <w:rFonts w:ascii="Times New Roman" w:eastAsia="Times New Roman" w:hAnsi="Times New Roman" w:cs="Times New Roman"/>
          <w:sz w:val="24"/>
          <w:szCs w:val="24"/>
        </w:rPr>
        <w:t xml:space="preserve"> impact and in these samples identifiable pollen reaches 100,000/g and 400,000/g in samples 21 and 30 (</w:t>
      </w:r>
      <w:r w:rsidRPr="005F44EF">
        <w:rPr>
          <w:rFonts w:ascii="Times New Roman" w:eastAsia="Times New Roman" w:hAnsi="Times New Roman" w:cs="Times New Roman"/>
          <w:b/>
          <w:sz w:val="24"/>
          <w:szCs w:val="24"/>
        </w:rPr>
        <w:t>Figure S</w:t>
      </w:r>
      <w:r w:rsidR="0001712E" w:rsidRPr="005F44EF">
        <w:rPr>
          <w:rFonts w:ascii="Times New Roman" w:eastAsia="Times New Roman" w:hAnsi="Times New Roman" w:cs="Times New Roman"/>
          <w:b/>
          <w:sz w:val="24"/>
          <w:szCs w:val="24"/>
        </w:rPr>
        <w:t>21</w:t>
      </w:r>
      <w:r w:rsidRPr="005F44EF">
        <w:rPr>
          <w:rFonts w:ascii="Times New Roman" w:eastAsia="Times New Roman" w:hAnsi="Times New Roman" w:cs="Times New Roman"/>
          <w:sz w:val="24"/>
          <w:szCs w:val="24"/>
        </w:rPr>
        <w:t>). These concentrations are low compared to terrestrial lake and swamp deposits, but they are comparable to terrestrial soils</w:t>
      </w:r>
      <w:r w:rsidR="0074735A"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{"citationItems":[{"id":"ITEM-1","itemData":{"DOI":"10.1111/j.1469-8137.1957.tb07446.x","ISSN":"14698137","author":[{"dropping-particle":"","family":"DIMBLEBY","given":"G. W.","non-dropping-particle":"","parse-names":false,"suffix":""}],"container-title":"New Phytologist","id":"ITEM-1","issue":"1","issued":{"date-parts":[["1957"]]},"page":"12-28","title":"Pollen Analysis of Terrestrial Soils","type":"article-journal","volume":"56"},"uris":["http://www.mendeley.com/documents/?uuid=19857968-ad5f-46cc-bd43-e11f3b10f5f1"]}],"mendeley":{"formattedCitation":"&lt;sup&gt;134&lt;/sup&gt;","plainTextFormattedCitation":"134","previouslyFormattedCitation":"&lt;sup&gt;134&lt;/sup&gt;"},"properties":{"noteIndex":0},"schema":"https://github.com/citation-style-language/schema/raw/master/csl-citation.json"}</w:instrText>
      </w:r>
      <w:r w:rsidR="0074735A"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134</w:t>
      </w:r>
      <w:r w:rsidR="0074735A" w:rsidRPr="005F44EF">
        <w:rPr>
          <w:rFonts w:ascii="Times New Roman" w:eastAsia="Times New Roman" w:hAnsi="Times New Roman" w:cs="Times New Roman"/>
          <w:sz w:val="24"/>
          <w:szCs w:val="24"/>
        </w:rPr>
        <w:fldChar w:fldCharType="end"/>
      </w:r>
      <w:r w:rsidRPr="005F44EF">
        <w:rPr>
          <w:rFonts w:ascii="Times New Roman" w:eastAsia="Times New Roman" w:hAnsi="Times New Roman" w:cs="Times New Roman"/>
          <w:sz w:val="24"/>
          <w:szCs w:val="24"/>
        </w:rPr>
        <w:t>.</w:t>
      </w:r>
    </w:p>
    <w:p w14:paraId="3E28E7BA" w14:textId="7D4D28FF" w:rsidR="008F7669" w:rsidRPr="005F44EF" w:rsidRDefault="00B9564D" w:rsidP="008F7669">
      <w:pPr>
        <w:spacing w:after="0" w:line="276" w:lineRule="auto"/>
        <w:jc w:val="both"/>
        <w:rPr>
          <w:rFonts w:ascii="Times New Roman" w:eastAsia="Times New Roman" w:hAnsi="Times New Roman" w:cs="Times New Roman"/>
          <w:b/>
          <w:sz w:val="24"/>
          <w:szCs w:val="24"/>
        </w:rPr>
      </w:pPr>
      <w:r w:rsidRPr="005F44EF">
        <w:rPr>
          <w:rFonts w:ascii="Times New Roman" w:eastAsia="Times New Roman" w:hAnsi="Times New Roman" w:cs="Times New Roman"/>
          <w:sz w:val="24"/>
          <w:szCs w:val="24"/>
        </w:rPr>
        <w:t>Fossil pollen recovered from Bété I</w:t>
      </w:r>
      <w:r w:rsidR="004F4F58"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 xml:space="preserve">originates from wetland and terrestrial herbs as well as tree palms and woody plants. To better evaluate the potential impacts of </w:t>
      </w:r>
      <w:proofErr w:type="spellStart"/>
      <w:r w:rsidRPr="005F44EF">
        <w:rPr>
          <w:rFonts w:ascii="Times New Roman" w:eastAsia="Times New Roman" w:hAnsi="Times New Roman" w:cs="Times New Roman"/>
          <w:sz w:val="24"/>
          <w:szCs w:val="24"/>
        </w:rPr>
        <w:t>taphonomic</w:t>
      </w:r>
      <w:proofErr w:type="spellEnd"/>
      <w:r w:rsidRPr="005F44EF">
        <w:rPr>
          <w:rFonts w:ascii="Times New Roman" w:eastAsia="Times New Roman" w:hAnsi="Times New Roman" w:cs="Times New Roman"/>
          <w:sz w:val="24"/>
          <w:szCs w:val="24"/>
        </w:rPr>
        <w:t xml:space="preserve"> processes, indeterminable pollen </w:t>
      </w:r>
      <w:proofErr w:type="gramStart"/>
      <w:r w:rsidRPr="005F44EF">
        <w:rPr>
          <w:rFonts w:ascii="Times New Roman" w:eastAsia="Times New Roman" w:hAnsi="Times New Roman" w:cs="Times New Roman"/>
          <w:sz w:val="24"/>
          <w:szCs w:val="24"/>
        </w:rPr>
        <w:t>were</w:t>
      </w:r>
      <w:proofErr w:type="gramEnd"/>
      <w:r w:rsidRPr="005F44EF">
        <w:rPr>
          <w:rFonts w:ascii="Times New Roman" w:eastAsia="Times New Roman" w:hAnsi="Times New Roman" w:cs="Times New Roman"/>
          <w:sz w:val="24"/>
          <w:szCs w:val="24"/>
        </w:rPr>
        <w:t xml:space="preserve"> assigned to either generally indeterminate pollen or indeterminates with morphologies consistent with woody plants (</w:t>
      </w:r>
      <w:r w:rsidRPr="005F44EF">
        <w:rPr>
          <w:rFonts w:ascii="Times New Roman" w:eastAsia="Times New Roman" w:hAnsi="Times New Roman" w:cs="Times New Roman"/>
          <w:i/>
          <w:sz w:val="24"/>
          <w:szCs w:val="24"/>
        </w:rPr>
        <w:t>e.g.</w:t>
      </w:r>
      <w:r w:rsidRPr="005F44EF">
        <w:rPr>
          <w:rFonts w:ascii="Times New Roman" w:eastAsia="Times New Roman" w:hAnsi="Times New Roman" w:cs="Times New Roman"/>
          <w:sz w:val="24"/>
          <w:szCs w:val="24"/>
        </w:rPr>
        <w:t xml:space="preserve"> </w:t>
      </w:r>
      <w:proofErr w:type="spellStart"/>
      <w:r w:rsidRPr="005F44EF">
        <w:rPr>
          <w:rFonts w:ascii="Times New Roman" w:eastAsia="Times New Roman" w:hAnsi="Times New Roman" w:cs="Times New Roman"/>
          <w:sz w:val="24"/>
          <w:szCs w:val="24"/>
        </w:rPr>
        <w:t>trizonocolporate</w:t>
      </w:r>
      <w:proofErr w:type="spellEnd"/>
      <w:r w:rsidRPr="005F44EF">
        <w:rPr>
          <w:rFonts w:ascii="Times New Roman" w:eastAsia="Times New Roman" w:hAnsi="Times New Roman" w:cs="Times New Roman"/>
          <w:sz w:val="24"/>
          <w:szCs w:val="24"/>
        </w:rPr>
        <w:t>), but which cannot be assigned to an accepted morphotaxon.</w:t>
      </w:r>
      <w:r w:rsidR="008F7669" w:rsidRPr="005F44EF">
        <w:rPr>
          <w:rFonts w:ascii="Times New Roman" w:eastAsia="Times New Roman" w:hAnsi="Times New Roman" w:cs="Times New Roman"/>
          <w:b/>
          <w:sz w:val="24"/>
          <w:szCs w:val="24"/>
        </w:rPr>
        <w:t xml:space="preserve"> </w:t>
      </w:r>
    </w:p>
    <w:p w14:paraId="142AC330" w14:textId="77777777" w:rsidR="00B00D87" w:rsidRPr="005F44EF" w:rsidRDefault="00B00D87" w:rsidP="008F7669">
      <w:pPr>
        <w:spacing w:after="0" w:line="276" w:lineRule="auto"/>
        <w:jc w:val="both"/>
        <w:rPr>
          <w:rFonts w:ascii="Times New Roman" w:eastAsia="Times New Roman" w:hAnsi="Times New Roman" w:cs="Times New Roman"/>
          <w:b/>
          <w:sz w:val="24"/>
          <w:szCs w:val="24"/>
        </w:rPr>
      </w:pPr>
    </w:p>
    <w:p w14:paraId="6DF49F2E" w14:textId="77777777" w:rsidR="00A544A6" w:rsidRPr="005F44EF" w:rsidRDefault="00A544A6">
      <w:pPr>
        <w:spacing w:after="0" w:line="276" w:lineRule="auto"/>
        <w:jc w:val="both"/>
        <w:rPr>
          <w:rFonts w:ascii="Times New Roman" w:eastAsia="Times New Roman" w:hAnsi="Times New Roman" w:cs="Times New Roman"/>
          <w:b/>
          <w:sz w:val="24"/>
          <w:szCs w:val="24"/>
        </w:rPr>
      </w:pPr>
      <w:bookmarkStart w:id="105" w:name="_Hlk170655011"/>
    </w:p>
    <w:p w14:paraId="61B65255" w14:textId="77777777" w:rsidR="00A544A6" w:rsidRPr="005F44EF" w:rsidRDefault="00A544A6">
      <w:pPr>
        <w:spacing w:after="0" w:line="276" w:lineRule="auto"/>
        <w:jc w:val="both"/>
        <w:rPr>
          <w:rFonts w:ascii="Times New Roman" w:eastAsia="Times New Roman" w:hAnsi="Times New Roman" w:cs="Times New Roman"/>
          <w:b/>
          <w:sz w:val="24"/>
          <w:szCs w:val="24"/>
        </w:rPr>
      </w:pPr>
    </w:p>
    <w:p w14:paraId="738EE85E" w14:textId="79B2F6E3" w:rsidR="00127622" w:rsidRPr="005F44EF" w:rsidRDefault="008F7669">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b/>
          <w:sz w:val="24"/>
          <w:szCs w:val="24"/>
        </w:rPr>
        <w:t>Figure S</w:t>
      </w:r>
      <w:r w:rsidR="0001712E" w:rsidRPr="005F44EF">
        <w:rPr>
          <w:rFonts w:ascii="Times New Roman" w:eastAsia="Times New Roman" w:hAnsi="Times New Roman" w:cs="Times New Roman"/>
          <w:b/>
          <w:sz w:val="24"/>
          <w:szCs w:val="24"/>
        </w:rPr>
        <w:t>21</w:t>
      </w:r>
      <w:r w:rsidRPr="005F44EF">
        <w:rPr>
          <w:rFonts w:ascii="Times New Roman" w:eastAsia="Times New Roman" w:hAnsi="Times New Roman" w:cs="Times New Roman"/>
          <w:b/>
          <w:sz w:val="24"/>
          <w:szCs w:val="24"/>
        </w:rPr>
        <w:t xml:space="preserve">: </w:t>
      </w:r>
      <w:proofErr w:type="spellStart"/>
      <w:r w:rsidRPr="005F44EF">
        <w:rPr>
          <w:rFonts w:ascii="Times New Roman" w:eastAsia="Times New Roman" w:hAnsi="Times New Roman" w:cs="Times New Roman"/>
          <w:sz w:val="24"/>
          <w:szCs w:val="24"/>
        </w:rPr>
        <w:t>Barplot</w:t>
      </w:r>
      <w:proofErr w:type="spellEnd"/>
      <w:r w:rsidRPr="005F44EF">
        <w:rPr>
          <w:rFonts w:ascii="Times New Roman" w:eastAsia="Times New Roman" w:hAnsi="Times New Roman" w:cs="Times New Roman"/>
          <w:sz w:val="24"/>
          <w:szCs w:val="24"/>
        </w:rPr>
        <w:t xml:space="preserve"> of completely indeterminate and indeterminate </w:t>
      </w:r>
      <w:proofErr w:type="spellStart"/>
      <w:r w:rsidRPr="005F44EF">
        <w:rPr>
          <w:rFonts w:ascii="Times New Roman" w:eastAsia="Times New Roman" w:hAnsi="Times New Roman" w:cs="Times New Roman"/>
          <w:sz w:val="24"/>
          <w:szCs w:val="24"/>
        </w:rPr>
        <w:t>eudicotyledons</w:t>
      </w:r>
      <w:proofErr w:type="spellEnd"/>
      <w:r w:rsidRPr="005F44EF">
        <w:rPr>
          <w:rFonts w:ascii="Times New Roman" w:eastAsia="Times New Roman" w:hAnsi="Times New Roman" w:cs="Times New Roman"/>
          <w:sz w:val="24"/>
          <w:szCs w:val="24"/>
        </w:rPr>
        <w:t xml:space="preserve"> as concentration per gram.</w:t>
      </w:r>
    </w:p>
    <w:bookmarkEnd w:id="105"/>
    <w:p w14:paraId="29CA32DC" w14:textId="7BB54116" w:rsidR="00BB7AA9" w:rsidRPr="005F44EF" w:rsidRDefault="009F3ADB">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noProof/>
          <w:sz w:val="24"/>
          <w:szCs w:val="24"/>
          <w:lang w:val="en-AU" w:eastAsia="en-AU"/>
        </w:rPr>
        <mc:AlternateContent>
          <mc:Choice Requires="wps">
            <w:drawing>
              <wp:anchor distT="0" distB="0" distL="114300" distR="114300" simplePos="0" relativeHeight="251665408" behindDoc="0" locked="0" layoutInCell="1" allowOverlap="1" wp14:anchorId="45182C28" wp14:editId="3BD39524">
                <wp:simplePos x="0" y="0"/>
                <wp:positionH relativeFrom="column">
                  <wp:posOffset>-72021</wp:posOffset>
                </wp:positionH>
                <wp:positionV relativeFrom="paragraph">
                  <wp:posOffset>428491</wp:posOffset>
                </wp:positionV>
                <wp:extent cx="375218" cy="3243714"/>
                <wp:effectExtent l="0" t="0" r="25400" b="13970"/>
                <wp:wrapNone/>
                <wp:docPr id="26" name="Rectangle 26"/>
                <wp:cNvGraphicFramePr/>
                <a:graphic xmlns:a="http://schemas.openxmlformats.org/drawingml/2006/main">
                  <a:graphicData uri="http://schemas.microsoft.com/office/word/2010/wordprocessingShape">
                    <wps:wsp>
                      <wps:cNvSpPr/>
                      <wps:spPr>
                        <a:xfrm>
                          <a:off x="0" y="0"/>
                          <a:ext cx="375218" cy="3243714"/>
                        </a:xfrm>
                        <a:prstGeom prst="rect">
                          <a:avLst/>
                        </a:prstGeom>
                        <a:solidFill>
                          <a:schemeClr val="bg1"/>
                        </a:solidFill>
                        <a:ln>
                          <a:solidFill>
                            <a:schemeClr val="bg1"/>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54B135A4" id="Rectangle 26" o:spid="_x0000_s1026" style="position:absolute;margin-left:-5.65pt;margin-top:33.75pt;width:29.55pt;height:255.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" fillcolor="white [3212]" strokecolor="white [3212]"/>
            </w:pict>
          </mc:Fallback>
        </mc:AlternateContent>
      </w:r>
      <w:r w:rsidR="00B9564D" w:rsidRPr="005F44EF">
        <w:rPr>
          <w:rFonts w:ascii="Times New Roman" w:eastAsia="Times New Roman" w:hAnsi="Times New Roman" w:cs="Times New Roman"/>
          <w:noProof/>
          <w:sz w:val="24"/>
          <w:szCs w:val="24"/>
          <w:lang w:val="en-AU" w:eastAsia="en-AU"/>
        </w:rPr>
        <w:drawing>
          <wp:inline distT="114300" distB="114300" distL="114300" distR="114300" wp14:anchorId="5D4450D9" wp14:editId="20DE6B27">
            <wp:extent cx="5972810" cy="3987800"/>
            <wp:effectExtent l="0" t="0" r="0" b="0"/>
            <wp:docPr id="1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6"/>
                    <a:srcRect/>
                    <a:stretch>
                      <a:fillRect/>
                    </a:stretch>
                  </pic:blipFill>
                  <pic:spPr>
                    <a:xfrm>
                      <a:off x="0" y="0"/>
                      <a:ext cx="5972810" cy="3987800"/>
                    </a:xfrm>
                    <a:prstGeom prst="rect">
                      <a:avLst/>
                    </a:prstGeom>
                    <a:ln/>
                  </pic:spPr>
                </pic:pic>
              </a:graphicData>
            </a:graphic>
          </wp:inline>
        </w:drawing>
      </w:r>
    </w:p>
    <w:p w14:paraId="2A04F618" w14:textId="77777777" w:rsidR="00BB7AA9" w:rsidRPr="005F44EF" w:rsidRDefault="00BB7AA9">
      <w:pPr>
        <w:spacing w:after="0" w:line="276" w:lineRule="auto"/>
        <w:jc w:val="both"/>
        <w:rPr>
          <w:rFonts w:ascii="Times New Roman" w:eastAsia="Times New Roman" w:hAnsi="Times New Roman" w:cs="Times New Roman"/>
          <w:sz w:val="24"/>
          <w:szCs w:val="24"/>
        </w:rPr>
      </w:pPr>
    </w:p>
    <w:p w14:paraId="1B61C625" w14:textId="444595C7"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All pollen types are not uniformly produced across all plants and the size, thickness, and </w:t>
      </w:r>
      <w:proofErr w:type="spellStart"/>
      <w:r w:rsidRPr="005F44EF">
        <w:rPr>
          <w:rFonts w:ascii="Times New Roman" w:eastAsia="Times New Roman" w:hAnsi="Times New Roman" w:cs="Times New Roman"/>
          <w:sz w:val="24"/>
          <w:szCs w:val="24"/>
        </w:rPr>
        <w:t>exine</w:t>
      </w:r>
      <w:proofErr w:type="spellEnd"/>
      <w:r w:rsidRPr="005F44EF">
        <w:rPr>
          <w:rFonts w:ascii="Times New Roman" w:eastAsia="Times New Roman" w:hAnsi="Times New Roman" w:cs="Times New Roman"/>
          <w:sz w:val="24"/>
          <w:szCs w:val="24"/>
        </w:rPr>
        <w:t xml:space="preserve"> patterns of pollen contributes both to its likelihood of being preserved as well as the likelihood that it is identified. Generally, this effect tends to produce overestimates of grasses and heliophiles with thick and strongly patterned </w:t>
      </w:r>
      <w:proofErr w:type="spellStart"/>
      <w:r w:rsidRPr="005F44EF">
        <w:rPr>
          <w:rFonts w:ascii="Times New Roman" w:eastAsia="Times New Roman" w:hAnsi="Times New Roman" w:cs="Times New Roman"/>
          <w:sz w:val="24"/>
          <w:szCs w:val="24"/>
        </w:rPr>
        <w:t>exines</w:t>
      </w:r>
      <w:proofErr w:type="spellEnd"/>
      <w:r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i/>
          <w:sz w:val="24"/>
          <w:szCs w:val="24"/>
        </w:rPr>
        <w:t>e.g.</w:t>
      </w:r>
      <w:r w:rsidRPr="005F44EF">
        <w:rPr>
          <w:rFonts w:ascii="Times New Roman" w:eastAsia="Times New Roman" w:hAnsi="Times New Roman" w:cs="Times New Roman"/>
          <w:sz w:val="24"/>
          <w:szCs w:val="24"/>
        </w:rPr>
        <w:t xml:space="preserve"> Asteraceae or </w:t>
      </w:r>
      <w:proofErr w:type="spellStart"/>
      <w:r w:rsidRPr="005F44EF">
        <w:rPr>
          <w:rFonts w:ascii="Times New Roman" w:eastAsia="Times New Roman" w:hAnsi="Times New Roman" w:cs="Times New Roman"/>
          <w:sz w:val="24"/>
          <w:szCs w:val="24"/>
        </w:rPr>
        <w:t>Poaceae</w:t>
      </w:r>
      <w:proofErr w:type="spellEnd"/>
      <w:r w:rsidRPr="005F44EF">
        <w:rPr>
          <w:rFonts w:ascii="Times New Roman" w:eastAsia="Times New Roman" w:hAnsi="Times New Roman" w:cs="Times New Roman"/>
          <w:sz w:val="24"/>
          <w:szCs w:val="24"/>
        </w:rPr>
        <w:t>; also see</w:t>
      </w:r>
      <w:r w:rsidR="00B6715C"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{"citationItems":[{"id":"ITEM-1","itemData":{"DOI":"10.1016/S0031-0182(01)00348-0","ISSN":"0031-0182","abstract":"Poaceae pollen is abundant in fossil records and is often used as a paleoclimatic indicator. A common interpretation is to link increases in Poaceae pollen abundance to increased regional aridity. However, the representation of Poaceae pollen is influenced by a number of factors, such as the proportion of other plants in the flora that are anemophilous, the size of local marshes, and the influence of humans on the landscape. Abundant anemophilous trees are likely to mask the contribution of Poaceae pollen, whereas floras that are primarily entomophilous are likely to produce a pollen spectrum containing an over-representation of Poaceae. As most fossil pollen data are drawn from flooded settings, it is critically important that palynologists recognize the Poaceae pollen contribution derived from floating grasses and marshes that surround their coring site. Interpretations that ignore changes in effective lake size and assume that Poaceae percentage is a simple indicator of regional vegetation change are likely to overstate 'dry' episodes and transitions from wet forest to scrub environments. Human occupation of a site is sometimes manifested in increased Poaceae pollen abundance in lake sediments. The duration, intensity and land-use associated with occupation are all variables that influence Poaceae pollen representation. Very high (50-90%) abundances of Poaceae pollen provide a strong indicator of savanna habitats, but trying to determine transitional vegetation types between savanna and wet forest is best determined using other taxa. Indeed, reliance on Poaceae abundance as an indicator of paleoprecipitation is potentially very misleading when it is in the fossil record at moderate abundances. © 2002 Elsevier Science B.V. All rights reserved.","author":[{"dropping-particle":"","family":"Bush","given":"Mark B.","non-dropping-particle":"","parse-names":false,"suffix":""}],"container-title":"Palaeogeography, Palaeoclimatology, Palaeoecology","id":"ITEM-1","issue":"1-2","issued":{"date-parts":[["2002","1","5"]]},"page":"5-17","publisher":"Elsevier","title":"On the interpretation of fossil Poaceae pollen in the lowland humid neotropics","type":"article-journal","volume":"177"},"uris":["http://www.mendeley.com/documents/?uuid=83ee0c20-f04a-3dd6-acf7-732b5ca06aa9"]}],"mendeley":{"formattedCitation":"&lt;sup&gt;135&lt;/sup&gt;","plainTextFormattedCitation":"135","previouslyFormattedCitation":"&lt;sup&gt;135&lt;/sup&gt;"},"properties":{"noteIndex":0},"schema":"https://github.com/citation-style-language/schema/raw/master/csl-citation.json"}</w:instrText>
      </w:r>
      <w:r w:rsidR="00B6715C"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135</w:t>
      </w:r>
      <w:r w:rsidR="00B6715C" w:rsidRPr="005F44EF">
        <w:rPr>
          <w:rFonts w:ascii="Times New Roman" w:eastAsia="Times New Roman" w:hAnsi="Times New Roman" w:cs="Times New Roman"/>
          <w:sz w:val="24"/>
          <w:szCs w:val="24"/>
        </w:rPr>
        <w:fldChar w:fldCharType="end"/>
      </w:r>
      <w:r w:rsidR="00B6715C" w:rsidRPr="005F44EF">
        <w:rPr>
          <w:rFonts w:ascii="Times New Roman" w:eastAsia="Times New Roman" w:hAnsi="Times New Roman" w:cs="Times New Roman"/>
          <w:sz w:val="24"/>
          <w:szCs w:val="24"/>
        </w:rPr>
        <w:t>)</w:t>
      </w:r>
      <w:r w:rsidRPr="005F44EF">
        <w:rPr>
          <w:rFonts w:ascii="Times New Roman" w:eastAsia="Times New Roman" w:hAnsi="Times New Roman" w:cs="Times New Roman"/>
          <w:sz w:val="24"/>
          <w:szCs w:val="24"/>
        </w:rPr>
        <w:t xml:space="preserve">. In both profiles, </w:t>
      </w:r>
      <w:proofErr w:type="spellStart"/>
      <w:r w:rsidRPr="005F44EF">
        <w:rPr>
          <w:rFonts w:ascii="Times New Roman" w:eastAsia="Times New Roman" w:hAnsi="Times New Roman" w:cs="Times New Roman"/>
          <w:sz w:val="24"/>
          <w:szCs w:val="24"/>
        </w:rPr>
        <w:t>indeterminables</w:t>
      </w:r>
      <w:proofErr w:type="spellEnd"/>
      <w:r w:rsidRPr="005F44EF">
        <w:rPr>
          <w:rFonts w:ascii="Times New Roman" w:eastAsia="Times New Roman" w:hAnsi="Times New Roman" w:cs="Times New Roman"/>
          <w:sz w:val="24"/>
          <w:szCs w:val="24"/>
        </w:rPr>
        <w:t xml:space="preserve"> follow the overall pattern of pollen concentration across the profile. In samples with modest concentrations and poor preservation, the ratio of all </w:t>
      </w:r>
      <w:proofErr w:type="spellStart"/>
      <w:r w:rsidRPr="005F44EF">
        <w:rPr>
          <w:rFonts w:ascii="Times New Roman" w:eastAsia="Times New Roman" w:hAnsi="Times New Roman" w:cs="Times New Roman"/>
          <w:sz w:val="24"/>
          <w:szCs w:val="24"/>
        </w:rPr>
        <w:t>indeterminables</w:t>
      </w:r>
      <w:proofErr w:type="spellEnd"/>
      <w:r w:rsidRPr="005F44EF">
        <w:rPr>
          <w:rFonts w:ascii="Times New Roman" w:eastAsia="Times New Roman" w:hAnsi="Times New Roman" w:cs="Times New Roman"/>
          <w:sz w:val="24"/>
          <w:szCs w:val="24"/>
        </w:rPr>
        <w:t xml:space="preserve"> to woody </w:t>
      </w:r>
      <w:proofErr w:type="spellStart"/>
      <w:r w:rsidRPr="005F44EF">
        <w:rPr>
          <w:rFonts w:ascii="Times New Roman" w:eastAsia="Times New Roman" w:hAnsi="Times New Roman" w:cs="Times New Roman"/>
          <w:sz w:val="24"/>
          <w:szCs w:val="24"/>
        </w:rPr>
        <w:t>indeterminables</w:t>
      </w:r>
      <w:proofErr w:type="spellEnd"/>
      <w:r w:rsidRPr="005F44EF">
        <w:rPr>
          <w:rFonts w:ascii="Times New Roman" w:eastAsia="Times New Roman" w:hAnsi="Times New Roman" w:cs="Times New Roman"/>
          <w:sz w:val="24"/>
          <w:szCs w:val="24"/>
        </w:rPr>
        <w:t xml:space="preserve"> is more even, reflecting the complete degradation of the pollen and loss of identifiable features. In samples with better preservation and higher pollen concentrations, there is a much better representation of woody </w:t>
      </w:r>
      <w:proofErr w:type="spellStart"/>
      <w:r w:rsidRPr="005F44EF">
        <w:rPr>
          <w:rFonts w:ascii="Times New Roman" w:eastAsia="Times New Roman" w:hAnsi="Times New Roman" w:cs="Times New Roman"/>
          <w:sz w:val="24"/>
          <w:szCs w:val="24"/>
        </w:rPr>
        <w:t>indeterminables</w:t>
      </w:r>
      <w:proofErr w:type="spellEnd"/>
      <w:r w:rsidRPr="005F44EF">
        <w:rPr>
          <w:rFonts w:ascii="Times New Roman" w:eastAsia="Times New Roman" w:hAnsi="Times New Roman" w:cs="Times New Roman"/>
          <w:sz w:val="24"/>
          <w:szCs w:val="24"/>
        </w:rPr>
        <w:t>. This suggests that taphonomy is not the only driver of the representation of grasses and woody vegetation in these better-preserved samples, as there are similar abundances of woody plant pollen in both the damaged/indeterminable classes as well as the identifiable fraction of the pollen sample.</w:t>
      </w:r>
    </w:p>
    <w:p w14:paraId="10FB419A" w14:textId="77777777" w:rsidR="00BB7AA9" w:rsidRPr="005F44EF" w:rsidRDefault="00BB7AA9">
      <w:pPr>
        <w:spacing w:after="0" w:line="276" w:lineRule="auto"/>
        <w:jc w:val="both"/>
        <w:rPr>
          <w:rFonts w:ascii="Times New Roman" w:eastAsia="Times New Roman" w:hAnsi="Times New Roman" w:cs="Times New Roman"/>
          <w:sz w:val="24"/>
          <w:szCs w:val="24"/>
        </w:rPr>
      </w:pPr>
    </w:p>
    <w:p w14:paraId="1210615A" w14:textId="77777777" w:rsidR="00BB7AA9" w:rsidRPr="005F44EF" w:rsidRDefault="00B9564D">
      <w:pPr>
        <w:spacing w:before="180" w:after="18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Identifiable pollen </w:t>
      </w:r>
      <w:proofErr w:type="gramStart"/>
      <w:r w:rsidRPr="005F44EF">
        <w:rPr>
          <w:rFonts w:ascii="Times New Roman" w:eastAsia="Times New Roman" w:hAnsi="Times New Roman" w:cs="Times New Roman"/>
          <w:sz w:val="24"/>
          <w:szCs w:val="24"/>
        </w:rPr>
        <w:t>are</w:t>
      </w:r>
      <w:proofErr w:type="gramEnd"/>
      <w:r w:rsidRPr="005F44EF">
        <w:rPr>
          <w:rFonts w:ascii="Times New Roman" w:eastAsia="Times New Roman" w:hAnsi="Times New Roman" w:cs="Times New Roman"/>
          <w:sz w:val="24"/>
          <w:szCs w:val="24"/>
        </w:rPr>
        <w:t xml:space="preserve"> grouped by a combination of their functional type and growth form into eight classes, listed below with examples of pollen morphotaxa belonging to them:</w:t>
      </w:r>
    </w:p>
    <w:p w14:paraId="19737A36" w14:textId="7AE27E71" w:rsidR="00BB7AA9" w:rsidRPr="005F44EF" w:rsidRDefault="00B9564D">
      <w:pPr>
        <w:spacing w:before="40" w:after="40" w:line="276" w:lineRule="auto"/>
        <w:ind w:left="960" w:hanging="480"/>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w:t>
      </w:r>
      <w:r w:rsidR="00F24010">
        <w:rPr>
          <w:rFonts w:ascii="Times New Roman" w:eastAsia="Times New Roman" w:hAnsi="Times New Roman" w:cs="Times New Roman"/>
          <w:sz w:val="14"/>
          <w:szCs w:val="14"/>
        </w:rPr>
        <w:t xml:space="preserve">   </w:t>
      </w:r>
      <w:r w:rsidRPr="005F44EF">
        <w:rPr>
          <w:rFonts w:ascii="Times New Roman" w:eastAsia="Times New Roman" w:hAnsi="Times New Roman" w:cs="Times New Roman"/>
          <w:sz w:val="14"/>
          <w:szCs w:val="14"/>
        </w:rPr>
        <w:tab/>
      </w:r>
      <w:r w:rsidRPr="005F44EF">
        <w:rPr>
          <w:rFonts w:ascii="Times New Roman" w:eastAsia="Times New Roman" w:hAnsi="Times New Roman" w:cs="Times New Roman"/>
          <w:sz w:val="24"/>
          <w:szCs w:val="24"/>
        </w:rPr>
        <w:t>01_</w:t>
      </w:r>
      <w:proofErr w:type="gramStart"/>
      <w:r w:rsidRPr="005F44EF">
        <w:rPr>
          <w:rFonts w:ascii="Times New Roman" w:eastAsia="Times New Roman" w:hAnsi="Times New Roman" w:cs="Times New Roman"/>
          <w:sz w:val="24"/>
          <w:szCs w:val="24"/>
        </w:rPr>
        <w:t>WMON :</w:t>
      </w:r>
      <w:proofErr w:type="gramEnd"/>
      <w:r w:rsidRPr="005F44EF">
        <w:rPr>
          <w:rFonts w:ascii="Times New Roman" w:eastAsia="Times New Roman" w:hAnsi="Times New Roman" w:cs="Times New Roman"/>
          <w:sz w:val="24"/>
          <w:szCs w:val="24"/>
        </w:rPr>
        <w:t xml:space="preserve"> Wetland monocotyledons : </w:t>
      </w:r>
      <w:proofErr w:type="spellStart"/>
      <w:r w:rsidRPr="005F44EF">
        <w:rPr>
          <w:rFonts w:ascii="Times New Roman" w:eastAsia="Times New Roman" w:hAnsi="Times New Roman" w:cs="Times New Roman"/>
          <w:sz w:val="24"/>
          <w:szCs w:val="24"/>
        </w:rPr>
        <w:t>Cyperaceae</w:t>
      </w:r>
      <w:proofErr w:type="spellEnd"/>
      <w:r w:rsidRPr="005F44EF">
        <w:rPr>
          <w:rFonts w:ascii="Times New Roman" w:eastAsia="Times New Roman" w:hAnsi="Times New Roman" w:cs="Times New Roman"/>
          <w:sz w:val="24"/>
          <w:szCs w:val="24"/>
        </w:rPr>
        <w:t xml:space="preserve"> (sedges), </w:t>
      </w:r>
      <w:r w:rsidRPr="005F44EF">
        <w:rPr>
          <w:rFonts w:ascii="Times New Roman" w:eastAsia="Times New Roman" w:hAnsi="Times New Roman" w:cs="Times New Roman"/>
          <w:i/>
          <w:sz w:val="24"/>
          <w:szCs w:val="24"/>
        </w:rPr>
        <w:t>Typha</w:t>
      </w:r>
      <w:r w:rsidRPr="005F44EF">
        <w:rPr>
          <w:rFonts w:ascii="Times New Roman" w:eastAsia="Times New Roman" w:hAnsi="Times New Roman" w:cs="Times New Roman"/>
          <w:sz w:val="24"/>
          <w:szCs w:val="24"/>
        </w:rPr>
        <w:t xml:space="preserve"> (cattail)</w:t>
      </w:r>
    </w:p>
    <w:p w14:paraId="7E242C26" w14:textId="186C7B7D" w:rsidR="00BB7AA9" w:rsidRPr="005F44EF" w:rsidRDefault="00B9564D">
      <w:pPr>
        <w:spacing w:before="40" w:after="40" w:line="276" w:lineRule="auto"/>
        <w:ind w:left="960" w:hanging="480"/>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w:t>
      </w:r>
      <w:r w:rsidR="00F24010">
        <w:rPr>
          <w:rFonts w:ascii="Times New Roman" w:eastAsia="Times New Roman" w:hAnsi="Times New Roman" w:cs="Times New Roman"/>
          <w:sz w:val="14"/>
          <w:szCs w:val="14"/>
        </w:rPr>
        <w:t xml:space="preserve">   </w:t>
      </w:r>
      <w:r w:rsidRPr="005F44EF">
        <w:rPr>
          <w:rFonts w:ascii="Times New Roman" w:eastAsia="Times New Roman" w:hAnsi="Times New Roman" w:cs="Times New Roman"/>
          <w:sz w:val="14"/>
          <w:szCs w:val="14"/>
        </w:rPr>
        <w:tab/>
      </w:r>
      <w:r w:rsidRPr="005F44EF">
        <w:rPr>
          <w:rFonts w:ascii="Times New Roman" w:eastAsia="Times New Roman" w:hAnsi="Times New Roman" w:cs="Times New Roman"/>
          <w:sz w:val="24"/>
          <w:szCs w:val="24"/>
        </w:rPr>
        <w:t>02_</w:t>
      </w:r>
      <w:proofErr w:type="gramStart"/>
      <w:r w:rsidRPr="005F44EF">
        <w:rPr>
          <w:rFonts w:ascii="Times New Roman" w:eastAsia="Times New Roman" w:hAnsi="Times New Roman" w:cs="Times New Roman"/>
          <w:sz w:val="24"/>
          <w:szCs w:val="24"/>
        </w:rPr>
        <w:t>TMON :</w:t>
      </w:r>
      <w:proofErr w:type="gramEnd"/>
      <w:r w:rsidRPr="005F44EF">
        <w:rPr>
          <w:rFonts w:ascii="Times New Roman" w:eastAsia="Times New Roman" w:hAnsi="Times New Roman" w:cs="Times New Roman"/>
          <w:sz w:val="24"/>
          <w:szCs w:val="24"/>
        </w:rPr>
        <w:t xml:space="preserve"> Terrestrial monocotyledons : </w:t>
      </w:r>
      <w:proofErr w:type="spellStart"/>
      <w:r w:rsidRPr="005F44EF">
        <w:rPr>
          <w:rFonts w:ascii="Times New Roman" w:eastAsia="Times New Roman" w:hAnsi="Times New Roman" w:cs="Times New Roman"/>
          <w:sz w:val="24"/>
          <w:szCs w:val="24"/>
        </w:rPr>
        <w:t>Poaceae</w:t>
      </w:r>
      <w:proofErr w:type="spellEnd"/>
      <w:r w:rsidRPr="005F44EF">
        <w:rPr>
          <w:rFonts w:ascii="Times New Roman" w:eastAsia="Times New Roman" w:hAnsi="Times New Roman" w:cs="Times New Roman"/>
          <w:sz w:val="24"/>
          <w:szCs w:val="24"/>
        </w:rPr>
        <w:t xml:space="preserve"> (grasses)</w:t>
      </w:r>
    </w:p>
    <w:p w14:paraId="4CBEB965" w14:textId="129A35AF" w:rsidR="00BB7AA9" w:rsidRPr="005F44EF" w:rsidRDefault="00B9564D">
      <w:pPr>
        <w:spacing w:before="40" w:after="40" w:line="276" w:lineRule="auto"/>
        <w:ind w:left="960" w:hanging="480"/>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w:t>
      </w:r>
      <w:bookmarkStart w:id="106" w:name="_GoBack"/>
      <w:r w:rsidR="00F24010">
        <w:rPr>
          <w:rFonts w:ascii="Times New Roman" w:eastAsia="Times New Roman" w:hAnsi="Times New Roman" w:cs="Times New Roman"/>
          <w:sz w:val="14"/>
          <w:szCs w:val="14"/>
        </w:rPr>
        <w:t xml:space="preserve">  </w:t>
      </w:r>
      <w:bookmarkEnd w:id="106"/>
      <w:r w:rsidR="00F24010">
        <w:rPr>
          <w:rFonts w:ascii="Times New Roman" w:eastAsia="Times New Roman" w:hAnsi="Times New Roman" w:cs="Times New Roman"/>
          <w:sz w:val="14"/>
          <w:szCs w:val="14"/>
        </w:rPr>
        <w:t xml:space="preserve"> </w:t>
      </w:r>
      <w:r w:rsidRPr="005F44EF">
        <w:rPr>
          <w:rFonts w:ascii="Times New Roman" w:eastAsia="Times New Roman" w:hAnsi="Times New Roman" w:cs="Times New Roman"/>
          <w:sz w:val="14"/>
          <w:szCs w:val="14"/>
        </w:rPr>
        <w:tab/>
      </w:r>
      <w:r w:rsidRPr="005F44EF">
        <w:rPr>
          <w:rFonts w:ascii="Times New Roman" w:eastAsia="Times New Roman" w:hAnsi="Times New Roman" w:cs="Times New Roman"/>
          <w:sz w:val="24"/>
          <w:szCs w:val="24"/>
        </w:rPr>
        <w:t>03_</w:t>
      </w:r>
      <w:proofErr w:type="gramStart"/>
      <w:r w:rsidRPr="005F44EF">
        <w:rPr>
          <w:rFonts w:ascii="Times New Roman" w:eastAsia="Times New Roman" w:hAnsi="Times New Roman" w:cs="Times New Roman"/>
          <w:sz w:val="24"/>
          <w:szCs w:val="24"/>
        </w:rPr>
        <w:t>PALM :</w:t>
      </w:r>
      <w:proofErr w:type="gramEnd"/>
      <w:r w:rsidRPr="005F44EF">
        <w:rPr>
          <w:rFonts w:ascii="Times New Roman" w:eastAsia="Times New Roman" w:hAnsi="Times New Roman" w:cs="Times New Roman"/>
          <w:sz w:val="24"/>
          <w:szCs w:val="24"/>
        </w:rPr>
        <w:t xml:space="preserve"> Palms : </w:t>
      </w:r>
      <w:proofErr w:type="spellStart"/>
      <w:r w:rsidRPr="005F44EF">
        <w:rPr>
          <w:rFonts w:ascii="Times New Roman" w:eastAsia="Times New Roman" w:hAnsi="Times New Roman" w:cs="Times New Roman"/>
          <w:i/>
          <w:sz w:val="24"/>
          <w:szCs w:val="24"/>
        </w:rPr>
        <w:t>Elaeis</w:t>
      </w:r>
      <w:proofErr w:type="spellEnd"/>
      <w:r w:rsidRPr="005F44EF">
        <w:rPr>
          <w:rFonts w:ascii="Times New Roman" w:eastAsia="Times New Roman" w:hAnsi="Times New Roman" w:cs="Times New Roman"/>
          <w:i/>
          <w:sz w:val="24"/>
          <w:szCs w:val="24"/>
        </w:rPr>
        <w:t xml:space="preserve"> </w:t>
      </w:r>
      <w:proofErr w:type="spellStart"/>
      <w:r w:rsidRPr="005F44EF">
        <w:rPr>
          <w:rFonts w:ascii="Times New Roman" w:eastAsia="Times New Roman" w:hAnsi="Times New Roman" w:cs="Times New Roman"/>
          <w:i/>
          <w:sz w:val="24"/>
          <w:szCs w:val="24"/>
        </w:rPr>
        <w:t>guineensis</w:t>
      </w:r>
      <w:proofErr w:type="spellEnd"/>
      <w:r w:rsidRPr="005F44EF">
        <w:rPr>
          <w:rFonts w:ascii="Times New Roman" w:eastAsia="Times New Roman" w:hAnsi="Times New Roman" w:cs="Times New Roman"/>
          <w:sz w:val="24"/>
          <w:szCs w:val="24"/>
        </w:rPr>
        <w:t xml:space="preserve"> (oil palm)</w:t>
      </w:r>
    </w:p>
    <w:p w14:paraId="4BDB40D1" w14:textId="7A1BACED" w:rsidR="00BB7AA9" w:rsidRPr="005F44EF" w:rsidRDefault="00B9564D">
      <w:pPr>
        <w:spacing w:before="40" w:after="40" w:line="276" w:lineRule="auto"/>
        <w:ind w:left="960" w:hanging="480"/>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w:t>
      </w:r>
      <w:r w:rsidR="00F24010">
        <w:rPr>
          <w:rFonts w:ascii="Times New Roman" w:eastAsia="Times New Roman" w:hAnsi="Times New Roman" w:cs="Times New Roman"/>
          <w:sz w:val="14"/>
          <w:szCs w:val="14"/>
        </w:rPr>
        <w:t xml:space="preserve">   </w:t>
      </w:r>
      <w:r w:rsidRPr="005F44EF">
        <w:rPr>
          <w:rFonts w:ascii="Times New Roman" w:eastAsia="Times New Roman" w:hAnsi="Times New Roman" w:cs="Times New Roman"/>
          <w:sz w:val="14"/>
          <w:szCs w:val="14"/>
        </w:rPr>
        <w:tab/>
      </w:r>
      <w:r w:rsidRPr="005F44EF">
        <w:rPr>
          <w:rFonts w:ascii="Times New Roman" w:eastAsia="Times New Roman" w:hAnsi="Times New Roman" w:cs="Times New Roman"/>
          <w:sz w:val="24"/>
          <w:szCs w:val="24"/>
        </w:rPr>
        <w:t>04_</w:t>
      </w:r>
      <w:proofErr w:type="gramStart"/>
      <w:r w:rsidRPr="005F44EF">
        <w:rPr>
          <w:rFonts w:ascii="Times New Roman" w:eastAsia="Times New Roman" w:hAnsi="Times New Roman" w:cs="Times New Roman"/>
          <w:sz w:val="24"/>
          <w:szCs w:val="24"/>
        </w:rPr>
        <w:t>HRFB :</w:t>
      </w:r>
      <w:proofErr w:type="gramEnd"/>
      <w:r w:rsidRPr="005F44EF">
        <w:rPr>
          <w:rFonts w:ascii="Times New Roman" w:eastAsia="Times New Roman" w:hAnsi="Times New Roman" w:cs="Times New Roman"/>
          <w:sz w:val="24"/>
          <w:szCs w:val="24"/>
        </w:rPr>
        <w:t xml:space="preserve"> </w:t>
      </w:r>
      <w:proofErr w:type="spellStart"/>
      <w:r w:rsidRPr="005F44EF">
        <w:rPr>
          <w:rFonts w:ascii="Times New Roman" w:eastAsia="Times New Roman" w:hAnsi="Times New Roman" w:cs="Times New Roman"/>
          <w:sz w:val="24"/>
          <w:szCs w:val="24"/>
        </w:rPr>
        <w:t>Heliophilic</w:t>
      </w:r>
      <w:proofErr w:type="spellEnd"/>
      <w:r w:rsidRPr="005F44EF">
        <w:rPr>
          <w:rFonts w:ascii="Times New Roman" w:eastAsia="Times New Roman" w:hAnsi="Times New Roman" w:cs="Times New Roman"/>
          <w:sz w:val="24"/>
          <w:szCs w:val="24"/>
        </w:rPr>
        <w:t xml:space="preserve"> shrubs, forbs, herbs : Asteraceae (sunflower), </w:t>
      </w:r>
      <w:proofErr w:type="spellStart"/>
      <w:r w:rsidRPr="005F44EF">
        <w:rPr>
          <w:rFonts w:ascii="Times New Roman" w:eastAsia="Times New Roman" w:hAnsi="Times New Roman" w:cs="Times New Roman"/>
          <w:sz w:val="24"/>
          <w:szCs w:val="24"/>
        </w:rPr>
        <w:t>Amaranthaceae</w:t>
      </w:r>
      <w:proofErr w:type="spellEnd"/>
    </w:p>
    <w:p w14:paraId="355265B2" w14:textId="0592C70D" w:rsidR="00BB7AA9" w:rsidRPr="005F44EF" w:rsidRDefault="00B9564D">
      <w:pPr>
        <w:spacing w:before="40" w:after="40" w:line="276" w:lineRule="auto"/>
        <w:ind w:left="960" w:hanging="480"/>
        <w:jc w:val="both"/>
        <w:rPr>
          <w:rFonts w:ascii="Times New Roman" w:eastAsia="Times New Roman" w:hAnsi="Times New Roman" w:cs="Times New Roman"/>
          <w:i/>
          <w:sz w:val="24"/>
          <w:szCs w:val="24"/>
        </w:rPr>
      </w:pPr>
      <w:r w:rsidRPr="005F44EF">
        <w:rPr>
          <w:rFonts w:ascii="Times New Roman" w:eastAsia="Times New Roman" w:hAnsi="Times New Roman" w:cs="Times New Roman"/>
          <w:sz w:val="24"/>
          <w:szCs w:val="24"/>
        </w:rPr>
        <w:t>•</w:t>
      </w:r>
      <w:r w:rsidR="00F24010">
        <w:rPr>
          <w:rFonts w:ascii="Times New Roman" w:eastAsia="Times New Roman" w:hAnsi="Times New Roman" w:cs="Times New Roman"/>
          <w:sz w:val="14"/>
          <w:szCs w:val="14"/>
        </w:rPr>
        <w:t xml:space="preserve">   </w:t>
      </w:r>
      <w:r w:rsidRPr="005F44EF">
        <w:rPr>
          <w:rFonts w:ascii="Times New Roman" w:eastAsia="Times New Roman" w:hAnsi="Times New Roman" w:cs="Times New Roman"/>
          <w:sz w:val="14"/>
          <w:szCs w:val="14"/>
        </w:rPr>
        <w:tab/>
      </w:r>
      <w:r w:rsidRPr="005F44EF">
        <w:rPr>
          <w:rFonts w:ascii="Times New Roman" w:eastAsia="Times New Roman" w:hAnsi="Times New Roman" w:cs="Times New Roman"/>
          <w:sz w:val="24"/>
          <w:szCs w:val="24"/>
        </w:rPr>
        <w:t>05_</w:t>
      </w:r>
      <w:proofErr w:type="gramStart"/>
      <w:r w:rsidRPr="005F44EF">
        <w:rPr>
          <w:rFonts w:ascii="Times New Roman" w:eastAsia="Times New Roman" w:hAnsi="Times New Roman" w:cs="Times New Roman"/>
          <w:sz w:val="24"/>
          <w:szCs w:val="24"/>
        </w:rPr>
        <w:t>PTSH :</w:t>
      </w:r>
      <w:proofErr w:type="gramEnd"/>
      <w:r w:rsidRPr="005F44EF">
        <w:rPr>
          <w:rFonts w:ascii="Times New Roman" w:eastAsia="Times New Roman" w:hAnsi="Times New Roman" w:cs="Times New Roman"/>
          <w:sz w:val="24"/>
          <w:szCs w:val="24"/>
        </w:rPr>
        <w:t xml:space="preserve"> Pioneer trees/shrubs: </w:t>
      </w:r>
      <w:proofErr w:type="spellStart"/>
      <w:r w:rsidRPr="005F44EF">
        <w:rPr>
          <w:rFonts w:ascii="Times New Roman" w:eastAsia="Times New Roman" w:hAnsi="Times New Roman" w:cs="Times New Roman"/>
          <w:i/>
          <w:sz w:val="24"/>
          <w:szCs w:val="24"/>
        </w:rPr>
        <w:t>Alchornea</w:t>
      </w:r>
      <w:proofErr w:type="spellEnd"/>
      <w:r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i/>
          <w:sz w:val="24"/>
          <w:szCs w:val="24"/>
        </w:rPr>
        <w:t>Macaranga</w:t>
      </w:r>
    </w:p>
    <w:p w14:paraId="35143A5A" w14:textId="0F70BA28" w:rsidR="00BB7AA9" w:rsidRPr="005F44EF" w:rsidRDefault="00B9564D">
      <w:pPr>
        <w:spacing w:before="40" w:after="40" w:line="276" w:lineRule="auto"/>
        <w:ind w:left="960" w:hanging="480"/>
        <w:jc w:val="both"/>
        <w:rPr>
          <w:rFonts w:ascii="Times New Roman" w:eastAsia="Times New Roman" w:hAnsi="Times New Roman" w:cs="Times New Roman"/>
          <w:i/>
          <w:sz w:val="24"/>
          <w:szCs w:val="24"/>
        </w:rPr>
      </w:pPr>
      <w:r w:rsidRPr="005F44EF">
        <w:rPr>
          <w:rFonts w:ascii="Times New Roman" w:eastAsia="Times New Roman" w:hAnsi="Times New Roman" w:cs="Times New Roman"/>
          <w:sz w:val="24"/>
          <w:szCs w:val="24"/>
        </w:rPr>
        <w:t>•</w:t>
      </w:r>
      <w:r w:rsidR="00F24010">
        <w:rPr>
          <w:rFonts w:ascii="Times New Roman" w:eastAsia="Times New Roman" w:hAnsi="Times New Roman" w:cs="Times New Roman"/>
          <w:sz w:val="14"/>
          <w:szCs w:val="14"/>
        </w:rPr>
        <w:t xml:space="preserve">   </w:t>
      </w:r>
      <w:r w:rsidRPr="005F44EF">
        <w:rPr>
          <w:rFonts w:ascii="Times New Roman" w:eastAsia="Times New Roman" w:hAnsi="Times New Roman" w:cs="Times New Roman"/>
          <w:sz w:val="14"/>
          <w:szCs w:val="14"/>
        </w:rPr>
        <w:tab/>
      </w:r>
      <w:r w:rsidRPr="005F44EF">
        <w:rPr>
          <w:rFonts w:ascii="Times New Roman" w:eastAsia="Times New Roman" w:hAnsi="Times New Roman" w:cs="Times New Roman"/>
          <w:sz w:val="24"/>
          <w:szCs w:val="24"/>
        </w:rPr>
        <w:t>06_</w:t>
      </w:r>
      <w:proofErr w:type="gramStart"/>
      <w:r w:rsidRPr="005F44EF">
        <w:rPr>
          <w:rFonts w:ascii="Times New Roman" w:eastAsia="Times New Roman" w:hAnsi="Times New Roman" w:cs="Times New Roman"/>
          <w:sz w:val="24"/>
          <w:szCs w:val="24"/>
        </w:rPr>
        <w:t>TRSH :</w:t>
      </w:r>
      <w:proofErr w:type="gramEnd"/>
      <w:r w:rsidRPr="005F44EF">
        <w:rPr>
          <w:rFonts w:ascii="Times New Roman" w:eastAsia="Times New Roman" w:hAnsi="Times New Roman" w:cs="Times New Roman"/>
          <w:sz w:val="24"/>
          <w:szCs w:val="24"/>
        </w:rPr>
        <w:t xml:space="preserve"> Trees/shrubs : </w:t>
      </w:r>
      <w:proofErr w:type="spellStart"/>
      <w:r w:rsidRPr="005F44EF">
        <w:rPr>
          <w:rFonts w:ascii="Times New Roman" w:eastAsia="Times New Roman" w:hAnsi="Times New Roman" w:cs="Times New Roman"/>
          <w:sz w:val="24"/>
          <w:szCs w:val="24"/>
        </w:rPr>
        <w:t>Ebenaceae</w:t>
      </w:r>
      <w:proofErr w:type="spellEnd"/>
      <w:r w:rsidRPr="005F44EF">
        <w:rPr>
          <w:rFonts w:ascii="Times New Roman" w:eastAsia="Times New Roman" w:hAnsi="Times New Roman" w:cs="Times New Roman"/>
          <w:sz w:val="24"/>
          <w:szCs w:val="24"/>
        </w:rPr>
        <w:t xml:space="preserve">, </w:t>
      </w:r>
      <w:proofErr w:type="spellStart"/>
      <w:r w:rsidRPr="005F44EF">
        <w:rPr>
          <w:rFonts w:ascii="Times New Roman" w:eastAsia="Times New Roman" w:hAnsi="Times New Roman" w:cs="Times New Roman"/>
          <w:i/>
          <w:sz w:val="24"/>
          <w:szCs w:val="24"/>
        </w:rPr>
        <w:t>Hunteria</w:t>
      </w:r>
      <w:proofErr w:type="spellEnd"/>
    </w:p>
    <w:p w14:paraId="640F5C9E" w14:textId="3BFC5DD4" w:rsidR="00BB7AA9" w:rsidRPr="005F44EF" w:rsidRDefault="00B9564D">
      <w:pPr>
        <w:spacing w:before="40" w:after="40" w:line="276" w:lineRule="auto"/>
        <w:ind w:left="960" w:hanging="480"/>
        <w:jc w:val="both"/>
        <w:rPr>
          <w:rFonts w:ascii="Times New Roman" w:eastAsia="Times New Roman" w:hAnsi="Times New Roman" w:cs="Times New Roman"/>
          <w:i/>
          <w:sz w:val="24"/>
          <w:szCs w:val="24"/>
        </w:rPr>
      </w:pPr>
      <w:r w:rsidRPr="005F44EF">
        <w:rPr>
          <w:rFonts w:ascii="Times New Roman" w:eastAsia="Times New Roman" w:hAnsi="Times New Roman" w:cs="Times New Roman"/>
          <w:sz w:val="24"/>
          <w:szCs w:val="24"/>
        </w:rPr>
        <w:t>•</w:t>
      </w:r>
      <w:r w:rsidR="00F24010">
        <w:rPr>
          <w:rFonts w:ascii="Times New Roman" w:eastAsia="Times New Roman" w:hAnsi="Times New Roman" w:cs="Times New Roman"/>
          <w:sz w:val="14"/>
          <w:szCs w:val="14"/>
        </w:rPr>
        <w:t xml:space="preserve">   </w:t>
      </w:r>
      <w:r w:rsidRPr="005F44EF">
        <w:rPr>
          <w:rFonts w:ascii="Times New Roman" w:eastAsia="Times New Roman" w:hAnsi="Times New Roman" w:cs="Times New Roman"/>
          <w:sz w:val="14"/>
          <w:szCs w:val="14"/>
        </w:rPr>
        <w:tab/>
      </w:r>
      <w:r w:rsidRPr="005F44EF">
        <w:rPr>
          <w:rFonts w:ascii="Times New Roman" w:eastAsia="Times New Roman" w:hAnsi="Times New Roman" w:cs="Times New Roman"/>
          <w:sz w:val="24"/>
          <w:szCs w:val="24"/>
        </w:rPr>
        <w:t>07_</w:t>
      </w:r>
      <w:proofErr w:type="gramStart"/>
      <w:r w:rsidRPr="005F44EF">
        <w:rPr>
          <w:rFonts w:ascii="Times New Roman" w:eastAsia="Times New Roman" w:hAnsi="Times New Roman" w:cs="Times New Roman"/>
          <w:sz w:val="24"/>
          <w:szCs w:val="24"/>
        </w:rPr>
        <w:t>CLPR :</w:t>
      </w:r>
      <w:proofErr w:type="gramEnd"/>
      <w:r w:rsidRPr="005F44EF">
        <w:rPr>
          <w:rFonts w:ascii="Times New Roman" w:eastAsia="Times New Roman" w:hAnsi="Times New Roman" w:cs="Times New Roman"/>
          <w:sz w:val="24"/>
          <w:szCs w:val="24"/>
        </w:rPr>
        <w:t xml:space="preserve"> Climbers and/or parasites : </w:t>
      </w:r>
      <w:r w:rsidRPr="005F44EF">
        <w:rPr>
          <w:rFonts w:ascii="Times New Roman" w:eastAsia="Times New Roman" w:hAnsi="Times New Roman" w:cs="Times New Roman"/>
          <w:i/>
          <w:sz w:val="24"/>
          <w:szCs w:val="24"/>
        </w:rPr>
        <w:t>Corchorus</w:t>
      </w:r>
    </w:p>
    <w:p w14:paraId="3C611601" w14:textId="75CFA28F" w:rsidR="00BB7AA9" w:rsidRPr="005F44EF" w:rsidRDefault="00B9564D">
      <w:pPr>
        <w:spacing w:before="40" w:after="40" w:line="276" w:lineRule="auto"/>
        <w:ind w:left="960" w:hanging="480"/>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w:t>
      </w:r>
      <w:r w:rsidR="00F24010">
        <w:rPr>
          <w:rFonts w:ascii="Times New Roman" w:eastAsia="Times New Roman" w:hAnsi="Times New Roman" w:cs="Times New Roman"/>
          <w:sz w:val="14"/>
          <w:szCs w:val="14"/>
        </w:rPr>
        <w:t xml:space="preserve">   </w:t>
      </w:r>
      <w:r w:rsidRPr="005F44EF">
        <w:rPr>
          <w:rFonts w:ascii="Times New Roman" w:eastAsia="Times New Roman" w:hAnsi="Times New Roman" w:cs="Times New Roman"/>
          <w:sz w:val="14"/>
          <w:szCs w:val="14"/>
        </w:rPr>
        <w:tab/>
      </w:r>
      <w:r w:rsidRPr="005F44EF">
        <w:rPr>
          <w:rFonts w:ascii="Times New Roman" w:eastAsia="Times New Roman" w:hAnsi="Times New Roman" w:cs="Times New Roman"/>
          <w:sz w:val="24"/>
          <w:szCs w:val="24"/>
        </w:rPr>
        <w:t>08_</w:t>
      </w:r>
      <w:proofErr w:type="gramStart"/>
      <w:r w:rsidRPr="005F44EF">
        <w:rPr>
          <w:rFonts w:ascii="Times New Roman" w:eastAsia="Times New Roman" w:hAnsi="Times New Roman" w:cs="Times New Roman"/>
          <w:sz w:val="24"/>
          <w:szCs w:val="24"/>
        </w:rPr>
        <w:t>VAR :</w:t>
      </w:r>
      <w:proofErr w:type="gramEnd"/>
      <w:r w:rsidRPr="005F44EF">
        <w:rPr>
          <w:rFonts w:ascii="Times New Roman" w:eastAsia="Times New Roman" w:hAnsi="Times New Roman" w:cs="Times New Roman"/>
          <w:sz w:val="24"/>
          <w:szCs w:val="24"/>
        </w:rPr>
        <w:t xml:space="preserve"> Various form and function : </w:t>
      </w:r>
      <w:proofErr w:type="spellStart"/>
      <w:r w:rsidRPr="005F44EF">
        <w:rPr>
          <w:rFonts w:ascii="Times New Roman" w:eastAsia="Times New Roman" w:hAnsi="Times New Roman" w:cs="Times New Roman"/>
          <w:sz w:val="24"/>
          <w:szCs w:val="24"/>
        </w:rPr>
        <w:t>Combretaceae-Melastomataceae</w:t>
      </w:r>
      <w:proofErr w:type="spellEnd"/>
    </w:p>
    <w:p w14:paraId="739600D2" w14:textId="77777777" w:rsidR="00BB7AA9" w:rsidRPr="005F44EF" w:rsidRDefault="00BB7AA9">
      <w:pPr>
        <w:spacing w:after="0" w:line="276" w:lineRule="auto"/>
        <w:jc w:val="both"/>
        <w:rPr>
          <w:rFonts w:ascii="Times New Roman" w:eastAsia="Times New Roman" w:hAnsi="Times New Roman" w:cs="Times New Roman"/>
          <w:sz w:val="24"/>
          <w:szCs w:val="24"/>
        </w:rPr>
      </w:pPr>
    </w:p>
    <w:p w14:paraId="5CAA7E09" w14:textId="4950FE3D"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All eight of the growth form/functional type classes are represented in the </w:t>
      </w:r>
      <w:r w:rsidR="00251D38" w:rsidRPr="005F44EF">
        <w:rPr>
          <w:rFonts w:ascii="Times New Roman" w:eastAsia="Times New Roman" w:hAnsi="Times New Roman" w:cs="Times New Roman"/>
          <w:sz w:val="24"/>
          <w:szCs w:val="24"/>
        </w:rPr>
        <w:t>Bété I</w:t>
      </w:r>
      <w:r w:rsidR="00251D38" w:rsidRPr="005F44EF">
        <w:rPr>
          <w:rFonts w:ascii="Times New Roman" w:hAnsi="Times New Roman" w:cs="Times New Roman"/>
        </w:rPr>
        <w:t xml:space="preserve"> </w:t>
      </w:r>
      <w:proofErr w:type="gramStart"/>
      <w:r w:rsidR="00251D38" w:rsidRPr="005F44EF">
        <w:rPr>
          <w:rFonts w:ascii="Times New Roman" w:hAnsi="Times New Roman" w:cs="Times New Roman"/>
        </w:rPr>
        <w:t>s</w:t>
      </w:r>
      <w:r w:rsidRPr="005F44EF">
        <w:rPr>
          <w:rFonts w:ascii="Times New Roman" w:eastAsia="Times New Roman" w:hAnsi="Times New Roman" w:cs="Times New Roman"/>
          <w:sz w:val="24"/>
          <w:szCs w:val="24"/>
        </w:rPr>
        <w:t>amples</w:t>
      </w:r>
      <w:proofErr w:type="gramEnd"/>
      <w:r w:rsidRPr="005F44EF">
        <w:rPr>
          <w:rFonts w:ascii="Times New Roman" w:eastAsia="Times New Roman" w:hAnsi="Times New Roman" w:cs="Times New Roman"/>
          <w:sz w:val="24"/>
          <w:szCs w:val="24"/>
        </w:rPr>
        <w:t>, especially those with higher pollen concentrations (</w:t>
      </w:r>
      <w:r w:rsidRPr="005F44EF">
        <w:rPr>
          <w:rFonts w:ascii="Times New Roman" w:eastAsia="Times New Roman" w:hAnsi="Times New Roman" w:cs="Times New Roman"/>
          <w:b/>
          <w:sz w:val="24"/>
          <w:szCs w:val="24"/>
        </w:rPr>
        <w:t>Figure S</w:t>
      </w:r>
      <w:r w:rsidR="0001712E" w:rsidRPr="005F44EF">
        <w:rPr>
          <w:rFonts w:ascii="Times New Roman" w:eastAsia="Times New Roman" w:hAnsi="Times New Roman" w:cs="Times New Roman"/>
          <w:b/>
          <w:sz w:val="24"/>
          <w:szCs w:val="24"/>
        </w:rPr>
        <w:t>22</w:t>
      </w:r>
      <w:r w:rsidRPr="005F44EF">
        <w:rPr>
          <w:rFonts w:ascii="Times New Roman" w:eastAsia="Times New Roman" w:hAnsi="Times New Roman" w:cs="Times New Roman"/>
          <w:sz w:val="24"/>
          <w:szCs w:val="24"/>
        </w:rPr>
        <w:t xml:space="preserve">). The distribution of these types is relatively even in the uppermost samples at </w:t>
      </w:r>
      <w:r w:rsidR="00251D38" w:rsidRPr="005F44EF">
        <w:rPr>
          <w:rFonts w:ascii="Times New Roman" w:eastAsia="Times New Roman" w:hAnsi="Times New Roman" w:cs="Times New Roman"/>
          <w:sz w:val="24"/>
          <w:szCs w:val="24"/>
        </w:rPr>
        <w:t xml:space="preserve">sample </w:t>
      </w:r>
      <w:r w:rsidRPr="005F44EF">
        <w:rPr>
          <w:rFonts w:ascii="Times New Roman" w:eastAsia="Times New Roman" w:hAnsi="Times New Roman" w:cs="Times New Roman"/>
          <w:sz w:val="24"/>
          <w:szCs w:val="24"/>
        </w:rPr>
        <w:t xml:space="preserve">10 and </w:t>
      </w:r>
      <w:r w:rsidR="00251D38" w:rsidRPr="005F44EF">
        <w:rPr>
          <w:rFonts w:ascii="Times New Roman" w:eastAsia="Times New Roman" w:hAnsi="Times New Roman" w:cs="Times New Roman"/>
          <w:sz w:val="24"/>
          <w:szCs w:val="24"/>
        </w:rPr>
        <w:t xml:space="preserve">sample </w:t>
      </w:r>
      <w:r w:rsidRPr="005F44EF">
        <w:rPr>
          <w:rFonts w:ascii="Times New Roman" w:eastAsia="Times New Roman" w:hAnsi="Times New Roman" w:cs="Times New Roman"/>
          <w:sz w:val="24"/>
          <w:szCs w:val="24"/>
        </w:rPr>
        <w:t xml:space="preserve">11, which also have generally lower concentrations. In sample 21, which has the highest concentrations, there is an elevated representation of trees/shrubs and pollen from various growth forms. The adjacent sample 22 has a much lower concentration of fossil pollen that is proportionally made up of more </w:t>
      </w:r>
      <w:proofErr w:type="spellStart"/>
      <w:r w:rsidRPr="005F44EF">
        <w:rPr>
          <w:rFonts w:ascii="Times New Roman" w:eastAsia="Times New Roman" w:hAnsi="Times New Roman" w:cs="Times New Roman"/>
          <w:sz w:val="24"/>
          <w:szCs w:val="24"/>
        </w:rPr>
        <w:t>heliophilic</w:t>
      </w:r>
      <w:proofErr w:type="spellEnd"/>
      <w:r w:rsidRPr="005F44EF">
        <w:rPr>
          <w:rFonts w:ascii="Times New Roman" w:eastAsia="Times New Roman" w:hAnsi="Times New Roman" w:cs="Times New Roman"/>
          <w:sz w:val="24"/>
          <w:szCs w:val="24"/>
        </w:rPr>
        <w:t xml:space="preserve"> herbs/forbs/shrubs. Low concentration and poor preservation persist through </w:t>
      </w:r>
      <w:r w:rsidR="00251D38" w:rsidRPr="005F44EF">
        <w:rPr>
          <w:rFonts w:ascii="Times New Roman" w:eastAsia="Times New Roman" w:hAnsi="Times New Roman" w:cs="Times New Roman"/>
          <w:sz w:val="24"/>
          <w:szCs w:val="24"/>
        </w:rPr>
        <w:t xml:space="preserve">samples </w:t>
      </w:r>
      <w:r w:rsidRPr="005F44EF">
        <w:rPr>
          <w:rFonts w:ascii="Times New Roman" w:eastAsia="Times New Roman" w:hAnsi="Times New Roman" w:cs="Times New Roman"/>
          <w:sz w:val="24"/>
          <w:szCs w:val="24"/>
        </w:rPr>
        <w:t>26 and</w:t>
      </w:r>
      <w:r w:rsidR="00251D38"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 xml:space="preserve">27, with the former being nearly sterile. Sample 30 shows a rebound in pollen concentrations as well as the proportion of all trees/shrubs and pollen from morphotaxa with various growth forms. Samples 31 and 36 have low pollen concentrations and high proportions of indeterminate pollen, but the pollen recovered from these samples is primarily from trees/shrubs as well as </w:t>
      </w:r>
      <w:proofErr w:type="spellStart"/>
      <w:r w:rsidRPr="005F44EF">
        <w:rPr>
          <w:rFonts w:ascii="Times New Roman" w:eastAsia="Times New Roman" w:hAnsi="Times New Roman" w:cs="Times New Roman"/>
          <w:sz w:val="24"/>
          <w:szCs w:val="24"/>
        </w:rPr>
        <w:t>heliophilic</w:t>
      </w:r>
      <w:proofErr w:type="spellEnd"/>
      <w:r w:rsidRPr="005F44EF">
        <w:rPr>
          <w:rFonts w:ascii="Times New Roman" w:eastAsia="Times New Roman" w:hAnsi="Times New Roman" w:cs="Times New Roman"/>
          <w:sz w:val="24"/>
          <w:szCs w:val="24"/>
        </w:rPr>
        <w:t xml:space="preserve"> shrubs/herbs/forbs.</w:t>
      </w:r>
    </w:p>
    <w:p w14:paraId="5A5011BB" w14:textId="77777777" w:rsidR="00127622" w:rsidRPr="005F44EF" w:rsidRDefault="00127622" w:rsidP="00127622">
      <w:pPr>
        <w:spacing w:after="0" w:line="276" w:lineRule="auto"/>
        <w:jc w:val="both"/>
        <w:rPr>
          <w:rFonts w:ascii="Times New Roman" w:eastAsia="Times New Roman" w:hAnsi="Times New Roman" w:cs="Times New Roman"/>
          <w:b/>
          <w:sz w:val="24"/>
          <w:szCs w:val="24"/>
        </w:rPr>
      </w:pPr>
    </w:p>
    <w:p w14:paraId="598931E3" w14:textId="77777777" w:rsidR="00127622" w:rsidRPr="005F44EF" w:rsidRDefault="00127622" w:rsidP="00127622">
      <w:pPr>
        <w:spacing w:after="0" w:line="276" w:lineRule="auto"/>
        <w:jc w:val="both"/>
        <w:rPr>
          <w:rFonts w:ascii="Times New Roman" w:eastAsia="Times New Roman" w:hAnsi="Times New Roman" w:cs="Times New Roman"/>
          <w:b/>
          <w:sz w:val="24"/>
          <w:szCs w:val="24"/>
        </w:rPr>
      </w:pPr>
    </w:p>
    <w:p w14:paraId="2F558A8E" w14:textId="16BD6A8F" w:rsidR="00127622" w:rsidRPr="005F44EF" w:rsidRDefault="00127622" w:rsidP="00127622">
      <w:pPr>
        <w:spacing w:after="0" w:line="276" w:lineRule="auto"/>
        <w:jc w:val="both"/>
        <w:rPr>
          <w:rFonts w:ascii="Times New Roman" w:eastAsia="Times New Roman" w:hAnsi="Times New Roman" w:cs="Times New Roman"/>
          <w:sz w:val="24"/>
          <w:szCs w:val="24"/>
        </w:rPr>
      </w:pPr>
      <w:bookmarkStart w:id="107" w:name="_Hlk170655018"/>
      <w:r w:rsidRPr="005F44EF">
        <w:rPr>
          <w:rFonts w:ascii="Times New Roman" w:eastAsia="Times New Roman" w:hAnsi="Times New Roman" w:cs="Times New Roman"/>
          <w:b/>
          <w:sz w:val="24"/>
          <w:szCs w:val="24"/>
        </w:rPr>
        <w:lastRenderedPageBreak/>
        <w:t>Figure S</w:t>
      </w:r>
      <w:r w:rsidR="0001712E" w:rsidRPr="005F44EF">
        <w:rPr>
          <w:rFonts w:ascii="Times New Roman" w:eastAsia="Times New Roman" w:hAnsi="Times New Roman" w:cs="Times New Roman"/>
          <w:b/>
          <w:sz w:val="24"/>
          <w:szCs w:val="24"/>
        </w:rPr>
        <w:t>22</w:t>
      </w:r>
      <w:r w:rsidRPr="005F44EF">
        <w:rPr>
          <w:rFonts w:ascii="Times New Roman" w:eastAsia="Times New Roman" w:hAnsi="Times New Roman" w:cs="Times New Roman"/>
          <w:b/>
          <w:sz w:val="24"/>
          <w:szCs w:val="24"/>
        </w:rPr>
        <w:t xml:space="preserve">: </w:t>
      </w:r>
      <w:r w:rsidRPr="005F44EF">
        <w:rPr>
          <w:rFonts w:ascii="Times New Roman" w:eastAsia="Times New Roman" w:hAnsi="Times New Roman" w:cs="Times New Roman"/>
          <w:sz w:val="24"/>
          <w:szCs w:val="24"/>
        </w:rPr>
        <w:t>Plots showing pollen counts (A) and concentrations per gram (B) grouped by growth form/functional type.</w:t>
      </w:r>
    </w:p>
    <w:bookmarkEnd w:id="107"/>
    <w:p w14:paraId="13B201F4" w14:textId="300D2B8A"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noProof/>
          <w:sz w:val="24"/>
          <w:szCs w:val="24"/>
          <w:lang w:val="en-AU" w:eastAsia="en-AU"/>
        </w:rPr>
        <w:drawing>
          <wp:inline distT="114300" distB="114300" distL="114300" distR="114300" wp14:anchorId="0FC1743D" wp14:editId="0B94FD10">
            <wp:extent cx="5972810" cy="7162800"/>
            <wp:effectExtent l="0" t="0" r="0" b="0"/>
            <wp:docPr id="1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7"/>
                    <a:srcRect/>
                    <a:stretch>
                      <a:fillRect/>
                    </a:stretch>
                  </pic:blipFill>
                  <pic:spPr>
                    <a:xfrm>
                      <a:off x="0" y="0"/>
                      <a:ext cx="5972810" cy="7162800"/>
                    </a:xfrm>
                    <a:prstGeom prst="rect">
                      <a:avLst/>
                    </a:prstGeom>
                    <a:ln/>
                  </pic:spPr>
                </pic:pic>
              </a:graphicData>
            </a:graphic>
          </wp:inline>
        </w:drawing>
      </w:r>
    </w:p>
    <w:p w14:paraId="6DD39EF4" w14:textId="0D452CB3" w:rsidR="00BB7AA9" w:rsidRPr="005F44EF" w:rsidRDefault="00BB7AA9">
      <w:pPr>
        <w:spacing w:after="0" w:line="276" w:lineRule="auto"/>
        <w:jc w:val="both"/>
        <w:rPr>
          <w:rFonts w:ascii="Times New Roman" w:eastAsia="Times New Roman" w:hAnsi="Times New Roman" w:cs="Times New Roman"/>
          <w:sz w:val="24"/>
          <w:szCs w:val="24"/>
        </w:rPr>
      </w:pPr>
    </w:p>
    <w:p w14:paraId="31D085E0" w14:textId="77777777" w:rsidR="00A544A6" w:rsidRPr="005F44EF" w:rsidRDefault="00A544A6">
      <w:pPr>
        <w:spacing w:after="0" w:line="276" w:lineRule="auto"/>
        <w:jc w:val="both"/>
        <w:rPr>
          <w:rFonts w:ascii="Times New Roman" w:eastAsia="Times New Roman" w:hAnsi="Times New Roman" w:cs="Times New Roman"/>
          <w:sz w:val="24"/>
          <w:szCs w:val="24"/>
        </w:rPr>
      </w:pPr>
    </w:p>
    <w:p w14:paraId="6A85F112" w14:textId="13C691A0" w:rsidR="00BB7AA9" w:rsidRPr="005F44EF" w:rsidRDefault="00B9564D">
      <w:pPr>
        <w:spacing w:before="180" w:after="18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lastRenderedPageBreak/>
        <w:t xml:space="preserve">The </w:t>
      </w:r>
      <w:r w:rsidR="00251D38" w:rsidRPr="005F44EF">
        <w:rPr>
          <w:rFonts w:ascii="Times New Roman" w:eastAsia="Times New Roman" w:hAnsi="Times New Roman" w:cs="Times New Roman"/>
          <w:sz w:val="24"/>
          <w:szCs w:val="24"/>
        </w:rPr>
        <w:t>Bété I</w:t>
      </w:r>
      <w:r w:rsidR="00251D38" w:rsidRPr="005F44EF">
        <w:rPr>
          <w:rFonts w:ascii="Times New Roman" w:hAnsi="Times New Roman" w:cs="Times New Roman"/>
          <w:sz w:val="24"/>
          <w:szCs w:val="24"/>
        </w:rPr>
        <w:t xml:space="preserve"> </w:t>
      </w:r>
      <w:proofErr w:type="gramStart"/>
      <w:r w:rsidR="00251D38" w:rsidRPr="005F44EF">
        <w:rPr>
          <w:rFonts w:ascii="Times New Roman" w:hAnsi="Times New Roman" w:cs="Times New Roman"/>
          <w:sz w:val="24"/>
          <w:szCs w:val="24"/>
        </w:rPr>
        <w:t>s</w:t>
      </w:r>
      <w:r w:rsidRPr="005F44EF">
        <w:rPr>
          <w:rFonts w:ascii="Times New Roman" w:eastAsia="Times New Roman" w:hAnsi="Times New Roman" w:cs="Times New Roman"/>
          <w:sz w:val="24"/>
          <w:szCs w:val="24"/>
        </w:rPr>
        <w:t>amples</w:t>
      </w:r>
      <w:proofErr w:type="gramEnd"/>
      <w:r w:rsidRPr="005F44EF">
        <w:rPr>
          <w:rFonts w:ascii="Times New Roman" w:eastAsia="Times New Roman" w:hAnsi="Times New Roman" w:cs="Times New Roman"/>
          <w:sz w:val="24"/>
          <w:szCs w:val="24"/>
        </w:rPr>
        <w:t xml:space="preserve"> yielded more than 40 different identifiable pollen morphotaxa. These are listed along with their functional types</w:t>
      </w:r>
      <w:r w:rsidR="00127622" w:rsidRPr="005F44EF">
        <w:rPr>
          <w:rFonts w:ascii="Times New Roman" w:eastAsia="Times New Roman" w:hAnsi="Times New Roman" w:cs="Times New Roman"/>
          <w:sz w:val="24"/>
          <w:szCs w:val="24"/>
        </w:rPr>
        <w:t xml:space="preserve"> (</w:t>
      </w:r>
      <w:r w:rsidR="00127622" w:rsidRPr="005F44EF">
        <w:rPr>
          <w:rFonts w:ascii="Times New Roman" w:eastAsia="Times New Roman" w:hAnsi="Times New Roman" w:cs="Times New Roman"/>
          <w:b/>
          <w:sz w:val="24"/>
          <w:szCs w:val="24"/>
        </w:rPr>
        <w:t>Table S1</w:t>
      </w:r>
      <w:r w:rsidR="0001712E" w:rsidRPr="005F44EF">
        <w:rPr>
          <w:rFonts w:ascii="Times New Roman" w:eastAsia="Times New Roman" w:hAnsi="Times New Roman" w:cs="Times New Roman"/>
          <w:b/>
          <w:sz w:val="24"/>
          <w:szCs w:val="24"/>
        </w:rPr>
        <w:t>7</w:t>
      </w:r>
      <w:r w:rsidR="00127622" w:rsidRPr="005F44EF">
        <w:rPr>
          <w:rFonts w:ascii="Times New Roman" w:eastAsia="Times New Roman" w:hAnsi="Times New Roman" w:cs="Times New Roman"/>
          <w:sz w:val="24"/>
          <w:szCs w:val="24"/>
        </w:rPr>
        <w:t>)</w:t>
      </w:r>
      <w:r w:rsidRPr="005F44EF">
        <w:rPr>
          <w:rFonts w:ascii="Times New Roman" w:eastAsia="Times New Roman" w:hAnsi="Times New Roman" w:cs="Times New Roman"/>
          <w:sz w:val="24"/>
          <w:szCs w:val="24"/>
        </w:rPr>
        <w:t>.</w:t>
      </w:r>
    </w:p>
    <w:p w14:paraId="2F7E3840" w14:textId="6D3FBEA1" w:rsidR="00BB7AA9" w:rsidRPr="005F44EF" w:rsidRDefault="008F43C2">
      <w:pPr>
        <w:spacing w:after="0" w:line="276" w:lineRule="auto"/>
        <w:jc w:val="both"/>
        <w:rPr>
          <w:rFonts w:ascii="Times New Roman" w:eastAsia="Times New Roman" w:hAnsi="Times New Roman" w:cs="Times New Roman"/>
          <w:sz w:val="24"/>
          <w:szCs w:val="24"/>
        </w:rPr>
      </w:pPr>
      <w:bookmarkStart w:id="108" w:name="_Hlk170655025"/>
      <w:r w:rsidRPr="005F44EF">
        <w:rPr>
          <w:rFonts w:ascii="Times New Roman" w:eastAsia="Times New Roman" w:hAnsi="Times New Roman" w:cs="Times New Roman"/>
          <w:b/>
          <w:sz w:val="24"/>
          <w:szCs w:val="24"/>
        </w:rPr>
        <w:t>Table S1</w:t>
      </w:r>
      <w:r w:rsidR="0001712E" w:rsidRPr="005F44EF">
        <w:rPr>
          <w:rFonts w:ascii="Times New Roman" w:eastAsia="Times New Roman" w:hAnsi="Times New Roman" w:cs="Times New Roman"/>
          <w:b/>
          <w:sz w:val="24"/>
          <w:szCs w:val="24"/>
        </w:rPr>
        <w:t>7</w:t>
      </w:r>
      <w:r w:rsidR="00217793" w:rsidRPr="005F44EF">
        <w:rPr>
          <w:rFonts w:ascii="Times New Roman" w:eastAsia="Times New Roman" w:hAnsi="Times New Roman" w:cs="Times New Roman"/>
          <w:b/>
          <w:sz w:val="24"/>
          <w:szCs w:val="24"/>
        </w:rPr>
        <w:t xml:space="preserve">: </w:t>
      </w:r>
      <w:r w:rsidRPr="005F44EF">
        <w:rPr>
          <w:rFonts w:ascii="Times New Roman" w:eastAsia="Times New Roman" w:hAnsi="Times New Roman" w:cs="Times New Roman"/>
          <w:sz w:val="24"/>
          <w:szCs w:val="24"/>
        </w:rPr>
        <w:t>Pollen morphotaxa, family, and code for functional-type/growth form assignments.</w:t>
      </w:r>
    </w:p>
    <w:tbl>
      <w:tblPr>
        <w:tblStyle w:val="aa"/>
        <w:tblW w:w="88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510"/>
        <w:gridCol w:w="2220"/>
      </w:tblGrid>
      <w:tr w:rsidR="00BB7AA9" w:rsidRPr="005F44EF" w14:paraId="41F7A9EA" w14:textId="77777777" w:rsidTr="00217793">
        <w:tc>
          <w:tcPr>
            <w:tcW w:w="3120" w:type="dxa"/>
            <w:tcBorders>
              <w:top w:val="single" w:sz="4" w:space="0" w:color="auto"/>
              <w:left w:val="nil"/>
              <w:bottom w:val="single" w:sz="6" w:space="0" w:color="000000"/>
              <w:right w:val="nil"/>
            </w:tcBorders>
            <w:shd w:val="clear" w:color="auto" w:fill="D9D9D9" w:themeFill="background1" w:themeFillShade="D9"/>
            <w:tcMar>
              <w:top w:w="0" w:type="dxa"/>
              <w:left w:w="100" w:type="dxa"/>
              <w:bottom w:w="0" w:type="dxa"/>
              <w:right w:w="100" w:type="dxa"/>
            </w:tcMar>
            <w:vAlign w:val="bottom"/>
          </w:tcPr>
          <w:bookmarkEnd w:id="108"/>
          <w:p w14:paraId="1840BAA1"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Pollen Taxon</w:t>
            </w:r>
          </w:p>
        </w:tc>
        <w:tc>
          <w:tcPr>
            <w:tcW w:w="3510" w:type="dxa"/>
            <w:tcBorders>
              <w:top w:val="single" w:sz="4" w:space="0" w:color="auto"/>
              <w:left w:val="nil"/>
              <w:bottom w:val="single" w:sz="6" w:space="0" w:color="000000"/>
              <w:right w:val="nil"/>
            </w:tcBorders>
            <w:shd w:val="clear" w:color="auto" w:fill="D9D9D9" w:themeFill="background1" w:themeFillShade="D9"/>
            <w:tcMar>
              <w:top w:w="0" w:type="dxa"/>
              <w:left w:w="100" w:type="dxa"/>
              <w:bottom w:w="0" w:type="dxa"/>
              <w:right w:w="100" w:type="dxa"/>
            </w:tcMar>
            <w:vAlign w:val="bottom"/>
          </w:tcPr>
          <w:p w14:paraId="064481FE"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Plant Family</w:t>
            </w:r>
          </w:p>
        </w:tc>
        <w:tc>
          <w:tcPr>
            <w:tcW w:w="2220" w:type="dxa"/>
            <w:tcBorders>
              <w:top w:val="single" w:sz="4" w:space="0" w:color="auto"/>
              <w:left w:val="nil"/>
              <w:bottom w:val="single" w:sz="6" w:space="0" w:color="000000"/>
              <w:right w:val="nil"/>
            </w:tcBorders>
            <w:shd w:val="clear" w:color="auto" w:fill="D9D9D9" w:themeFill="background1" w:themeFillShade="D9"/>
            <w:tcMar>
              <w:top w:w="0" w:type="dxa"/>
              <w:left w:w="100" w:type="dxa"/>
              <w:bottom w:w="0" w:type="dxa"/>
              <w:right w:w="100" w:type="dxa"/>
            </w:tcMar>
            <w:vAlign w:val="bottom"/>
          </w:tcPr>
          <w:p w14:paraId="0D3B960A"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PFT/Growth Form</w:t>
            </w:r>
          </w:p>
        </w:tc>
      </w:tr>
      <w:tr w:rsidR="00BB7AA9" w:rsidRPr="005F44EF" w14:paraId="78FD6721" w14:textId="77777777">
        <w:tc>
          <w:tcPr>
            <w:tcW w:w="3120" w:type="dxa"/>
            <w:tcBorders>
              <w:top w:val="nil"/>
              <w:left w:val="nil"/>
              <w:bottom w:val="nil"/>
              <w:right w:val="nil"/>
            </w:tcBorders>
            <w:tcMar>
              <w:top w:w="0" w:type="dxa"/>
              <w:left w:w="100" w:type="dxa"/>
              <w:bottom w:w="0" w:type="dxa"/>
              <w:right w:w="100" w:type="dxa"/>
            </w:tcMar>
          </w:tcPr>
          <w:p w14:paraId="553E5D42"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 xml:space="preserve">Monolete </w:t>
            </w:r>
            <w:proofErr w:type="spellStart"/>
            <w:r w:rsidRPr="005F44EF">
              <w:rPr>
                <w:rFonts w:ascii="Times New Roman" w:eastAsia="Times New Roman" w:hAnsi="Times New Roman" w:cs="Times New Roman"/>
                <w:sz w:val="18"/>
                <w:szCs w:val="20"/>
              </w:rPr>
              <w:t>Pteridophyta</w:t>
            </w:r>
            <w:proofErr w:type="spellEnd"/>
          </w:p>
        </w:tc>
        <w:tc>
          <w:tcPr>
            <w:tcW w:w="3510" w:type="dxa"/>
            <w:tcBorders>
              <w:top w:val="nil"/>
              <w:left w:val="nil"/>
              <w:bottom w:val="nil"/>
              <w:right w:val="nil"/>
            </w:tcBorders>
            <w:tcMar>
              <w:top w:w="0" w:type="dxa"/>
              <w:left w:w="100" w:type="dxa"/>
              <w:bottom w:w="0" w:type="dxa"/>
              <w:right w:w="100" w:type="dxa"/>
            </w:tcMar>
          </w:tcPr>
          <w:p w14:paraId="548C925B"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Pteridophyta</w:t>
            </w:r>
            <w:proofErr w:type="spellEnd"/>
          </w:p>
        </w:tc>
        <w:tc>
          <w:tcPr>
            <w:tcW w:w="2220" w:type="dxa"/>
            <w:tcBorders>
              <w:top w:val="nil"/>
              <w:left w:val="nil"/>
              <w:bottom w:val="nil"/>
              <w:right w:val="nil"/>
            </w:tcBorders>
            <w:tcMar>
              <w:top w:w="0" w:type="dxa"/>
              <w:left w:w="100" w:type="dxa"/>
              <w:bottom w:w="0" w:type="dxa"/>
              <w:right w:w="100" w:type="dxa"/>
            </w:tcMar>
          </w:tcPr>
          <w:p w14:paraId="2FD77DAF"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00_FERN</w:t>
            </w:r>
          </w:p>
        </w:tc>
      </w:tr>
      <w:tr w:rsidR="00BB7AA9" w:rsidRPr="005F44EF" w14:paraId="18B36E3A" w14:textId="77777777">
        <w:tc>
          <w:tcPr>
            <w:tcW w:w="3120" w:type="dxa"/>
            <w:tcBorders>
              <w:top w:val="nil"/>
              <w:left w:val="nil"/>
              <w:bottom w:val="nil"/>
              <w:right w:val="nil"/>
            </w:tcBorders>
            <w:tcMar>
              <w:top w:w="0" w:type="dxa"/>
              <w:left w:w="100" w:type="dxa"/>
              <w:bottom w:w="0" w:type="dxa"/>
              <w:right w:w="100" w:type="dxa"/>
            </w:tcMar>
          </w:tcPr>
          <w:p w14:paraId="2C6A64E9"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 xml:space="preserve">Trilete </w:t>
            </w:r>
            <w:proofErr w:type="spellStart"/>
            <w:r w:rsidRPr="005F44EF">
              <w:rPr>
                <w:rFonts w:ascii="Times New Roman" w:eastAsia="Times New Roman" w:hAnsi="Times New Roman" w:cs="Times New Roman"/>
                <w:sz w:val="18"/>
                <w:szCs w:val="20"/>
              </w:rPr>
              <w:t>undiff</w:t>
            </w:r>
            <w:proofErr w:type="spellEnd"/>
            <w:r w:rsidRPr="005F44EF">
              <w:rPr>
                <w:rFonts w:ascii="Times New Roman" w:eastAsia="Times New Roman" w:hAnsi="Times New Roman" w:cs="Times New Roman"/>
                <w:sz w:val="18"/>
                <w:szCs w:val="20"/>
              </w:rPr>
              <w:t>.</w:t>
            </w:r>
          </w:p>
        </w:tc>
        <w:tc>
          <w:tcPr>
            <w:tcW w:w="3510" w:type="dxa"/>
            <w:tcBorders>
              <w:top w:val="nil"/>
              <w:left w:val="nil"/>
              <w:bottom w:val="nil"/>
              <w:right w:val="nil"/>
            </w:tcBorders>
            <w:tcMar>
              <w:top w:w="0" w:type="dxa"/>
              <w:left w:w="100" w:type="dxa"/>
              <w:bottom w:w="0" w:type="dxa"/>
              <w:right w:w="100" w:type="dxa"/>
            </w:tcMar>
          </w:tcPr>
          <w:p w14:paraId="08AE054E"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Pteridophyta</w:t>
            </w:r>
            <w:proofErr w:type="spellEnd"/>
          </w:p>
        </w:tc>
        <w:tc>
          <w:tcPr>
            <w:tcW w:w="2220" w:type="dxa"/>
            <w:tcBorders>
              <w:top w:val="nil"/>
              <w:left w:val="nil"/>
              <w:bottom w:val="nil"/>
              <w:right w:val="nil"/>
            </w:tcBorders>
            <w:tcMar>
              <w:top w:w="0" w:type="dxa"/>
              <w:left w:w="100" w:type="dxa"/>
              <w:bottom w:w="0" w:type="dxa"/>
              <w:right w:w="100" w:type="dxa"/>
            </w:tcMar>
          </w:tcPr>
          <w:p w14:paraId="170E3FD4"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00_FERN</w:t>
            </w:r>
          </w:p>
        </w:tc>
      </w:tr>
      <w:tr w:rsidR="00BB7AA9" w:rsidRPr="005F44EF" w14:paraId="6C6404D0" w14:textId="77777777">
        <w:tc>
          <w:tcPr>
            <w:tcW w:w="3120" w:type="dxa"/>
            <w:tcBorders>
              <w:top w:val="nil"/>
              <w:left w:val="nil"/>
              <w:bottom w:val="nil"/>
              <w:right w:val="nil"/>
            </w:tcBorders>
            <w:tcMar>
              <w:top w:w="0" w:type="dxa"/>
              <w:left w:w="100" w:type="dxa"/>
              <w:bottom w:w="0" w:type="dxa"/>
              <w:right w:w="100" w:type="dxa"/>
            </w:tcMar>
          </w:tcPr>
          <w:p w14:paraId="3698621D"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Cyperaceae</w:t>
            </w:r>
            <w:proofErr w:type="spellEnd"/>
            <w:r w:rsidRPr="005F44EF">
              <w:rPr>
                <w:rFonts w:ascii="Times New Roman" w:eastAsia="Times New Roman" w:hAnsi="Times New Roman" w:cs="Times New Roman"/>
                <w:sz w:val="18"/>
                <w:szCs w:val="20"/>
              </w:rPr>
              <w:t xml:space="preserve"> </w:t>
            </w:r>
            <w:proofErr w:type="spellStart"/>
            <w:r w:rsidRPr="005F44EF">
              <w:rPr>
                <w:rFonts w:ascii="Times New Roman" w:eastAsia="Times New Roman" w:hAnsi="Times New Roman" w:cs="Times New Roman"/>
                <w:sz w:val="18"/>
                <w:szCs w:val="20"/>
              </w:rPr>
              <w:t>undiff</w:t>
            </w:r>
            <w:proofErr w:type="spellEnd"/>
            <w:r w:rsidRPr="005F44EF">
              <w:rPr>
                <w:rFonts w:ascii="Times New Roman" w:eastAsia="Times New Roman" w:hAnsi="Times New Roman" w:cs="Times New Roman"/>
                <w:sz w:val="18"/>
                <w:szCs w:val="20"/>
              </w:rPr>
              <w:t>.</w:t>
            </w:r>
          </w:p>
        </w:tc>
        <w:tc>
          <w:tcPr>
            <w:tcW w:w="3510" w:type="dxa"/>
            <w:tcBorders>
              <w:top w:val="nil"/>
              <w:left w:val="nil"/>
              <w:bottom w:val="nil"/>
              <w:right w:val="nil"/>
            </w:tcBorders>
            <w:tcMar>
              <w:top w:w="0" w:type="dxa"/>
              <w:left w:w="100" w:type="dxa"/>
              <w:bottom w:w="0" w:type="dxa"/>
              <w:right w:w="100" w:type="dxa"/>
            </w:tcMar>
          </w:tcPr>
          <w:p w14:paraId="0EF8D179"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Cyperaceae</w:t>
            </w:r>
            <w:proofErr w:type="spellEnd"/>
          </w:p>
        </w:tc>
        <w:tc>
          <w:tcPr>
            <w:tcW w:w="2220" w:type="dxa"/>
            <w:tcBorders>
              <w:top w:val="nil"/>
              <w:left w:val="nil"/>
              <w:bottom w:val="nil"/>
              <w:right w:val="nil"/>
            </w:tcBorders>
            <w:tcMar>
              <w:top w:w="0" w:type="dxa"/>
              <w:left w:w="100" w:type="dxa"/>
              <w:bottom w:w="0" w:type="dxa"/>
              <w:right w:w="100" w:type="dxa"/>
            </w:tcMar>
          </w:tcPr>
          <w:p w14:paraId="7A88C7C0"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01_WMON</w:t>
            </w:r>
          </w:p>
        </w:tc>
      </w:tr>
      <w:tr w:rsidR="00BB7AA9" w:rsidRPr="005F44EF" w14:paraId="1922C238" w14:textId="77777777">
        <w:tc>
          <w:tcPr>
            <w:tcW w:w="3120" w:type="dxa"/>
            <w:tcBorders>
              <w:top w:val="nil"/>
              <w:left w:val="nil"/>
              <w:bottom w:val="nil"/>
              <w:right w:val="nil"/>
            </w:tcBorders>
            <w:tcMar>
              <w:top w:w="0" w:type="dxa"/>
              <w:left w:w="100" w:type="dxa"/>
              <w:bottom w:w="0" w:type="dxa"/>
              <w:right w:w="100" w:type="dxa"/>
            </w:tcMar>
          </w:tcPr>
          <w:p w14:paraId="54198756"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Lasimorpha</w:t>
            </w:r>
            <w:proofErr w:type="spellEnd"/>
            <w:r w:rsidRPr="005F44EF">
              <w:rPr>
                <w:rFonts w:ascii="Times New Roman" w:eastAsia="Times New Roman" w:hAnsi="Times New Roman" w:cs="Times New Roman"/>
                <w:sz w:val="18"/>
                <w:szCs w:val="20"/>
              </w:rPr>
              <w:t xml:space="preserve"> senegalensis</w:t>
            </w:r>
          </w:p>
        </w:tc>
        <w:tc>
          <w:tcPr>
            <w:tcW w:w="3510" w:type="dxa"/>
            <w:tcBorders>
              <w:top w:val="nil"/>
              <w:left w:val="nil"/>
              <w:bottom w:val="nil"/>
              <w:right w:val="nil"/>
            </w:tcBorders>
            <w:tcMar>
              <w:top w:w="0" w:type="dxa"/>
              <w:left w:w="100" w:type="dxa"/>
              <w:bottom w:w="0" w:type="dxa"/>
              <w:right w:w="100" w:type="dxa"/>
            </w:tcMar>
          </w:tcPr>
          <w:p w14:paraId="7269DE1B"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Araceae</w:t>
            </w:r>
            <w:proofErr w:type="spellEnd"/>
          </w:p>
        </w:tc>
        <w:tc>
          <w:tcPr>
            <w:tcW w:w="2220" w:type="dxa"/>
            <w:tcBorders>
              <w:top w:val="nil"/>
              <w:left w:val="nil"/>
              <w:bottom w:val="nil"/>
              <w:right w:val="nil"/>
            </w:tcBorders>
            <w:tcMar>
              <w:top w:w="0" w:type="dxa"/>
              <w:left w:w="100" w:type="dxa"/>
              <w:bottom w:w="0" w:type="dxa"/>
              <w:right w:w="100" w:type="dxa"/>
            </w:tcMar>
          </w:tcPr>
          <w:p w14:paraId="627AB947"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01_WMON</w:t>
            </w:r>
          </w:p>
        </w:tc>
      </w:tr>
      <w:tr w:rsidR="00BB7AA9" w:rsidRPr="005F44EF" w14:paraId="53764FB5" w14:textId="77777777">
        <w:tc>
          <w:tcPr>
            <w:tcW w:w="3120" w:type="dxa"/>
            <w:tcBorders>
              <w:top w:val="nil"/>
              <w:left w:val="nil"/>
              <w:bottom w:val="nil"/>
              <w:right w:val="nil"/>
            </w:tcBorders>
            <w:tcMar>
              <w:top w:w="0" w:type="dxa"/>
              <w:left w:w="100" w:type="dxa"/>
              <w:bottom w:w="0" w:type="dxa"/>
              <w:right w:w="100" w:type="dxa"/>
            </w:tcMar>
          </w:tcPr>
          <w:p w14:paraId="6581A79F"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Poaceae</w:t>
            </w:r>
            <w:proofErr w:type="spellEnd"/>
            <w:r w:rsidRPr="005F44EF">
              <w:rPr>
                <w:rFonts w:ascii="Times New Roman" w:eastAsia="Times New Roman" w:hAnsi="Times New Roman" w:cs="Times New Roman"/>
                <w:sz w:val="18"/>
                <w:szCs w:val="20"/>
              </w:rPr>
              <w:t xml:space="preserve"> </w:t>
            </w:r>
            <w:proofErr w:type="spellStart"/>
            <w:r w:rsidRPr="005F44EF">
              <w:rPr>
                <w:rFonts w:ascii="Times New Roman" w:eastAsia="Times New Roman" w:hAnsi="Times New Roman" w:cs="Times New Roman"/>
                <w:sz w:val="18"/>
                <w:szCs w:val="20"/>
              </w:rPr>
              <w:t>undiff</w:t>
            </w:r>
            <w:proofErr w:type="spellEnd"/>
            <w:r w:rsidRPr="005F44EF">
              <w:rPr>
                <w:rFonts w:ascii="Times New Roman" w:eastAsia="Times New Roman" w:hAnsi="Times New Roman" w:cs="Times New Roman"/>
                <w:sz w:val="18"/>
                <w:szCs w:val="20"/>
              </w:rPr>
              <w:t>.</w:t>
            </w:r>
          </w:p>
        </w:tc>
        <w:tc>
          <w:tcPr>
            <w:tcW w:w="3510" w:type="dxa"/>
            <w:tcBorders>
              <w:top w:val="nil"/>
              <w:left w:val="nil"/>
              <w:bottom w:val="nil"/>
              <w:right w:val="nil"/>
            </w:tcBorders>
            <w:tcMar>
              <w:top w:w="0" w:type="dxa"/>
              <w:left w:w="100" w:type="dxa"/>
              <w:bottom w:w="0" w:type="dxa"/>
              <w:right w:w="100" w:type="dxa"/>
            </w:tcMar>
          </w:tcPr>
          <w:p w14:paraId="3A087154"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Poaceae</w:t>
            </w:r>
            <w:proofErr w:type="spellEnd"/>
          </w:p>
        </w:tc>
        <w:tc>
          <w:tcPr>
            <w:tcW w:w="2220" w:type="dxa"/>
            <w:tcBorders>
              <w:top w:val="nil"/>
              <w:left w:val="nil"/>
              <w:bottom w:val="nil"/>
              <w:right w:val="nil"/>
            </w:tcBorders>
            <w:tcMar>
              <w:top w:w="0" w:type="dxa"/>
              <w:left w:w="100" w:type="dxa"/>
              <w:bottom w:w="0" w:type="dxa"/>
              <w:right w:w="100" w:type="dxa"/>
            </w:tcMar>
          </w:tcPr>
          <w:p w14:paraId="70F072F0"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02_TMON</w:t>
            </w:r>
          </w:p>
        </w:tc>
      </w:tr>
      <w:tr w:rsidR="00BB7AA9" w:rsidRPr="005F44EF" w14:paraId="0AB49234" w14:textId="77777777">
        <w:tc>
          <w:tcPr>
            <w:tcW w:w="3120" w:type="dxa"/>
            <w:tcBorders>
              <w:top w:val="nil"/>
              <w:left w:val="nil"/>
              <w:bottom w:val="nil"/>
              <w:right w:val="nil"/>
            </w:tcBorders>
            <w:tcMar>
              <w:top w:w="0" w:type="dxa"/>
              <w:left w:w="100" w:type="dxa"/>
              <w:bottom w:w="0" w:type="dxa"/>
              <w:right w:w="100" w:type="dxa"/>
            </w:tcMar>
          </w:tcPr>
          <w:p w14:paraId="7CDCA998"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Ancistrophyllum</w:t>
            </w:r>
            <w:proofErr w:type="spellEnd"/>
          </w:p>
        </w:tc>
        <w:tc>
          <w:tcPr>
            <w:tcW w:w="3510" w:type="dxa"/>
            <w:tcBorders>
              <w:top w:val="nil"/>
              <w:left w:val="nil"/>
              <w:bottom w:val="nil"/>
              <w:right w:val="nil"/>
            </w:tcBorders>
            <w:tcMar>
              <w:top w:w="0" w:type="dxa"/>
              <w:left w:w="100" w:type="dxa"/>
              <w:bottom w:w="0" w:type="dxa"/>
              <w:right w:w="100" w:type="dxa"/>
            </w:tcMar>
          </w:tcPr>
          <w:p w14:paraId="38631A10"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Arecaceae</w:t>
            </w:r>
            <w:proofErr w:type="spellEnd"/>
          </w:p>
        </w:tc>
        <w:tc>
          <w:tcPr>
            <w:tcW w:w="2220" w:type="dxa"/>
            <w:tcBorders>
              <w:top w:val="nil"/>
              <w:left w:val="nil"/>
              <w:bottom w:val="nil"/>
              <w:right w:val="nil"/>
            </w:tcBorders>
            <w:tcMar>
              <w:top w:w="0" w:type="dxa"/>
              <w:left w:w="100" w:type="dxa"/>
              <w:bottom w:w="0" w:type="dxa"/>
              <w:right w:w="100" w:type="dxa"/>
            </w:tcMar>
          </w:tcPr>
          <w:p w14:paraId="4CEBBCBE"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03_PALM</w:t>
            </w:r>
          </w:p>
        </w:tc>
      </w:tr>
      <w:tr w:rsidR="00BB7AA9" w:rsidRPr="005F44EF" w14:paraId="2BA6BEC4" w14:textId="77777777">
        <w:tc>
          <w:tcPr>
            <w:tcW w:w="3120" w:type="dxa"/>
            <w:tcBorders>
              <w:top w:val="nil"/>
              <w:left w:val="nil"/>
              <w:bottom w:val="nil"/>
              <w:right w:val="nil"/>
            </w:tcBorders>
            <w:tcMar>
              <w:top w:w="0" w:type="dxa"/>
              <w:left w:w="100" w:type="dxa"/>
              <w:bottom w:w="0" w:type="dxa"/>
              <w:right w:w="100" w:type="dxa"/>
            </w:tcMar>
          </w:tcPr>
          <w:p w14:paraId="4C598BD0"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Elaeis</w:t>
            </w:r>
            <w:proofErr w:type="spellEnd"/>
            <w:r w:rsidRPr="005F44EF">
              <w:rPr>
                <w:rFonts w:ascii="Times New Roman" w:eastAsia="Times New Roman" w:hAnsi="Times New Roman" w:cs="Times New Roman"/>
                <w:sz w:val="18"/>
                <w:szCs w:val="20"/>
              </w:rPr>
              <w:t xml:space="preserve"> </w:t>
            </w:r>
            <w:proofErr w:type="spellStart"/>
            <w:r w:rsidRPr="005F44EF">
              <w:rPr>
                <w:rFonts w:ascii="Times New Roman" w:eastAsia="Times New Roman" w:hAnsi="Times New Roman" w:cs="Times New Roman"/>
                <w:sz w:val="18"/>
                <w:szCs w:val="20"/>
              </w:rPr>
              <w:t>guineensis</w:t>
            </w:r>
            <w:proofErr w:type="spellEnd"/>
          </w:p>
        </w:tc>
        <w:tc>
          <w:tcPr>
            <w:tcW w:w="3510" w:type="dxa"/>
            <w:tcBorders>
              <w:top w:val="nil"/>
              <w:left w:val="nil"/>
              <w:bottom w:val="nil"/>
              <w:right w:val="nil"/>
            </w:tcBorders>
            <w:tcMar>
              <w:top w:w="0" w:type="dxa"/>
              <w:left w:w="100" w:type="dxa"/>
              <w:bottom w:w="0" w:type="dxa"/>
              <w:right w:w="100" w:type="dxa"/>
            </w:tcMar>
          </w:tcPr>
          <w:p w14:paraId="225589E0"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Arecaceae</w:t>
            </w:r>
            <w:proofErr w:type="spellEnd"/>
          </w:p>
        </w:tc>
        <w:tc>
          <w:tcPr>
            <w:tcW w:w="2220" w:type="dxa"/>
            <w:tcBorders>
              <w:top w:val="nil"/>
              <w:left w:val="nil"/>
              <w:bottom w:val="nil"/>
              <w:right w:val="nil"/>
            </w:tcBorders>
            <w:tcMar>
              <w:top w:w="0" w:type="dxa"/>
              <w:left w:w="100" w:type="dxa"/>
              <w:bottom w:w="0" w:type="dxa"/>
              <w:right w:w="100" w:type="dxa"/>
            </w:tcMar>
          </w:tcPr>
          <w:p w14:paraId="46970BA6"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03_PALM</w:t>
            </w:r>
          </w:p>
        </w:tc>
      </w:tr>
      <w:tr w:rsidR="00BB7AA9" w:rsidRPr="005F44EF" w14:paraId="782E7194" w14:textId="77777777">
        <w:tc>
          <w:tcPr>
            <w:tcW w:w="3120" w:type="dxa"/>
            <w:tcBorders>
              <w:top w:val="nil"/>
              <w:left w:val="nil"/>
              <w:bottom w:val="nil"/>
              <w:right w:val="nil"/>
            </w:tcBorders>
            <w:tcMar>
              <w:top w:w="0" w:type="dxa"/>
              <w:left w:w="100" w:type="dxa"/>
              <w:bottom w:w="0" w:type="dxa"/>
              <w:right w:w="100" w:type="dxa"/>
            </w:tcMar>
          </w:tcPr>
          <w:p w14:paraId="36F1286A"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 xml:space="preserve">E. </w:t>
            </w:r>
            <w:proofErr w:type="spellStart"/>
            <w:r w:rsidRPr="005F44EF">
              <w:rPr>
                <w:rFonts w:ascii="Times New Roman" w:eastAsia="Times New Roman" w:hAnsi="Times New Roman" w:cs="Times New Roman"/>
                <w:sz w:val="18"/>
                <w:szCs w:val="20"/>
              </w:rPr>
              <w:t>guineensis</w:t>
            </w:r>
            <w:proofErr w:type="spellEnd"/>
            <w:r w:rsidRPr="005F44EF">
              <w:rPr>
                <w:rFonts w:ascii="Times New Roman" w:eastAsia="Times New Roman" w:hAnsi="Times New Roman" w:cs="Times New Roman"/>
                <w:sz w:val="18"/>
                <w:szCs w:val="20"/>
              </w:rPr>
              <w:t xml:space="preserve"> anther</w:t>
            </w:r>
          </w:p>
        </w:tc>
        <w:tc>
          <w:tcPr>
            <w:tcW w:w="3510" w:type="dxa"/>
            <w:tcBorders>
              <w:top w:val="nil"/>
              <w:left w:val="nil"/>
              <w:bottom w:val="nil"/>
              <w:right w:val="nil"/>
            </w:tcBorders>
            <w:tcMar>
              <w:top w:w="0" w:type="dxa"/>
              <w:left w:w="100" w:type="dxa"/>
              <w:bottom w:w="0" w:type="dxa"/>
              <w:right w:w="100" w:type="dxa"/>
            </w:tcMar>
          </w:tcPr>
          <w:p w14:paraId="5CA841B9"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Arecaceae</w:t>
            </w:r>
            <w:proofErr w:type="spellEnd"/>
          </w:p>
        </w:tc>
        <w:tc>
          <w:tcPr>
            <w:tcW w:w="2220" w:type="dxa"/>
            <w:tcBorders>
              <w:top w:val="nil"/>
              <w:left w:val="nil"/>
              <w:bottom w:val="nil"/>
              <w:right w:val="nil"/>
            </w:tcBorders>
            <w:tcMar>
              <w:top w:w="0" w:type="dxa"/>
              <w:left w:w="100" w:type="dxa"/>
              <w:bottom w:w="0" w:type="dxa"/>
              <w:right w:w="100" w:type="dxa"/>
            </w:tcMar>
          </w:tcPr>
          <w:p w14:paraId="3DEE4088"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03_PALM</w:t>
            </w:r>
          </w:p>
        </w:tc>
      </w:tr>
      <w:tr w:rsidR="00BB7AA9" w:rsidRPr="005F44EF" w14:paraId="7877296B" w14:textId="77777777">
        <w:tc>
          <w:tcPr>
            <w:tcW w:w="3120" w:type="dxa"/>
            <w:tcBorders>
              <w:top w:val="nil"/>
              <w:left w:val="nil"/>
              <w:bottom w:val="nil"/>
              <w:right w:val="nil"/>
            </w:tcBorders>
            <w:tcMar>
              <w:top w:w="0" w:type="dxa"/>
              <w:left w:w="100" w:type="dxa"/>
              <w:bottom w:w="0" w:type="dxa"/>
              <w:right w:w="100" w:type="dxa"/>
            </w:tcMar>
          </w:tcPr>
          <w:p w14:paraId="28C8223E"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Amaranthaceae</w:t>
            </w:r>
            <w:proofErr w:type="spellEnd"/>
          </w:p>
        </w:tc>
        <w:tc>
          <w:tcPr>
            <w:tcW w:w="3510" w:type="dxa"/>
            <w:tcBorders>
              <w:top w:val="nil"/>
              <w:left w:val="nil"/>
              <w:bottom w:val="nil"/>
              <w:right w:val="nil"/>
            </w:tcBorders>
            <w:tcMar>
              <w:top w:w="0" w:type="dxa"/>
              <w:left w:w="100" w:type="dxa"/>
              <w:bottom w:w="0" w:type="dxa"/>
              <w:right w:w="100" w:type="dxa"/>
            </w:tcMar>
          </w:tcPr>
          <w:p w14:paraId="20D67885"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Amaranthaceae</w:t>
            </w:r>
            <w:proofErr w:type="spellEnd"/>
          </w:p>
        </w:tc>
        <w:tc>
          <w:tcPr>
            <w:tcW w:w="2220" w:type="dxa"/>
            <w:tcBorders>
              <w:top w:val="nil"/>
              <w:left w:val="nil"/>
              <w:bottom w:val="nil"/>
              <w:right w:val="nil"/>
            </w:tcBorders>
            <w:tcMar>
              <w:top w:w="0" w:type="dxa"/>
              <w:left w:w="100" w:type="dxa"/>
              <w:bottom w:w="0" w:type="dxa"/>
              <w:right w:w="100" w:type="dxa"/>
            </w:tcMar>
          </w:tcPr>
          <w:p w14:paraId="5EDA518B"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04_HRFB</w:t>
            </w:r>
          </w:p>
        </w:tc>
      </w:tr>
      <w:tr w:rsidR="00BB7AA9" w:rsidRPr="005F44EF" w14:paraId="45FC3710" w14:textId="77777777">
        <w:tc>
          <w:tcPr>
            <w:tcW w:w="3120" w:type="dxa"/>
            <w:tcBorders>
              <w:top w:val="nil"/>
              <w:left w:val="nil"/>
              <w:bottom w:val="nil"/>
              <w:right w:val="nil"/>
            </w:tcBorders>
            <w:tcMar>
              <w:top w:w="0" w:type="dxa"/>
              <w:left w:w="100" w:type="dxa"/>
              <w:bottom w:w="0" w:type="dxa"/>
              <w:right w:w="100" w:type="dxa"/>
            </w:tcMar>
          </w:tcPr>
          <w:p w14:paraId="0E7CEB9B"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Asteraceae anther</w:t>
            </w:r>
          </w:p>
        </w:tc>
        <w:tc>
          <w:tcPr>
            <w:tcW w:w="3510" w:type="dxa"/>
            <w:tcBorders>
              <w:top w:val="nil"/>
              <w:left w:val="nil"/>
              <w:bottom w:val="nil"/>
              <w:right w:val="nil"/>
            </w:tcBorders>
            <w:tcMar>
              <w:top w:w="0" w:type="dxa"/>
              <w:left w:w="100" w:type="dxa"/>
              <w:bottom w:w="0" w:type="dxa"/>
              <w:right w:w="100" w:type="dxa"/>
            </w:tcMar>
          </w:tcPr>
          <w:p w14:paraId="696744FD"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Asteraceae</w:t>
            </w:r>
          </w:p>
        </w:tc>
        <w:tc>
          <w:tcPr>
            <w:tcW w:w="2220" w:type="dxa"/>
            <w:tcBorders>
              <w:top w:val="nil"/>
              <w:left w:val="nil"/>
              <w:bottom w:val="nil"/>
              <w:right w:val="nil"/>
            </w:tcBorders>
            <w:tcMar>
              <w:top w:w="0" w:type="dxa"/>
              <w:left w:w="100" w:type="dxa"/>
              <w:bottom w:w="0" w:type="dxa"/>
              <w:right w:w="100" w:type="dxa"/>
            </w:tcMar>
          </w:tcPr>
          <w:p w14:paraId="39CE9A24"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04_HRFB</w:t>
            </w:r>
          </w:p>
        </w:tc>
      </w:tr>
      <w:tr w:rsidR="00BB7AA9" w:rsidRPr="005F44EF" w14:paraId="754EA7AE" w14:textId="77777777">
        <w:tc>
          <w:tcPr>
            <w:tcW w:w="3120" w:type="dxa"/>
            <w:tcBorders>
              <w:top w:val="nil"/>
              <w:left w:val="nil"/>
              <w:bottom w:val="nil"/>
              <w:right w:val="nil"/>
            </w:tcBorders>
            <w:tcMar>
              <w:top w:w="0" w:type="dxa"/>
              <w:left w:w="100" w:type="dxa"/>
              <w:bottom w:w="0" w:type="dxa"/>
              <w:right w:w="100" w:type="dxa"/>
            </w:tcMar>
          </w:tcPr>
          <w:p w14:paraId="77D92E6F"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 xml:space="preserve">Asteraceae </w:t>
            </w:r>
            <w:proofErr w:type="spellStart"/>
            <w:r w:rsidRPr="005F44EF">
              <w:rPr>
                <w:rFonts w:ascii="Times New Roman" w:eastAsia="Times New Roman" w:hAnsi="Times New Roman" w:cs="Times New Roman"/>
                <w:sz w:val="18"/>
                <w:szCs w:val="20"/>
              </w:rPr>
              <w:t>undiff</w:t>
            </w:r>
            <w:proofErr w:type="spellEnd"/>
            <w:r w:rsidRPr="005F44EF">
              <w:rPr>
                <w:rFonts w:ascii="Times New Roman" w:eastAsia="Times New Roman" w:hAnsi="Times New Roman" w:cs="Times New Roman"/>
                <w:sz w:val="18"/>
                <w:szCs w:val="20"/>
              </w:rPr>
              <w:t>.</w:t>
            </w:r>
          </w:p>
        </w:tc>
        <w:tc>
          <w:tcPr>
            <w:tcW w:w="3510" w:type="dxa"/>
            <w:tcBorders>
              <w:top w:val="nil"/>
              <w:left w:val="nil"/>
              <w:bottom w:val="nil"/>
              <w:right w:val="nil"/>
            </w:tcBorders>
            <w:tcMar>
              <w:top w:w="0" w:type="dxa"/>
              <w:left w:w="100" w:type="dxa"/>
              <w:bottom w:w="0" w:type="dxa"/>
              <w:right w:w="100" w:type="dxa"/>
            </w:tcMar>
          </w:tcPr>
          <w:p w14:paraId="61D75F6B"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Asteraceae</w:t>
            </w:r>
          </w:p>
        </w:tc>
        <w:tc>
          <w:tcPr>
            <w:tcW w:w="2220" w:type="dxa"/>
            <w:tcBorders>
              <w:top w:val="nil"/>
              <w:left w:val="nil"/>
              <w:bottom w:val="nil"/>
              <w:right w:val="nil"/>
            </w:tcBorders>
            <w:tcMar>
              <w:top w:w="0" w:type="dxa"/>
              <w:left w:w="100" w:type="dxa"/>
              <w:bottom w:w="0" w:type="dxa"/>
              <w:right w:w="100" w:type="dxa"/>
            </w:tcMar>
          </w:tcPr>
          <w:p w14:paraId="1E7478E5"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04_HRFB</w:t>
            </w:r>
          </w:p>
        </w:tc>
      </w:tr>
      <w:tr w:rsidR="00BB7AA9" w:rsidRPr="005F44EF" w14:paraId="360D1870" w14:textId="77777777">
        <w:tc>
          <w:tcPr>
            <w:tcW w:w="3120" w:type="dxa"/>
            <w:tcBorders>
              <w:top w:val="nil"/>
              <w:left w:val="nil"/>
              <w:bottom w:val="nil"/>
              <w:right w:val="nil"/>
            </w:tcBorders>
            <w:tcMar>
              <w:top w:w="0" w:type="dxa"/>
              <w:left w:w="100" w:type="dxa"/>
              <w:bottom w:w="0" w:type="dxa"/>
              <w:right w:w="100" w:type="dxa"/>
            </w:tcMar>
          </w:tcPr>
          <w:p w14:paraId="6583AAC8"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Mitracarpus</w:t>
            </w:r>
            <w:proofErr w:type="spellEnd"/>
            <w:r w:rsidRPr="005F44EF">
              <w:rPr>
                <w:rFonts w:ascii="Times New Roman" w:eastAsia="Times New Roman" w:hAnsi="Times New Roman" w:cs="Times New Roman"/>
                <w:sz w:val="18"/>
                <w:szCs w:val="20"/>
              </w:rPr>
              <w:t>-type</w:t>
            </w:r>
          </w:p>
        </w:tc>
        <w:tc>
          <w:tcPr>
            <w:tcW w:w="3510" w:type="dxa"/>
            <w:tcBorders>
              <w:top w:val="nil"/>
              <w:left w:val="nil"/>
              <w:bottom w:val="nil"/>
              <w:right w:val="nil"/>
            </w:tcBorders>
            <w:tcMar>
              <w:top w:w="0" w:type="dxa"/>
              <w:left w:w="100" w:type="dxa"/>
              <w:bottom w:w="0" w:type="dxa"/>
              <w:right w:w="100" w:type="dxa"/>
            </w:tcMar>
          </w:tcPr>
          <w:p w14:paraId="073B9C24"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Rubiaceae</w:t>
            </w:r>
            <w:proofErr w:type="spellEnd"/>
          </w:p>
        </w:tc>
        <w:tc>
          <w:tcPr>
            <w:tcW w:w="2220" w:type="dxa"/>
            <w:tcBorders>
              <w:top w:val="nil"/>
              <w:left w:val="nil"/>
              <w:bottom w:val="nil"/>
              <w:right w:val="nil"/>
            </w:tcBorders>
            <w:tcMar>
              <w:top w:w="0" w:type="dxa"/>
              <w:left w:w="100" w:type="dxa"/>
              <w:bottom w:w="0" w:type="dxa"/>
              <w:right w:w="100" w:type="dxa"/>
            </w:tcMar>
          </w:tcPr>
          <w:p w14:paraId="14E1D09F"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04_HRFB</w:t>
            </w:r>
          </w:p>
        </w:tc>
      </w:tr>
      <w:tr w:rsidR="00BB7AA9" w:rsidRPr="005F44EF" w14:paraId="2D8B4867" w14:textId="77777777">
        <w:tc>
          <w:tcPr>
            <w:tcW w:w="3120" w:type="dxa"/>
            <w:tcBorders>
              <w:top w:val="nil"/>
              <w:left w:val="nil"/>
              <w:bottom w:val="nil"/>
              <w:right w:val="nil"/>
            </w:tcBorders>
            <w:tcMar>
              <w:top w:w="0" w:type="dxa"/>
              <w:left w:w="100" w:type="dxa"/>
              <w:bottom w:w="0" w:type="dxa"/>
              <w:right w:w="100" w:type="dxa"/>
            </w:tcMar>
          </w:tcPr>
          <w:p w14:paraId="2F6F4EC4"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Alchornea</w:t>
            </w:r>
            <w:proofErr w:type="spellEnd"/>
          </w:p>
        </w:tc>
        <w:tc>
          <w:tcPr>
            <w:tcW w:w="3510" w:type="dxa"/>
            <w:tcBorders>
              <w:top w:val="nil"/>
              <w:left w:val="nil"/>
              <w:bottom w:val="nil"/>
              <w:right w:val="nil"/>
            </w:tcBorders>
            <w:tcMar>
              <w:top w:w="0" w:type="dxa"/>
              <w:left w:w="100" w:type="dxa"/>
              <w:bottom w:w="0" w:type="dxa"/>
              <w:right w:w="100" w:type="dxa"/>
            </w:tcMar>
          </w:tcPr>
          <w:p w14:paraId="5C2D7304"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Euphorbiaceae</w:t>
            </w:r>
            <w:proofErr w:type="spellEnd"/>
          </w:p>
        </w:tc>
        <w:tc>
          <w:tcPr>
            <w:tcW w:w="2220" w:type="dxa"/>
            <w:tcBorders>
              <w:top w:val="nil"/>
              <w:left w:val="nil"/>
              <w:bottom w:val="nil"/>
              <w:right w:val="nil"/>
            </w:tcBorders>
            <w:tcMar>
              <w:top w:w="0" w:type="dxa"/>
              <w:left w:w="100" w:type="dxa"/>
              <w:bottom w:w="0" w:type="dxa"/>
              <w:right w:w="100" w:type="dxa"/>
            </w:tcMar>
          </w:tcPr>
          <w:p w14:paraId="56A25B09"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05_PTSH</w:t>
            </w:r>
          </w:p>
        </w:tc>
      </w:tr>
      <w:tr w:rsidR="00BB7AA9" w:rsidRPr="005F44EF" w14:paraId="74E5368D" w14:textId="77777777">
        <w:tc>
          <w:tcPr>
            <w:tcW w:w="3120" w:type="dxa"/>
            <w:tcBorders>
              <w:top w:val="nil"/>
              <w:left w:val="nil"/>
              <w:bottom w:val="nil"/>
              <w:right w:val="nil"/>
            </w:tcBorders>
            <w:tcMar>
              <w:top w:w="0" w:type="dxa"/>
              <w:left w:w="100" w:type="dxa"/>
              <w:bottom w:w="0" w:type="dxa"/>
              <w:right w:w="100" w:type="dxa"/>
            </w:tcMar>
          </w:tcPr>
          <w:p w14:paraId="536572FB"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Macaranga</w:t>
            </w:r>
          </w:p>
        </w:tc>
        <w:tc>
          <w:tcPr>
            <w:tcW w:w="3510" w:type="dxa"/>
            <w:tcBorders>
              <w:top w:val="nil"/>
              <w:left w:val="nil"/>
              <w:bottom w:val="nil"/>
              <w:right w:val="nil"/>
            </w:tcBorders>
            <w:tcMar>
              <w:top w:w="0" w:type="dxa"/>
              <w:left w:w="100" w:type="dxa"/>
              <w:bottom w:w="0" w:type="dxa"/>
              <w:right w:w="100" w:type="dxa"/>
            </w:tcMar>
          </w:tcPr>
          <w:p w14:paraId="75F8DFAC"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Euphorbiaceae</w:t>
            </w:r>
            <w:proofErr w:type="spellEnd"/>
          </w:p>
        </w:tc>
        <w:tc>
          <w:tcPr>
            <w:tcW w:w="2220" w:type="dxa"/>
            <w:tcBorders>
              <w:top w:val="nil"/>
              <w:left w:val="nil"/>
              <w:bottom w:val="nil"/>
              <w:right w:val="nil"/>
            </w:tcBorders>
            <w:tcMar>
              <w:top w:w="0" w:type="dxa"/>
              <w:left w:w="100" w:type="dxa"/>
              <w:bottom w:w="0" w:type="dxa"/>
              <w:right w:w="100" w:type="dxa"/>
            </w:tcMar>
          </w:tcPr>
          <w:p w14:paraId="67A9B72D"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05_PTSH</w:t>
            </w:r>
          </w:p>
        </w:tc>
      </w:tr>
      <w:tr w:rsidR="00BB7AA9" w:rsidRPr="005F44EF" w14:paraId="4D2B32D5" w14:textId="77777777">
        <w:tc>
          <w:tcPr>
            <w:tcW w:w="3120" w:type="dxa"/>
            <w:tcBorders>
              <w:top w:val="nil"/>
              <w:left w:val="nil"/>
              <w:bottom w:val="nil"/>
              <w:right w:val="nil"/>
            </w:tcBorders>
            <w:tcMar>
              <w:top w:w="0" w:type="dxa"/>
              <w:left w:w="100" w:type="dxa"/>
              <w:bottom w:w="0" w:type="dxa"/>
              <w:right w:w="100" w:type="dxa"/>
            </w:tcMar>
          </w:tcPr>
          <w:p w14:paraId="186AAD12"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Tetrorchidium</w:t>
            </w:r>
            <w:proofErr w:type="spellEnd"/>
            <w:r w:rsidRPr="005F44EF">
              <w:rPr>
                <w:rFonts w:ascii="Times New Roman" w:eastAsia="Times New Roman" w:hAnsi="Times New Roman" w:cs="Times New Roman"/>
                <w:sz w:val="18"/>
                <w:szCs w:val="20"/>
              </w:rPr>
              <w:t xml:space="preserve"> </w:t>
            </w:r>
            <w:proofErr w:type="spellStart"/>
            <w:r w:rsidRPr="005F44EF">
              <w:rPr>
                <w:rFonts w:ascii="Times New Roman" w:eastAsia="Times New Roman" w:hAnsi="Times New Roman" w:cs="Times New Roman"/>
                <w:sz w:val="18"/>
                <w:szCs w:val="20"/>
              </w:rPr>
              <w:t>didymostemon</w:t>
            </w:r>
            <w:proofErr w:type="spellEnd"/>
          </w:p>
        </w:tc>
        <w:tc>
          <w:tcPr>
            <w:tcW w:w="3510" w:type="dxa"/>
            <w:tcBorders>
              <w:top w:val="nil"/>
              <w:left w:val="nil"/>
              <w:bottom w:val="nil"/>
              <w:right w:val="nil"/>
            </w:tcBorders>
            <w:tcMar>
              <w:top w:w="0" w:type="dxa"/>
              <w:left w:w="100" w:type="dxa"/>
              <w:bottom w:w="0" w:type="dxa"/>
              <w:right w:w="100" w:type="dxa"/>
            </w:tcMar>
          </w:tcPr>
          <w:p w14:paraId="4F7E4A1B"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Euphorbiaceae</w:t>
            </w:r>
            <w:proofErr w:type="spellEnd"/>
          </w:p>
        </w:tc>
        <w:tc>
          <w:tcPr>
            <w:tcW w:w="2220" w:type="dxa"/>
            <w:tcBorders>
              <w:top w:val="nil"/>
              <w:left w:val="nil"/>
              <w:bottom w:val="nil"/>
              <w:right w:val="nil"/>
            </w:tcBorders>
            <w:tcMar>
              <w:top w:w="0" w:type="dxa"/>
              <w:left w:w="100" w:type="dxa"/>
              <w:bottom w:w="0" w:type="dxa"/>
              <w:right w:w="100" w:type="dxa"/>
            </w:tcMar>
          </w:tcPr>
          <w:p w14:paraId="3AEDBAFC"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05_PTSH</w:t>
            </w:r>
          </w:p>
        </w:tc>
      </w:tr>
      <w:tr w:rsidR="00BB7AA9" w:rsidRPr="005F44EF" w14:paraId="176D8680" w14:textId="77777777">
        <w:tc>
          <w:tcPr>
            <w:tcW w:w="3120" w:type="dxa"/>
            <w:tcBorders>
              <w:top w:val="nil"/>
              <w:left w:val="nil"/>
              <w:bottom w:val="nil"/>
              <w:right w:val="nil"/>
            </w:tcBorders>
            <w:tcMar>
              <w:top w:w="0" w:type="dxa"/>
              <w:left w:w="100" w:type="dxa"/>
              <w:bottom w:w="0" w:type="dxa"/>
              <w:right w:w="100" w:type="dxa"/>
            </w:tcMar>
          </w:tcPr>
          <w:p w14:paraId="0D49F4B1"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Scottellia</w:t>
            </w:r>
            <w:proofErr w:type="spellEnd"/>
          </w:p>
        </w:tc>
        <w:tc>
          <w:tcPr>
            <w:tcW w:w="3510" w:type="dxa"/>
            <w:tcBorders>
              <w:top w:val="nil"/>
              <w:left w:val="nil"/>
              <w:bottom w:val="nil"/>
              <w:right w:val="nil"/>
            </w:tcBorders>
            <w:tcMar>
              <w:top w:w="0" w:type="dxa"/>
              <w:left w:w="100" w:type="dxa"/>
              <w:bottom w:w="0" w:type="dxa"/>
              <w:right w:w="100" w:type="dxa"/>
            </w:tcMar>
          </w:tcPr>
          <w:p w14:paraId="693CDF93"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Achariaceae</w:t>
            </w:r>
            <w:proofErr w:type="spellEnd"/>
          </w:p>
        </w:tc>
        <w:tc>
          <w:tcPr>
            <w:tcW w:w="2220" w:type="dxa"/>
            <w:tcBorders>
              <w:top w:val="nil"/>
              <w:left w:val="nil"/>
              <w:bottom w:val="nil"/>
              <w:right w:val="nil"/>
            </w:tcBorders>
            <w:tcMar>
              <w:top w:w="0" w:type="dxa"/>
              <w:left w:w="100" w:type="dxa"/>
              <w:bottom w:w="0" w:type="dxa"/>
              <w:right w:w="100" w:type="dxa"/>
            </w:tcMar>
          </w:tcPr>
          <w:p w14:paraId="5F59E9DC"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06_TRSH</w:t>
            </w:r>
          </w:p>
        </w:tc>
      </w:tr>
      <w:tr w:rsidR="00BB7AA9" w:rsidRPr="005F44EF" w14:paraId="3D4B6489" w14:textId="77777777">
        <w:tc>
          <w:tcPr>
            <w:tcW w:w="3120" w:type="dxa"/>
            <w:tcBorders>
              <w:top w:val="nil"/>
              <w:left w:val="nil"/>
              <w:bottom w:val="nil"/>
              <w:right w:val="nil"/>
            </w:tcBorders>
            <w:tcMar>
              <w:top w:w="0" w:type="dxa"/>
              <w:left w:w="100" w:type="dxa"/>
              <w:bottom w:w="0" w:type="dxa"/>
              <w:right w:w="100" w:type="dxa"/>
            </w:tcMar>
          </w:tcPr>
          <w:p w14:paraId="5FCD8D5A"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Lannea</w:t>
            </w:r>
            <w:proofErr w:type="spellEnd"/>
            <w:r w:rsidRPr="005F44EF">
              <w:rPr>
                <w:rFonts w:ascii="Times New Roman" w:eastAsia="Times New Roman" w:hAnsi="Times New Roman" w:cs="Times New Roman"/>
                <w:sz w:val="18"/>
                <w:szCs w:val="20"/>
              </w:rPr>
              <w:t>/</w:t>
            </w:r>
            <w:proofErr w:type="spellStart"/>
            <w:r w:rsidRPr="005F44EF">
              <w:rPr>
                <w:rFonts w:ascii="Times New Roman" w:eastAsia="Times New Roman" w:hAnsi="Times New Roman" w:cs="Times New Roman"/>
                <w:sz w:val="18"/>
                <w:szCs w:val="20"/>
              </w:rPr>
              <w:t>Sclerocarya</w:t>
            </w:r>
            <w:proofErr w:type="spellEnd"/>
          </w:p>
        </w:tc>
        <w:tc>
          <w:tcPr>
            <w:tcW w:w="3510" w:type="dxa"/>
            <w:tcBorders>
              <w:top w:val="nil"/>
              <w:left w:val="nil"/>
              <w:bottom w:val="nil"/>
              <w:right w:val="nil"/>
            </w:tcBorders>
            <w:tcMar>
              <w:top w:w="0" w:type="dxa"/>
              <w:left w:w="100" w:type="dxa"/>
              <w:bottom w:w="0" w:type="dxa"/>
              <w:right w:w="100" w:type="dxa"/>
            </w:tcMar>
          </w:tcPr>
          <w:p w14:paraId="6BB4A004"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Anacardiaceae</w:t>
            </w:r>
            <w:proofErr w:type="spellEnd"/>
          </w:p>
        </w:tc>
        <w:tc>
          <w:tcPr>
            <w:tcW w:w="2220" w:type="dxa"/>
            <w:tcBorders>
              <w:top w:val="nil"/>
              <w:left w:val="nil"/>
              <w:bottom w:val="nil"/>
              <w:right w:val="nil"/>
            </w:tcBorders>
            <w:tcMar>
              <w:top w:w="0" w:type="dxa"/>
              <w:left w:w="100" w:type="dxa"/>
              <w:bottom w:w="0" w:type="dxa"/>
              <w:right w:w="100" w:type="dxa"/>
            </w:tcMar>
          </w:tcPr>
          <w:p w14:paraId="0B6BAFFE"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06_TRSH</w:t>
            </w:r>
          </w:p>
        </w:tc>
      </w:tr>
      <w:tr w:rsidR="00BB7AA9" w:rsidRPr="005F44EF" w14:paraId="76582D57" w14:textId="77777777">
        <w:tc>
          <w:tcPr>
            <w:tcW w:w="3120" w:type="dxa"/>
            <w:tcBorders>
              <w:top w:val="nil"/>
              <w:left w:val="nil"/>
              <w:bottom w:val="nil"/>
              <w:right w:val="nil"/>
            </w:tcBorders>
            <w:tcMar>
              <w:top w:w="0" w:type="dxa"/>
              <w:left w:w="100" w:type="dxa"/>
              <w:bottom w:w="0" w:type="dxa"/>
              <w:right w:w="100" w:type="dxa"/>
            </w:tcMar>
          </w:tcPr>
          <w:p w14:paraId="105CBDA1"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Xylopia</w:t>
            </w:r>
            <w:proofErr w:type="spellEnd"/>
            <w:r w:rsidRPr="005F44EF">
              <w:rPr>
                <w:rFonts w:ascii="Times New Roman" w:eastAsia="Times New Roman" w:hAnsi="Times New Roman" w:cs="Times New Roman"/>
                <w:sz w:val="18"/>
                <w:szCs w:val="20"/>
              </w:rPr>
              <w:t>-type</w:t>
            </w:r>
          </w:p>
        </w:tc>
        <w:tc>
          <w:tcPr>
            <w:tcW w:w="3510" w:type="dxa"/>
            <w:tcBorders>
              <w:top w:val="nil"/>
              <w:left w:val="nil"/>
              <w:bottom w:val="nil"/>
              <w:right w:val="nil"/>
            </w:tcBorders>
            <w:tcMar>
              <w:top w:w="0" w:type="dxa"/>
              <w:left w:w="100" w:type="dxa"/>
              <w:bottom w:w="0" w:type="dxa"/>
              <w:right w:w="100" w:type="dxa"/>
            </w:tcMar>
          </w:tcPr>
          <w:p w14:paraId="50E38581"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Annonaceae</w:t>
            </w:r>
            <w:proofErr w:type="spellEnd"/>
          </w:p>
        </w:tc>
        <w:tc>
          <w:tcPr>
            <w:tcW w:w="2220" w:type="dxa"/>
            <w:tcBorders>
              <w:top w:val="nil"/>
              <w:left w:val="nil"/>
              <w:bottom w:val="nil"/>
              <w:right w:val="nil"/>
            </w:tcBorders>
            <w:tcMar>
              <w:top w:w="0" w:type="dxa"/>
              <w:left w:w="100" w:type="dxa"/>
              <w:bottom w:w="0" w:type="dxa"/>
              <w:right w:w="100" w:type="dxa"/>
            </w:tcMar>
          </w:tcPr>
          <w:p w14:paraId="438592A9"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06_TRSH</w:t>
            </w:r>
          </w:p>
        </w:tc>
      </w:tr>
      <w:tr w:rsidR="00BB7AA9" w:rsidRPr="005F44EF" w14:paraId="53B051C1" w14:textId="77777777">
        <w:tc>
          <w:tcPr>
            <w:tcW w:w="3120" w:type="dxa"/>
            <w:tcBorders>
              <w:top w:val="nil"/>
              <w:left w:val="nil"/>
              <w:bottom w:val="nil"/>
              <w:right w:val="nil"/>
            </w:tcBorders>
            <w:tcMar>
              <w:top w:w="0" w:type="dxa"/>
              <w:left w:w="100" w:type="dxa"/>
              <w:bottom w:w="0" w:type="dxa"/>
              <w:right w:w="100" w:type="dxa"/>
            </w:tcMar>
          </w:tcPr>
          <w:p w14:paraId="2FD05B8B"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Alstonia</w:t>
            </w:r>
            <w:proofErr w:type="spellEnd"/>
          </w:p>
        </w:tc>
        <w:tc>
          <w:tcPr>
            <w:tcW w:w="3510" w:type="dxa"/>
            <w:tcBorders>
              <w:top w:val="nil"/>
              <w:left w:val="nil"/>
              <w:bottom w:val="nil"/>
              <w:right w:val="nil"/>
            </w:tcBorders>
            <w:tcMar>
              <w:top w:w="0" w:type="dxa"/>
              <w:left w:w="100" w:type="dxa"/>
              <w:bottom w:w="0" w:type="dxa"/>
              <w:right w:w="100" w:type="dxa"/>
            </w:tcMar>
          </w:tcPr>
          <w:p w14:paraId="67549D90"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Apocynaceae</w:t>
            </w:r>
            <w:proofErr w:type="spellEnd"/>
          </w:p>
        </w:tc>
        <w:tc>
          <w:tcPr>
            <w:tcW w:w="2220" w:type="dxa"/>
            <w:tcBorders>
              <w:top w:val="nil"/>
              <w:left w:val="nil"/>
              <w:bottom w:val="nil"/>
              <w:right w:val="nil"/>
            </w:tcBorders>
            <w:tcMar>
              <w:top w:w="0" w:type="dxa"/>
              <w:left w:w="100" w:type="dxa"/>
              <w:bottom w:w="0" w:type="dxa"/>
              <w:right w:w="100" w:type="dxa"/>
            </w:tcMar>
          </w:tcPr>
          <w:p w14:paraId="342D94C0"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06_TRSH</w:t>
            </w:r>
          </w:p>
        </w:tc>
      </w:tr>
      <w:tr w:rsidR="00BB7AA9" w:rsidRPr="005F44EF" w14:paraId="283F2428" w14:textId="77777777">
        <w:tc>
          <w:tcPr>
            <w:tcW w:w="3120" w:type="dxa"/>
            <w:tcBorders>
              <w:top w:val="nil"/>
              <w:left w:val="nil"/>
              <w:bottom w:val="nil"/>
              <w:right w:val="nil"/>
            </w:tcBorders>
            <w:tcMar>
              <w:top w:w="0" w:type="dxa"/>
              <w:left w:w="100" w:type="dxa"/>
              <w:bottom w:w="0" w:type="dxa"/>
              <w:right w:w="100" w:type="dxa"/>
            </w:tcMar>
          </w:tcPr>
          <w:p w14:paraId="2E3D484F"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Hunteria</w:t>
            </w:r>
            <w:proofErr w:type="spellEnd"/>
            <w:r w:rsidRPr="005F44EF">
              <w:rPr>
                <w:rFonts w:ascii="Times New Roman" w:eastAsia="Times New Roman" w:hAnsi="Times New Roman" w:cs="Times New Roman"/>
                <w:sz w:val="18"/>
                <w:szCs w:val="20"/>
              </w:rPr>
              <w:t xml:space="preserve"> anthers</w:t>
            </w:r>
          </w:p>
        </w:tc>
        <w:tc>
          <w:tcPr>
            <w:tcW w:w="3510" w:type="dxa"/>
            <w:tcBorders>
              <w:top w:val="nil"/>
              <w:left w:val="nil"/>
              <w:bottom w:val="nil"/>
              <w:right w:val="nil"/>
            </w:tcBorders>
            <w:tcMar>
              <w:top w:w="0" w:type="dxa"/>
              <w:left w:w="100" w:type="dxa"/>
              <w:bottom w:w="0" w:type="dxa"/>
              <w:right w:w="100" w:type="dxa"/>
            </w:tcMar>
          </w:tcPr>
          <w:p w14:paraId="000BC775"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Apocynaceae</w:t>
            </w:r>
            <w:proofErr w:type="spellEnd"/>
          </w:p>
        </w:tc>
        <w:tc>
          <w:tcPr>
            <w:tcW w:w="2220" w:type="dxa"/>
            <w:tcBorders>
              <w:top w:val="nil"/>
              <w:left w:val="nil"/>
              <w:bottom w:val="nil"/>
              <w:right w:val="nil"/>
            </w:tcBorders>
            <w:tcMar>
              <w:top w:w="0" w:type="dxa"/>
              <w:left w:w="100" w:type="dxa"/>
              <w:bottom w:w="0" w:type="dxa"/>
              <w:right w:w="100" w:type="dxa"/>
            </w:tcMar>
          </w:tcPr>
          <w:p w14:paraId="5EEF954A"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06_TRSH</w:t>
            </w:r>
          </w:p>
        </w:tc>
      </w:tr>
      <w:tr w:rsidR="00BB7AA9" w:rsidRPr="005F44EF" w14:paraId="7E632F68" w14:textId="77777777">
        <w:tc>
          <w:tcPr>
            <w:tcW w:w="3120" w:type="dxa"/>
            <w:tcBorders>
              <w:top w:val="nil"/>
              <w:left w:val="nil"/>
              <w:bottom w:val="nil"/>
              <w:right w:val="nil"/>
            </w:tcBorders>
            <w:tcMar>
              <w:top w:w="0" w:type="dxa"/>
              <w:left w:w="100" w:type="dxa"/>
              <w:bottom w:w="0" w:type="dxa"/>
              <w:right w:w="100" w:type="dxa"/>
            </w:tcMar>
          </w:tcPr>
          <w:p w14:paraId="195AE5B4"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Hunteria</w:t>
            </w:r>
            <w:proofErr w:type="spellEnd"/>
            <w:r w:rsidRPr="005F44EF">
              <w:rPr>
                <w:rFonts w:ascii="Times New Roman" w:eastAsia="Times New Roman" w:hAnsi="Times New Roman" w:cs="Times New Roman"/>
                <w:sz w:val="18"/>
                <w:szCs w:val="20"/>
              </w:rPr>
              <w:t xml:space="preserve">-type </w:t>
            </w:r>
            <w:proofErr w:type="spellStart"/>
            <w:r w:rsidRPr="005F44EF">
              <w:rPr>
                <w:rFonts w:ascii="Times New Roman" w:eastAsia="Times New Roman" w:hAnsi="Times New Roman" w:cs="Times New Roman"/>
                <w:sz w:val="18"/>
                <w:szCs w:val="20"/>
              </w:rPr>
              <w:t>umbellata</w:t>
            </w:r>
            <w:proofErr w:type="spellEnd"/>
          </w:p>
        </w:tc>
        <w:tc>
          <w:tcPr>
            <w:tcW w:w="3510" w:type="dxa"/>
            <w:tcBorders>
              <w:top w:val="nil"/>
              <w:left w:val="nil"/>
              <w:bottom w:val="nil"/>
              <w:right w:val="nil"/>
            </w:tcBorders>
            <w:tcMar>
              <w:top w:w="0" w:type="dxa"/>
              <w:left w:w="100" w:type="dxa"/>
              <w:bottom w:w="0" w:type="dxa"/>
              <w:right w:w="100" w:type="dxa"/>
            </w:tcMar>
          </w:tcPr>
          <w:p w14:paraId="4F2AF5B1"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Apocynaceae</w:t>
            </w:r>
            <w:proofErr w:type="spellEnd"/>
          </w:p>
        </w:tc>
        <w:tc>
          <w:tcPr>
            <w:tcW w:w="2220" w:type="dxa"/>
            <w:tcBorders>
              <w:top w:val="nil"/>
              <w:left w:val="nil"/>
              <w:bottom w:val="nil"/>
              <w:right w:val="nil"/>
            </w:tcBorders>
            <w:tcMar>
              <w:top w:w="0" w:type="dxa"/>
              <w:left w:w="100" w:type="dxa"/>
              <w:bottom w:w="0" w:type="dxa"/>
              <w:right w:w="100" w:type="dxa"/>
            </w:tcMar>
          </w:tcPr>
          <w:p w14:paraId="3E207632"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06_TRSH</w:t>
            </w:r>
          </w:p>
        </w:tc>
      </w:tr>
      <w:tr w:rsidR="00BB7AA9" w:rsidRPr="005F44EF" w14:paraId="27F097D3" w14:textId="77777777">
        <w:tc>
          <w:tcPr>
            <w:tcW w:w="3120" w:type="dxa"/>
            <w:tcBorders>
              <w:top w:val="nil"/>
              <w:left w:val="nil"/>
              <w:bottom w:val="nil"/>
              <w:right w:val="nil"/>
            </w:tcBorders>
            <w:tcMar>
              <w:top w:w="0" w:type="dxa"/>
              <w:left w:w="100" w:type="dxa"/>
              <w:bottom w:w="0" w:type="dxa"/>
              <w:right w:w="100" w:type="dxa"/>
            </w:tcMar>
          </w:tcPr>
          <w:p w14:paraId="3E1EA16B"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Landolphia</w:t>
            </w:r>
            <w:proofErr w:type="spellEnd"/>
          </w:p>
        </w:tc>
        <w:tc>
          <w:tcPr>
            <w:tcW w:w="3510" w:type="dxa"/>
            <w:tcBorders>
              <w:top w:val="nil"/>
              <w:left w:val="nil"/>
              <w:bottom w:val="nil"/>
              <w:right w:val="nil"/>
            </w:tcBorders>
            <w:tcMar>
              <w:top w:w="0" w:type="dxa"/>
              <w:left w:w="100" w:type="dxa"/>
              <w:bottom w:w="0" w:type="dxa"/>
              <w:right w:w="100" w:type="dxa"/>
            </w:tcMar>
          </w:tcPr>
          <w:p w14:paraId="38234A6E"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Apocynaceae</w:t>
            </w:r>
            <w:proofErr w:type="spellEnd"/>
          </w:p>
        </w:tc>
        <w:tc>
          <w:tcPr>
            <w:tcW w:w="2220" w:type="dxa"/>
            <w:tcBorders>
              <w:top w:val="nil"/>
              <w:left w:val="nil"/>
              <w:bottom w:val="nil"/>
              <w:right w:val="nil"/>
            </w:tcBorders>
            <w:tcMar>
              <w:top w:w="0" w:type="dxa"/>
              <w:left w:w="100" w:type="dxa"/>
              <w:bottom w:w="0" w:type="dxa"/>
              <w:right w:w="100" w:type="dxa"/>
            </w:tcMar>
          </w:tcPr>
          <w:p w14:paraId="3CEB3F85"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06_TRSH</w:t>
            </w:r>
          </w:p>
        </w:tc>
      </w:tr>
      <w:tr w:rsidR="00BB7AA9" w:rsidRPr="005F44EF" w14:paraId="1B941528" w14:textId="77777777">
        <w:tc>
          <w:tcPr>
            <w:tcW w:w="3120" w:type="dxa"/>
            <w:tcBorders>
              <w:top w:val="nil"/>
              <w:left w:val="nil"/>
              <w:bottom w:val="nil"/>
              <w:right w:val="nil"/>
            </w:tcBorders>
            <w:tcMar>
              <w:top w:w="0" w:type="dxa"/>
              <w:left w:w="100" w:type="dxa"/>
              <w:bottom w:w="0" w:type="dxa"/>
              <w:right w:w="100" w:type="dxa"/>
            </w:tcMar>
          </w:tcPr>
          <w:p w14:paraId="53FD5091"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Rauvolfia</w:t>
            </w:r>
            <w:proofErr w:type="spellEnd"/>
            <w:r w:rsidRPr="005F44EF">
              <w:rPr>
                <w:rFonts w:ascii="Times New Roman" w:eastAsia="Times New Roman" w:hAnsi="Times New Roman" w:cs="Times New Roman"/>
                <w:sz w:val="18"/>
                <w:szCs w:val="20"/>
              </w:rPr>
              <w:t xml:space="preserve"> vomitoria-type</w:t>
            </w:r>
          </w:p>
        </w:tc>
        <w:tc>
          <w:tcPr>
            <w:tcW w:w="3510" w:type="dxa"/>
            <w:tcBorders>
              <w:top w:val="nil"/>
              <w:left w:val="nil"/>
              <w:bottom w:val="nil"/>
              <w:right w:val="nil"/>
            </w:tcBorders>
            <w:tcMar>
              <w:top w:w="0" w:type="dxa"/>
              <w:left w:w="100" w:type="dxa"/>
              <w:bottom w:w="0" w:type="dxa"/>
              <w:right w:w="100" w:type="dxa"/>
            </w:tcMar>
          </w:tcPr>
          <w:p w14:paraId="3808BF7D"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Apocynaceae</w:t>
            </w:r>
            <w:proofErr w:type="spellEnd"/>
          </w:p>
        </w:tc>
        <w:tc>
          <w:tcPr>
            <w:tcW w:w="2220" w:type="dxa"/>
            <w:tcBorders>
              <w:top w:val="nil"/>
              <w:left w:val="nil"/>
              <w:bottom w:val="nil"/>
              <w:right w:val="nil"/>
            </w:tcBorders>
            <w:tcMar>
              <w:top w:w="0" w:type="dxa"/>
              <w:left w:w="100" w:type="dxa"/>
              <w:bottom w:w="0" w:type="dxa"/>
              <w:right w:w="100" w:type="dxa"/>
            </w:tcMar>
          </w:tcPr>
          <w:p w14:paraId="42A6FF11"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06_TRSH</w:t>
            </w:r>
          </w:p>
        </w:tc>
      </w:tr>
      <w:tr w:rsidR="00BB7AA9" w:rsidRPr="005F44EF" w14:paraId="681890BD" w14:textId="77777777">
        <w:tc>
          <w:tcPr>
            <w:tcW w:w="3120" w:type="dxa"/>
            <w:tcBorders>
              <w:top w:val="nil"/>
              <w:left w:val="nil"/>
              <w:bottom w:val="nil"/>
              <w:right w:val="nil"/>
            </w:tcBorders>
            <w:tcMar>
              <w:top w:w="0" w:type="dxa"/>
              <w:left w:w="100" w:type="dxa"/>
              <w:bottom w:w="0" w:type="dxa"/>
              <w:right w:w="100" w:type="dxa"/>
            </w:tcMar>
          </w:tcPr>
          <w:p w14:paraId="1AFC5B2D"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Canarium</w:t>
            </w:r>
            <w:proofErr w:type="spellEnd"/>
            <w:r w:rsidRPr="005F44EF">
              <w:rPr>
                <w:rFonts w:ascii="Times New Roman" w:eastAsia="Times New Roman" w:hAnsi="Times New Roman" w:cs="Times New Roman"/>
                <w:sz w:val="18"/>
                <w:szCs w:val="20"/>
              </w:rPr>
              <w:t>-type</w:t>
            </w:r>
          </w:p>
        </w:tc>
        <w:tc>
          <w:tcPr>
            <w:tcW w:w="3510" w:type="dxa"/>
            <w:tcBorders>
              <w:top w:val="nil"/>
              <w:left w:val="nil"/>
              <w:bottom w:val="nil"/>
              <w:right w:val="nil"/>
            </w:tcBorders>
            <w:tcMar>
              <w:top w:w="0" w:type="dxa"/>
              <w:left w:w="100" w:type="dxa"/>
              <w:bottom w:w="0" w:type="dxa"/>
              <w:right w:w="100" w:type="dxa"/>
            </w:tcMar>
          </w:tcPr>
          <w:p w14:paraId="5E42974D"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Burseraceae</w:t>
            </w:r>
          </w:p>
        </w:tc>
        <w:tc>
          <w:tcPr>
            <w:tcW w:w="2220" w:type="dxa"/>
            <w:tcBorders>
              <w:top w:val="nil"/>
              <w:left w:val="nil"/>
              <w:bottom w:val="nil"/>
              <w:right w:val="nil"/>
            </w:tcBorders>
            <w:tcMar>
              <w:top w:w="0" w:type="dxa"/>
              <w:left w:w="100" w:type="dxa"/>
              <w:bottom w:w="0" w:type="dxa"/>
              <w:right w:w="100" w:type="dxa"/>
            </w:tcMar>
          </w:tcPr>
          <w:p w14:paraId="3BB34987"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06_TRSH</w:t>
            </w:r>
          </w:p>
        </w:tc>
      </w:tr>
      <w:tr w:rsidR="00BB7AA9" w:rsidRPr="005F44EF" w14:paraId="36ED3B30" w14:textId="77777777">
        <w:tc>
          <w:tcPr>
            <w:tcW w:w="3120" w:type="dxa"/>
            <w:tcBorders>
              <w:top w:val="nil"/>
              <w:left w:val="nil"/>
              <w:bottom w:val="nil"/>
              <w:right w:val="nil"/>
            </w:tcBorders>
            <w:tcMar>
              <w:top w:w="0" w:type="dxa"/>
              <w:left w:w="100" w:type="dxa"/>
              <w:bottom w:w="0" w:type="dxa"/>
              <w:right w:w="100" w:type="dxa"/>
            </w:tcMar>
          </w:tcPr>
          <w:p w14:paraId="1175948E"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Celtis</w:t>
            </w:r>
            <w:proofErr w:type="spellEnd"/>
          </w:p>
        </w:tc>
        <w:tc>
          <w:tcPr>
            <w:tcW w:w="3510" w:type="dxa"/>
            <w:tcBorders>
              <w:top w:val="nil"/>
              <w:left w:val="nil"/>
              <w:bottom w:val="nil"/>
              <w:right w:val="nil"/>
            </w:tcBorders>
            <w:tcMar>
              <w:top w:w="0" w:type="dxa"/>
              <w:left w:w="100" w:type="dxa"/>
              <w:bottom w:w="0" w:type="dxa"/>
              <w:right w:w="100" w:type="dxa"/>
            </w:tcMar>
          </w:tcPr>
          <w:p w14:paraId="66D0C2A8"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Cannabaceae</w:t>
            </w:r>
            <w:proofErr w:type="spellEnd"/>
          </w:p>
        </w:tc>
        <w:tc>
          <w:tcPr>
            <w:tcW w:w="2220" w:type="dxa"/>
            <w:tcBorders>
              <w:top w:val="nil"/>
              <w:left w:val="nil"/>
              <w:bottom w:val="nil"/>
              <w:right w:val="nil"/>
            </w:tcBorders>
            <w:tcMar>
              <w:top w:w="0" w:type="dxa"/>
              <w:left w:w="100" w:type="dxa"/>
              <w:bottom w:w="0" w:type="dxa"/>
              <w:right w:w="100" w:type="dxa"/>
            </w:tcMar>
          </w:tcPr>
          <w:p w14:paraId="71C89446"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06_TRSH</w:t>
            </w:r>
          </w:p>
        </w:tc>
      </w:tr>
      <w:tr w:rsidR="00BB7AA9" w:rsidRPr="005F44EF" w14:paraId="6BF3086C" w14:textId="77777777">
        <w:tc>
          <w:tcPr>
            <w:tcW w:w="3120" w:type="dxa"/>
            <w:tcBorders>
              <w:top w:val="nil"/>
              <w:left w:val="nil"/>
              <w:bottom w:val="nil"/>
              <w:right w:val="nil"/>
            </w:tcBorders>
            <w:tcMar>
              <w:top w:w="0" w:type="dxa"/>
              <w:left w:w="100" w:type="dxa"/>
              <w:bottom w:w="0" w:type="dxa"/>
              <w:right w:w="100" w:type="dxa"/>
            </w:tcMar>
          </w:tcPr>
          <w:p w14:paraId="460480B8"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Parinari</w:t>
            </w:r>
            <w:proofErr w:type="spellEnd"/>
            <w:r w:rsidRPr="005F44EF">
              <w:rPr>
                <w:rFonts w:ascii="Times New Roman" w:eastAsia="Times New Roman" w:hAnsi="Times New Roman" w:cs="Times New Roman"/>
                <w:sz w:val="18"/>
                <w:szCs w:val="20"/>
              </w:rPr>
              <w:t>-type</w:t>
            </w:r>
          </w:p>
        </w:tc>
        <w:tc>
          <w:tcPr>
            <w:tcW w:w="3510" w:type="dxa"/>
            <w:tcBorders>
              <w:top w:val="nil"/>
              <w:left w:val="nil"/>
              <w:bottom w:val="nil"/>
              <w:right w:val="nil"/>
            </w:tcBorders>
            <w:tcMar>
              <w:top w:w="0" w:type="dxa"/>
              <w:left w:w="100" w:type="dxa"/>
              <w:bottom w:w="0" w:type="dxa"/>
              <w:right w:w="100" w:type="dxa"/>
            </w:tcMar>
          </w:tcPr>
          <w:p w14:paraId="35CAFC58"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Chrysobalanaceae</w:t>
            </w:r>
            <w:proofErr w:type="spellEnd"/>
          </w:p>
        </w:tc>
        <w:tc>
          <w:tcPr>
            <w:tcW w:w="2220" w:type="dxa"/>
            <w:tcBorders>
              <w:top w:val="nil"/>
              <w:left w:val="nil"/>
              <w:bottom w:val="nil"/>
              <w:right w:val="nil"/>
            </w:tcBorders>
            <w:tcMar>
              <w:top w:w="0" w:type="dxa"/>
              <w:left w:w="100" w:type="dxa"/>
              <w:bottom w:w="0" w:type="dxa"/>
              <w:right w:w="100" w:type="dxa"/>
            </w:tcMar>
          </w:tcPr>
          <w:p w14:paraId="473F8C38"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06_TRSH</w:t>
            </w:r>
          </w:p>
        </w:tc>
      </w:tr>
      <w:tr w:rsidR="00BB7AA9" w:rsidRPr="005F44EF" w14:paraId="22149F82" w14:textId="77777777">
        <w:tc>
          <w:tcPr>
            <w:tcW w:w="3120" w:type="dxa"/>
            <w:tcBorders>
              <w:top w:val="nil"/>
              <w:left w:val="nil"/>
              <w:bottom w:val="nil"/>
              <w:right w:val="nil"/>
            </w:tcBorders>
            <w:tcMar>
              <w:top w:w="0" w:type="dxa"/>
              <w:left w:w="100" w:type="dxa"/>
              <w:bottom w:w="0" w:type="dxa"/>
              <w:right w:w="100" w:type="dxa"/>
            </w:tcMar>
          </w:tcPr>
          <w:p w14:paraId="65970D65"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Pentadesma</w:t>
            </w:r>
            <w:proofErr w:type="spellEnd"/>
          </w:p>
        </w:tc>
        <w:tc>
          <w:tcPr>
            <w:tcW w:w="3510" w:type="dxa"/>
            <w:tcBorders>
              <w:top w:val="nil"/>
              <w:left w:val="nil"/>
              <w:bottom w:val="nil"/>
              <w:right w:val="nil"/>
            </w:tcBorders>
            <w:tcMar>
              <w:top w:w="0" w:type="dxa"/>
              <w:left w:w="100" w:type="dxa"/>
              <w:bottom w:w="0" w:type="dxa"/>
              <w:right w:w="100" w:type="dxa"/>
            </w:tcMar>
          </w:tcPr>
          <w:p w14:paraId="6EE9C6C3"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Clusiaceae</w:t>
            </w:r>
            <w:proofErr w:type="spellEnd"/>
          </w:p>
        </w:tc>
        <w:tc>
          <w:tcPr>
            <w:tcW w:w="2220" w:type="dxa"/>
            <w:tcBorders>
              <w:top w:val="nil"/>
              <w:left w:val="nil"/>
              <w:bottom w:val="nil"/>
              <w:right w:val="nil"/>
            </w:tcBorders>
            <w:tcMar>
              <w:top w:w="0" w:type="dxa"/>
              <w:left w:w="100" w:type="dxa"/>
              <w:bottom w:w="0" w:type="dxa"/>
              <w:right w:w="100" w:type="dxa"/>
            </w:tcMar>
          </w:tcPr>
          <w:p w14:paraId="197B1656"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06_TRSH</w:t>
            </w:r>
          </w:p>
        </w:tc>
      </w:tr>
      <w:tr w:rsidR="00BB7AA9" w:rsidRPr="005F44EF" w14:paraId="2870E60E" w14:textId="77777777">
        <w:tc>
          <w:tcPr>
            <w:tcW w:w="3120" w:type="dxa"/>
            <w:tcBorders>
              <w:top w:val="nil"/>
              <w:left w:val="nil"/>
              <w:bottom w:val="nil"/>
              <w:right w:val="nil"/>
            </w:tcBorders>
            <w:tcMar>
              <w:top w:w="0" w:type="dxa"/>
              <w:left w:w="100" w:type="dxa"/>
              <w:bottom w:w="0" w:type="dxa"/>
              <w:right w:w="100" w:type="dxa"/>
            </w:tcMar>
          </w:tcPr>
          <w:p w14:paraId="0C3815E5"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Ebenaceae</w:t>
            </w:r>
            <w:proofErr w:type="spellEnd"/>
            <w:r w:rsidRPr="005F44EF">
              <w:rPr>
                <w:rFonts w:ascii="Times New Roman" w:eastAsia="Times New Roman" w:hAnsi="Times New Roman" w:cs="Times New Roman"/>
                <w:sz w:val="18"/>
                <w:szCs w:val="20"/>
              </w:rPr>
              <w:t xml:space="preserve"> </w:t>
            </w:r>
            <w:proofErr w:type="spellStart"/>
            <w:r w:rsidRPr="005F44EF">
              <w:rPr>
                <w:rFonts w:ascii="Times New Roman" w:eastAsia="Times New Roman" w:hAnsi="Times New Roman" w:cs="Times New Roman"/>
                <w:sz w:val="18"/>
                <w:szCs w:val="20"/>
              </w:rPr>
              <w:t>undiff</w:t>
            </w:r>
            <w:proofErr w:type="spellEnd"/>
            <w:r w:rsidRPr="005F44EF">
              <w:rPr>
                <w:rFonts w:ascii="Times New Roman" w:eastAsia="Times New Roman" w:hAnsi="Times New Roman" w:cs="Times New Roman"/>
                <w:sz w:val="18"/>
                <w:szCs w:val="20"/>
              </w:rPr>
              <w:t>.</w:t>
            </w:r>
          </w:p>
        </w:tc>
        <w:tc>
          <w:tcPr>
            <w:tcW w:w="3510" w:type="dxa"/>
            <w:tcBorders>
              <w:top w:val="nil"/>
              <w:left w:val="nil"/>
              <w:bottom w:val="nil"/>
              <w:right w:val="nil"/>
            </w:tcBorders>
            <w:tcMar>
              <w:top w:w="0" w:type="dxa"/>
              <w:left w:w="100" w:type="dxa"/>
              <w:bottom w:w="0" w:type="dxa"/>
              <w:right w:w="100" w:type="dxa"/>
            </w:tcMar>
          </w:tcPr>
          <w:p w14:paraId="5EACB999"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Ebenaceae</w:t>
            </w:r>
            <w:proofErr w:type="spellEnd"/>
          </w:p>
        </w:tc>
        <w:tc>
          <w:tcPr>
            <w:tcW w:w="2220" w:type="dxa"/>
            <w:tcBorders>
              <w:top w:val="nil"/>
              <w:left w:val="nil"/>
              <w:bottom w:val="nil"/>
              <w:right w:val="nil"/>
            </w:tcBorders>
            <w:tcMar>
              <w:top w:w="0" w:type="dxa"/>
              <w:left w:w="100" w:type="dxa"/>
              <w:bottom w:w="0" w:type="dxa"/>
              <w:right w:w="100" w:type="dxa"/>
            </w:tcMar>
          </w:tcPr>
          <w:p w14:paraId="23590065"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06_TRSH</w:t>
            </w:r>
          </w:p>
        </w:tc>
      </w:tr>
      <w:tr w:rsidR="00BB7AA9" w:rsidRPr="005F44EF" w14:paraId="6AB0CF07" w14:textId="77777777">
        <w:tc>
          <w:tcPr>
            <w:tcW w:w="3120" w:type="dxa"/>
            <w:tcBorders>
              <w:top w:val="nil"/>
              <w:left w:val="nil"/>
              <w:bottom w:val="nil"/>
              <w:right w:val="nil"/>
            </w:tcBorders>
            <w:tcMar>
              <w:top w:w="0" w:type="dxa"/>
              <w:left w:w="100" w:type="dxa"/>
              <w:bottom w:w="0" w:type="dxa"/>
              <w:right w:w="100" w:type="dxa"/>
            </w:tcMar>
          </w:tcPr>
          <w:p w14:paraId="0E3665E1"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Isoberlinia</w:t>
            </w:r>
            <w:proofErr w:type="spellEnd"/>
            <w:r w:rsidRPr="005F44EF">
              <w:rPr>
                <w:rFonts w:ascii="Times New Roman" w:eastAsia="Times New Roman" w:hAnsi="Times New Roman" w:cs="Times New Roman"/>
                <w:sz w:val="18"/>
                <w:szCs w:val="20"/>
              </w:rPr>
              <w:t>-type</w:t>
            </w:r>
          </w:p>
        </w:tc>
        <w:tc>
          <w:tcPr>
            <w:tcW w:w="3510" w:type="dxa"/>
            <w:tcBorders>
              <w:top w:val="nil"/>
              <w:left w:val="nil"/>
              <w:bottom w:val="nil"/>
              <w:right w:val="nil"/>
            </w:tcBorders>
            <w:tcMar>
              <w:top w:w="0" w:type="dxa"/>
              <w:left w:w="100" w:type="dxa"/>
              <w:bottom w:w="0" w:type="dxa"/>
              <w:right w:w="100" w:type="dxa"/>
            </w:tcMar>
          </w:tcPr>
          <w:p w14:paraId="57EF2474"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 xml:space="preserve">Fabaceae - </w:t>
            </w:r>
            <w:proofErr w:type="spellStart"/>
            <w:r w:rsidRPr="005F44EF">
              <w:rPr>
                <w:rFonts w:ascii="Times New Roman" w:eastAsia="Times New Roman" w:hAnsi="Times New Roman" w:cs="Times New Roman"/>
                <w:sz w:val="18"/>
                <w:szCs w:val="20"/>
              </w:rPr>
              <w:t>Caesalpinoideae</w:t>
            </w:r>
            <w:proofErr w:type="spellEnd"/>
          </w:p>
        </w:tc>
        <w:tc>
          <w:tcPr>
            <w:tcW w:w="2220" w:type="dxa"/>
            <w:tcBorders>
              <w:top w:val="nil"/>
              <w:left w:val="nil"/>
              <w:bottom w:val="nil"/>
              <w:right w:val="nil"/>
            </w:tcBorders>
            <w:tcMar>
              <w:top w:w="0" w:type="dxa"/>
              <w:left w:w="100" w:type="dxa"/>
              <w:bottom w:w="0" w:type="dxa"/>
              <w:right w:w="100" w:type="dxa"/>
            </w:tcMar>
          </w:tcPr>
          <w:p w14:paraId="0C566D6E"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06_TRSH</w:t>
            </w:r>
          </w:p>
        </w:tc>
      </w:tr>
      <w:tr w:rsidR="00BB7AA9" w:rsidRPr="005F44EF" w14:paraId="68970A9B" w14:textId="77777777">
        <w:tc>
          <w:tcPr>
            <w:tcW w:w="3120" w:type="dxa"/>
            <w:tcBorders>
              <w:top w:val="nil"/>
              <w:left w:val="nil"/>
              <w:bottom w:val="nil"/>
              <w:right w:val="nil"/>
            </w:tcBorders>
            <w:tcMar>
              <w:top w:w="0" w:type="dxa"/>
              <w:left w:w="100" w:type="dxa"/>
              <w:bottom w:w="0" w:type="dxa"/>
              <w:right w:w="100" w:type="dxa"/>
            </w:tcMar>
          </w:tcPr>
          <w:p w14:paraId="1C0336FB"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Dichrostachys</w:t>
            </w:r>
            <w:proofErr w:type="spellEnd"/>
          </w:p>
        </w:tc>
        <w:tc>
          <w:tcPr>
            <w:tcW w:w="3510" w:type="dxa"/>
            <w:tcBorders>
              <w:top w:val="nil"/>
              <w:left w:val="nil"/>
              <w:bottom w:val="nil"/>
              <w:right w:val="nil"/>
            </w:tcBorders>
            <w:tcMar>
              <w:top w:w="0" w:type="dxa"/>
              <w:left w:w="100" w:type="dxa"/>
              <w:bottom w:w="0" w:type="dxa"/>
              <w:right w:w="100" w:type="dxa"/>
            </w:tcMar>
          </w:tcPr>
          <w:p w14:paraId="42610331"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 xml:space="preserve">Fabaceae - </w:t>
            </w:r>
            <w:proofErr w:type="spellStart"/>
            <w:r w:rsidRPr="005F44EF">
              <w:rPr>
                <w:rFonts w:ascii="Times New Roman" w:eastAsia="Times New Roman" w:hAnsi="Times New Roman" w:cs="Times New Roman"/>
                <w:sz w:val="18"/>
                <w:szCs w:val="20"/>
              </w:rPr>
              <w:t>Mimosoideae</w:t>
            </w:r>
            <w:proofErr w:type="spellEnd"/>
          </w:p>
        </w:tc>
        <w:tc>
          <w:tcPr>
            <w:tcW w:w="2220" w:type="dxa"/>
            <w:tcBorders>
              <w:top w:val="nil"/>
              <w:left w:val="nil"/>
              <w:bottom w:val="nil"/>
              <w:right w:val="nil"/>
            </w:tcBorders>
            <w:tcMar>
              <w:top w:w="0" w:type="dxa"/>
              <w:left w:w="100" w:type="dxa"/>
              <w:bottom w:w="0" w:type="dxa"/>
              <w:right w:w="100" w:type="dxa"/>
            </w:tcMar>
          </w:tcPr>
          <w:p w14:paraId="1EC437A2"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06_TRSH</w:t>
            </w:r>
          </w:p>
        </w:tc>
      </w:tr>
      <w:tr w:rsidR="00BB7AA9" w:rsidRPr="005F44EF" w14:paraId="4F365112" w14:textId="77777777">
        <w:tc>
          <w:tcPr>
            <w:tcW w:w="3120" w:type="dxa"/>
            <w:tcBorders>
              <w:top w:val="nil"/>
              <w:left w:val="nil"/>
              <w:bottom w:val="nil"/>
              <w:right w:val="nil"/>
            </w:tcBorders>
            <w:tcMar>
              <w:top w:w="0" w:type="dxa"/>
              <w:left w:w="100" w:type="dxa"/>
              <w:bottom w:w="0" w:type="dxa"/>
              <w:right w:w="100" w:type="dxa"/>
            </w:tcMar>
          </w:tcPr>
          <w:p w14:paraId="057EC476"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Anthocleista</w:t>
            </w:r>
            <w:proofErr w:type="spellEnd"/>
          </w:p>
        </w:tc>
        <w:tc>
          <w:tcPr>
            <w:tcW w:w="3510" w:type="dxa"/>
            <w:tcBorders>
              <w:top w:val="nil"/>
              <w:left w:val="nil"/>
              <w:bottom w:val="nil"/>
              <w:right w:val="nil"/>
            </w:tcBorders>
            <w:tcMar>
              <w:top w:w="0" w:type="dxa"/>
              <w:left w:w="100" w:type="dxa"/>
              <w:bottom w:w="0" w:type="dxa"/>
              <w:right w:w="100" w:type="dxa"/>
            </w:tcMar>
          </w:tcPr>
          <w:p w14:paraId="6B43A8C6"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Gentianaceae</w:t>
            </w:r>
          </w:p>
        </w:tc>
        <w:tc>
          <w:tcPr>
            <w:tcW w:w="2220" w:type="dxa"/>
            <w:tcBorders>
              <w:top w:val="nil"/>
              <w:left w:val="nil"/>
              <w:bottom w:val="nil"/>
              <w:right w:val="nil"/>
            </w:tcBorders>
            <w:tcMar>
              <w:top w:w="0" w:type="dxa"/>
              <w:left w:w="100" w:type="dxa"/>
              <w:bottom w:w="0" w:type="dxa"/>
              <w:right w:w="100" w:type="dxa"/>
            </w:tcMar>
          </w:tcPr>
          <w:p w14:paraId="1DAE9FD4"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06_TRSH</w:t>
            </w:r>
          </w:p>
        </w:tc>
      </w:tr>
      <w:tr w:rsidR="00BB7AA9" w:rsidRPr="005F44EF" w14:paraId="113FBCC9" w14:textId="77777777">
        <w:tc>
          <w:tcPr>
            <w:tcW w:w="3120" w:type="dxa"/>
            <w:tcBorders>
              <w:top w:val="nil"/>
              <w:left w:val="nil"/>
              <w:bottom w:val="nil"/>
              <w:right w:val="nil"/>
            </w:tcBorders>
            <w:tcMar>
              <w:top w:w="0" w:type="dxa"/>
              <w:left w:w="100" w:type="dxa"/>
              <w:bottom w:w="0" w:type="dxa"/>
              <w:right w:w="100" w:type="dxa"/>
            </w:tcMar>
          </w:tcPr>
          <w:p w14:paraId="71D0FD32"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Meliaceae</w:t>
            </w:r>
            <w:proofErr w:type="spellEnd"/>
          </w:p>
        </w:tc>
        <w:tc>
          <w:tcPr>
            <w:tcW w:w="3510" w:type="dxa"/>
            <w:tcBorders>
              <w:top w:val="nil"/>
              <w:left w:val="nil"/>
              <w:bottom w:val="nil"/>
              <w:right w:val="nil"/>
            </w:tcBorders>
            <w:tcMar>
              <w:top w:w="0" w:type="dxa"/>
              <w:left w:w="100" w:type="dxa"/>
              <w:bottom w:w="0" w:type="dxa"/>
              <w:right w:w="100" w:type="dxa"/>
            </w:tcMar>
          </w:tcPr>
          <w:p w14:paraId="798E6950"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Meliaceae</w:t>
            </w:r>
            <w:proofErr w:type="spellEnd"/>
          </w:p>
        </w:tc>
        <w:tc>
          <w:tcPr>
            <w:tcW w:w="2220" w:type="dxa"/>
            <w:tcBorders>
              <w:top w:val="nil"/>
              <w:left w:val="nil"/>
              <w:bottom w:val="nil"/>
              <w:right w:val="nil"/>
            </w:tcBorders>
            <w:tcMar>
              <w:top w:w="0" w:type="dxa"/>
              <w:left w:w="100" w:type="dxa"/>
              <w:bottom w:w="0" w:type="dxa"/>
              <w:right w:w="100" w:type="dxa"/>
            </w:tcMar>
          </w:tcPr>
          <w:p w14:paraId="676B0F88"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06_TRSH</w:t>
            </w:r>
          </w:p>
        </w:tc>
      </w:tr>
      <w:tr w:rsidR="00BB7AA9" w:rsidRPr="005F44EF" w14:paraId="29B01EB8" w14:textId="77777777">
        <w:tc>
          <w:tcPr>
            <w:tcW w:w="3120" w:type="dxa"/>
            <w:tcBorders>
              <w:top w:val="nil"/>
              <w:left w:val="nil"/>
              <w:bottom w:val="nil"/>
              <w:right w:val="nil"/>
            </w:tcBorders>
            <w:tcMar>
              <w:top w:w="0" w:type="dxa"/>
              <w:left w:w="100" w:type="dxa"/>
              <w:bottom w:w="0" w:type="dxa"/>
              <w:right w:w="100" w:type="dxa"/>
            </w:tcMar>
          </w:tcPr>
          <w:p w14:paraId="553A1F78"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Coelocaryon</w:t>
            </w:r>
            <w:proofErr w:type="spellEnd"/>
            <w:r w:rsidRPr="005F44EF">
              <w:rPr>
                <w:rFonts w:ascii="Times New Roman" w:eastAsia="Times New Roman" w:hAnsi="Times New Roman" w:cs="Times New Roman"/>
                <w:sz w:val="18"/>
                <w:szCs w:val="20"/>
              </w:rPr>
              <w:t xml:space="preserve"> </w:t>
            </w:r>
            <w:proofErr w:type="spellStart"/>
            <w:r w:rsidRPr="005F44EF">
              <w:rPr>
                <w:rFonts w:ascii="Times New Roman" w:eastAsia="Times New Roman" w:hAnsi="Times New Roman" w:cs="Times New Roman"/>
                <w:sz w:val="18"/>
                <w:szCs w:val="20"/>
              </w:rPr>
              <w:t>preusseii</w:t>
            </w:r>
            <w:proofErr w:type="spellEnd"/>
          </w:p>
        </w:tc>
        <w:tc>
          <w:tcPr>
            <w:tcW w:w="3510" w:type="dxa"/>
            <w:tcBorders>
              <w:top w:val="nil"/>
              <w:left w:val="nil"/>
              <w:bottom w:val="nil"/>
              <w:right w:val="nil"/>
            </w:tcBorders>
            <w:tcMar>
              <w:top w:w="0" w:type="dxa"/>
              <w:left w:w="100" w:type="dxa"/>
              <w:bottom w:w="0" w:type="dxa"/>
              <w:right w:w="100" w:type="dxa"/>
            </w:tcMar>
          </w:tcPr>
          <w:p w14:paraId="31D61E21"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Myrsticaceae</w:t>
            </w:r>
            <w:proofErr w:type="spellEnd"/>
          </w:p>
        </w:tc>
        <w:tc>
          <w:tcPr>
            <w:tcW w:w="2220" w:type="dxa"/>
            <w:tcBorders>
              <w:top w:val="nil"/>
              <w:left w:val="nil"/>
              <w:bottom w:val="nil"/>
              <w:right w:val="nil"/>
            </w:tcBorders>
            <w:tcMar>
              <w:top w:w="0" w:type="dxa"/>
              <w:left w:w="100" w:type="dxa"/>
              <w:bottom w:w="0" w:type="dxa"/>
              <w:right w:w="100" w:type="dxa"/>
            </w:tcMar>
          </w:tcPr>
          <w:p w14:paraId="7E4EA22A"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06_TRSH</w:t>
            </w:r>
          </w:p>
        </w:tc>
      </w:tr>
      <w:tr w:rsidR="00BB7AA9" w:rsidRPr="005F44EF" w14:paraId="30B5F707" w14:textId="77777777">
        <w:tc>
          <w:tcPr>
            <w:tcW w:w="3120" w:type="dxa"/>
            <w:tcBorders>
              <w:top w:val="nil"/>
              <w:left w:val="nil"/>
              <w:bottom w:val="nil"/>
              <w:right w:val="nil"/>
            </w:tcBorders>
            <w:tcMar>
              <w:top w:w="0" w:type="dxa"/>
              <w:left w:w="100" w:type="dxa"/>
              <w:bottom w:w="0" w:type="dxa"/>
              <w:right w:w="100" w:type="dxa"/>
            </w:tcMar>
          </w:tcPr>
          <w:p w14:paraId="64973D40"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Eugenia/</w:t>
            </w:r>
            <w:proofErr w:type="spellStart"/>
            <w:r w:rsidRPr="005F44EF">
              <w:rPr>
                <w:rFonts w:ascii="Times New Roman" w:eastAsia="Times New Roman" w:hAnsi="Times New Roman" w:cs="Times New Roman"/>
                <w:sz w:val="18"/>
                <w:szCs w:val="20"/>
              </w:rPr>
              <w:t>Syzygium</w:t>
            </w:r>
            <w:proofErr w:type="spellEnd"/>
          </w:p>
        </w:tc>
        <w:tc>
          <w:tcPr>
            <w:tcW w:w="3510" w:type="dxa"/>
            <w:tcBorders>
              <w:top w:val="nil"/>
              <w:left w:val="nil"/>
              <w:bottom w:val="nil"/>
              <w:right w:val="nil"/>
            </w:tcBorders>
            <w:tcMar>
              <w:top w:w="0" w:type="dxa"/>
              <w:left w:w="100" w:type="dxa"/>
              <w:bottom w:w="0" w:type="dxa"/>
              <w:right w:w="100" w:type="dxa"/>
            </w:tcMar>
          </w:tcPr>
          <w:p w14:paraId="1915BA3C"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Myrtaceae</w:t>
            </w:r>
            <w:proofErr w:type="spellEnd"/>
          </w:p>
        </w:tc>
        <w:tc>
          <w:tcPr>
            <w:tcW w:w="2220" w:type="dxa"/>
            <w:tcBorders>
              <w:top w:val="nil"/>
              <w:left w:val="nil"/>
              <w:bottom w:val="nil"/>
              <w:right w:val="nil"/>
            </w:tcBorders>
            <w:tcMar>
              <w:top w:w="0" w:type="dxa"/>
              <w:left w:w="100" w:type="dxa"/>
              <w:bottom w:w="0" w:type="dxa"/>
              <w:right w:w="100" w:type="dxa"/>
            </w:tcMar>
          </w:tcPr>
          <w:p w14:paraId="71965E8B"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06_TRSH</w:t>
            </w:r>
          </w:p>
        </w:tc>
      </w:tr>
      <w:tr w:rsidR="00BB7AA9" w:rsidRPr="005F44EF" w14:paraId="56736729" w14:textId="77777777">
        <w:tc>
          <w:tcPr>
            <w:tcW w:w="3120" w:type="dxa"/>
            <w:tcBorders>
              <w:top w:val="nil"/>
              <w:left w:val="nil"/>
              <w:bottom w:val="nil"/>
              <w:right w:val="nil"/>
            </w:tcBorders>
            <w:tcMar>
              <w:top w:w="0" w:type="dxa"/>
              <w:left w:w="100" w:type="dxa"/>
              <w:bottom w:w="0" w:type="dxa"/>
              <w:right w:w="100" w:type="dxa"/>
            </w:tcMar>
          </w:tcPr>
          <w:p w14:paraId="4FD29D2F"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Lophira</w:t>
            </w:r>
            <w:proofErr w:type="spellEnd"/>
            <w:r w:rsidRPr="005F44EF">
              <w:rPr>
                <w:rFonts w:ascii="Times New Roman" w:eastAsia="Times New Roman" w:hAnsi="Times New Roman" w:cs="Times New Roman"/>
                <w:sz w:val="18"/>
                <w:szCs w:val="20"/>
              </w:rPr>
              <w:t xml:space="preserve"> </w:t>
            </w:r>
            <w:proofErr w:type="spellStart"/>
            <w:r w:rsidRPr="005F44EF">
              <w:rPr>
                <w:rFonts w:ascii="Times New Roman" w:eastAsia="Times New Roman" w:hAnsi="Times New Roman" w:cs="Times New Roman"/>
                <w:sz w:val="18"/>
                <w:szCs w:val="20"/>
              </w:rPr>
              <w:t>alata</w:t>
            </w:r>
            <w:proofErr w:type="spellEnd"/>
          </w:p>
        </w:tc>
        <w:tc>
          <w:tcPr>
            <w:tcW w:w="3510" w:type="dxa"/>
            <w:tcBorders>
              <w:top w:val="nil"/>
              <w:left w:val="nil"/>
              <w:bottom w:val="nil"/>
              <w:right w:val="nil"/>
            </w:tcBorders>
            <w:tcMar>
              <w:top w:w="0" w:type="dxa"/>
              <w:left w:w="100" w:type="dxa"/>
              <w:bottom w:w="0" w:type="dxa"/>
              <w:right w:w="100" w:type="dxa"/>
            </w:tcMar>
          </w:tcPr>
          <w:p w14:paraId="5DE50584"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Ochnaceae</w:t>
            </w:r>
            <w:proofErr w:type="spellEnd"/>
          </w:p>
        </w:tc>
        <w:tc>
          <w:tcPr>
            <w:tcW w:w="2220" w:type="dxa"/>
            <w:tcBorders>
              <w:top w:val="nil"/>
              <w:left w:val="nil"/>
              <w:bottom w:val="nil"/>
              <w:right w:val="nil"/>
            </w:tcBorders>
            <w:tcMar>
              <w:top w:w="0" w:type="dxa"/>
              <w:left w:w="100" w:type="dxa"/>
              <w:bottom w:w="0" w:type="dxa"/>
              <w:right w:w="100" w:type="dxa"/>
            </w:tcMar>
          </w:tcPr>
          <w:p w14:paraId="361172F1"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06_TRSH</w:t>
            </w:r>
          </w:p>
        </w:tc>
      </w:tr>
      <w:tr w:rsidR="00BB7AA9" w:rsidRPr="005F44EF" w14:paraId="5D96D4C0" w14:textId="77777777">
        <w:tc>
          <w:tcPr>
            <w:tcW w:w="3120" w:type="dxa"/>
            <w:tcBorders>
              <w:top w:val="nil"/>
              <w:left w:val="nil"/>
              <w:bottom w:val="nil"/>
              <w:right w:val="nil"/>
            </w:tcBorders>
            <w:tcMar>
              <w:top w:w="0" w:type="dxa"/>
              <w:left w:w="100" w:type="dxa"/>
              <w:bottom w:w="0" w:type="dxa"/>
              <w:right w:w="100" w:type="dxa"/>
            </w:tcMar>
          </w:tcPr>
          <w:p w14:paraId="2449610B"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Uapaca</w:t>
            </w:r>
            <w:proofErr w:type="spellEnd"/>
          </w:p>
        </w:tc>
        <w:tc>
          <w:tcPr>
            <w:tcW w:w="3510" w:type="dxa"/>
            <w:tcBorders>
              <w:top w:val="nil"/>
              <w:left w:val="nil"/>
              <w:bottom w:val="nil"/>
              <w:right w:val="nil"/>
            </w:tcBorders>
            <w:tcMar>
              <w:top w:w="0" w:type="dxa"/>
              <w:left w:w="100" w:type="dxa"/>
              <w:bottom w:w="0" w:type="dxa"/>
              <w:right w:w="100" w:type="dxa"/>
            </w:tcMar>
          </w:tcPr>
          <w:p w14:paraId="2E1CB1F9"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Phyllanthaceae</w:t>
            </w:r>
            <w:proofErr w:type="spellEnd"/>
          </w:p>
        </w:tc>
        <w:tc>
          <w:tcPr>
            <w:tcW w:w="2220" w:type="dxa"/>
            <w:tcBorders>
              <w:top w:val="nil"/>
              <w:left w:val="nil"/>
              <w:bottom w:val="nil"/>
              <w:right w:val="nil"/>
            </w:tcBorders>
            <w:tcMar>
              <w:top w:w="0" w:type="dxa"/>
              <w:left w:w="100" w:type="dxa"/>
              <w:bottom w:w="0" w:type="dxa"/>
              <w:right w:w="100" w:type="dxa"/>
            </w:tcMar>
          </w:tcPr>
          <w:p w14:paraId="1DE4622B"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06_TRSH</w:t>
            </w:r>
          </w:p>
        </w:tc>
      </w:tr>
      <w:tr w:rsidR="00BB7AA9" w:rsidRPr="005F44EF" w14:paraId="7282427C" w14:textId="77777777">
        <w:tc>
          <w:tcPr>
            <w:tcW w:w="3120" w:type="dxa"/>
            <w:tcBorders>
              <w:top w:val="nil"/>
              <w:left w:val="nil"/>
              <w:bottom w:val="nil"/>
              <w:right w:val="nil"/>
            </w:tcBorders>
            <w:tcMar>
              <w:top w:w="0" w:type="dxa"/>
              <w:left w:w="100" w:type="dxa"/>
              <w:bottom w:w="0" w:type="dxa"/>
              <w:right w:w="100" w:type="dxa"/>
            </w:tcMar>
          </w:tcPr>
          <w:p w14:paraId="7E6CAE60"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Nauclea</w:t>
            </w:r>
            <w:proofErr w:type="spellEnd"/>
            <w:r w:rsidRPr="005F44EF">
              <w:rPr>
                <w:rFonts w:ascii="Times New Roman" w:eastAsia="Times New Roman" w:hAnsi="Times New Roman" w:cs="Times New Roman"/>
                <w:sz w:val="18"/>
                <w:szCs w:val="20"/>
              </w:rPr>
              <w:t>-type</w:t>
            </w:r>
          </w:p>
        </w:tc>
        <w:tc>
          <w:tcPr>
            <w:tcW w:w="3510" w:type="dxa"/>
            <w:tcBorders>
              <w:top w:val="nil"/>
              <w:left w:val="nil"/>
              <w:bottom w:val="nil"/>
              <w:right w:val="nil"/>
            </w:tcBorders>
            <w:tcMar>
              <w:top w:w="0" w:type="dxa"/>
              <w:left w:w="100" w:type="dxa"/>
              <w:bottom w:w="0" w:type="dxa"/>
              <w:right w:w="100" w:type="dxa"/>
            </w:tcMar>
          </w:tcPr>
          <w:p w14:paraId="2A6A96E8"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Rubiaceae</w:t>
            </w:r>
            <w:proofErr w:type="spellEnd"/>
          </w:p>
        </w:tc>
        <w:tc>
          <w:tcPr>
            <w:tcW w:w="2220" w:type="dxa"/>
            <w:tcBorders>
              <w:top w:val="nil"/>
              <w:left w:val="nil"/>
              <w:bottom w:val="nil"/>
              <w:right w:val="nil"/>
            </w:tcBorders>
            <w:tcMar>
              <w:top w:w="0" w:type="dxa"/>
              <w:left w:w="100" w:type="dxa"/>
              <w:bottom w:w="0" w:type="dxa"/>
              <w:right w:w="100" w:type="dxa"/>
            </w:tcMar>
          </w:tcPr>
          <w:p w14:paraId="562C09D6"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06_TRSH</w:t>
            </w:r>
          </w:p>
        </w:tc>
      </w:tr>
      <w:tr w:rsidR="00BB7AA9" w:rsidRPr="005F44EF" w14:paraId="71B9666C" w14:textId="77777777">
        <w:tc>
          <w:tcPr>
            <w:tcW w:w="3120" w:type="dxa"/>
            <w:tcBorders>
              <w:top w:val="nil"/>
              <w:left w:val="nil"/>
              <w:bottom w:val="nil"/>
              <w:right w:val="nil"/>
            </w:tcBorders>
            <w:tcMar>
              <w:top w:w="0" w:type="dxa"/>
              <w:left w:w="100" w:type="dxa"/>
              <w:bottom w:w="0" w:type="dxa"/>
              <w:right w:w="100" w:type="dxa"/>
            </w:tcMar>
          </w:tcPr>
          <w:p w14:paraId="0A3D96E5"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Sterculiaceae</w:t>
            </w:r>
            <w:proofErr w:type="spellEnd"/>
          </w:p>
        </w:tc>
        <w:tc>
          <w:tcPr>
            <w:tcW w:w="3510" w:type="dxa"/>
            <w:tcBorders>
              <w:top w:val="nil"/>
              <w:left w:val="nil"/>
              <w:bottom w:val="nil"/>
              <w:right w:val="nil"/>
            </w:tcBorders>
            <w:tcMar>
              <w:top w:w="0" w:type="dxa"/>
              <w:left w:w="100" w:type="dxa"/>
              <w:bottom w:w="0" w:type="dxa"/>
              <w:right w:w="100" w:type="dxa"/>
            </w:tcMar>
          </w:tcPr>
          <w:p w14:paraId="77D28ECD"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Sterculiaceae</w:t>
            </w:r>
            <w:proofErr w:type="spellEnd"/>
          </w:p>
        </w:tc>
        <w:tc>
          <w:tcPr>
            <w:tcW w:w="2220" w:type="dxa"/>
            <w:tcBorders>
              <w:top w:val="nil"/>
              <w:left w:val="nil"/>
              <w:bottom w:val="nil"/>
              <w:right w:val="nil"/>
            </w:tcBorders>
            <w:tcMar>
              <w:top w:w="0" w:type="dxa"/>
              <w:left w:w="100" w:type="dxa"/>
              <w:bottom w:w="0" w:type="dxa"/>
              <w:right w:w="100" w:type="dxa"/>
            </w:tcMar>
          </w:tcPr>
          <w:p w14:paraId="63BD56D7"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06_TRSH</w:t>
            </w:r>
          </w:p>
        </w:tc>
      </w:tr>
      <w:tr w:rsidR="00BB7AA9" w:rsidRPr="005F44EF" w14:paraId="5015079E" w14:textId="77777777">
        <w:tc>
          <w:tcPr>
            <w:tcW w:w="3120" w:type="dxa"/>
            <w:tcBorders>
              <w:top w:val="nil"/>
              <w:left w:val="nil"/>
              <w:bottom w:val="nil"/>
              <w:right w:val="nil"/>
            </w:tcBorders>
            <w:tcMar>
              <w:top w:w="0" w:type="dxa"/>
              <w:left w:w="100" w:type="dxa"/>
              <w:bottom w:w="0" w:type="dxa"/>
              <w:right w:w="100" w:type="dxa"/>
            </w:tcMar>
          </w:tcPr>
          <w:p w14:paraId="709B21C9"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Musanga</w:t>
            </w:r>
            <w:proofErr w:type="spellEnd"/>
            <w:r w:rsidRPr="005F44EF">
              <w:rPr>
                <w:rFonts w:ascii="Times New Roman" w:eastAsia="Times New Roman" w:hAnsi="Times New Roman" w:cs="Times New Roman"/>
                <w:sz w:val="18"/>
                <w:szCs w:val="20"/>
              </w:rPr>
              <w:t>/</w:t>
            </w:r>
            <w:proofErr w:type="spellStart"/>
            <w:r w:rsidRPr="005F44EF">
              <w:rPr>
                <w:rFonts w:ascii="Times New Roman" w:eastAsia="Times New Roman" w:hAnsi="Times New Roman" w:cs="Times New Roman"/>
                <w:sz w:val="18"/>
                <w:szCs w:val="20"/>
              </w:rPr>
              <w:t>Myrianthus</w:t>
            </w:r>
            <w:proofErr w:type="spellEnd"/>
          </w:p>
        </w:tc>
        <w:tc>
          <w:tcPr>
            <w:tcW w:w="3510" w:type="dxa"/>
            <w:tcBorders>
              <w:top w:val="nil"/>
              <w:left w:val="nil"/>
              <w:bottom w:val="nil"/>
              <w:right w:val="nil"/>
            </w:tcBorders>
            <w:tcMar>
              <w:top w:w="0" w:type="dxa"/>
              <w:left w:w="100" w:type="dxa"/>
              <w:bottom w:w="0" w:type="dxa"/>
              <w:right w:w="100" w:type="dxa"/>
            </w:tcMar>
          </w:tcPr>
          <w:p w14:paraId="0A6C133C"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Urticaceae</w:t>
            </w:r>
            <w:proofErr w:type="spellEnd"/>
          </w:p>
        </w:tc>
        <w:tc>
          <w:tcPr>
            <w:tcW w:w="2220" w:type="dxa"/>
            <w:tcBorders>
              <w:top w:val="nil"/>
              <w:left w:val="nil"/>
              <w:bottom w:val="nil"/>
              <w:right w:val="nil"/>
            </w:tcBorders>
            <w:tcMar>
              <w:top w:w="0" w:type="dxa"/>
              <w:left w:w="100" w:type="dxa"/>
              <w:bottom w:w="0" w:type="dxa"/>
              <w:right w:w="100" w:type="dxa"/>
            </w:tcMar>
          </w:tcPr>
          <w:p w14:paraId="6F2A97F8"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06_TRSH</w:t>
            </w:r>
          </w:p>
        </w:tc>
      </w:tr>
      <w:tr w:rsidR="00BB7AA9" w:rsidRPr="005F44EF" w14:paraId="3A31EA97" w14:textId="77777777">
        <w:tc>
          <w:tcPr>
            <w:tcW w:w="3120" w:type="dxa"/>
            <w:tcBorders>
              <w:top w:val="nil"/>
              <w:left w:val="nil"/>
              <w:bottom w:val="nil"/>
              <w:right w:val="nil"/>
            </w:tcBorders>
            <w:tcMar>
              <w:top w:w="0" w:type="dxa"/>
              <w:left w:w="100" w:type="dxa"/>
              <w:bottom w:w="0" w:type="dxa"/>
              <w:right w:w="100" w:type="dxa"/>
            </w:tcMar>
          </w:tcPr>
          <w:p w14:paraId="51D2226C"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Loranthaceae</w:t>
            </w:r>
            <w:proofErr w:type="spellEnd"/>
            <w:r w:rsidRPr="005F44EF">
              <w:rPr>
                <w:rFonts w:ascii="Times New Roman" w:eastAsia="Times New Roman" w:hAnsi="Times New Roman" w:cs="Times New Roman"/>
                <w:sz w:val="18"/>
                <w:szCs w:val="20"/>
              </w:rPr>
              <w:t xml:space="preserve"> </w:t>
            </w:r>
            <w:proofErr w:type="spellStart"/>
            <w:r w:rsidRPr="005F44EF">
              <w:rPr>
                <w:rFonts w:ascii="Times New Roman" w:eastAsia="Times New Roman" w:hAnsi="Times New Roman" w:cs="Times New Roman"/>
                <w:sz w:val="18"/>
                <w:szCs w:val="20"/>
              </w:rPr>
              <w:t>undiff</w:t>
            </w:r>
            <w:proofErr w:type="spellEnd"/>
            <w:r w:rsidRPr="005F44EF">
              <w:rPr>
                <w:rFonts w:ascii="Times New Roman" w:eastAsia="Times New Roman" w:hAnsi="Times New Roman" w:cs="Times New Roman"/>
                <w:sz w:val="18"/>
                <w:szCs w:val="20"/>
              </w:rPr>
              <w:t>.</w:t>
            </w:r>
          </w:p>
        </w:tc>
        <w:tc>
          <w:tcPr>
            <w:tcW w:w="3510" w:type="dxa"/>
            <w:tcBorders>
              <w:top w:val="nil"/>
              <w:left w:val="nil"/>
              <w:bottom w:val="nil"/>
              <w:right w:val="nil"/>
            </w:tcBorders>
            <w:tcMar>
              <w:top w:w="0" w:type="dxa"/>
              <w:left w:w="100" w:type="dxa"/>
              <w:bottom w:w="0" w:type="dxa"/>
              <w:right w:w="100" w:type="dxa"/>
            </w:tcMar>
          </w:tcPr>
          <w:p w14:paraId="057F63E7"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Loranthaceae</w:t>
            </w:r>
            <w:proofErr w:type="spellEnd"/>
          </w:p>
        </w:tc>
        <w:tc>
          <w:tcPr>
            <w:tcW w:w="2220" w:type="dxa"/>
            <w:tcBorders>
              <w:top w:val="nil"/>
              <w:left w:val="nil"/>
              <w:bottom w:val="nil"/>
              <w:right w:val="nil"/>
            </w:tcBorders>
            <w:tcMar>
              <w:top w:w="0" w:type="dxa"/>
              <w:left w:w="100" w:type="dxa"/>
              <w:bottom w:w="0" w:type="dxa"/>
              <w:right w:w="100" w:type="dxa"/>
            </w:tcMar>
          </w:tcPr>
          <w:p w14:paraId="03284028"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07_CLPR</w:t>
            </w:r>
          </w:p>
        </w:tc>
      </w:tr>
      <w:tr w:rsidR="00BB7AA9" w:rsidRPr="005F44EF" w14:paraId="5AF7633B" w14:textId="77777777">
        <w:tc>
          <w:tcPr>
            <w:tcW w:w="3120" w:type="dxa"/>
            <w:tcBorders>
              <w:top w:val="nil"/>
              <w:left w:val="nil"/>
              <w:bottom w:val="nil"/>
              <w:right w:val="nil"/>
            </w:tcBorders>
            <w:tcMar>
              <w:top w:w="0" w:type="dxa"/>
              <w:left w:w="100" w:type="dxa"/>
              <w:bottom w:w="0" w:type="dxa"/>
              <w:right w:w="100" w:type="dxa"/>
            </w:tcMar>
          </w:tcPr>
          <w:p w14:paraId="28017535"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lastRenderedPageBreak/>
              <w:t>Corchorus/</w:t>
            </w:r>
            <w:proofErr w:type="spellStart"/>
            <w:r w:rsidRPr="005F44EF">
              <w:rPr>
                <w:rFonts w:ascii="Times New Roman" w:eastAsia="Times New Roman" w:hAnsi="Times New Roman" w:cs="Times New Roman"/>
                <w:sz w:val="18"/>
                <w:szCs w:val="20"/>
              </w:rPr>
              <w:t>Triumfetta</w:t>
            </w:r>
            <w:proofErr w:type="spellEnd"/>
          </w:p>
        </w:tc>
        <w:tc>
          <w:tcPr>
            <w:tcW w:w="3510" w:type="dxa"/>
            <w:tcBorders>
              <w:top w:val="nil"/>
              <w:left w:val="nil"/>
              <w:bottom w:val="nil"/>
              <w:right w:val="nil"/>
            </w:tcBorders>
            <w:tcMar>
              <w:top w:w="0" w:type="dxa"/>
              <w:left w:w="100" w:type="dxa"/>
              <w:bottom w:w="0" w:type="dxa"/>
              <w:right w:w="100" w:type="dxa"/>
            </w:tcMar>
          </w:tcPr>
          <w:p w14:paraId="5AFA2E45"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Malvaceae</w:t>
            </w:r>
            <w:proofErr w:type="spellEnd"/>
          </w:p>
        </w:tc>
        <w:tc>
          <w:tcPr>
            <w:tcW w:w="2220" w:type="dxa"/>
            <w:tcBorders>
              <w:top w:val="nil"/>
              <w:left w:val="nil"/>
              <w:bottom w:val="nil"/>
              <w:right w:val="nil"/>
            </w:tcBorders>
            <w:tcMar>
              <w:top w:w="0" w:type="dxa"/>
              <w:left w:w="100" w:type="dxa"/>
              <w:bottom w:w="0" w:type="dxa"/>
              <w:right w:w="100" w:type="dxa"/>
            </w:tcMar>
          </w:tcPr>
          <w:p w14:paraId="4ACDF9DD"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07_CLPR</w:t>
            </w:r>
          </w:p>
        </w:tc>
      </w:tr>
      <w:tr w:rsidR="00BB7AA9" w:rsidRPr="005F44EF" w14:paraId="3A4D391E" w14:textId="77777777">
        <w:tc>
          <w:tcPr>
            <w:tcW w:w="3120" w:type="dxa"/>
            <w:tcBorders>
              <w:top w:val="nil"/>
              <w:left w:val="nil"/>
              <w:bottom w:val="nil"/>
              <w:right w:val="nil"/>
            </w:tcBorders>
            <w:tcMar>
              <w:top w:w="0" w:type="dxa"/>
              <w:left w:w="100" w:type="dxa"/>
              <w:bottom w:w="0" w:type="dxa"/>
              <w:right w:w="100" w:type="dxa"/>
            </w:tcMar>
          </w:tcPr>
          <w:p w14:paraId="5FA6C75E"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Comb/Mel</w:t>
            </w:r>
          </w:p>
        </w:tc>
        <w:tc>
          <w:tcPr>
            <w:tcW w:w="3510" w:type="dxa"/>
            <w:tcBorders>
              <w:top w:val="nil"/>
              <w:left w:val="nil"/>
              <w:bottom w:val="nil"/>
              <w:right w:val="nil"/>
            </w:tcBorders>
            <w:tcMar>
              <w:top w:w="0" w:type="dxa"/>
              <w:left w:w="100" w:type="dxa"/>
              <w:bottom w:w="0" w:type="dxa"/>
              <w:right w:w="100" w:type="dxa"/>
            </w:tcMar>
          </w:tcPr>
          <w:p w14:paraId="1C3B416F"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Combretaceae-Melastomataceae</w:t>
            </w:r>
            <w:proofErr w:type="spellEnd"/>
          </w:p>
        </w:tc>
        <w:tc>
          <w:tcPr>
            <w:tcW w:w="2220" w:type="dxa"/>
            <w:tcBorders>
              <w:top w:val="nil"/>
              <w:left w:val="nil"/>
              <w:bottom w:val="nil"/>
              <w:right w:val="nil"/>
            </w:tcBorders>
            <w:tcMar>
              <w:top w:w="0" w:type="dxa"/>
              <w:left w:w="100" w:type="dxa"/>
              <w:bottom w:w="0" w:type="dxa"/>
              <w:right w:w="100" w:type="dxa"/>
            </w:tcMar>
          </w:tcPr>
          <w:p w14:paraId="284A0276"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08_VAR</w:t>
            </w:r>
          </w:p>
        </w:tc>
      </w:tr>
      <w:tr w:rsidR="00BB7AA9" w:rsidRPr="005F44EF" w14:paraId="27F2E83D" w14:textId="77777777">
        <w:tc>
          <w:tcPr>
            <w:tcW w:w="3120" w:type="dxa"/>
            <w:tcBorders>
              <w:top w:val="nil"/>
              <w:left w:val="nil"/>
              <w:bottom w:val="nil"/>
              <w:right w:val="nil"/>
            </w:tcBorders>
            <w:tcMar>
              <w:top w:w="0" w:type="dxa"/>
              <w:left w:w="100" w:type="dxa"/>
              <w:bottom w:w="0" w:type="dxa"/>
              <w:right w:w="100" w:type="dxa"/>
            </w:tcMar>
          </w:tcPr>
          <w:p w14:paraId="3F94FBFB"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Comb/Mel anther</w:t>
            </w:r>
          </w:p>
        </w:tc>
        <w:tc>
          <w:tcPr>
            <w:tcW w:w="3510" w:type="dxa"/>
            <w:tcBorders>
              <w:top w:val="nil"/>
              <w:left w:val="nil"/>
              <w:bottom w:val="nil"/>
              <w:right w:val="nil"/>
            </w:tcBorders>
            <w:tcMar>
              <w:top w:w="0" w:type="dxa"/>
              <w:left w:w="100" w:type="dxa"/>
              <w:bottom w:w="0" w:type="dxa"/>
              <w:right w:w="100" w:type="dxa"/>
            </w:tcMar>
          </w:tcPr>
          <w:p w14:paraId="51939BFB"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Combretaceae-Melastomataceae</w:t>
            </w:r>
            <w:proofErr w:type="spellEnd"/>
          </w:p>
        </w:tc>
        <w:tc>
          <w:tcPr>
            <w:tcW w:w="2220" w:type="dxa"/>
            <w:tcBorders>
              <w:top w:val="nil"/>
              <w:left w:val="nil"/>
              <w:bottom w:val="nil"/>
              <w:right w:val="nil"/>
            </w:tcBorders>
            <w:tcMar>
              <w:top w:w="0" w:type="dxa"/>
              <w:left w:w="100" w:type="dxa"/>
              <w:bottom w:w="0" w:type="dxa"/>
              <w:right w:w="100" w:type="dxa"/>
            </w:tcMar>
          </w:tcPr>
          <w:p w14:paraId="26D3D72F"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08_VAR</w:t>
            </w:r>
          </w:p>
        </w:tc>
      </w:tr>
      <w:tr w:rsidR="00BB7AA9" w:rsidRPr="005F44EF" w14:paraId="36648A23" w14:textId="77777777">
        <w:tc>
          <w:tcPr>
            <w:tcW w:w="3120" w:type="dxa"/>
            <w:tcBorders>
              <w:top w:val="nil"/>
              <w:left w:val="nil"/>
              <w:bottom w:val="nil"/>
              <w:right w:val="nil"/>
            </w:tcBorders>
            <w:tcMar>
              <w:top w:w="0" w:type="dxa"/>
              <w:left w:w="100" w:type="dxa"/>
              <w:bottom w:w="0" w:type="dxa"/>
              <w:right w:w="100" w:type="dxa"/>
            </w:tcMar>
          </w:tcPr>
          <w:p w14:paraId="2CC42E8C"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Convolulaceae</w:t>
            </w:r>
            <w:proofErr w:type="spellEnd"/>
            <w:r w:rsidRPr="005F44EF">
              <w:rPr>
                <w:rFonts w:ascii="Times New Roman" w:eastAsia="Times New Roman" w:hAnsi="Times New Roman" w:cs="Times New Roman"/>
                <w:sz w:val="18"/>
                <w:szCs w:val="20"/>
              </w:rPr>
              <w:t xml:space="preserve"> </w:t>
            </w:r>
            <w:proofErr w:type="spellStart"/>
            <w:r w:rsidRPr="005F44EF">
              <w:rPr>
                <w:rFonts w:ascii="Times New Roman" w:eastAsia="Times New Roman" w:hAnsi="Times New Roman" w:cs="Times New Roman"/>
                <w:sz w:val="18"/>
                <w:szCs w:val="20"/>
              </w:rPr>
              <w:t>undiff</w:t>
            </w:r>
            <w:proofErr w:type="spellEnd"/>
            <w:r w:rsidRPr="005F44EF">
              <w:rPr>
                <w:rFonts w:ascii="Times New Roman" w:eastAsia="Times New Roman" w:hAnsi="Times New Roman" w:cs="Times New Roman"/>
                <w:sz w:val="18"/>
                <w:szCs w:val="20"/>
              </w:rPr>
              <w:t>.</w:t>
            </w:r>
          </w:p>
        </w:tc>
        <w:tc>
          <w:tcPr>
            <w:tcW w:w="3510" w:type="dxa"/>
            <w:tcBorders>
              <w:top w:val="nil"/>
              <w:left w:val="nil"/>
              <w:bottom w:val="nil"/>
              <w:right w:val="nil"/>
            </w:tcBorders>
            <w:tcMar>
              <w:top w:w="0" w:type="dxa"/>
              <w:left w:w="100" w:type="dxa"/>
              <w:bottom w:w="0" w:type="dxa"/>
              <w:right w:w="100" w:type="dxa"/>
            </w:tcMar>
          </w:tcPr>
          <w:p w14:paraId="7D3A8826"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Convolvulaceae</w:t>
            </w:r>
          </w:p>
        </w:tc>
        <w:tc>
          <w:tcPr>
            <w:tcW w:w="2220" w:type="dxa"/>
            <w:tcBorders>
              <w:top w:val="nil"/>
              <w:left w:val="nil"/>
              <w:bottom w:val="nil"/>
              <w:right w:val="nil"/>
            </w:tcBorders>
            <w:tcMar>
              <w:top w:w="0" w:type="dxa"/>
              <w:left w:w="100" w:type="dxa"/>
              <w:bottom w:w="0" w:type="dxa"/>
              <w:right w:w="100" w:type="dxa"/>
            </w:tcMar>
          </w:tcPr>
          <w:p w14:paraId="49860B19"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08_VAR</w:t>
            </w:r>
          </w:p>
        </w:tc>
      </w:tr>
      <w:tr w:rsidR="00BB7AA9" w:rsidRPr="005F44EF" w14:paraId="51797E7A" w14:textId="77777777">
        <w:tc>
          <w:tcPr>
            <w:tcW w:w="3120" w:type="dxa"/>
            <w:tcBorders>
              <w:top w:val="nil"/>
              <w:left w:val="nil"/>
              <w:bottom w:val="nil"/>
              <w:right w:val="nil"/>
            </w:tcBorders>
            <w:tcMar>
              <w:top w:w="0" w:type="dxa"/>
              <w:left w:w="100" w:type="dxa"/>
              <w:bottom w:w="0" w:type="dxa"/>
              <w:right w:w="100" w:type="dxa"/>
            </w:tcMar>
          </w:tcPr>
          <w:p w14:paraId="4A142234"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Lamiaceae</w:t>
            </w:r>
            <w:proofErr w:type="spellEnd"/>
          </w:p>
        </w:tc>
        <w:tc>
          <w:tcPr>
            <w:tcW w:w="3510" w:type="dxa"/>
            <w:tcBorders>
              <w:top w:val="nil"/>
              <w:left w:val="nil"/>
              <w:bottom w:val="nil"/>
              <w:right w:val="nil"/>
            </w:tcBorders>
            <w:tcMar>
              <w:top w:w="0" w:type="dxa"/>
              <w:left w:w="100" w:type="dxa"/>
              <w:bottom w:w="0" w:type="dxa"/>
              <w:right w:w="100" w:type="dxa"/>
            </w:tcMar>
          </w:tcPr>
          <w:p w14:paraId="0170F54B"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proofErr w:type="spellStart"/>
            <w:r w:rsidRPr="005F44EF">
              <w:rPr>
                <w:rFonts w:ascii="Times New Roman" w:eastAsia="Times New Roman" w:hAnsi="Times New Roman" w:cs="Times New Roman"/>
                <w:sz w:val="18"/>
                <w:szCs w:val="20"/>
              </w:rPr>
              <w:t>Lamiaceae</w:t>
            </w:r>
            <w:proofErr w:type="spellEnd"/>
          </w:p>
        </w:tc>
        <w:tc>
          <w:tcPr>
            <w:tcW w:w="2220" w:type="dxa"/>
            <w:tcBorders>
              <w:top w:val="nil"/>
              <w:left w:val="nil"/>
              <w:bottom w:val="nil"/>
              <w:right w:val="nil"/>
            </w:tcBorders>
            <w:tcMar>
              <w:top w:w="0" w:type="dxa"/>
              <w:left w:w="100" w:type="dxa"/>
              <w:bottom w:w="0" w:type="dxa"/>
              <w:right w:w="100" w:type="dxa"/>
            </w:tcMar>
          </w:tcPr>
          <w:p w14:paraId="657EEDE6"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08_VAR</w:t>
            </w:r>
          </w:p>
        </w:tc>
      </w:tr>
      <w:tr w:rsidR="00BB7AA9" w:rsidRPr="005F44EF" w14:paraId="5E603411" w14:textId="77777777">
        <w:tc>
          <w:tcPr>
            <w:tcW w:w="3120" w:type="dxa"/>
            <w:tcBorders>
              <w:top w:val="nil"/>
              <w:left w:val="nil"/>
              <w:bottom w:val="nil"/>
              <w:right w:val="nil"/>
            </w:tcBorders>
            <w:tcMar>
              <w:top w:w="0" w:type="dxa"/>
              <w:left w:w="100" w:type="dxa"/>
              <w:bottom w:w="0" w:type="dxa"/>
              <w:right w:w="100" w:type="dxa"/>
            </w:tcMar>
          </w:tcPr>
          <w:p w14:paraId="3CF5DF2B"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Others (&lt; 2 IDs)</w:t>
            </w:r>
          </w:p>
        </w:tc>
        <w:tc>
          <w:tcPr>
            <w:tcW w:w="3510" w:type="dxa"/>
            <w:tcBorders>
              <w:top w:val="nil"/>
              <w:left w:val="nil"/>
              <w:bottom w:val="nil"/>
              <w:right w:val="nil"/>
            </w:tcBorders>
            <w:tcMar>
              <w:top w:w="0" w:type="dxa"/>
              <w:left w:w="100" w:type="dxa"/>
              <w:bottom w:w="0" w:type="dxa"/>
              <w:right w:w="100" w:type="dxa"/>
            </w:tcMar>
          </w:tcPr>
          <w:p w14:paraId="3F7F4E16"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Various</w:t>
            </w:r>
          </w:p>
        </w:tc>
        <w:tc>
          <w:tcPr>
            <w:tcW w:w="2220" w:type="dxa"/>
            <w:tcBorders>
              <w:top w:val="nil"/>
              <w:left w:val="nil"/>
              <w:bottom w:val="nil"/>
              <w:right w:val="nil"/>
            </w:tcBorders>
            <w:tcMar>
              <w:top w:w="0" w:type="dxa"/>
              <w:left w:w="100" w:type="dxa"/>
              <w:bottom w:w="0" w:type="dxa"/>
              <w:right w:w="100" w:type="dxa"/>
            </w:tcMar>
          </w:tcPr>
          <w:p w14:paraId="11E37730"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08_VAR</w:t>
            </w:r>
          </w:p>
        </w:tc>
      </w:tr>
      <w:tr w:rsidR="00BB7AA9" w:rsidRPr="005F44EF" w14:paraId="32E7D0FF" w14:textId="77777777">
        <w:tc>
          <w:tcPr>
            <w:tcW w:w="3120" w:type="dxa"/>
            <w:tcBorders>
              <w:top w:val="nil"/>
              <w:left w:val="nil"/>
              <w:bottom w:val="nil"/>
              <w:right w:val="nil"/>
            </w:tcBorders>
            <w:tcMar>
              <w:top w:w="0" w:type="dxa"/>
              <w:left w:w="100" w:type="dxa"/>
              <w:bottom w:w="0" w:type="dxa"/>
              <w:right w:w="100" w:type="dxa"/>
            </w:tcMar>
          </w:tcPr>
          <w:p w14:paraId="2BBA62E4"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Unknowns</w:t>
            </w:r>
          </w:p>
        </w:tc>
        <w:tc>
          <w:tcPr>
            <w:tcW w:w="3510" w:type="dxa"/>
            <w:tcBorders>
              <w:top w:val="nil"/>
              <w:left w:val="nil"/>
              <w:bottom w:val="nil"/>
              <w:right w:val="nil"/>
            </w:tcBorders>
            <w:tcMar>
              <w:top w:w="0" w:type="dxa"/>
              <w:left w:w="100" w:type="dxa"/>
              <w:bottom w:w="0" w:type="dxa"/>
              <w:right w:w="100" w:type="dxa"/>
            </w:tcMar>
          </w:tcPr>
          <w:p w14:paraId="2870A231"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Various</w:t>
            </w:r>
          </w:p>
        </w:tc>
        <w:tc>
          <w:tcPr>
            <w:tcW w:w="2220" w:type="dxa"/>
            <w:tcBorders>
              <w:top w:val="nil"/>
              <w:left w:val="nil"/>
              <w:bottom w:val="nil"/>
              <w:right w:val="nil"/>
            </w:tcBorders>
            <w:tcMar>
              <w:top w:w="0" w:type="dxa"/>
              <w:left w:w="100" w:type="dxa"/>
              <w:bottom w:w="0" w:type="dxa"/>
              <w:right w:w="100" w:type="dxa"/>
            </w:tcMar>
          </w:tcPr>
          <w:p w14:paraId="040AF1B8" w14:textId="77777777" w:rsidR="00BB7AA9" w:rsidRPr="005F44EF" w:rsidRDefault="00B9564D">
            <w:pPr>
              <w:widowControl w:val="0"/>
              <w:spacing w:before="40" w:after="40" w:line="240" w:lineRule="auto"/>
              <w:rPr>
                <w:rFonts w:ascii="Times New Roman" w:eastAsia="Times New Roman" w:hAnsi="Times New Roman" w:cs="Times New Roman"/>
                <w:sz w:val="18"/>
                <w:szCs w:val="20"/>
              </w:rPr>
            </w:pPr>
            <w:r w:rsidRPr="005F44EF">
              <w:rPr>
                <w:rFonts w:ascii="Times New Roman" w:eastAsia="Times New Roman" w:hAnsi="Times New Roman" w:cs="Times New Roman"/>
                <w:sz w:val="18"/>
                <w:szCs w:val="20"/>
              </w:rPr>
              <w:t>08_VAR</w:t>
            </w:r>
          </w:p>
        </w:tc>
      </w:tr>
    </w:tbl>
    <w:p w14:paraId="0249A679" w14:textId="77777777" w:rsidR="00BB7AA9" w:rsidRPr="005F44EF" w:rsidRDefault="00BB7AA9">
      <w:pPr>
        <w:spacing w:after="0" w:line="276" w:lineRule="auto"/>
        <w:jc w:val="both"/>
        <w:rPr>
          <w:rFonts w:ascii="Times New Roman" w:eastAsia="Times New Roman" w:hAnsi="Times New Roman" w:cs="Times New Roman"/>
          <w:b/>
          <w:sz w:val="24"/>
          <w:szCs w:val="24"/>
        </w:rPr>
      </w:pPr>
    </w:p>
    <w:p w14:paraId="1024B5EC" w14:textId="77777777" w:rsidR="00BB7AA9" w:rsidRPr="005F44EF" w:rsidRDefault="00BB7AA9">
      <w:pPr>
        <w:spacing w:after="0" w:line="276" w:lineRule="auto"/>
        <w:jc w:val="both"/>
        <w:rPr>
          <w:rFonts w:ascii="Times New Roman" w:eastAsia="Times New Roman" w:hAnsi="Times New Roman" w:cs="Times New Roman"/>
          <w:sz w:val="24"/>
          <w:szCs w:val="24"/>
        </w:rPr>
      </w:pPr>
    </w:p>
    <w:p w14:paraId="6B63D534" w14:textId="77777777" w:rsidR="00BB7AA9" w:rsidRPr="005F44EF" w:rsidRDefault="00B9564D" w:rsidP="008524E9">
      <w:pPr>
        <w:pStyle w:val="Heading3"/>
        <w:rPr>
          <w:rFonts w:cs="Times New Roman"/>
        </w:rPr>
      </w:pPr>
      <w:bookmarkStart w:id="109" w:name="_Toc178429946"/>
      <w:r w:rsidRPr="005F44EF">
        <w:rPr>
          <w:rFonts w:cs="Times New Roman"/>
        </w:rPr>
        <w:t>4.3.4 Discussion</w:t>
      </w:r>
      <w:bookmarkEnd w:id="109"/>
    </w:p>
    <w:p w14:paraId="6FF72E1D" w14:textId="77777777" w:rsidR="00BB7AA9" w:rsidRPr="005F44EF" w:rsidRDefault="00BB7AA9">
      <w:pPr>
        <w:spacing w:after="0" w:line="276" w:lineRule="auto"/>
        <w:jc w:val="both"/>
        <w:rPr>
          <w:rFonts w:ascii="Times New Roman" w:eastAsia="Times New Roman" w:hAnsi="Times New Roman" w:cs="Times New Roman"/>
          <w:sz w:val="24"/>
          <w:szCs w:val="24"/>
        </w:rPr>
      </w:pPr>
    </w:p>
    <w:p w14:paraId="05081C4C" w14:textId="6AF02D2E" w:rsidR="003C4DD5" w:rsidRPr="005F44EF" w:rsidRDefault="00B9564D" w:rsidP="003C4DD5">
      <w:pPr>
        <w:spacing w:after="0" w:line="276" w:lineRule="auto"/>
        <w:jc w:val="both"/>
        <w:rPr>
          <w:rFonts w:ascii="Times New Roman" w:eastAsia="Times New Roman" w:hAnsi="Times New Roman" w:cs="Times New Roman"/>
          <w:b/>
          <w:sz w:val="24"/>
          <w:szCs w:val="24"/>
        </w:rPr>
      </w:pPr>
      <w:r w:rsidRPr="005F44EF">
        <w:rPr>
          <w:rFonts w:ascii="Times New Roman" w:eastAsia="Times New Roman" w:hAnsi="Times New Roman" w:cs="Times New Roman"/>
          <w:sz w:val="24"/>
          <w:szCs w:val="24"/>
        </w:rPr>
        <w:t xml:space="preserve">While the overall influx of pollen across the </w:t>
      </w:r>
      <w:r w:rsidR="004F4F58" w:rsidRPr="005F44EF">
        <w:rPr>
          <w:rFonts w:ascii="Times New Roman" w:eastAsia="Times New Roman" w:hAnsi="Times New Roman" w:cs="Times New Roman"/>
          <w:sz w:val="24"/>
          <w:szCs w:val="24"/>
        </w:rPr>
        <w:t>Bété I p</w:t>
      </w:r>
      <w:r w:rsidRPr="005F44EF">
        <w:rPr>
          <w:rFonts w:ascii="Times New Roman" w:eastAsia="Times New Roman" w:hAnsi="Times New Roman" w:cs="Times New Roman"/>
          <w:sz w:val="24"/>
          <w:szCs w:val="24"/>
        </w:rPr>
        <w:t xml:space="preserve">rofile is strongly controlled by sedimentary process and overall pollen preservation, inferences about </w:t>
      </w:r>
      <w:proofErr w:type="spellStart"/>
      <w:r w:rsidRPr="005F44EF">
        <w:rPr>
          <w:rFonts w:ascii="Times New Roman" w:eastAsia="Times New Roman" w:hAnsi="Times New Roman" w:cs="Times New Roman"/>
          <w:sz w:val="24"/>
          <w:szCs w:val="24"/>
        </w:rPr>
        <w:t>paleovegetation</w:t>
      </w:r>
      <w:proofErr w:type="spellEnd"/>
      <w:r w:rsidRPr="005F44EF">
        <w:rPr>
          <w:rFonts w:ascii="Times New Roman" w:eastAsia="Times New Roman" w:hAnsi="Times New Roman" w:cs="Times New Roman"/>
          <w:sz w:val="24"/>
          <w:szCs w:val="24"/>
        </w:rPr>
        <w:t xml:space="preserve"> at </w:t>
      </w:r>
      <w:r w:rsidR="00E7043F" w:rsidRPr="005F44EF">
        <w:rPr>
          <w:rFonts w:ascii="Times New Roman" w:eastAsia="Times New Roman" w:hAnsi="Times New Roman" w:cs="Times New Roman"/>
          <w:sz w:val="24"/>
          <w:szCs w:val="24"/>
        </w:rPr>
        <w:t xml:space="preserve">Bété I </w:t>
      </w:r>
      <w:r w:rsidRPr="005F44EF">
        <w:rPr>
          <w:rFonts w:ascii="Times New Roman" w:eastAsia="Times New Roman" w:hAnsi="Times New Roman" w:cs="Times New Roman"/>
          <w:sz w:val="24"/>
          <w:szCs w:val="24"/>
        </w:rPr>
        <w:t>may be derived from the presence of indicator taxa across the profile as well as careful interpretation of their frequencies in the two better-preserved samples.</w:t>
      </w:r>
      <w:r w:rsidR="003C4DD5" w:rsidRPr="005F44EF">
        <w:rPr>
          <w:rFonts w:ascii="Times New Roman" w:eastAsia="Times New Roman" w:hAnsi="Times New Roman" w:cs="Times New Roman"/>
          <w:b/>
          <w:sz w:val="24"/>
          <w:szCs w:val="24"/>
        </w:rPr>
        <w:t xml:space="preserve"> </w:t>
      </w:r>
    </w:p>
    <w:p w14:paraId="70DB570F" w14:textId="77777777" w:rsidR="00CD6CCC" w:rsidRPr="005F44EF" w:rsidRDefault="00CD6CCC" w:rsidP="00CD6CCC">
      <w:pPr>
        <w:spacing w:before="180" w:after="18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Some pollen taxa are present across the entire profile (</w:t>
      </w:r>
      <w:r w:rsidRPr="005F44EF">
        <w:rPr>
          <w:rFonts w:ascii="Times New Roman" w:eastAsia="Times New Roman" w:hAnsi="Times New Roman" w:cs="Times New Roman"/>
          <w:b/>
          <w:sz w:val="24"/>
          <w:szCs w:val="24"/>
        </w:rPr>
        <w:t>Figure S23</w:t>
      </w:r>
      <w:r w:rsidRPr="005F44EF">
        <w:rPr>
          <w:rFonts w:ascii="Times New Roman" w:eastAsia="Times New Roman" w:hAnsi="Times New Roman" w:cs="Times New Roman"/>
          <w:sz w:val="24"/>
          <w:szCs w:val="24"/>
          <w:lang w:val="en-US"/>
        </w:rPr>
        <w:t>)</w:t>
      </w:r>
      <w:r w:rsidRPr="005F44EF">
        <w:rPr>
          <w:rFonts w:ascii="Times New Roman" w:eastAsia="Times New Roman" w:hAnsi="Times New Roman" w:cs="Times New Roman"/>
          <w:sz w:val="24"/>
          <w:szCs w:val="24"/>
        </w:rPr>
        <w:t xml:space="preserve">. Grasses, </w:t>
      </w:r>
      <w:proofErr w:type="spellStart"/>
      <w:r w:rsidRPr="005F44EF">
        <w:rPr>
          <w:rFonts w:ascii="Times New Roman" w:eastAsia="Times New Roman" w:hAnsi="Times New Roman" w:cs="Times New Roman"/>
          <w:i/>
          <w:sz w:val="24"/>
          <w:szCs w:val="24"/>
        </w:rPr>
        <w:t>Elaeis</w:t>
      </w:r>
      <w:proofErr w:type="spellEnd"/>
      <w:r w:rsidRPr="005F44EF">
        <w:rPr>
          <w:rFonts w:ascii="Times New Roman" w:eastAsia="Times New Roman" w:hAnsi="Times New Roman" w:cs="Times New Roman"/>
          <w:i/>
          <w:sz w:val="24"/>
          <w:szCs w:val="24"/>
        </w:rPr>
        <w:t xml:space="preserve"> </w:t>
      </w:r>
      <w:proofErr w:type="spellStart"/>
      <w:r w:rsidRPr="005F44EF">
        <w:rPr>
          <w:rFonts w:ascii="Times New Roman" w:eastAsia="Times New Roman" w:hAnsi="Times New Roman" w:cs="Times New Roman"/>
          <w:i/>
          <w:sz w:val="24"/>
          <w:szCs w:val="24"/>
        </w:rPr>
        <w:t>guineensis</w:t>
      </w:r>
      <w:proofErr w:type="spellEnd"/>
      <w:r w:rsidRPr="005F44EF">
        <w:rPr>
          <w:rFonts w:ascii="Times New Roman" w:eastAsia="Times New Roman" w:hAnsi="Times New Roman" w:cs="Times New Roman"/>
          <w:sz w:val="24"/>
          <w:szCs w:val="24"/>
        </w:rPr>
        <w:t xml:space="preserve">, Asteraceae, </w:t>
      </w:r>
      <w:proofErr w:type="spellStart"/>
      <w:r w:rsidRPr="005F44EF">
        <w:rPr>
          <w:rFonts w:ascii="Times New Roman" w:eastAsia="Times New Roman" w:hAnsi="Times New Roman" w:cs="Times New Roman"/>
          <w:i/>
          <w:sz w:val="24"/>
          <w:szCs w:val="24"/>
        </w:rPr>
        <w:t>Alchornea</w:t>
      </w:r>
      <w:proofErr w:type="spellEnd"/>
      <w:r w:rsidRPr="005F44EF">
        <w:rPr>
          <w:rFonts w:ascii="Times New Roman" w:eastAsia="Times New Roman" w:hAnsi="Times New Roman" w:cs="Times New Roman"/>
          <w:sz w:val="24"/>
          <w:szCs w:val="24"/>
        </w:rPr>
        <w:t xml:space="preserve">, and </w:t>
      </w:r>
      <w:r w:rsidRPr="005F44EF">
        <w:rPr>
          <w:rFonts w:ascii="Times New Roman" w:eastAsia="Times New Roman" w:hAnsi="Times New Roman" w:cs="Times New Roman"/>
          <w:i/>
          <w:sz w:val="24"/>
          <w:szCs w:val="24"/>
        </w:rPr>
        <w:t>Macaranga</w:t>
      </w:r>
      <w:r w:rsidRPr="005F44EF">
        <w:rPr>
          <w:rFonts w:ascii="Times New Roman" w:eastAsia="Times New Roman" w:hAnsi="Times New Roman" w:cs="Times New Roman"/>
          <w:sz w:val="24"/>
          <w:szCs w:val="24"/>
        </w:rPr>
        <w:t xml:space="preserve"> are present in every sample or nearly so. All of these taxa </w:t>
      </w:r>
      <w:proofErr w:type="spellStart"/>
      <w:r w:rsidRPr="005F44EF">
        <w:rPr>
          <w:rFonts w:ascii="Times New Roman" w:eastAsia="Times New Roman" w:hAnsi="Times New Roman" w:cs="Times New Roman"/>
          <w:sz w:val="24"/>
          <w:szCs w:val="24"/>
        </w:rPr>
        <w:t>favor</w:t>
      </w:r>
      <w:proofErr w:type="spellEnd"/>
      <w:r w:rsidRPr="005F44EF">
        <w:rPr>
          <w:rFonts w:ascii="Times New Roman" w:eastAsia="Times New Roman" w:hAnsi="Times New Roman" w:cs="Times New Roman"/>
          <w:sz w:val="24"/>
          <w:szCs w:val="24"/>
        </w:rPr>
        <w:t xml:space="preserve"> forest gaps and </w:t>
      </w:r>
      <w:r w:rsidRPr="005F44EF">
        <w:rPr>
          <w:rFonts w:ascii="Times New Roman" w:eastAsia="Times New Roman" w:hAnsi="Times New Roman" w:cs="Times New Roman"/>
          <w:i/>
          <w:sz w:val="24"/>
          <w:szCs w:val="24"/>
        </w:rPr>
        <w:t xml:space="preserve">E. </w:t>
      </w:r>
      <w:proofErr w:type="spellStart"/>
      <w:r w:rsidRPr="005F44EF">
        <w:rPr>
          <w:rFonts w:ascii="Times New Roman" w:eastAsia="Times New Roman" w:hAnsi="Times New Roman" w:cs="Times New Roman"/>
          <w:i/>
          <w:sz w:val="24"/>
          <w:szCs w:val="24"/>
        </w:rPr>
        <w:t>guineensis</w:t>
      </w:r>
      <w:proofErr w:type="spellEnd"/>
      <w:r w:rsidRPr="005F44EF">
        <w:rPr>
          <w:rFonts w:ascii="Times New Roman" w:eastAsia="Times New Roman" w:hAnsi="Times New Roman" w:cs="Times New Roman"/>
          <w:sz w:val="24"/>
          <w:szCs w:val="24"/>
        </w:rPr>
        <w:t xml:space="preserve">, </w:t>
      </w:r>
      <w:proofErr w:type="spellStart"/>
      <w:r w:rsidRPr="005F44EF">
        <w:rPr>
          <w:rFonts w:ascii="Times New Roman" w:eastAsia="Times New Roman" w:hAnsi="Times New Roman" w:cs="Times New Roman"/>
          <w:i/>
          <w:sz w:val="24"/>
          <w:szCs w:val="24"/>
        </w:rPr>
        <w:t>Alchornea</w:t>
      </w:r>
      <w:proofErr w:type="spellEnd"/>
      <w:r w:rsidRPr="005F44EF">
        <w:rPr>
          <w:rFonts w:ascii="Times New Roman" w:eastAsia="Times New Roman" w:hAnsi="Times New Roman" w:cs="Times New Roman"/>
          <w:sz w:val="24"/>
          <w:szCs w:val="24"/>
        </w:rPr>
        <w:t xml:space="preserve">, and </w:t>
      </w:r>
      <w:r w:rsidRPr="005F44EF">
        <w:rPr>
          <w:rFonts w:ascii="Times New Roman" w:eastAsia="Times New Roman" w:hAnsi="Times New Roman" w:cs="Times New Roman"/>
          <w:i/>
          <w:sz w:val="24"/>
          <w:szCs w:val="24"/>
        </w:rPr>
        <w:t>Macaranga</w:t>
      </w:r>
      <w:r w:rsidRPr="005F44EF">
        <w:rPr>
          <w:rFonts w:ascii="Times New Roman" w:eastAsia="Times New Roman" w:hAnsi="Times New Roman" w:cs="Times New Roman"/>
          <w:sz w:val="24"/>
          <w:szCs w:val="24"/>
        </w:rPr>
        <w:t xml:space="preserve"> are characteristic of early phases of swamp forest succession. In the uppermost samples 10 and 11, the presence of </w:t>
      </w:r>
      <w:proofErr w:type="spellStart"/>
      <w:r w:rsidRPr="005F44EF">
        <w:rPr>
          <w:rFonts w:ascii="Times New Roman" w:eastAsia="Times New Roman" w:hAnsi="Times New Roman" w:cs="Times New Roman"/>
          <w:sz w:val="24"/>
          <w:szCs w:val="24"/>
        </w:rPr>
        <w:t>Cyperaceae</w:t>
      </w:r>
      <w:proofErr w:type="spellEnd"/>
      <w:r w:rsidRPr="005F44EF">
        <w:rPr>
          <w:rFonts w:ascii="Times New Roman" w:eastAsia="Times New Roman" w:hAnsi="Times New Roman" w:cs="Times New Roman"/>
          <w:sz w:val="24"/>
          <w:szCs w:val="24"/>
        </w:rPr>
        <w:t xml:space="preserve"> and </w:t>
      </w:r>
      <w:proofErr w:type="spellStart"/>
      <w:r w:rsidRPr="005F44EF">
        <w:rPr>
          <w:rFonts w:ascii="Times New Roman" w:eastAsia="Times New Roman" w:hAnsi="Times New Roman" w:cs="Times New Roman"/>
          <w:i/>
          <w:sz w:val="24"/>
          <w:szCs w:val="24"/>
        </w:rPr>
        <w:t>Uapaca</w:t>
      </w:r>
      <w:proofErr w:type="spellEnd"/>
      <w:r w:rsidRPr="005F44EF">
        <w:rPr>
          <w:rFonts w:ascii="Times New Roman" w:eastAsia="Times New Roman" w:hAnsi="Times New Roman" w:cs="Times New Roman"/>
          <w:sz w:val="24"/>
          <w:szCs w:val="24"/>
        </w:rPr>
        <w:t xml:space="preserve"> together points to these deposits being associated with or influenced by riparian conditions.</w:t>
      </w:r>
    </w:p>
    <w:p w14:paraId="29A7C4ED" w14:textId="3044BD83" w:rsidR="00CD6CCC" w:rsidRPr="005F44EF" w:rsidRDefault="00E42B33" w:rsidP="00CD6CCC">
      <w:pPr>
        <w:spacing w:before="180" w:after="18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 xml:space="preserve">Sample </w:t>
      </w:r>
      <w:r w:rsidR="00CD6CCC" w:rsidRPr="005F44EF">
        <w:rPr>
          <w:rFonts w:ascii="Times New Roman" w:eastAsia="Times New Roman" w:hAnsi="Times New Roman" w:cs="Times New Roman"/>
          <w:sz w:val="24"/>
          <w:szCs w:val="24"/>
        </w:rPr>
        <w:t xml:space="preserve">21 is uniquely diverse and has a higher pollen concentration than any of the samples. The pollen signal shows continuity with the upper samples and includes the forest pioneers identified above with the addition of significant contributions of </w:t>
      </w:r>
      <w:proofErr w:type="spellStart"/>
      <w:r w:rsidR="00CD6CCC" w:rsidRPr="005F44EF">
        <w:rPr>
          <w:rFonts w:ascii="Times New Roman" w:eastAsia="Times New Roman" w:hAnsi="Times New Roman" w:cs="Times New Roman"/>
          <w:i/>
          <w:sz w:val="24"/>
          <w:szCs w:val="24"/>
        </w:rPr>
        <w:t>Hunteria</w:t>
      </w:r>
      <w:proofErr w:type="spellEnd"/>
      <w:r w:rsidR="00CD6CCC" w:rsidRPr="005F44EF">
        <w:rPr>
          <w:rFonts w:ascii="Times New Roman" w:eastAsia="Times New Roman" w:hAnsi="Times New Roman" w:cs="Times New Roman"/>
          <w:sz w:val="24"/>
          <w:szCs w:val="24"/>
        </w:rPr>
        <w:t xml:space="preserve">-type pollen and a minor influx of </w:t>
      </w:r>
      <w:proofErr w:type="spellStart"/>
      <w:r w:rsidR="00CD6CCC" w:rsidRPr="005F44EF">
        <w:rPr>
          <w:rFonts w:ascii="Times New Roman" w:eastAsia="Times New Roman" w:hAnsi="Times New Roman" w:cs="Times New Roman"/>
          <w:i/>
          <w:sz w:val="24"/>
          <w:szCs w:val="24"/>
        </w:rPr>
        <w:t>Musanga</w:t>
      </w:r>
      <w:proofErr w:type="spellEnd"/>
      <w:r w:rsidR="00CD6CCC" w:rsidRPr="005F44EF">
        <w:rPr>
          <w:rFonts w:ascii="Times New Roman" w:eastAsia="Times New Roman" w:hAnsi="Times New Roman" w:cs="Times New Roman"/>
          <w:i/>
          <w:sz w:val="24"/>
          <w:szCs w:val="24"/>
        </w:rPr>
        <w:t>/</w:t>
      </w:r>
      <w:proofErr w:type="spellStart"/>
      <w:r w:rsidR="00CD6CCC" w:rsidRPr="005F44EF">
        <w:rPr>
          <w:rFonts w:ascii="Times New Roman" w:eastAsia="Times New Roman" w:hAnsi="Times New Roman" w:cs="Times New Roman"/>
          <w:i/>
          <w:sz w:val="24"/>
          <w:szCs w:val="24"/>
        </w:rPr>
        <w:t>Myrianthus</w:t>
      </w:r>
      <w:proofErr w:type="spellEnd"/>
      <w:r w:rsidR="00CD6CCC" w:rsidRPr="005F44EF">
        <w:rPr>
          <w:rFonts w:ascii="Times New Roman" w:eastAsia="Times New Roman" w:hAnsi="Times New Roman" w:cs="Times New Roman"/>
          <w:sz w:val="24"/>
          <w:szCs w:val="24"/>
        </w:rPr>
        <w:t xml:space="preserve">, </w:t>
      </w:r>
      <w:proofErr w:type="spellStart"/>
      <w:r w:rsidR="00CD6CCC" w:rsidRPr="005F44EF">
        <w:rPr>
          <w:rFonts w:ascii="Times New Roman" w:eastAsia="Times New Roman" w:hAnsi="Times New Roman" w:cs="Times New Roman"/>
          <w:i/>
          <w:sz w:val="24"/>
          <w:szCs w:val="24"/>
        </w:rPr>
        <w:t>Coelocaryon</w:t>
      </w:r>
      <w:proofErr w:type="spellEnd"/>
      <w:r w:rsidR="00CD6CCC" w:rsidRPr="005F44EF">
        <w:rPr>
          <w:rFonts w:ascii="Times New Roman" w:eastAsia="Times New Roman" w:hAnsi="Times New Roman" w:cs="Times New Roman"/>
          <w:i/>
          <w:sz w:val="24"/>
          <w:szCs w:val="24"/>
        </w:rPr>
        <w:t xml:space="preserve"> </w:t>
      </w:r>
      <w:proofErr w:type="spellStart"/>
      <w:r w:rsidR="00CD6CCC" w:rsidRPr="005F44EF">
        <w:rPr>
          <w:rFonts w:ascii="Times New Roman" w:eastAsia="Times New Roman" w:hAnsi="Times New Roman" w:cs="Times New Roman"/>
          <w:i/>
          <w:sz w:val="24"/>
          <w:szCs w:val="24"/>
        </w:rPr>
        <w:t>preussei</w:t>
      </w:r>
      <w:proofErr w:type="spellEnd"/>
      <w:r w:rsidR="00CD6CCC" w:rsidRPr="005F44EF">
        <w:rPr>
          <w:rFonts w:ascii="Times New Roman" w:eastAsia="Times New Roman" w:hAnsi="Times New Roman" w:cs="Times New Roman"/>
          <w:sz w:val="24"/>
          <w:szCs w:val="24"/>
        </w:rPr>
        <w:t xml:space="preserve">, and </w:t>
      </w:r>
      <w:proofErr w:type="spellStart"/>
      <w:r w:rsidR="00CD6CCC" w:rsidRPr="005F44EF">
        <w:rPr>
          <w:rFonts w:ascii="Times New Roman" w:eastAsia="Times New Roman" w:hAnsi="Times New Roman" w:cs="Times New Roman"/>
          <w:sz w:val="24"/>
          <w:szCs w:val="24"/>
        </w:rPr>
        <w:t>Loranthaceae</w:t>
      </w:r>
      <w:proofErr w:type="spellEnd"/>
      <w:r w:rsidR="00CD6CCC" w:rsidRPr="005F44EF">
        <w:rPr>
          <w:rFonts w:ascii="Times New Roman" w:eastAsia="Times New Roman" w:hAnsi="Times New Roman" w:cs="Times New Roman"/>
          <w:sz w:val="24"/>
          <w:szCs w:val="24"/>
        </w:rPr>
        <w:t xml:space="preserve">. These taxa are affiliated with tropical forests, even if </w:t>
      </w:r>
      <w:proofErr w:type="spellStart"/>
      <w:r w:rsidR="00CD6CCC" w:rsidRPr="005F44EF">
        <w:rPr>
          <w:rFonts w:ascii="Times New Roman" w:eastAsia="Times New Roman" w:hAnsi="Times New Roman" w:cs="Times New Roman"/>
          <w:i/>
          <w:sz w:val="24"/>
          <w:szCs w:val="24"/>
        </w:rPr>
        <w:t>Musanga</w:t>
      </w:r>
      <w:proofErr w:type="spellEnd"/>
      <w:r w:rsidR="00CD6CCC" w:rsidRPr="005F44EF">
        <w:rPr>
          <w:rFonts w:ascii="Times New Roman" w:eastAsia="Times New Roman" w:hAnsi="Times New Roman" w:cs="Times New Roman"/>
          <w:i/>
          <w:sz w:val="24"/>
          <w:szCs w:val="24"/>
        </w:rPr>
        <w:t>/</w:t>
      </w:r>
      <w:proofErr w:type="spellStart"/>
      <w:r w:rsidR="00CD6CCC" w:rsidRPr="005F44EF">
        <w:rPr>
          <w:rFonts w:ascii="Times New Roman" w:eastAsia="Times New Roman" w:hAnsi="Times New Roman" w:cs="Times New Roman"/>
          <w:i/>
          <w:sz w:val="24"/>
          <w:szCs w:val="24"/>
        </w:rPr>
        <w:t>Myrianthus</w:t>
      </w:r>
      <w:proofErr w:type="spellEnd"/>
      <w:r w:rsidR="00CD6CCC" w:rsidRPr="005F44EF">
        <w:rPr>
          <w:rFonts w:ascii="Times New Roman" w:eastAsia="Times New Roman" w:hAnsi="Times New Roman" w:cs="Times New Roman"/>
          <w:sz w:val="24"/>
          <w:szCs w:val="24"/>
        </w:rPr>
        <w:t xml:space="preserve"> is a usually a gap colonizer in these conditions. The </w:t>
      </w:r>
      <w:proofErr w:type="spellStart"/>
      <w:r w:rsidR="00CD6CCC" w:rsidRPr="005F44EF">
        <w:rPr>
          <w:rFonts w:ascii="Times New Roman" w:eastAsia="Times New Roman" w:hAnsi="Times New Roman" w:cs="Times New Roman"/>
          <w:sz w:val="24"/>
          <w:szCs w:val="24"/>
        </w:rPr>
        <w:t>Loranthaceae</w:t>
      </w:r>
      <w:proofErr w:type="spellEnd"/>
      <w:r w:rsidR="00CD6CCC" w:rsidRPr="005F44EF">
        <w:rPr>
          <w:rFonts w:ascii="Times New Roman" w:eastAsia="Times New Roman" w:hAnsi="Times New Roman" w:cs="Times New Roman"/>
          <w:sz w:val="24"/>
          <w:szCs w:val="24"/>
        </w:rPr>
        <w:t xml:space="preserve"> are generally parasites and the two most widely distributed genera are </w:t>
      </w:r>
      <w:proofErr w:type="spellStart"/>
      <w:r w:rsidR="00CD6CCC" w:rsidRPr="005F44EF">
        <w:rPr>
          <w:rFonts w:ascii="Times New Roman" w:eastAsia="Times New Roman" w:hAnsi="Times New Roman" w:cs="Times New Roman"/>
          <w:i/>
          <w:sz w:val="24"/>
          <w:szCs w:val="24"/>
        </w:rPr>
        <w:t>Globimetula</w:t>
      </w:r>
      <w:proofErr w:type="spellEnd"/>
      <w:r w:rsidR="00CD6CCC" w:rsidRPr="005F44EF">
        <w:rPr>
          <w:rFonts w:ascii="Times New Roman" w:eastAsia="Times New Roman" w:hAnsi="Times New Roman" w:cs="Times New Roman"/>
          <w:sz w:val="24"/>
          <w:szCs w:val="24"/>
        </w:rPr>
        <w:t xml:space="preserve"> and </w:t>
      </w:r>
      <w:proofErr w:type="spellStart"/>
      <w:r w:rsidR="00CD6CCC" w:rsidRPr="005F44EF">
        <w:rPr>
          <w:rFonts w:ascii="Times New Roman" w:eastAsia="Times New Roman" w:hAnsi="Times New Roman" w:cs="Times New Roman"/>
          <w:i/>
          <w:sz w:val="24"/>
          <w:szCs w:val="24"/>
        </w:rPr>
        <w:t>Tapinanthus</w:t>
      </w:r>
      <w:proofErr w:type="spellEnd"/>
      <w:r w:rsidR="00CD6CCC" w:rsidRPr="005F44EF">
        <w:rPr>
          <w:rFonts w:ascii="Times New Roman" w:eastAsia="Times New Roman" w:hAnsi="Times New Roman" w:cs="Times New Roman"/>
          <w:sz w:val="24"/>
          <w:szCs w:val="24"/>
        </w:rPr>
        <w:t xml:space="preserve">, the former is common in forest opening especially in riparian settings and the latter tends to occur in wooded savanna. </w:t>
      </w:r>
      <w:proofErr w:type="spellStart"/>
      <w:r w:rsidR="00CD6CCC" w:rsidRPr="005F44EF">
        <w:rPr>
          <w:rFonts w:ascii="Times New Roman" w:eastAsia="Times New Roman" w:hAnsi="Times New Roman" w:cs="Times New Roman"/>
          <w:i/>
          <w:sz w:val="24"/>
          <w:szCs w:val="24"/>
        </w:rPr>
        <w:t>Hunteria</w:t>
      </w:r>
      <w:proofErr w:type="spellEnd"/>
      <w:r w:rsidR="00CD6CCC" w:rsidRPr="005F44EF">
        <w:rPr>
          <w:rFonts w:ascii="Times New Roman" w:eastAsia="Times New Roman" w:hAnsi="Times New Roman" w:cs="Times New Roman"/>
          <w:i/>
          <w:sz w:val="24"/>
          <w:szCs w:val="24"/>
        </w:rPr>
        <w:t xml:space="preserve"> </w:t>
      </w:r>
      <w:proofErr w:type="spellStart"/>
      <w:r w:rsidR="00CD6CCC" w:rsidRPr="005F44EF">
        <w:rPr>
          <w:rFonts w:ascii="Times New Roman" w:eastAsia="Times New Roman" w:hAnsi="Times New Roman" w:cs="Times New Roman"/>
          <w:i/>
          <w:sz w:val="24"/>
          <w:szCs w:val="24"/>
        </w:rPr>
        <w:t>umbellata</w:t>
      </w:r>
      <w:proofErr w:type="spellEnd"/>
      <w:r w:rsidR="00CD6CCC" w:rsidRPr="005F44EF">
        <w:rPr>
          <w:rFonts w:ascii="Times New Roman" w:eastAsia="Times New Roman" w:hAnsi="Times New Roman" w:cs="Times New Roman"/>
          <w:sz w:val="24"/>
          <w:szCs w:val="24"/>
        </w:rPr>
        <w:t xml:space="preserve"> is a likely candidate for the source of the </w:t>
      </w:r>
      <w:proofErr w:type="spellStart"/>
      <w:r w:rsidR="00CD6CCC" w:rsidRPr="005F44EF">
        <w:rPr>
          <w:rFonts w:ascii="Times New Roman" w:eastAsia="Times New Roman" w:hAnsi="Times New Roman" w:cs="Times New Roman"/>
          <w:i/>
          <w:sz w:val="24"/>
          <w:szCs w:val="24"/>
        </w:rPr>
        <w:t>Hunteria</w:t>
      </w:r>
      <w:proofErr w:type="spellEnd"/>
      <w:r w:rsidR="00CD6CCC" w:rsidRPr="005F44EF">
        <w:rPr>
          <w:rFonts w:ascii="Times New Roman" w:eastAsia="Times New Roman" w:hAnsi="Times New Roman" w:cs="Times New Roman"/>
          <w:sz w:val="24"/>
          <w:szCs w:val="24"/>
        </w:rPr>
        <w:t>-type pollen and this tree is characteristic of closed forests in close proximity to riparian environments</w:t>
      </w:r>
      <w:r w:rsidR="00CD6CCC" w:rsidRPr="005F44EF">
        <w:rPr>
          <w:rFonts w:ascii="Times New Roman" w:eastAsia="Times New Roman" w:hAnsi="Times New Roman" w:cs="Times New Roman"/>
          <w:sz w:val="24"/>
          <w:szCs w:val="24"/>
        </w:rPr>
        <w:fldChar w:fldCharType="begin" w:fldLock="1"/>
      </w:r>
      <w:r w:rsidR="00614E13">
        <w:rPr>
          <w:rFonts w:ascii="Times New Roman" w:eastAsia="Times New Roman" w:hAnsi="Times New Roman" w:cs="Times New Roman"/>
          <w:sz w:val="24"/>
          <w:szCs w:val="24"/>
        </w:rPr>
        <w:instrText>ADDIN CSL_CITATION {"citationItems":[{"id":"ITEM-1","itemData":{"author":[{"dropping-particle":"","family":"Onyekwelu","given":"J. C.","non-dropping-particle":"","parse-names":false,"suffix":""},{"dropping-particle":"","family":"Mosandl","given":"R.","non-dropping-particle":"","parse-names":false,"suffix":""},{"dropping-particle":"","family":"Stimm","given":"B.","non-dropping-particle":"","parse-names":false,"suffix":""}],"container-title":"Journal of Tropical Forest Science","id":"ITEM-1","issue":"3","issued":{"date-parts":[["2008"]]},"page":"193-204","title":"No Title","type":"article-journal","volume":"20"},"uris":["http://www.mendeley.com/documents/?uuid=ab04cdc7-f6fc-4f55-9d82-441e4086c475"]},{"id":"ITEM-2","itemData":{"DOI":"10.1016/J.TFP.2022.100264","ISSN":"2666-7193","abstract":"Knowledge of the floristic composition, structure and conservation status of tropical forests is essential for their sustainable management and conservation, although this remains poorly documented in some tropical countries. Here, we investigated the plant species diversity, distribution and conservation status of the Ankasa Resource Reserve, Ghana, to inform management and conservation efforts. A total of 150 plots (20 m × 20 m each) were demarcated across six recognizable sites, namely; Lophira Tree (LT), Bucket Trail (BT), Big Tree Area (BGA), Bamboo Cathedral (BC), Elubo Camp (EC) and “Dadwen” (DW) for enumeration of trees. Smaller nested plots were used for saplings (5 m × 5 m) and seedlings (1 m × 1 m). Patterns in composition and structure were assessed using various diversity and abundance metrics, whereas the global conservation status of species were determined from the IUCN Red List. In all, 7521 individuals, belonging to 239 species and 65 families, were recorded in the study. The LT was the most diverse of the six habitats (richness = 113, Shannon = 4.32) whereas the BC (62, 3.63) was the least. Hill numbers and rarefaction curves confirmed these variations. Non-metric multidimensional scaling analysis revealed three distinct compositional units or community types in the reserve. Across all sites, Dacryodes klaineana, Picrilima nitida, Drypetes gilgiana and Gluema ivorensis dominated the tree layer, with IVI (%) of 6.71, 5.69, 5.00, 3.88, respectively. Leguminosae, Apocynaceae and Euphorbiaceae were the most dominant families. Of the 239 species identified, 15.9% are classified as near threatened to threatened with extinction, 62.3% of least concern, and 20% not been evaluated. The DW and EC have the highest conservation values while BGA and BC have the least. The results confirm the high floristic richness and conservation status of the Ankasa reserve, and suggest the need for priority conservation actions to maintain its biodiversity.","author":[{"dropping-particle":"","family":"Owusu","given":"George","non-dropping-particle":"","parse-names":false,"suffix":""},{"dropping-particle":"","family":"Anning","given":"Alexander K.","non-dropping-particle":"","parse-names":false,"suffix":""},{"dropping-particle":"","family":"Belford","given":"Ebenezer J.D.","non-dropping-particle":"","parse-names":false,"suffix":""},{"dropping-particle":"","family":"Acquah","given":"E.","non-dropping-particle":"","parse-names":false,"suffix":""}],"container-title":"Trees, Forests and People","id":"ITEM-2","issued":{"date-parts":[["2022","6","1"]]},"page":"100264","publisher":"Elsevier","title":"Plant species diversity, abundance and conservation status of the Ankasa Resource Reserve, Ghana","type":"article-journal","volume":"8"},"uris":["http://www.mendeley.com/documents/?uuid=8fbcdf02-031e-3a1e-a84f-f17d0b13dc51"]}],"mendeley":{"formattedCitation":"&lt;sup&gt;136,137&lt;/sup&gt;","plainTextFormattedCitation":"136,137","previouslyFormattedCitation":"&lt;sup&gt;136,137&lt;/sup&gt;"},"properties":{"noteIndex":0},"schema":"https://github.com/citation-style-language/schema/raw/master/csl-citation.json"}</w:instrText>
      </w:r>
      <w:r w:rsidR="00CD6CCC" w:rsidRPr="005F44EF">
        <w:rPr>
          <w:rFonts w:ascii="Times New Roman" w:eastAsia="Times New Roman" w:hAnsi="Times New Roman" w:cs="Times New Roman"/>
          <w:sz w:val="24"/>
          <w:szCs w:val="24"/>
        </w:rPr>
        <w:fldChar w:fldCharType="separate"/>
      </w:r>
      <w:r w:rsidR="00C212A1" w:rsidRPr="00C212A1">
        <w:rPr>
          <w:rFonts w:ascii="Times New Roman" w:eastAsia="Times New Roman" w:hAnsi="Times New Roman" w:cs="Times New Roman"/>
          <w:noProof/>
          <w:sz w:val="24"/>
          <w:szCs w:val="24"/>
          <w:vertAlign w:val="superscript"/>
        </w:rPr>
        <w:t>136,137</w:t>
      </w:r>
      <w:r w:rsidR="00CD6CCC" w:rsidRPr="005F44EF">
        <w:rPr>
          <w:rFonts w:ascii="Times New Roman" w:eastAsia="Times New Roman" w:hAnsi="Times New Roman" w:cs="Times New Roman"/>
          <w:sz w:val="24"/>
          <w:szCs w:val="24"/>
        </w:rPr>
        <w:fldChar w:fldCharType="end"/>
      </w:r>
      <w:r w:rsidR="00CD6CCC" w:rsidRPr="005F44EF">
        <w:rPr>
          <w:rFonts w:ascii="Times New Roman" w:eastAsia="Times New Roman" w:hAnsi="Times New Roman" w:cs="Times New Roman"/>
          <w:sz w:val="24"/>
          <w:szCs w:val="24"/>
        </w:rPr>
        <w:t xml:space="preserve">. The most abundant pollen type in the sample 21 sample is only identifiable to two related families, </w:t>
      </w:r>
      <w:proofErr w:type="spellStart"/>
      <w:r w:rsidR="00CD6CCC" w:rsidRPr="005F44EF">
        <w:rPr>
          <w:rFonts w:ascii="Times New Roman" w:eastAsia="Times New Roman" w:hAnsi="Times New Roman" w:cs="Times New Roman"/>
          <w:sz w:val="24"/>
          <w:szCs w:val="24"/>
        </w:rPr>
        <w:t>Combretaceae</w:t>
      </w:r>
      <w:proofErr w:type="spellEnd"/>
      <w:r w:rsidR="00CD6CCC" w:rsidRPr="005F44EF">
        <w:rPr>
          <w:rFonts w:ascii="Times New Roman" w:eastAsia="Times New Roman" w:hAnsi="Times New Roman" w:cs="Times New Roman"/>
          <w:sz w:val="24"/>
          <w:szCs w:val="24"/>
        </w:rPr>
        <w:t xml:space="preserve"> and </w:t>
      </w:r>
      <w:proofErr w:type="spellStart"/>
      <w:r w:rsidR="00CD6CCC" w:rsidRPr="005F44EF">
        <w:rPr>
          <w:rFonts w:ascii="Times New Roman" w:eastAsia="Times New Roman" w:hAnsi="Times New Roman" w:cs="Times New Roman"/>
          <w:sz w:val="24"/>
          <w:szCs w:val="24"/>
        </w:rPr>
        <w:t>Melastomataceae</w:t>
      </w:r>
      <w:proofErr w:type="spellEnd"/>
      <w:r w:rsidR="00CD6CCC" w:rsidRPr="005F44EF">
        <w:rPr>
          <w:rFonts w:ascii="Times New Roman" w:eastAsia="Times New Roman" w:hAnsi="Times New Roman" w:cs="Times New Roman"/>
          <w:sz w:val="24"/>
          <w:szCs w:val="24"/>
        </w:rPr>
        <w:t xml:space="preserve"> and is thus listed as </w:t>
      </w:r>
      <w:proofErr w:type="spellStart"/>
      <w:r w:rsidR="00CD6CCC" w:rsidRPr="005F44EF">
        <w:rPr>
          <w:rFonts w:ascii="Times New Roman" w:eastAsia="Times New Roman" w:hAnsi="Times New Roman" w:cs="Times New Roman"/>
          <w:sz w:val="24"/>
          <w:szCs w:val="24"/>
        </w:rPr>
        <w:t>Combretaceae-Melastomataceae</w:t>
      </w:r>
      <w:proofErr w:type="spellEnd"/>
      <w:r w:rsidR="00CD6CCC" w:rsidRPr="005F44EF">
        <w:rPr>
          <w:rFonts w:ascii="Times New Roman" w:eastAsia="Times New Roman" w:hAnsi="Times New Roman" w:cs="Times New Roman"/>
          <w:sz w:val="24"/>
          <w:szCs w:val="24"/>
        </w:rPr>
        <w:t xml:space="preserve">. There are many species that can be attributed to this pollen type, but </w:t>
      </w:r>
      <w:r w:rsidR="00CD6CCC" w:rsidRPr="005F44EF">
        <w:rPr>
          <w:rFonts w:ascii="Times New Roman" w:eastAsia="Times New Roman" w:hAnsi="Times New Roman" w:cs="Times New Roman"/>
          <w:i/>
          <w:sz w:val="24"/>
          <w:szCs w:val="24"/>
        </w:rPr>
        <w:t xml:space="preserve">Terminalia </w:t>
      </w:r>
      <w:proofErr w:type="spellStart"/>
      <w:r w:rsidR="00CD6CCC" w:rsidRPr="005F44EF">
        <w:rPr>
          <w:rFonts w:ascii="Times New Roman" w:eastAsia="Times New Roman" w:hAnsi="Times New Roman" w:cs="Times New Roman"/>
          <w:i/>
          <w:sz w:val="24"/>
          <w:szCs w:val="24"/>
        </w:rPr>
        <w:t>superba</w:t>
      </w:r>
      <w:proofErr w:type="spellEnd"/>
      <w:r w:rsidR="00CD6CCC" w:rsidRPr="005F44EF">
        <w:rPr>
          <w:rFonts w:ascii="Times New Roman" w:eastAsia="Times New Roman" w:hAnsi="Times New Roman" w:cs="Times New Roman"/>
          <w:sz w:val="24"/>
          <w:szCs w:val="24"/>
        </w:rPr>
        <w:t xml:space="preserve"> Engl. &amp; Diels is often associated with </w:t>
      </w:r>
      <w:r w:rsidR="00CD6CCC" w:rsidRPr="005F44EF">
        <w:rPr>
          <w:rFonts w:ascii="Times New Roman" w:eastAsia="Times New Roman" w:hAnsi="Times New Roman" w:cs="Times New Roman"/>
          <w:i/>
          <w:sz w:val="24"/>
          <w:szCs w:val="24"/>
        </w:rPr>
        <w:t xml:space="preserve">H. </w:t>
      </w:r>
      <w:proofErr w:type="spellStart"/>
      <w:r w:rsidR="00CD6CCC" w:rsidRPr="005F44EF">
        <w:rPr>
          <w:rFonts w:ascii="Times New Roman" w:eastAsia="Times New Roman" w:hAnsi="Times New Roman" w:cs="Times New Roman"/>
          <w:i/>
          <w:sz w:val="24"/>
          <w:szCs w:val="24"/>
        </w:rPr>
        <w:t>umbellata</w:t>
      </w:r>
      <w:proofErr w:type="spellEnd"/>
      <w:r w:rsidR="00CD6CCC" w:rsidRPr="005F44EF">
        <w:rPr>
          <w:rFonts w:ascii="Times New Roman" w:eastAsia="Times New Roman" w:hAnsi="Times New Roman" w:cs="Times New Roman"/>
          <w:sz w:val="24"/>
          <w:szCs w:val="24"/>
        </w:rPr>
        <w:t xml:space="preserve"> and many </w:t>
      </w:r>
      <w:proofErr w:type="spellStart"/>
      <w:r w:rsidR="00CD6CCC" w:rsidRPr="005F44EF">
        <w:rPr>
          <w:rFonts w:ascii="Times New Roman" w:eastAsia="Times New Roman" w:hAnsi="Times New Roman" w:cs="Times New Roman"/>
          <w:sz w:val="24"/>
          <w:szCs w:val="24"/>
        </w:rPr>
        <w:t>Melastomataceae</w:t>
      </w:r>
      <w:proofErr w:type="spellEnd"/>
      <w:r w:rsidR="00CD6CCC" w:rsidRPr="005F44EF">
        <w:rPr>
          <w:rFonts w:ascii="Times New Roman" w:eastAsia="Times New Roman" w:hAnsi="Times New Roman" w:cs="Times New Roman"/>
          <w:sz w:val="24"/>
          <w:szCs w:val="24"/>
        </w:rPr>
        <w:t xml:space="preserve"> are associated with channels in flooded forest settings.</w:t>
      </w:r>
    </w:p>
    <w:p w14:paraId="684FC7B1" w14:textId="77777777" w:rsidR="00CD6CCC" w:rsidRPr="005F44EF" w:rsidRDefault="00CD6CCC" w:rsidP="003C4DD5">
      <w:pPr>
        <w:spacing w:after="0" w:line="276" w:lineRule="auto"/>
        <w:jc w:val="both"/>
        <w:rPr>
          <w:rFonts w:ascii="Times New Roman" w:eastAsia="Times New Roman" w:hAnsi="Times New Roman" w:cs="Times New Roman"/>
          <w:b/>
          <w:sz w:val="24"/>
          <w:szCs w:val="24"/>
        </w:rPr>
      </w:pPr>
    </w:p>
    <w:p w14:paraId="7702F128" w14:textId="25F2CA30" w:rsidR="00217793" w:rsidRPr="005F44EF" w:rsidRDefault="00217793">
      <w:pPr>
        <w:spacing w:after="0" w:line="276" w:lineRule="auto"/>
        <w:jc w:val="both"/>
        <w:rPr>
          <w:rFonts w:ascii="Times New Roman" w:eastAsia="Times New Roman" w:hAnsi="Times New Roman" w:cs="Times New Roman"/>
          <w:b/>
          <w:sz w:val="24"/>
          <w:szCs w:val="24"/>
        </w:rPr>
      </w:pPr>
      <w:bookmarkStart w:id="110" w:name="_Hlk170655038"/>
    </w:p>
    <w:p w14:paraId="6E435273" w14:textId="78647537" w:rsidR="00A544A6" w:rsidRPr="005F44EF" w:rsidRDefault="00A544A6">
      <w:pPr>
        <w:spacing w:after="0" w:line="276" w:lineRule="auto"/>
        <w:jc w:val="both"/>
        <w:rPr>
          <w:rFonts w:ascii="Times New Roman" w:eastAsia="Times New Roman" w:hAnsi="Times New Roman" w:cs="Times New Roman"/>
          <w:b/>
          <w:sz w:val="24"/>
          <w:szCs w:val="24"/>
        </w:rPr>
      </w:pPr>
    </w:p>
    <w:p w14:paraId="40F1B033" w14:textId="77777777" w:rsidR="00A544A6" w:rsidRPr="005F44EF" w:rsidRDefault="00A544A6">
      <w:pPr>
        <w:spacing w:after="0" w:line="276" w:lineRule="auto"/>
        <w:jc w:val="both"/>
        <w:rPr>
          <w:rFonts w:ascii="Times New Roman" w:eastAsia="Times New Roman" w:hAnsi="Times New Roman" w:cs="Times New Roman"/>
          <w:b/>
          <w:sz w:val="24"/>
          <w:szCs w:val="24"/>
        </w:rPr>
      </w:pPr>
    </w:p>
    <w:p w14:paraId="75B0BB66" w14:textId="77777777" w:rsidR="00217793" w:rsidRPr="005F44EF" w:rsidRDefault="00217793">
      <w:pPr>
        <w:spacing w:after="0" w:line="276" w:lineRule="auto"/>
        <w:jc w:val="both"/>
        <w:rPr>
          <w:rFonts w:ascii="Times New Roman" w:eastAsia="Times New Roman" w:hAnsi="Times New Roman" w:cs="Times New Roman"/>
          <w:b/>
          <w:sz w:val="24"/>
          <w:szCs w:val="24"/>
        </w:rPr>
      </w:pPr>
    </w:p>
    <w:p w14:paraId="78B1030C" w14:textId="49C06A09" w:rsidR="00BB7AA9" w:rsidRPr="005F44EF" w:rsidRDefault="003C4DD5">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b/>
          <w:sz w:val="24"/>
          <w:szCs w:val="24"/>
        </w:rPr>
        <w:lastRenderedPageBreak/>
        <w:t>Figure S</w:t>
      </w:r>
      <w:r w:rsidR="0001712E" w:rsidRPr="005F44EF">
        <w:rPr>
          <w:rFonts w:ascii="Times New Roman" w:eastAsia="Times New Roman" w:hAnsi="Times New Roman" w:cs="Times New Roman"/>
          <w:b/>
          <w:sz w:val="24"/>
          <w:szCs w:val="24"/>
        </w:rPr>
        <w:t>23</w:t>
      </w:r>
      <w:r w:rsidRPr="005F44EF">
        <w:rPr>
          <w:rFonts w:ascii="Times New Roman" w:eastAsia="Times New Roman" w:hAnsi="Times New Roman" w:cs="Times New Roman"/>
          <w:b/>
          <w:sz w:val="24"/>
          <w:szCs w:val="24"/>
        </w:rPr>
        <w:t xml:space="preserve">: </w:t>
      </w:r>
      <w:r w:rsidRPr="005F44EF">
        <w:rPr>
          <w:rFonts w:ascii="Times New Roman" w:eastAsia="Times New Roman" w:hAnsi="Times New Roman" w:cs="Times New Roman"/>
          <w:sz w:val="24"/>
          <w:szCs w:val="24"/>
        </w:rPr>
        <w:t>Plot showing abundance of different pollen morphotaxa as concentrations per gram.</w:t>
      </w:r>
    </w:p>
    <w:bookmarkEnd w:id="110"/>
    <w:p w14:paraId="39CECE95" w14:textId="77777777" w:rsidR="00BB7AA9" w:rsidRPr="005F44EF" w:rsidRDefault="00B9564D">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noProof/>
          <w:sz w:val="24"/>
          <w:szCs w:val="24"/>
          <w:lang w:val="en-AU" w:eastAsia="en-AU"/>
        </w:rPr>
        <w:drawing>
          <wp:inline distT="114300" distB="114300" distL="114300" distR="114300" wp14:anchorId="6DBD0B6D" wp14:editId="301D7994">
            <wp:extent cx="5910943" cy="4582886"/>
            <wp:effectExtent l="0" t="0" r="0" b="8255"/>
            <wp:docPr id="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rotWithShape="1">
                    <a:blip r:embed="rId48"/>
                    <a:srcRect r="11681"/>
                    <a:stretch/>
                  </pic:blipFill>
                  <pic:spPr bwMode="auto">
                    <a:xfrm>
                      <a:off x="0" y="0"/>
                      <a:ext cx="5926931" cy="4595282"/>
                    </a:xfrm>
                    <a:prstGeom prst="rect">
                      <a:avLst/>
                    </a:prstGeom>
                    <a:ln>
                      <a:noFill/>
                    </a:ln>
                    <a:extLst>
                      <a:ext uri="{53640926-AAD7-44D8-BBD7-CCE9431645EC}">
                        <a14:shadowObscured xmlns:a14="http://schemas.microsoft.com/office/drawing/2010/main"/>
                      </a:ext>
                    </a:extLst>
                  </pic:spPr>
                </pic:pic>
              </a:graphicData>
            </a:graphic>
          </wp:inline>
        </w:drawing>
      </w:r>
    </w:p>
    <w:p w14:paraId="36ADEDDC" w14:textId="263FE9B6" w:rsidR="008F43C2" w:rsidRPr="005F44EF" w:rsidRDefault="008F43C2">
      <w:pPr>
        <w:spacing w:before="180" w:after="180" w:line="276" w:lineRule="auto"/>
        <w:jc w:val="both"/>
        <w:rPr>
          <w:rFonts w:ascii="Times New Roman" w:eastAsia="Times New Roman" w:hAnsi="Times New Roman" w:cs="Times New Roman"/>
          <w:sz w:val="24"/>
          <w:szCs w:val="24"/>
        </w:rPr>
      </w:pPr>
    </w:p>
    <w:p w14:paraId="63ACEAC0" w14:textId="356997EC" w:rsidR="00BB7AA9" w:rsidRPr="005F44EF" w:rsidRDefault="008F43C2">
      <w:pPr>
        <w:spacing w:before="180" w:after="180" w:line="276" w:lineRule="auto"/>
        <w:jc w:val="both"/>
        <w:rPr>
          <w:rFonts w:ascii="Times New Roman" w:eastAsia="Times New Roman" w:hAnsi="Times New Roman" w:cs="Times New Roman"/>
          <w:sz w:val="24"/>
          <w:szCs w:val="24"/>
        </w:rPr>
      </w:pPr>
      <w:r w:rsidRPr="005F44EF">
        <w:rPr>
          <w:rFonts w:ascii="Times New Roman" w:hAnsi="Times New Roman" w:cs="Times New Roman"/>
          <w:noProof/>
          <w:lang w:val="en-AU" w:eastAsia="en-AU"/>
        </w:rPr>
        <w:lastRenderedPageBreak/>
        <w:drawing>
          <wp:anchor distT="114300" distB="114300" distL="114300" distR="114300" simplePos="0" relativeHeight="251671552" behindDoc="0" locked="0" layoutInCell="1" hidden="0" allowOverlap="1" wp14:anchorId="214C8DD9" wp14:editId="6CEE405E">
            <wp:simplePos x="0" y="0"/>
            <wp:positionH relativeFrom="column">
              <wp:posOffset>3175</wp:posOffset>
            </wp:positionH>
            <wp:positionV relativeFrom="paragraph">
              <wp:posOffset>362585</wp:posOffset>
            </wp:positionV>
            <wp:extent cx="5746115" cy="7652385"/>
            <wp:effectExtent l="0" t="0" r="6985" b="5715"/>
            <wp:wrapTopAndBottom distT="114300" distB="114300"/>
            <wp:docPr id="3"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49"/>
                    <a:srcRect/>
                    <a:stretch>
                      <a:fillRect/>
                    </a:stretch>
                  </pic:blipFill>
                  <pic:spPr>
                    <a:xfrm>
                      <a:off x="0" y="0"/>
                      <a:ext cx="5746115" cy="7652385"/>
                    </a:xfrm>
                    <a:prstGeom prst="rect">
                      <a:avLst/>
                    </a:prstGeom>
                    <a:ln/>
                  </pic:spPr>
                </pic:pic>
              </a:graphicData>
            </a:graphic>
            <wp14:sizeRelH relativeFrom="margin">
              <wp14:pctWidth>0</wp14:pctWidth>
            </wp14:sizeRelH>
            <wp14:sizeRelV relativeFrom="margin">
              <wp14:pctHeight>0</wp14:pctHeight>
            </wp14:sizeRelV>
          </wp:anchor>
        </w:drawing>
      </w:r>
      <w:bookmarkStart w:id="111" w:name="_Hlk170655059"/>
      <w:r w:rsidR="00B9564D" w:rsidRPr="005F44EF">
        <w:rPr>
          <w:rFonts w:ascii="Times New Roman" w:eastAsia="Times New Roman" w:hAnsi="Times New Roman" w:cs="Times New Roman"/>
          <w:b/>
          <w:sz w:val="24"/>
          <w:szCs w:val="24"/>
        </w:rPr>
        <w:t>Figure S</w:t>
      </w:r>
      <w:r w:rsidR="0001712E" w:rsidRPr="005F44EF">
        <w:rPr>
          <w:rFonts w:ascii="Times New Roman" w:eastAsia="Times New Roman" w:hAnsi="Times New Roman" w:cs="Times New Roman"/>
          <w:b/>
          <w:sz w:val="24"/>
          <w:szCs w:val="24"/>
        </w:rPr>
        <w:t>24</w:t>
      </w:r>
      <w:r w:rsidR="00B9564D" w:rsidRPr="005F44EF">
        <w:rPr>
          <w:rFonts w:ascii="Times New Roman" w:eastAsia="Times New Roman" w:hAnsi="Times New Roman" w:cs="Times New Roman"/>
          <w:b/>
          <w:sz w:val="24"/>
          <w:szCs w:val="24"/>
        </w:rPr>
        <w:t>:</w:t>
      </w:r>
      <w:r w:rsidR="00F24010">
        <w:rPr>
          <w:rFonts w:ascii="Times New Roman" w:eastAsia="Times New Roman" w:hAnsi="Times New Roman" w:cs="Times New Roman"/>
          <w:b/>
          <w:sz w:val="24"/>
          <w:szCs w:val="24"/>
        </w:rPr>
        <w:t xml:space="preserve"> </w:t>
      </w:r>
      <w:r w:rsidR="00B9564D" w:rsidRPr="005F44EF">
        <w:rPr>
          <w:rFonts w:ascii="Times New Roman" w:eastAsia="Times New Roman" w:hAnsi="Times New Roman" w:cs="Times New Roman"/>
          <w:sz w:val="24"/>
          <w:szCs w:val="24"/>
        </w:rPr>
        <w:t>Images of important pollen types at 100x magnification.</w:t>
      </w:r>
      <w:bookmarkEnd w:id="111"/>
    </w:p>
    <w:p w14:paraId="7BB6C2DB" w14:textId="2906C324" w:rsidR="00BB7AA9" w:rsidRPr="005F44EF" w:rsidRDefault="008F43C2">
      <w:pPr>
        <w:spacing w:before="180" w:after="180" w:line="276" w:lineRule="auto"/>
        <w:jc w:val="both"/>
        <w:rPr>
          <w:rFonts w:ascii="Times New Roman" w:eastAsia="Times New Roman" w:hAnsi="Times New Roman" w:cs="Times New Roman"/>
          <w:sz w:val="24"/>
          <w:szCs w:val="24"/>
        </w:rPr>
      </w:pPr>
      <w:r w:rsidRPr="005F44EF">
        <w:rPr>
          <w:rFonts w:ascii="Times New Roman" w:hAnsi="Times New Roman" w:cs="Times New Roman"/>
          <w:noProof/>
          <w:lang w:val="en-AU" w:eastAsia="en-AU"/>
        </w:rPr>
        <w:lastRenderedPageBreak/>
        <w:drawing>
          <wp:anchor distT="114300" distB="114300" distL="114300" distR="114300" simplePos="0" relativeHeight="251673600" behindDoc="0" locked="0" layoutInCell="1" hidden="0" allowOverlap="1" wp14:anchorId="4E38DDF9" wp14:editId="34E4028C">
            <wp:simplePos x="0" y="0"/>
            <wp:positionH relativeFrom="column">
              <wp:posOffset>3719</wp:posOffset>
            </wp:positionH>
            <wp:positionV relativeFrom="paragraph">
              <wp:posOffset>319133</wp:posOffset>
            </wp:positionV>
            <wp:extent cx="5894615" cy="7859486"/>
            <wp:effectExtent l="0" t="0" r="0" b="8255"/>
            <wp:wrapTopAndBottom distT="114300" distB="114300"/>
            <wp:docPr id="9"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50"/>
                    <a:srcRect/>
                    <a:stretch>
                      <a:fillRect/>
                    </a:stretch>
                  </pic:blipFill>
                  <pic:spPr>
                    <a:xfrm>
                      <a:off x="0" y="0"/>
                      <a:ext cx="5895570" cy="7860759"/>
                    </a:xfrm>
                    <a:prstGeom prst="rect">
                      <a:avLst/>
                    </a:prstGeom>
                    <a:ln/>
                  </pic:spPr>
                </pic:pic>
              </a:graphicData>
            </a:graphic>
            <wp14:sizeRelH relativeFrom="margin">
              <wp14:pctWidth>0</wp14:pctWidth>
            </wp14:sizeRelH>
            <wp14:sizeRelV relativeFrom="margin">
              <wp14:pctHeight>0</wp14:pctHeight>
            </wp14:sizeRelV>
          </wp:anchor>
        </w:drawing>
      </w:r>
      <w:bookmarkStart w:id="112" w:name="_Hlk170655072"/>
      <w:r w:rsidR="00B9564D" w:rsidRPr="005F44EF">
        <w:rPr>
          <w:rFonts w:ascii="Times New Roman" w:eastAsia="Times New Roman" w:hAnsi="Times New Roman" w:cs="Times New Roman"/>
          <w:b/>
          <w:sz w:val="24"/>
          <w:szCs w:val="24"/>
        </w:rPr>
        <w:t>Figure S</w:t>
      </w:r>
      <w:r w:rsidR="0001712E" w:rsidRPr="005F44EF">
        <w:rPr>
          <w:rFonts w:ascii="Times New Roman" w:eastAsia="Times New Roman" w:hAnsi="Times New Roman" w:cs="Times New Roman"/>
          <w:b/>
          <w:sz w:val="24"/>
          <w:szCs w:val="24"/>
        </w:rPr>
        <w:t>25</w:t>
      </w:r>
      <w:r w:rsidR="00B9564D" w:rsidRPr="005F44EF">
        <w:rPr>
          <w:rFonts w:ascii="Times New Roman" w:eastAsia="Times New Roman" w:hAnsi="Times New Roman" w:cs="Times New Roman"/>
          <w:b/>
          <w:sz w:val="24"/>
          <w:szCs w:val="24"/>
        </w:rPr>
        <w:t xml:space="preserve">: </w:t>
      </w:r>
      <w:r w:rsidR="00B9564D" w:rsidRPr="005F44EF">
        <w:rPr>
          <w:rFonts w:ascii="Times New Roman" w:eastAsia="Times New Roman" w:hAnsi="Times New Roman" w:cs="Times New Roman"/>
          <w:sz w:val="24"/>
          <w:szCs w:val="24"/>
        </w:rPr>
        <w:t xml:space="preserve">Images of important pollen types at 100x magnification, including anther </w:t>
      </w:r>
      <w:bookmarkEnd w:id="112"/>
      <w:r w:rsidR="00B9564D" w:rsidRPr="005F44EF">
        <w:rPr>
          <w:rFonts w:ascii="Times New Roman" w:eastAsia="Times New Roman" w:hAnsi="Times New Roman" w:cs="Times New Roman"/>
          <w:sz w:val="24"/>
          <w:szCs w:val="24"/>
        </w:rPr>
        <w:t>fragments.</w:t>
      </w:r>
    </w:p>
    <w:p w14:paraId="2D5E361C" w14:textId="72D99B3D" w:rsidR="00BB7AA9" w:rsidRPr="005F44EF" w:rsidRDefault="00B9564D">
      <w:pPr>
        <w:spacing w:before="180" w:after="18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lastRenderedPageBreak/>
        <w:t>This pattern is repeated in the sample</w:t>
      </w:r>
      <w:r w:rsidR="00251D38" w:rsidRPr="005F44EF">
        <w:rPr>
          <w:rFonts w:ascii="Times New Roman" w:eastAsia="Times New Roman" w:hAnsi="Times New Roman" w:cs="Times New Roman"/>
          <w:sz w:val="24"/>
          <w:szCs w:val="24"/>
        </w:rPr>
        <w:t xml:space="preserve"> 31</w:t>
      </w:r>
      <w:r w:rsidRPr="005F44EF">
        <w:rPr>
          <w:rFonts w:ascii="Times New Roman" w:eastAsia="Times New Roman" w:hAnsi="Times New Roman" w:cs="Times New Roman"/>
          <w:sz w:val="24"/>
          <w:szCs w:val="24"/>
        </w:rPr>
        <w:t xml:space="preserve">, although at smaller pollen concentrations and with some minor contributions from </w:t>
      </w:r>
      <w:proofErr w:type="spellStart"/>
      <w:r w:rsidRPr="005F44EF">
        <w:rPr>
          <w:rFonts w:ascii="Times New Roman" w:eastAsia="Times New Roman" w:hAnsi="Times New Roman" w:cs="Times New Roman"/>
          <w:i/>
          <w:sz w:val="24"/>
          <w:szCs w:val="24"/>
        </w:rPr>
        <w:t>Canarium</w:t>
      </w:r>
      <w:proofErr w:type="spellEnd"/>
      <w:r w:rsidRPr="005F44EF">
        <w:rPr>
          <w:rFonts w:ascii="Times New Roman" w:eastAsia="Times New Roman" w:hAnsi="Times New Roman" w:cs="Times New Roman"/>
          <w:i/>
          <w:sz w:val="24"/>
          <w:szCs w:val="24"/>
        </w:rPr>
        <w:t xml:space="preserve"> </w:t>
      </w:r>
      <w:proofErr w:type="spellStart"/>
      <w:r w:rsidRPr="005F44EF">
        <w:rPr>
          <w:rFonts w:ascii="Times New Roman" w:eastAsia="Times New Roman" w:hAnsi="Times New Roman" w:cs="Times New Roman"/>
          <w:i/>
          <w:sz w:val="24"/>
          <w:szCs w:val="24"/>
        </w:rPr>
        <w:t>schweinfurthii</w:t>
      </w:r>
      <w:proofErr w:type="spellEnd"/>
      <w:r w:rsidRPr="005F44EF">
        <w:rPr>
          <w:rFonts w:ascii="Times New Roman" w:eastAsia="Times New Roman" w:hAnsi="Times New Roman" w:cs="Times New Roman"/>
          <w:sz w:val="24"/>
          <w:szCs w:val="24"/>
        </w:rPr>
        <w:t xml:space="preserve"> and </w:t>
      </w:r>
      <w:proofErr w:type="spellStart"/>
      <w:r w:rsidRPr="005F44EF">
        <w:rPr>
          <w:rFonts w:ascii="Times New Roman" w:eastAsia="Times New Roman" w:hAnsi="Times New Roman" w:cs="Times New Roman"/>
          <w:i/>
          <w:sz w:val="24"/>
          <w:szCs w:val="24"/>
        </w:rPr>
        <w:t>Pentadesma</w:t>
      </w:r>
      <w:proofErr w:type="spellEnd"/>
      <w:r w:rsidRPr="005F44EF">
        <w:rPr>
          <w:rFonts w:ascii="Times New Roman" w:eastAsia="Times New Roman" w:hAnsi="Times New Roman" w:cs="Times New Roman"/>
          <w:sz w:val="24"/>
          <w:szCs w:val="24"/>
        </w:rPr>
        <w:t xml:space="preserve">. The latter is likely </w:t>
      </w:r>
      <w:r w:rsidRPr="005F44EF">
        <w:rPr>
          <w:rFonts w:ascii="Times New Roman" w:eastAsia="Times New Roman" w:hAnsi="Times New Roman" w:cs="Times New Roman"/>
          <w:i/>
          <w:sz w:val="24"/>
          <w:szCs w:val="24"/>
        </w:rPr>
        <w:t xml:space="preserve">P. </w:t>
      </w:r>
      <w:proofErr w:type="spellStart"/>
      <w:r w:rsidRPr="005F44EF">
        <w:rPr>
          <w:rFonts w:ascii="Times New Roman" w:eastAsia="Times New Roman" w:hAnsi="Times New Roman" w:cs="Times New Roman"/>
          <w:i/>
          <w:sz w:val="24"/>
          <w:szCs w:val="24"/>
        </w:rPr>
        <w:t>butryacea</w:t>
      </w:r>
      <w:proofErr w:type="spellEnd"/>
      <w:r w:rsidRPr="005F44EF">
        <w:rPr>
          <w:rFonts w:ascii="Times New Roman" w:eastAsia="Times New Roman" w:hAnsi="Times New Roman" w:cs="Times New Roman"/>
          <w:sz w:val="24"/>
          <w:szCs w:val="24"/>
        </w:rPr>
        <w:t xml:space="preserve"> Sabine., which is an evergreen tree with affiliations with swamp and riparian forest environments. </w:t>
      </w:r>
      <w:r w:rsidRPr="005F44EF">
        <w:rPr>
          <w:rFonts w:ascii="Times New Roman" w:eastAsia="Times New Roman" w:hAnsi="Times New Roman" w:cs="Times New Roman"/>
          <w:i/>
          <w:sz w:val="24"/>
          <w:szCs w:val="24"/>
        </w:rPr>
        <w:t xml:space="preserve">C. </w:t>
      </w:r>
      <w:proofErr w:type="spellStart"/>
      <w:r w:rsidRPr="005F44EF">
        <w:rPr>
          <w:rFonts w:ascii="Times New Roman" w:eastAsia="Times New Roman" w:hAnsi="Times New Roman" w:cs="Times New Roman"/>
          <w:i/>
          <w:sz w:val="24"/>
          <w:szCs w:val="24"/>
        </w:rPr>
        <w:t>schweinfurthii</w:t>
      </w:r>
      <w:proofErr w:type="spellEnd"/>
      <w:r w:rsidRPr="005F44EF">
        <w:rPr>
          <w:rFonts w:ascii="Times New Roman" w:eastAsia="Times New Roman" w:hAnsi="Times New Roman" w:cs="Times New Roman"/>
          <w:sz w:val="24"/>
          <w:szCs w:val="24"/>
        </w:rPr>
        <w:t xml:space="preserve"> is broadly distributed across closed and open forest, but is rare outside of riparian and lacustrine settings. </w:t>
      </w:r>
      <w:r w:rsidRPr="005F44EF">
        <w:rPr>
          <w:rFonts w:ascii="Times New Roman" w:eastAsia="Times New Roman" w:hAnsi="Times New Roman" w:cs="Times New Roman"/>
          <w:i/>
          <w:sz w:val="24"/>
          <w:szCs w:val="24"/>
        </w:rPr>
        <w:t xml:space="preserve">C. </w:t>
      </w:r>
      <w:proofErr w:type="spellStart"/>
      <w:r w:rsidRPr="005F44EF">
        <w:rPr>
          <w:rFonts w:ascii="Times New Roman" w:eastAsia="Times New Roman" w:hAnsi="Times New Roman" w:cs="Times New Roman"/>
          <w:i/>
          <w:sz w:val="24"/>
          <w:szCs w:val="24"/>
        </w:rPr>
        <w:t>schweinfurthii</w:t>
      </w:r>
      <w:proofErr w:type="spellEnd"/>
      <w:r w:rsidRPr="005F44EF">
        <w:rPr>
          <w:rFonts w:ascii="Times New Roman" w:eastAsia="Times New Roman" w:hAnsi="Times New Roman" w:cs="Times New Roman"/>
          <w:sz w:val="24"/>
          <w:szCs w:val="24"/>
        </w:rPr>
        <w:t xml:space="preserve"> is also part of the forest communities where </w:t>
      </w:r>
      <w:r w:rsidRPr="005F44EF">
        <w:rPr>
          <w:rFonts w:ascii="Times New Roman" w:eastAsia="Times New Roman" w:hAnsi="Times New Roman" w:cs="Times New Roman"/>
          <w:i/>
          <w:sz w:val="24"/>
          <w:szCs w:val="24"/>
        </w:rPr>
        <w:t xml:space="preserve">H. </w:t>
      </w:r>
      <w:proofErr w:type="spellStart"/>
      <w:r w:rsidRPr="005F44EF">
        <w:rPr>
          <w:rFonts w:ascii="Times New Roman" w:eastAsia="Times New Roman" w:hAnsi="Times New Roman" w:cs="Times New Roman"/>
          <w:i/>
          <w:sz w:val="24"/>
          <w:szCs w:val="24"/>
        </w:rPr>
        <w:t>umbellata</w:t>
      </w:r>
      <w:proofErr w:type="spellEnd"/>
      <w:r w:rsidRPr="005F44EF">
        <w:rPr>
          <w:rFonts w:ascii="Times New Roman" w:eastAsia="Times New Roman" w:hAnsi="Times New Roman" w:cs="Times New Roman"/>
          <w:sz w:val="24"/>
          <w:szCs w:val="24"/>
        </w:rPr>
        <w:t xml:space="preserve"> and </w:t>
      </w:r>
      <w:r w:rsidRPr="005F44EF">
        <w:rPr>
          <w:rFonts w:ascii="Times New Roman" w:eastAsia="Times New Roman" w:hAnsi="Times New Roman" w:cs="Times New Roman"/>
          <w:i/>
          <w:sz w:val="24"/>
          <w:szCs w:val="24"/>
        </w:rPr>
        <w:t xml:space="preserve">T. </w:t>
      </w:r>
      <w:proofErr w:type="spellStart"/>
      <w:r w:rsidRPr="005F44EF">
        <w:rPr>
          <w:rFonts w:ascii="Times New Roman" w:eastAsia="Times New Roman" w:hAnsi="Times New Roman" w:cs="Times New Roman"/>
          <w:i/>
          <w:sz w:val="24"/>
          <w:szCs w:val="24"/>
        </w:rPr>
        <w:t>superba</w:t>
      </w:r>
      <w:proofErr w:type="spellEnd"/>
      <w:r w:rsidRPr="005F44EF">
        <w:rPr>
          <w:rFonts w:ascii="Times New Roman" w:eastAsia="Times New Roman" w:hAnsi="Times New Roman" w:cs="Times New Roman"/>
          <w:sz w:val="24"/>
          <w:szCs w:val="24"/>
        </w:rPr>
        <w:t xml:space="preserve"> co-occur</w:t>
      </w:r>
      <w:hyperlink r:id="rId51">
        <w:r w:rsidRPr="005F44EF">
          <w:rPr>
            <w:rFonts w:ascii="Times New Roman" w:eastAsia="Times New Roman" w:hAnsi="Times New Roman" w:cs="Times New Roman"/>
            <w:sz w:val="24"/>
            <w:szCs w:val="24"/>
            <w:vertAlign w:val="superscript"/>
          </w:rPr>
          <w:t>93</w:t>
        </w:r>
      </w:hyperlink>
      <w:r w:rsidRPr="005F44EF">
        <w:rPr>
          <w:rFonts w:ascii="Times New Roman" w:eastAsia="Times New Roman" w:hAnsi="Times New Roman" w:cs="Times New Roman"/>
          <w:sz w:val="24"/>
          <w:szCs w:val="24"/>
        </w:rPr>
        <w:t xml:space="preserve">. Grasses as well as </w:t>
      </w:r>
      <w:proofErr w:type="spellStart"/>
      <w:r w:rsidRPr="005F44EF">
        <w:rPr>
          <w:rFonts w:ascii="Times New Roman" w:eastAsia="Times New Roman" w:hAnsi="Times New Roman" w:cs="Times New Roman"/>
          <w:sz w:val="24"/>
          <w:szCs w:val="24"/>
        </w:rPr>
        <w:t>heliophilic</w:t>
      </w:r>
      <w:proofErr w:type="spellEnd"/>
      <w:r w:rsidRPr="005F44EF">
        <w:rPr>
          <w:rFonts w:ascii="Times New Roman" w:eastAsia="Times New Roman" w:hAnsi="Times New Roman" w:cs="Times New Roman"/>
          <w:sz w:val="24"/>
          <w:szCs w:val="24"/>
        </w:rPr>
        <w:t xml:space="preserve"> herbs and shrubs (</w:t>
      </w:r>
      <w:r w:rsidRPr="005F44EF">
        <w:rPr>
          <w:rFonts w:ascii="Times New Roman" w:eastAsia="Times New Roman" w:hAnsi="Times New Roman" w:cs="Times New Roman"/>
          <w:i/>
          <w:sz w:val="24"/>
          <w:szCs w:val="24"/>
        </w:rPr>
        <w:t>e.g.</w:t>
      </w:r>
      <w:r w:rsidRPr="005F44EF">
        <w:rPr>
          <w:rFonts w:ascii="Times New Roman" w:eastAsia="Times New Roman" w:hAnsi="Times New Roman" w:cs="Times New Roman"/>
          <w:sz w:val="24"/>
          <w:szCs w:val="24"/>
        </w:rPr>
        <w:t xml:space="preserve"> Asteraceae </w:t>
      </w:r>
      <w:proofErr w:type="spellStart"/>
      <w:r w:rsidRPr="005F44EF">
        <w:rPr>
          <w:rFonts w:ascii="Times New Roman" w:eastAsia="Times New Roman" w:hAnsi="Times New Roman" w:cs="Times New Roman"/>
          <w:sz w:val="24"/>
          <w:szCs w:val="24"/>
        </w:rPr>
        <w:t>undiff</w:t>
      </w:r>
      <w:proofErr w:type="spellEnd"/>
      <w:r w:rsidRPr="005F44EF">
        <w:rPr>
          <w:rFonts w:ascii="Times New Roman" w:eastAsia="Times New Roman" w:hAnsi="Times New Roman" w:cs="Times New Roman"/>
          <w:sz w:val="24"/>
          <w:szCs w:val="24"/>
        </w:rPr>
        <w:t>.) are present in this sample at low frequencies.</w:t>
      </w:r>
    </w:p>
    <w:p w14:paraId="124E8F0A" w14:textId="64945E2C" w:rsidR="00BB7AA9" w:rsidRPr="005F44EF" w:rsidRDefault="00B9564D">
      <w:pPr>
        <w:spacing w:before="180" w:after="18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A unique feature of the samples 21 and</w:t>
      </w:r>
      <w:r w:rsidR="00251D38"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sz w:val="24"/>
          <w:szCs w:val="24"/>
        </w:rPr>
        <w:t>30 is a high number of anther fragments (</w:t>
      </w:r>
      <w:r w:rsidRPr="005F44EF">
        <w:rPr>
          <w:rFonts w:ascii="Times New Roman" w:eastAsia="Times New Roman" w:hAnsi="Times New Roman" w:cs="Times New Roman"/>
          <w:b/>
          <w:sz w:val="24"/>
          <w:szCs w:val="24"/>
        </w:rPr>
        <w:t>Figures S</w:t>
      </w:r>
      <w:r w:rsidR="0001712E" w:rsidRPr="005F44EF">
        <w:rPr>
          <w:rFonts w:ascii="Times New Roman" w:eastAsia="Times New Roman" w:hAnsi="Times New Roman" w:cs="Times New Roman"/>
          <w:b/>
          <w:sz w:val="24"/>
          <w:szCs w:val="24"/>
        </w:rPr>
        <w:t>24</w:t>
      </w:r>
      <w:r w:rsidRPr="005F44EF">
        <w:rPr>
          <w:rFonts w:ascii="Times New Roman" w:eastAsia="Times New Roman" w:hAnsi="Times New Roman" w:cs="Times New Roman"/>
          <w:b/>
          <w:sz w:val="24"/>
          <w:szCs w:val="24"/>
        </w:rPr>
        <w:t xml:space="preserve"> and S</w:t>
      </w:r>
      <w:r w:rsidR="0001712E" w:rsidRPr="005F44EF">
        <w:rPr>
          <w:rFonts w:ascii="Times New Roman" w:eastAsia="Times New Roman" w:hAnsi="Times New Roman" w:cs="Times New Roman"/>
          <w:b/>
          <w:sz w:val="24"/>
          <w:szCs w:val="24"/>
        </w:rPr>
        <w:t>25</w:t>
      </w:r>
      <w:r w:rsidRPr="005F44EF">
        <w:rPr>
          <w:rFonts w:ascii="Times New Roman" w:eastAsia="Times New Roman" w:hAnsi="Times New Roman" w:cs="Times New Roman"/>
          <w:sz w:val="24"/>
          <w:szCs w:val="24"/>
        </w:rPr>
        <w:t xml:space="preserve">), which appear as aggregations of pollen from the same morphotaxon. These samples contain many anther fragments from </w:t>
      </w:r>
      <w:proofErr w:type="spellStart"/>
      <w:r w:rsidRPr="005F44EF">
        <w:rPr>
          <w:rFonts w:ascii="Times New Roman" w:eastAsia="Times New Roman" w:hAnsi="Times New Roman" w:cs="Times New Roman"/>
          <w:sz w:val="24"/>
          <w:szCs w:val="24"/>
        </w:rPr>
        <w:t>Combretaceae-Melastomataceae</w:t>
      </w:r>
      <w:proofErr w:type="spellEnd"/>
      <w:r w:rsidRPr="005F44EF">
        <w:rPr>
          <w:rFonts w:ascii="Times New Roman" w:eastAsia="Times New Roman" w:hAnsi="Times New Roman" w:cs="Times New Roman"/>
          <w:sz w:val="24"/>
          <w:szCs w:val="24"/>
        </w:rPr>
        <w:t xml:space="preserve"> </w:t>
      </w:r>
      <w:proofErr w:type="spellStart"/>
      <w:r w:rsidRPr="005F44EF">
        <w:rPr>
          <w:rFonts w:ascii="Times New Roman" w:eastAsia="Times New Roman" w:hAnsi="Times New Roman" w:cs="Times New Roman"/>
          <w:sz w:val="24"/>
          <w:szCs w:val="24"/>
        </w:rPr>
        <w:t>undiff</w:t>
      </w:r>
      <w:proofErr w:type="spellEnd"/>
      <w:r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i/>
          <w:sz w:val="24"/>
          <w:szCs w:val="24"/>
        </w:rPr>
        <w:t xml:space="preserve">E. </w:t>
      </w:r>
      <w:proofErr w:type="spellStart"/>
      <w:r w:rsidRPr="005F44EF">
        <w:rPr>
          <w:rFonts w:ascii="Times New Roman" w:eastAsia="Times New Roman" w:hAnsi="Times New Roman" w:cs="Times New Roman"/>
          <w:i/>
          <w:sz w:val="24"/>
          <w:szCs w:val="24"/>
        </w:rPr>
        <w:t>guineensis</w:t>
      </w:r>
      <w:proofErr w:type="spellEnd"/>
      <w:r w:rsidRPr="005F44EF">
        <w:rPr>
          <w:rFonts w:ascii="Times New Roman" w:eastAsia="Times New Roman" w:hAnsi="Times New Roman" w:cs="Times New Roman"/>
          <w:sz w:val="24"/>
          <w:szCs w:val="24"/>
        </w:rPr>
        <w:t xml:space="preserve">, </w:t>
      </w:r>
      <w:r w:rsidRPr="005F44EF">
        <w:rPr>
          <w:rFonts w:ascii="Times New Roman" w:eastAsia="Times New Roman" w:hAnsi="Times New Roman" w:cs="Times New Roman"/>
          <w:i/>
          <w:sz w:val="24"/>
          <w:szCs w:val="24"/>
        </w:rPr>
        <w:t xml:space="preserve">H. </w:t>
      </w:r>
      <w:proofErr w:type="spellStart"/>
      <w:r w:rsidRPr="005F44EF">
        <w:rPr>
          <w:rFonts w:ascii="Times New Roman" w:eastAsia="Times New Roman" w:hAnsi="Times New Roman" w:cs="Times New Roman"/>
          <w:i/>
          <w:sz w:val="24"/>
          <w:szCs w:val="24"/>
        </w:rPr>
        <w:t>umbellata</w:t>
      </w:r>
      <w:proofErr w:type="spellEnd"/>
      <w:r w:rsidRPr="005F44EF">
        <w:rPr>
          <w:rFonts w:ascii="Times New Roman" w:eastAsia="Times New Roman" w:hAnsi="Times New Roman" w:cs="Times New Roman"/>
          <w:sz w:val="24"/>
          <w:szCs w:val="24"/>
        </w:rPr>
        <w:t>, and Asteraceae. These pollen types all include insect-pollinated plants and the sediment samples may be inadvertently sampling ancient insect nests. These fragments may also reflect local deposition of entire flowers and/or anthers, which are present in higher quantities because they preserve better than isolated pollen grains. The preponderance of the sedimentary, geochemical, and sedimentological evidence supports the latter conclusion, but even incidental sampling of insect nests shows that these animals were foraging in local wet forest conditions.</w:t>
      </w:r>
    </w:p>
    <w:p w14:paraId="6AD23551" w14:textId="77777777" w:rsidR="00BB7AA9" w:rsidRPr="005F44EF" w:rsidRDefault="00BB7AA9">
      <w:pPr>
        <w:spacing w:before="180" w:after="180" w:line="276" w:lineRule="auto"/>
        <w:jc w:val="both"/>
        <w:rPr>
          <w:rFonts w:ascii="Times New Roman" w:eastAsia="Times New Roman" w:hAnsi="Times New Roman" w:cs="Times New Roman"/>
          <w:sz w:val="24"/>
          <w:szCs w:val="24"/>
        </w:rPr>
      </w:pPr>
    </w:p>
    <w:p w14:paraId="1D545798" w14:textId="4BD4A8C9" w:rsidR="00BB7AA9" w:rsidRPr="005F44EF" w:rsidRDefault="00B9564D" w:rsidP="008524E9">
      <w:pPr>
        <w:pStyle w:val="Heading3"/>
        <w:rPr>
          <w:rFonts w:cs="Times New Roman"/>
        </w:rPr>
      </w:pPr>
      <w:bookmarkStart w:id="113" w:name="_Toc178429947"/>
      <w:r w:rsidRPr="005F44EF">
        <w:rPr>
          <w:rFonts w:cs="Times New Roman"/>
        </w:rPr>
        <w:t>4.3.5 Conclusions</w:t>
      </w:r>
      <w:bookmarkEnd w:id="113"/>
    </w:p>
    <w:p w14:paraId="385C15EA" w14:textId="77777777" w:rsidR="00602009" w:rsidRPr="005F44EF" w:rsidRDefault="00602009" w:rsidP="00602009">
      <w:pPr>
        <w:rPr>
          <w:rFonts w:ascii="Times New Roman" w:hAnsi="Times New Roman" w:cs="Times New Roman"/>
        </w:rPr>
      </w:pPr>
    </w:p>
    <w:p w14:paraId="70A8532D" w14:textId="0E1A0A86" w:rsidR="00BB7AA9" w:rsidRPr="005F44EF" w:rsidRDefault="00B9564D">
      <w:pPr>
        <w:spacing w:before="180" w:after="18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sz w:val="24"/>
          <w:szCs w:val="24"/>
        </w:rPr>
        <w:t>Analysis of the pollen recovered from the</w:t>
      </w:r>
      <w:r w:rsidR="00251D38" w:rsidRPr="005F44EF">
        <w:rPr>
          <w:rFonts w:ascii="Times New Roman" w:eastAsia="Times New Roman" w:hAnsi="Times New Roman" w:cs="Times New Roman"/>
          <w:sz w:val="24"/>
          <w:szCs w:val="24"/>
        </w:rPr>
        <w:t xml:space="preserve"> Bété I</w:t>
      </w:r>
      <w:r w:rsidR="00251D38" w:rsidRPr="005F44EF">
        <w:rPr>
          <w:rFonts w:ascii="Times New Roman" w:hAnsi="Times New Roman" w:cs="Times New Roman"/>
        </w:rPr>
        <w:t xml:space="preserve"> </w:t>
      </w:r>
      <w:proofErr w:type="gramStart"/>
      <w:r w:rsidRPr="005F44EF">
        <w:rPr>
          <w:rFonts w:ascii="Times New Roman" w:eastAsia="Times New Roman" w:hAnsi="Times New Roman" w:cs="Times New Roman"/>
          <w:sz w:val="24"/>
          <w:szCs w:val="24"/>
        </w:rPr>
        <w:t>samples</w:t>
      </w:r>
      <w:proofErr w:type="gramEnd"/>
      <w:r w:rsidRPr="005F44EF">
        <w:rPr>
          <w:rFonts w:ascii="Times New Roman" w:eastAsia="Times New Roman" w:hAnsi="Times New Roman" w:cs="Times New Roman"/>
          <w:sz w:val="24"/>
          <w:szCs w:val="24"/>
        </w:rPr>
        <w:t xml:space="preserve"> shows that these samples are strongly modified by </w:t>
      </w:r>
      <w:proofErr w:type="spellStart"/>
      <w:r w:rsidRPr="005F44EF">
        <w:rPr>
          <w:rFonts w:ascii="Times New Roman" w:eastAsia="Times New Roman" w:hAnsi="Times New Roman" w:cs="Times New Roman"/>
          <w:sz w:val="24"/>
          <w:szCs w:val="24"/>
        </w:rPr>
        <w:t>taphonomic</w:t>
      </w:r>
      <w:proofErr w:type="spellEnd"/>
      <w:r w:rsidRPr="005F44EF">
        <w:rPr>
          <w:rFonts w:ascii="Times New Roman" w:eastAsia="Times New Roman" w:hAnsi="Times New Roman" w:cs="Times New Roman"/>
          <w:sz w:val="24"/>
          <w:szCs w:val="24"/>
        </w:rPr>
        <w:t xml:space="preserve"> processes, causing the loss of a substantial portion of the pollen signal. However, these samples still yielded identifiable pollen that is useful for assessing past vegetation cover. Furthermore, </w:t>
      </w:r>
      <w:proofErr w:type="spellStart"/>
      <w:r w:rsidRPr="005F44EF">
        <w:rPr>
          <w:rFonts w:ascii="Times New Roman" w:eastAsia="Times New Roman" w:hAnsi="Times New Roman" w:cs="Times New Roman"/>
          <w:sz w:val="24"/>
          <w:szCs w:val="24"/>
        </w:rPr>
        <w:t>taphonomic</w:t>
      </w:r>
      <w:proofErr w:type="spellEnd"/>
      <w:r w:rsidRPr="005F44EF">
        <w:rPr>
          <w:rFonts w:ascii="Times New Roman" w:eastAsia="Times New Roman" w:hAnsi="Times New Roman" w:cs="Times New Roman"/>
          <w:sz w:val="24"/>
          <w:szCs w:val="24"/>
        </w:rPr>
        <w:t xml:space="preserve"> processes tend to bias pollen signals towards pollen types that are wind-pollinated with thick </w:t>
      </w:r>
      <w:proofErr w:type="spellStart"/>
      <w:r w:rsidRPr="005F44EF">
        <w:rPr>
          <w:rFonts w:ascii="Times New Roman" w:eastAsia="Times New Roman" w:hAnsi="Times New Roman" w:cs="Times New Roman"/>
          <w:sz w:val="24"/>
          <w:szCs w:val="24"/>
        </w:rPr>
        <w:t>exines</w:t>
      </w:r>
      <w:proofErr w:type="spellEnd"/>
      <w:r w:rsidRPr="005F44EF">
        <w:rPr>
          <w:rFonts w:ascii="Times New Roman" w:eastAsia="Times New Roman" w:hAnsi="Times New Roman" w:cs="Times New Roman"/>
          <w:sz w:val="24"/>
          <w:szCs w:val="24"/>
        </w:rPr>
        <w:t xml:space="preserve"> and readily identifiable features such as plants in the </w:t>
      </w:r>
      <w:proofErr w:type="spellStart"/>
      <w:r w:rsidRPr="005F44EF">
        <w:rPr>
          <w:rFonts w:ascii="Times New Roman" w:eastAsia="Times New Roman" w:hAnsi="Times New Roman" w:cs="Times New Roman"/>
          <w:sz w:val="24"/>
          <w:szCs w:val="24"/>
        </w:rPr>
        <w:t>Poaceae</w:t>
      </w:r>
      <w:proofErr w:type="spellEnd"/>
      <w:r w:rsidRPr="005F44EF">
        <w:rPr>
          <w:rFonts w:ascii="Times New Roman" w:eastAsia="Times New Roman" w:hAnsi="Times New Roman" w:cs="Times New Roman"/>
          <w:sz w:val="24"/>
          <w:szCs w:val="24"/>
        </w:rPr>
        <w:t xml:space="preserve">, Asteraceae, and </w:t>
      </w:r>
      <w:proofErr w:type="spellStart"/>
      <w:r w:rsidRPr="005F44EF">
        <w:rPr>
          <w:rFonts w:ascii="Times New Roman" w:eastAsia="Times New Roman" w:hAnsi="Times New Roman" w:cs="Times New Roman"/>
          <w:sz w:val="24"/>
          <w:szCs w:val="24"/>
        </w:rPr>
        <w:t>Amaranthaceae</w:t>
      </w:r>
      <w:proofErr w:type="spellEnd"/>
      <w:r w:rsidRPr="005F44EF">
        <w:rPr>
          <w:rFonts w:ascii="Times New Roman" w:eastAsia="Times New Roman" w:hAnsi="Times New Roman" w:cs="Times New Roman"/>
          <w:sz w:val="24"/>
          <w:szCs w:val="24"/>
        </w:rPr>
        <w:t xml:space="preserve">. Finally, we must also recognize that it is sufficient in this case to reject a “savanna”, “wooded savanna”, or “forest savanna mosaic” as the primary environmental context of the </w:t>
      </w:r>
      <w:r w:rsidR="00251D38" w:rsidRPr="005F44EF">
        <w:rPr>
          <w:rFonts w:ascii="Times New Roman" w:eastAsia="Times New Roman" w:hAnsi="Times New Roman" w:cs="Times New Roman"/>
          <w:sz w:val="24"/>
          <w:szCs w:val="24"/>
        </w:rPr>
        <w:t>Bété I</w:t>
      </w:r>
      <w:r w:rsidR="00251D38" w:rsidRPr="005F44EF">
        <w:rPr>
          <w:rFonts w:ascii="Times New Roman" w:hAnsi="Times New Roman" w:cs="Times New Roman"/>
        </w:rPr>
        <w:t xml:space="preserve"> </w:t>
      </w:r>
      <w:proofErr w:type="gramStart"/>
      <w:r w:rsidRPr="005F44EF">
        <w:rPr>
          <w:rFonts w:ascii="Times New Roman" w:eastAsia="Times New Roman" w:hAnsi="Times New Roman" w:cs="Times New Roman"/>
          <w:sz w:val="24"/>
          <w:szCs w:val="24"/>
        </w:rPr>
        <w:t>deposits</w:t>
      </w:r>
      <w:proofErr w:type="gramEnd"/>
      <w:r w:rsidRPr="005F44EF">
        <w:rPr>
          <w:rFonts w:ascii="Times New Roman" w:eastAsia="Times New Roman" w:hAnsi="Times New Roman" w:cs="Times New Roman"/>
          <w:sz w:val="24"/>
          <w:szCs w:val="24"/>
        </w:rPr>
        <w:t xml:space="preserve"> and the pollen results are suitable for this task.</w:t>
      </w:r>
    </w:p>
    <w:p w14:paraId="5E7C8C93" w14:textId="25F2DA4D" w:rsidR="003C4DD5" w:rsidRPr="005F44EF" w:rsidRDefault="00B9564D" w:rsidP="003C4DD5">
      <w:pPr>
        <w:spacing w:after="0" w:line="276" w:lineRule="auto"/>
        <w:jc w:val="both"/>
        <w:rPr>
          <w:rFonts w:ascii="Times New Roman" w:eastAsia="Times New Roman" w:hAnsi="Times New Roman" w:cs="Times New Roman"/>
          <w:b/>
          <w:sz w:val="24"/>
          <w:szCs w:val="24"/>
        </w:rPr>
      </w:pPr>
      <w:r w:rsidRPr="005F44EF">
        <w:rPr>
          <w:rFonts w:ascii="Times New Roman" w:eastAsia="Times New Roman" w:hAnsi="Times New Roman" w:cs="Times New Roman"/>
          <w:sz w:val="24"/>
          <w:szCs w:val="24"/>
        </w:rPr>
        <w:t xml:space="preserve">Samples with low concentrations at </w:t>
      </w:r>
      <w:r w:rsidR="00251D38" w:rsidRPr="005F44EF">
        <w:rPr>
          <w:rFonts w:ascii="Times New Roman" w:eastAsia="Times New Roman" w:hAnsi="Times New Roman" w:cs="Times New Roman"/>
          <w:sz w:val="24"/>
          <w:szCs w:val="24"/>
        </w:rPr>
        <w:t>Bété I</w:t>
      </w:r>
      <w:r w:rsidR="00251D38" w:rsidRPr="005F44EF">
        <w:rPr>
          <w:rFonts w:ascii="Times New Roman" w:hAnsi="Times New Roman" w:cs="Times New Roman"/>
        </w:rPr>
        <w:t xml:space="preserve"> </w:t>
      </w:r>
      <w:r w:rsidRPr="005F44EF">
        <w:rPr>
          <w:rFonts w:ascii="Times New Roman" w:eastAsia="Times New Roman" w:hAnsi="Times New Roman" w:cs="Times New Roman"/>
          <w:sz w:val="24"/>
          <w:szCs w:val="24"/>
        </w:rPr>
        <w:t xml:space="preserve">tend to have greater representation of monocots and </w:t>
      </w:r>
      <w:proofErr w:type="spellStart"/>
      <w:r w:rsidRPr="005F44EF">
        <w:rPr>
          <w:rFonts w:ascii="Times New Roman" w:eastAsia="Times New Roman" w:hAnsi="Times New Roman" w:cs="Times New Roman"/>
          <w:sz w:val="24"/>
          <w:szCs w:val="24"/>
        </w:rPr>
        <w:t>heliophilic</w:t>
      </w:r>
      <w:proofErr w:type="spellEnd"/>
      <w:r w:rsidRPr="005F44EF">
        <w:rPr>
          <w:rFonts w:ascii="Times New Roman" w:eastAsia="Times New Roman" w:hAnsi="Times New Roman" w:cs="Times New Roman"/>
          <w:sz w:val="24"/>
          <w:szCs w:val="24"/>
        </w:rPr>
        <w:t xml:space="preserve"> herbs/shrubs. They also have higher rates of generally indeterminable pollen and tend to have a greater representation of </w:t>
      </w:r>
      <w:proofErr w:type="spellStart"/>
      <w:r w:rsidRPr="005F44EF">
        <w:rPr>
          <w:rFonts w:ascii="Times New Roman" w:eastAsia="Times New Roman" w:hAnsi="Times New Roman" w:cs="Times New Roman"/>
          <w:sz w:val="24"/>
          <w:szCs w:val="24"/>
        </w:rPr>
        <w:t>Poaceae</w:t>
      </w:r>
      <w:proofErr w:type="spellEnd"/>
      <w:r w:rsidRPr="005F44EF">
        <w:rPr>
          <w:rFonts w:ascii="Times New Roman" w:eastAsia="Times New Roman" w:hAnsi="Times New Roman" w:cs="Times New Roman"/>
          <w:sz w:val="24"/>
          <w:szCs w:val="24"/>
        </w:rPr>
        <w:t xml:space="preserve"> and Asteraceae pollen and a lower proportion of non-monocot </w:t>
      </w:r>
      <w:proofErr w:type="spellStart"/>
      <w:r w:rsidRPr="005F44EF">
        <w:rPr>
          <w:rFonts w:ascii="Times New Roman" w:eastAsia="Times New Roman" w:hAnsi="Times New Roman" w:cs="Times New Roman"/>
          <w:sz w:val="24"/>
          <w:szCs w:val="24"/>
        </w:rPr>
        <w:t>indeterminables</w:t>
      </w:r>
      <w:proofErr w:type="spellEnd"/>
      <w:r w:rsidRPr="005F44EF">
        <w:rPr>
          <w:rFonts w:ascii="Times New Roman" w:eastAsia="Times New Roman" w:hAnsi="Times New Roman" w:cs="Times New Roman"/>
          <w:sz w:val="24"/>
          <w:szCs w:val="24"/>
        </w:rPr>
        <w:t xml:space="preserve">. A small number of samples yielded more and </w:t>
      </w:r>
      <w:proofErr w:type="gramStart"/>
      <w:r w:rsidRPr="005F44EF">
        <w:rPr>
          <w:rFonts w:ascii="Times New Roman" w:eastAsia="Times New Roman" w:hAnsi="Times New Roman" w:cs="Times New Roman"/>
          <w:sz w:val="24"/>
          <w:szCs w:val="24"/>
        </w:rPr>
        <w:t>better preserved</w:t>
      </w:r>
      <w:proofErr w:type="gramEnd"/>
      <w:r w:rsidRPr="005F44EF">
        <w:rPr>
          <w:rFonts w:ascii="Times New Roman" w:eastAsia="Times New Roman" w:hAnsi="Times New Roman" w:cs="Times New Roman"/>
          <w:sz w:val="24"/>
          <w:szCs w:val="24"/>
        </w:rPr>
        <w:t xml:space="preserve"> pollen including both thick-walled types that are more likely to preserve (</w:t>
      </w:r>
      <w:proofErr w:type="spellStart"/>
      <w:r w:rsidRPr="005F44EF">
        <w:rPr>
          <w:rFonts w:ascii="Times New Roman" w:eastAsia="Times New Roman" w:hAnsi="Times New Roman" w:cs="Times New Roman"/>
          <w:i/>
          <w:sz w:val="24"/>
          <w:szCs w:val="24"/>
        </w:rPr>
        <w:t>Pentadesma</w:t>
      </w:r>
      <w:proofErr w:type="spellEnd"/>
      <w:r w:rsidRPr="005F44EF">
        <w:rPr>
          <w:rFonts w:ascii="Times New Roman" w:eastAsia="Times New Roman" w:hAnsi="Times New Roman" w:cs="Times New Roman"/>
          <w:sz w:val="24"/>
          <w:szCs w:val="24"/>
        </w:rPr>
        <w:t>) and small thin-walled types that are less likely to preserve (</w:t>
      </w:r>
      <w:proofErr w:type="spellStart"/>
      <w:r w:rsidRPr="005F44EF">
        <w:rPr>
          <w:rFonts w:ascii="Times New Roman" w:eastAsia="Times New Roman" w:hAnsi="Times New Roman" w:cs="Times New Roman"/>
          <w:i/>
          <w:sz w:val="24"/>
          <w:szCs w:val="24"/>
        </w:rPr>
        <w:t>Musanga</w:t>
      </w:r>
      <w:proofErr w:type="spellEnd"/>
      <w:r w:rsidRPr="005F44EF">
        <w:rPr>
          <w:rFonts w:ascii="Times New Roman" w:eastAsia="Times New Roman" w:hAnsi="Times New Roman" w:cs="Times New Roman"/>
          <w:i/>
          <w:sz w:val="24"/>
          <w:szCs w:val="24"/>
        </w:rPr>
        <w:t>-</w:t>
      </w:r>
      <w:proofErr w:type="spellStart"/>
      <w:r w:rsidRPr="005F44EF">
        <w:rPr>
          <w:rFonts w:ascii="Times New Roman" w:eastAsia="Times New Roman" w:hAnsi="Times New Roman" w:cs="Times New Roman"/>
          <w:i/>
          <w:sz w:val="24"/>
          <w:szCs w:val="24"/>
        </w:rPr>
        <w:t>Myrianthus</w:t>
      </w:r>
      <w:proofErr w:type="spellEnd"/>
      <w:r w:rsidRPr="005F44EF">
        <w:rPr>
          <w:rFonts w:ascii="Times New Roman" w:eastAsia="Times New Roman" w:hAnsi="Times New Roman" w:cs="Times New Roman"/>
          <w:sz w:val="24"/>
          <w:szCs w:val="24"/>
        </w:rPr>
        <w:t>-type). What we see in both the general representation of preserved pollen as well as its proportion (</w:t>
      </w:r>
      <w:r w:rsidRPr="005F44EF">
        <w:rPr>
          <w:rFonts w:ascii="Times New Roman" w:eastAsia="Times New Roman" w:hAnsi="Times New Roman" w:cs="Times New Roman"/>
          <w:b/>
          <w:sz w:val="24"/>
          <w:szCs w:val="24"/>
        </w:rPr>
        <w:t>Figure S</w:t>
      </w:r>
      <w:r w:rsidR="0001712E" w:rsidRPr="005F44EF">
        <w:rPr>
          <w:rFonts w:ascii="Times New Roman" w:eastAsia="Times New Roman" w:hAnsi="Times New Roman" w:cs="Times New Roman"/>
          <w:b/>
          <w:sz w:val="24"/>
          <w:szCs w:val="24"/>
        </w:rPr>
        <w:t>25</w:t>
      </w:r>
      <w:r w:rsidRPr="005F44EF">
        <w:rPr>
          <w:rFonts w:ascii="Times New Roman" w:eastAsia="Times New Roman" w:hAnsi="Times New Roman" w:cs="Times New Roman"/>
          <w:sz w:val="24"/>
          <w:szCs w:val="24"/>
        </w:rPr>
        <w:t>) is a continuous, local input of pollen from tree palms (</w:t>
      </w:r>
      <w:r w:rsidRPr="005F44EF">
        <w:rPr>
          <w:rFonts w:ascii="Times New Roman" w:eastAsia="Times New Roman" w:hAnsi="Times New Roman" w:cs="Times New Roman"/>
          <w:i/>
          <w:sz w:val="24"/>
          <w:szCs w:val="24"/>
        </w:rPr>
        <w:t xml:space="preserve">E. </w:t>
      </w:r>
      <w:proofErr w:type="spellStart"/>
      <w:r w:rsidRPr="005F44EF">
        <w:rPr>
          <w:rFonts w:ascii="Times New Roman" w:eastAsia="Times New Roman" w:hAnsi="Times New Roman" w:cs="Times New Roman"/>
          <w:i/>
          <w:sz w:val="24"/>
          <w:szCs w:val="24"/>
        </w:rPr>
        <w:t>guineensis</w:t>
      </w:r>
      <w:proofErr w:type="spellEnd"/>
      <w:r w:rsidRPr="005F44EF">
        <w:rPr>
          <w:rFonts w:ascii="Times New Roman" w:eastAsia="Times New Roman" w:hAnsi="Times New Roman" w:cs="Times New Roman"/>
          <w:sz w:val="24"/>
          <w:szCs w:val="24"/>
        </w:rPr>
        <w:t>) and other swamp forest pioneers (</w:t>
      </w:r>
      <w:proofErr w:type="spellStart"/>
      <w:r w:rsidRPr="005F44EF">
        <w:rPr>
          <w:rFonts w:ascii="Times New Roman" w:eastAsia="Times New Roman" w:hAnsi="Times New Roman" w:cs="Times New Roman"/>
          <w:i/>
          <w:sz w:val="24"/>
          <w:szCs w:val="24"/>
        </w:rPr>
        <w:t>Alchornea</w:t>
      </w:r>
      <w:proofErr w:type="spellEnd"/>
      <w:r w:rsidRPr="005F44EF">
        <w:rPr>
          <w:rFonts w:ascii="Times New Roman" w:eastAsia="Times New Roman" w:hAnsi="Times New Roman" w:cs="Times New Roman"/>
          <w:sz w:val="24"/>
          <w:szCs w:val="24"/>
        </w:rPr>
        <w:t xml:space="preserve"> sp., </w:t>
      </w:r>
      <w:r w:rsidRPr="005F44EF">
        <w:rPr>
          <w:rFonts w:ascii="Times New Roman" w:eastAsia="Times New Roman" w:hAnsi="Times New Roman" w:cs="Times New Roman"/>
          <w:i/>
          <w:sz w:val="24"/>
          <w:szCs w:val="24"/>
        </w:rPr>
        <w:t>Macaranga</w:t>
      </w:r>
      <w:r w:rsidRPr="005F44EF">
        <w:rPr>
          <w:rFonts w:ascii="Times New Roman" w:eastAsia="Times New Roman" w:hAnsi="Times New Roman" w:cs="Times New Roman"/>
          <w:sz w:val="24"/>
          <w:szCs w:val="24"/>
        </w:rPr>
        <w:t xml:space="preserve"> sp.). In cases where pollen concentrations and counts are higher, the pollen types represented are dominated by forest types both in their frequency as well as the range of pollen morphotaxa represented in these samples. In general, there is a particularly strong representation </w:t>
      </w:r>
      <w:r w:rsidRPr="005F44EF">
        <w:rPr>
          <w:rFonts w:ascii="Times New Roman" w:eastAsia="Times New Roman" w:hAnsi="Times New Roman" w:cs="Times New Roman"/>
          <w:sz w:val="24"/>
          <w:szCs w:val="24"/>
        </w:rPr>
        <w:lastRenderedPageBreak/>
        <w:t>of pollen from plants which tolerate inundation and are commonly found in forests fringing rivers, lakes, and wetlands. The strong representation of anther fragments in these samples suggests a local origin for the pollen signal. These pollen results provide strong evidence that the cultural deposits at Anyama Bété originate from a tropical rain forest environment and argue that we reject an origin from a savanna or wooded savanna environment.</w:t>
      </w:r>
      <w:r w:rsidR="003C4DD5" w:rsidRPr="005F44EF">
        <w:rPr>
          <w:rFonts w:ascii="Times New Roman" w:eastAsia="Times New Roman" w:hAnsi="Times New Roman" w:cs="Times New Roman"/>
          <w:b/>
          <w:sz w:val="24"/>
          <w:szCs w:val="24"/>
        </w:rPr>
        <w:t xml:space="preserve"> </w:t>
      </w:r>
    </w:p>
    <w:p w14:paraId="0602C4BE" w14:textId="77777777" w:rsidR="003C4DD5" w:rsidRPr="005F44EF" w:rsidRDefault="003C4DD5" w:rsidP="003C4DD5">
      <w:pPr>
        <w:spacing w:after="0" w:line="276" w:lineRule="auto"/>
        <w:jc w:val="both"/>
        <w:rPr>
          <w:rFonts w:ascii="Times New Roman" w:eastAsia="Times New Roman" w:hAnsi="Times New Roman" w:cs="Times New Roman"/>
          <w:b/>
          <w:sz w:val="24"/>
          <w:szCs w:val="24"/>
        </w:rPr>
      </w:pPr>
    </w:p>
    <w:p w14:paraId="3487D14E" w14:textId="5B404297" w:rsidR="003C4DD5" w:rsidRPr="005F44EF" w:rsidRDefault="003C4DD5" w:rsidP="003C4DD5">
      <w:pPr>
        <w:spacing w:after="0" w:line="276" w:lineRule="auto"/>
        <w:jc w:val="both"/>
        <w:rPr>
          <w:rFonts w:ascii="Times New Roman" w:eastAsia="Times New Roman" w:hAnsi="Times New Roman" w:cs="Times New Roman"/>
          <w:sz w:val="24"/>
          <w:szCs w:val="24"/>
        </w:rPr>
      </w:pPr>
      <w:bookmarkStart w:id="114" w:name="_Hlk170655090"/>
      <w:r w:rsidRPr="005F44EF">
        <w:rPr>
          <w:rFonts w:ascii="Times New Roman" w:eastAsia="Times New Roman" w:hAnsi="Times New Roman" w:cs="Times New Roman"/>
          <w:b/>
          <w:sz w:val="24"/>
          <w:szCs w:val="24"/>
        </w:rPr>
        <w:t>Figure S2</w:t>
      </w:r>
      <w:r w:rsidR="0001712E" w:rsidRPr="005F44EF">
        <w:rPr>
          <w:rFonts w:ascii="Times New Roman" w:eastAsia="Times New Roman" w:hAnsi="Times New Roman" w:cs="Times New Roman"/>
          <w:b/>
          <w:sz w:val="24"/>
          <w:szCs w:val="24"/>
        </w:rPr>
        <w:t>6</w:t>
      </w:r>
      <w:r w:rsidRPr="005F44EF">
        <w:rPr>
          <w:rFonts w:ascii="Times New Roman" w:eastAsia="Times New Roman" w:hAnsi="Times New Roman" w:cs="Times New Roman"/>
          <w:b/>
          <w:sz w:val="24"/>
          <w:szCs w:val="24"/>
        </w:rPr>
        <w:t xml:space="preserve">: </w:t>
      </w:r>
      <w:proofErr w:type="spellStart"/>
      <w:r w:rsidRPr="005F44EF">
        <w:rPr>
          <w:rFonts w:ascii="Times New Roman" w:eastAsia="Times New Roman" w:hAnsi="Times New Roman" w:cs="Times New Roman"/>
          <w:sz w:val="24"/>
          <w:szCs w:val="24"/>
        </w:rPr>
        <w:t>Barplot</w:t>
      </w:r>
      <w:proofErr w:type="spellEnd"/>
      <w:r w:rsidRPr="005F44EF">
        <w:rPr>
          <w:rFonts w:ascii="Times New Roman" w:eastAsia="Times New Roman" w:hAnsi="Times New Roman" w:cs="Times New Roman"/>
          <w:sz w:val="24"/>
          <w:szCs w:val="24"/>
        </w:rPr>
        <w:t xml:space="preserve"> showing proportional representation of key groups of pollen (left) and log values of pollen concentrations (right). </w:t>
      </w:r>
      <w:bookmarkEnd w:id="114"/>
      <w:r w:rsidRPr="005F44EF">
        <w:rPr>
          <w:rFonts w:ascii="Times New Roman" w:eastAsia="Times New Roman" w:hAnsi="Times New Roman" w:cs="Times New Roman"/>
          <w:sz w:val="24"/>
          <w:szCs w:val="24"/>
        </w:rPr>
        <w:t>Note that sample 26 and 27 do not have sufficient pollen concentrations to produce meaningful proportions.</w:t>
      </w:r>
    </w:p>
    <w:p w14:paraId="048BE15C" w14:textId="549DEF79" w:rsidR="00BB7AA9" w:rsidRPr="005F44EF" w:rsidRDefault="00BB7AA9">
      <w:pPr>
        <w:spacing w:before="180" w:after="180" w:line="276" w:lineRule="auto"/>
        <w:jc w:val="both"/>
        <w:rPr>
          <w:rFonts w:ascii="Times New Roman" w:eastAsia="Times New Roman" w:hAnsi="Times New Roman" w:cs="Times New Roman"/>
          <w:sz w:val="24"/>
          <w:szCs w:val="24"/>
        </w:rPr>
      </w:pPr>
    </w:p>
    <w:p w14:paraId="05512B37" w14:textId="2224A1BC" w:rsidR="00BB7AA9" w:rsidRPr="005F44EF" w:rsidRDefault="009F3ADB">
      <w:pPr>
        <w:spacing w:after="0" w:line="276" w:lineRule="auto"/>
        <w:jc w:val="both"/>
        <w:rPr>
          <w:rFonts w:ascii="Times New Roman" w:eastAsia="Times New Roman" w:hAnsi="Times New Roman" w:cs="Times New Roman"/>
          <w:sz w:val="24"/>
          <w:szCs w:val="24"/>
        </w:rPr>
      </w:pPr>
      <w:r w:rsidRPr="005F44EF">
        <w:rPr>
          <w:rFonts w:ascii="Times New Roman" w:eastAsia="Times New Roman" w:hAnsi="Times New Roman" w:cs="Times New Roman"/>
          <w:noProof/>
          <w:sz w:val="24"/>
          <w:szCs w:val="24"/>
          <w:lang w:val="en-AU" w:eastAsia="en-AU"/>
        </w:rPr>
        <mc:AlternateContent>
          <mc:Choice Requires="wps">
            <w:drawing>
              <wp:anchor distT="0" distB="0" distL="114300" distR="114300" simplePos="0" relativeHeight="251667456" behindDoc="0" locked="0" layoutInCell="1" allowOverlap="1" wp14:anchorId="2F3BA7EA" wp14:editId="1CB6E41F">
                <wp:simplePos x="0" y="0"/>
                <wp:positionH relativeFrom="column">
                  <wp:posOffset>-32820</wp:posOffset>
                </wp:positionH>
                <wp:positionV relativeFrom="paragraph">
                  <wp:posOffset>731186</wp:posOffset>
                </wp:positionV>
                <wp:extent cx="259715" cy="3243580"/>
                <wp:effectExtent l="0" t="0" r="26035" b="13970"/>
                <wp:wrapNone/>
                <wp:docPr id="27" name="Rectangle 27"/>
                <wp:cNvGraphicFramePr/>
                <a:graphic xmlns:a="http://schemas.openxmlformats.org/drawingml/2006/main">
                  <a:graphicData uri="http://schemas.microsoft.com/office/word/2010/wordprocessingShape">
                    <wps:wsp>
                      <wps:cNvSpPr/>
                      <wps:spPr>
                        <a:xfrm>
                          <a:off x="0" y="0"/>
                          <a:ext cx="259715" cy="3243580"/>
                        </a:xfrm>
                        <a:prstGeom prst="rect">
                          <a:avLst/>
                        </a:prstGeom>
                        <a:solidFill>
                          <a:schemeClr val="bg1"/>
                        </a:solidFill>
                        <a:ln>
                          <a:solidFill>
                            <a:schemeClr val="bg1"/>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1006B85F" id="Rectangle 27" o:spid="_x0000_s1026" style="position:absolute;margin-left:-2.6pt;margin-top:57.55pt;width:20.45pt;height:255.4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" fillcolor="white [3212]" strokecolor="white [3212]"/>
            </w:pict>
          </mc:Fallback>
        </mc:AlternateContent>
      </w:r>
      <w:r w:rsidR="00B9564D" w:rsidRPr="005F44EF">
        <w:rPr>
          <w:rFonts w:ascii="Times New Roman" w:eastAsia="Times New Roman" w:hAnsi="Times New Roman" w:cs="Times New Roman"/>
          <w:noProof/>
          <w:sz w:val="24"/>
          <w:szCs w:val="24"/>
          <w:lang w:val="en-AU" w:eastAsia="en-AU"/>
        </w:rPr>
        <w:drawing>
          <wp:inline distT="114300" distB="114300" distL="114300" distR="114300" wp14:anchorId="4579F451" wp14:editId="7AF0206C">
            <wp:extent cx="6766287" cy="4517572"/>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2"/>
                    <a:srcRect/>
                    <a:stretch>
                      <a:fillRect/>
                    </a:stretch>
                  </pic:blipFill>
                  <pic:spPr>
                    <a:xfrm>
                      <a:off x="0" y="0"/>
                      <a:ext cx="6774450" cy="4523022"/>
                    </a:xfrm>
                    <a:prstGeom prst="rect">
                      <a:avLst/>
                    </a:prstGeom>
                    <a:ln/>
                  </pic:spPr>
                </pic:pic>
              </a:graphicData>
            </a:graphic>
          </wp:inline>
        </w:drawing>
      </w:r>
    </w:p>
    <w:p w14:paraId="3D0ABDE4" w14:textId="77777777" w:rsidR="00BB7AA9" w:rsidRPr="005F44EF" w:rsidRDefault="00B9564D">
      <w:pPr>
        <w:spacing w:after="0" w:line="276" w:lineRule="auto"/>
        <w:jc w:val="both"/>
        <w:rPr>
          <w:rFonts w:ascii="Times New Roman" w:eastAsia="Times New Roman" w:hAnsi="Times New Roman" w:cs="Times New Roman"/>
          <w:color w:val="FF0000"/>
          <w:sz w:val="24"/>
          <w:szCs w:val="24"/>
        </w:rPr>
        <w:sectPr w:rsidR="00BB7AA9" w:rsidRPr="005F44EF">
          <w:pgSz w:w="12240" w:h="15840"/>
          <w:pgMar w:top="1417" w:right="1417" w:bottom="1134" w:left="1417" w:header="720" w:footer="720" w:gutter="0"/>
          <w:lnNumType w:countBy="1" w:restart="continuous"/>
          <w:cols w:space="720"/>
        </w:sectPr>
      </w:pPr>
      <w:r w:rsidRPr="005F44EF">
        <w:rPr>
          <w:rFonts w:ascii="Times New Roman" w:eastAsia="Times New Roman" w:hAnsi="Times New Roman" w:cs="Times New Roman"/>
          <w:sz w:val="24"/>
          <w:szCs w:val="24"/>
        </w:rPr>
        <w:tab/>
      </w:r>
    </w:p>
    <w:p w14:paraId="030F7657" w14:textId="7016CF83" w:rsidR="00B00D87" w:rsidRPr="005F44EF" w:rsidRDefault="00B9564D" w:rsidP="008524E9">
      <w:pPr>
        <w:pStyle w:val="Heading1"/>
        <w:rPr>
          <w:rFonts w:cs="Times New Roman"/>
        </w:rPr>
      </w:pPr>
      <w:bookmarkStart w:id="115" w:name="_2xcytpi" w:colFirst="0" w:colLast="0"/>
      <w:bookmarkStart w:id="116" w:name="_Toc178429948"/>
      <w:bookmarkEnd w:id="115"/>
      <w:r w:rsidRPr="005F44EF">
        <w:rPr>
          <w:rFonts w:cs="Times New Roman"/>
        </w:rPr>
        <w:lastRenderedPageBreak/>
        <w:t xml:space="preserve">SI </w:t>
      </w:r>
      <w:r w:rsidR="005A3495">
        <w:rPr>
          <w:rFonts w:cs="Times New Roman"/>
        </w:rPr>
        <w:t>5</w:t>
      </w:r>
      <w:r w:rsidR="005A3495" w:rsidRPr="005F44EF">
        <w:rPr>
          <w:rFonts w:cs="Times New Roman"/>
        </w:rPr>
        <w:t xml:space="preserve"> </w:t>
      </w:r>
      <w:r w:rsidR="00602009" w:rsidRPr="005F44EF">
        <w:rPr>
          <w:rFonts w:cs="Times New Roman"/>
        </w:rPr>
        <w:t>–</w:t>
      </w:r>
      <w:r w:rsidRPr="005F44EF">
        <w:rPr>
          <w:rFonts w:cs="Times New Roman"/>
        </w:rPr>
        <w:t xml:space="preserve"> </w:t>
      </w:r>
      <w:r w:rsidR="00602009" w:rsidRPr="005F44EF">
        <w:rPr>
          <w:rFonts w:cs="Times New Roman"/>
        </w:rPr>
        <w:t>Chronological comparison with others African sites</w:t>
      </w:r>
      <w:bookmarkEnd w:id="116"/>
    </w:p>
    <w:p w14:paraId="55BB68C5" w14:textId="77777777" w:rsidR="00B00D87" w:rsidRPr="005F44EF" w:rsidRDefault="00B00D87">
      <w:pPr>
        <w:spacing w:after="0" w:line="276" w:lineRule="auto"/>
        <w:jc w:val="both"/>
        <w:rPr>
          <w:rFonts w:ascii="Times New Roman" w:eastAsia="Times New Roman" w:hAnsi="Times New Roman" w:cs="Times New Roman"/>
          <w:b/>
          <w:sz w:val="24"/>
          <w:szCs w:val="24"/>
        </w:rPr>
      </w:pPr>
    </w:p>
    <w:p w14:paraId="6023A559" w14:textId="2E4A3392" w:rsidR="00BB7AA9" w:rsidRPr="005F44EF" w:rsidRDefault="00B00D87">
      <w:pPr>
        <w:spacing w:after="0" w:line="276" w:lineRule="auto"/>
        <w:jc w:val="both"/>
        <w:rPr>
          <w:rFonts w:ascii="Times New Roman" w:eastAsia="Times New Roman" w:hAnsi="Times New Roman" w:cs="Times New Roman"/>
          <w:b/>
          <w:sz w:val="24"/>
          <w:szCs w:val="24"/>
        </w:rPr>
      </w:pPr>
      <w:bookmarkStart w:id="117" w:name="_Hlk170655098"/>
      <w:r w:rsidRPr="005F44EF">
        <w:rPr>
          <w:rFonts w:ascii="Times New Roman" w:eastAsia="Times New Roman" w:hAnsi="Times New Roman" w:cs="Times New Roman"/>
          <w:b/>
          <w:sz w:val="24"/>
          <w:szCs w:val="24"/>
        </w:rPr>
        <w:t xml:space="preserve">Table </w:t>
      </w:r>
      <w:r w:rsidR="00E7153B">
        <w:rPr>
          <w:rFonts w:ascii="Times New Roman" w:eastAsia="Times New Roman" w:hAnsi="Times New Roman" w:cs="Times New Roman"/>
          <w:b/>
          <w:sz w:val="24"/>
          <w:szCs w:val="24"/>
        </w:rPr>
        <w:t>S</w:t>
      </w:r>
      <w:r w:rsidR="00C25F0A" w:rsidRPr="005F44EF">
        <w:rPr>
          <w:rFonts w:ascii="Times New Roman" w:eastAsia="Times New Roman" w:hAnsi="Times New Roman" w:cs="Times New Roman"/>
          <w:b/>
          <w:sz w:val="24"/>
          <w:szCs w:val="24"/>
        </w:rPr>
        <w:t>18:</w:t>
      </w:r>
      <w:r w:rsidR="00B9564D" w:rsidRPr="005F44EF">
        <w:rPr>
          <w:rFonts w:ascii="Times New Roman" w:eastAsia="Times New Roman" w:hAnsi="Times New Roman" w:cs="Times New Roman"/>
          <w:b/>
          <w:sz w:val="24"/>
          <w:szCs w:val="24"/>
        </w:rPr>
        <w:t xml:space="preserve"> </w:t>
      </w:r>
      <w:r w:rsidR="00DD348B" w:rsidRPr="005F44EF">
        <w:rPr>
          <w:rFonts w:ascii="Times New Roman" w:eastAsia="Times New Roman" w:hAnsi="Times New Roman" w:cs="Times New Roman"/>
          <w:sz w:val="24"/>
          <w:szCs w:val="24"/>
        </w:rPr>
        <w:t xml:space="preserve">Comparison chronology with other sites </w:t>
      </w:r>
      <w:r w:rsidR="00B03D6C" w:rsidRPr="005F44EF">
        <w:rPr>
          <w:rFonts w:ascii="Times New Roman" w:eastAsia="Times New Roman" w:hAnsi="Times New Roman" w:cs="Times New Roman"/>
          <w:sz w:val="24"/>
          <w:szCs w:val="24"/>
        </w:rPr>
        <w:t xml:space="preserve">MSA </w:t>
      </w:r>
      <w:r w:rsidR="00DD348B" w:rsidRPr="005F44EF">
        <w:rPr>
          <w:rFonts w:ascii="Times New Roman" w:eastAsia="Times New Roman" w:hAnsi="Times New Roman" w:cs="Times New Roman"/>
          <w:sz w:val="24"/>
          <w:szCs w:val="24"/>
        </w:rPr>
        <w:t>Africa</w:t>
      </w:r>
      <w:r w:rsidR="00B03D6C" w:rsidRPr="005F44EF">
        <w:rPr>
          <w:rFonts w:ascii="Times New Roman" w:eastAsia="Times New Roman" w:hAnsi="Times New Roman" w:cs="Times New Roman"/>
          <w:sz w:val="24"/>
          <w:szCs w:val="24"/>
        </w:rPr>
        <w:t>n</w:t>
      </w:r>
      <w:r w:rsidR="00DD348B" w:rsidRPr="005F44EF">
        <w:rPr>
          <w:rFonts w:ascii="Times New Roman" w:eastAsia="Times New Roman" w:hAnsi="Times New Roman" w:cs="Times New Roman"/>
          <w:sz w:val="24"/>
          <w:szCs w:val="24"/>
        </w:rPr>
        <w:t xml:space="preserve"> sites. </w:t>
      </w:r>
      <w:r w:rsidR="00D35BC4" w:rsidRPr="005F44EF">
        <w:rPr>
          <w:rFonts w:ascii="Times New Roman" w:eastAsia="Times New Roman" w:hAnsi="Times New Roman" w:cs="Times New Roman"/>
          <w:sz w:val="24"/>
          <w:szCs w:val="24"/>
        </w:rPr>
        <w:t xml:space="preserve">The dates presented are clearly associated with archaeological levels/assemblages. </w:t>
      </w:r>
    </w:p>
    <w:p w14:paraId="528B3926" w14:textId="77777777" w:rsidR="00BB7AA9" w:rsidRPr="005F44EF" w:rsidRDefault="00BB7AA9">
      <w:pPr>
        <w:spacing w:after="0" w:line="276" w:lineRule="auto"/>
        <w:jc w:val="both"/>
        <w:rPr>
          <w:rFonts w:ascii="Times New Roman" w:eastAsia="Times New Roman" w:hAnsi="Times New Roman" w:cs="Times New Roman"/>
          <w:b/>
          <w:sz w:val="24"/>
          <w:szCs w:val="24"/>
        </w:rPr>
      </w:pPr>
      <w:bookmarkStart w:id="118" w:name="_x91o7ggkc40m" w:colFirst="0" w:colLast="0"/>
      <w:bookmarkEnd w:id="117"/>
      <w:bookmarkEnd w:id="118"/>
    </w:p>
    <w:tbl>
      <w:tblPr>
        <w:tblStyle w:val="ab"/>
        <w:tblW w:w="13145" w:type="dxa"/>
        <w:tblBorders>
          <w:top w:val="nil"/>
          <w:left w:val="nil"/>
          <w:bottom w:val="nil"/>
          <w:right w:val="nil"/>
          <w:insideH w:val="nil"/>
          <w:insideV w:val="nil"/>
        </w:tblBorders>
        <w:tblLayout w:type="fixed"/>
        <w:tblLook w:val="0600" w:firstRow="0" w:lastRow="0" w:firstColumn="0" w:lastColumn="0" w:noHBand="1" w:noVBand="1"/>
      </w:tblPr>
      <w:tblGrid>
        <w:gridCol w:w="802"/>
        <w:gridCol w:w="1164"/>
        <w:gridCol w:w="1009"/>
        <w:gridCol w:w="1284"/>
        <w:gridCol w:w="1557"/>
        <w:gridCol w:w="933"/>
        <w:gridCol w:w="893"/>
        <w:gridCol w:w="547"/>
        <w:gridCol w:w="701"/>
        <w:gridCol w:w="711"/>
        <w:gridCol w:w="1424"/>
        <w:gridCol w:w="719"/>
        <w:gridCol w:w="498"/>
        <w:gridCol w:w="903"/>
      </w:tblGrid>
      <w:tr w:rsidR="00BB7AA9" w:rsidRPr="005F44EF" w14:paraId="04633F4C" w14:textId="77777777" w:rsidTr="005A0A55">
        <w:trPr>
          <w:trHeight w:val="392"/>
        </w:trPr>
        <w:tc>
          <w:tcPr>
            <w:tcW w:w="80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421C3D46" w14:textId="77777777" w:rsidR="00BB7AA9" w:rsidRPr="005F44EF" w:rsidRDefault="00B9564D">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Region</w:t>
            </w:r>
          </w:p>
        </w:tc>
        <w:tc>
          <w:tcPr>
            <w:tcW w:w="1164" w:type="dxa"/>
            <w:tcBorders>
              <w:top w:val="single" w:sz="6" w:space="0" w:color="000000"/>
              <w:left w:val="nil"/>
              <w:bottom w:val="single" w:sz="6" w:space="0" w:color="000000"/>
              <w:right w:val="single" w:sz="6" w:space="0" w:color="000000"/>
            </w:tcBorders>
            <w:tcMar>
              <w:top w:w="0" w:type="dxa"/>
              <w:left w:w="80" w:type="dxa"/>
              <w:bottom w:w="0" w:type="dxa"/>
              <w:right w:w="80" w:type="dxa"/>
            </w:tcMar>
          </w:tcPr>
          <w:p w14:paraId="5067716F" w14:textId="77777777" w:rsidR="00BB7AA9" w:rsidRPr="005F44EF" w:rsidRDefault="00B9564D">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Country</w:t>
            </w:r>
          </w:p>
        </w:tc>
        <w:tc>
          <w:tcPr>
            <w:tcW w:w="1009" w:type="dxa"/>
            <w:tcBorders>
              <w:top w:val="single" w:sz="6" w:space="0" w:color="000000"/>
              <w:left w:val="nil"/>
              <w:bottom w:val="single" w:sz="6" w:space="0" w:color="000000"/>
              <w:right w:val="single" w:sz="6" w:space="0" w:color="000000"/>
            </w:tcBorders>
            <w:tcMar>
              <w:top w:w="0" w:type="dxa"/>
              <w:left w:w="80" w:type="dxa"/>
              <w:bottom w:w="0" w:type="dxa"/>
              <w:right w:w="80" w:type="dxa"/>
            </w:tcMar>
          </w:tcPr>
          <w:p w14:paraId="2B778259" w14:textId="77777777" w:rsidR="00BB7AA9" w:rsidRPr="005F44EF" w:rsidRDefault="00B9564D">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Sub-region</w:t>
            </w:r>
          </w:p>
        </w:tc>
        <w:tc>
          <w:tcPr>
            <w:tcW w:w="1284" w:type="dxa"/>
            <w:tcBorders>
              <w:top w:val="single" w:sz="6" w:space="0" w:color="000000"/>
              <w:left w:val="nil"/>
              <w:bottom w:val="single" w:sz="6" w:space="0" w:color="000000"/>
              <w:right w:val="single" w:sz="6" w:space="0" w:color="000000"/>
            </w:tcBorders>
            <w:tcMar>
              <w:top w:w="0" w:type="dxa"/>
              <w:left w:w="80" w:type="dxa"/>
              <w:bottom w:w="0" w:type="dxa"/>
              <w:right w:w="80" w:type="dxa"/>
            </w:tcMar>
          </w:tcPr>
          <w:p w14:paraId="22D04DB3" w14:textId="77777777" w:rsidR="00BB7AA9" w:rsidRPr="005F44EF" w:rsidRDefault="00B9564D">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Site name</w:t>
            </w:r>
          </w:p>
        </w:tc>
        <w:tc>
          <w:tcPr>
            <w:tcW w:w="1557" w:type="dxa"/>
            <w:tcBorders>
              <w:top w:val="single" w:sz="6" w:space="0" w:color="000000"/>
              <w:left w:val="nil"/>
              <w:bottom w:val="single" w:sz="6" w:space="0" w:color="000000"/>
              <w:right w:val="single" w:sz="6" w:space="0" w:color="000000"/>
            </w:tcBorders>
            <w:tcMar>
              <w:top w:w="0" w:type="dxa"/>
              <w:left w:w="80" w:type="dxa"/>
              <w:bottom w:w="0" w:type="dxa"/>
              <w:right w:w="80" w:type="dxa"/>
            </w:tcMar>
          </w:tcPr>
          <w:p w14:paraId="2C419CCD" w14:textId="77777777" w:rsidR="00BB7AA9" w:rsidRPr="005F44EF" w:rsidRDefault="00B9564D">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Stratigraphy</w:t>
            </w:r>
          </w:p>
        </w:tc>
        <w:tc>
          <w:tcPr>
            <w:tcW w:w="5928" w:type="dxa"/>
            <w:gridSpan w:val="7"/>
            <w:tcBorders>
              <w:top w:val="single" w:sz="6" w:space="0" w:color="000000"/>
              <w:left w:val="nil"/>
              <w:bottom w:val="single" w:sz="6" w:space="0" w:color="000000"/>
              <w:right w:val="single" w:sz="6" w:space="0" w:color="000000"/>
            </w:tcBorders>
            <w:tcMar>
              <w:top w:w="0" w:type="dxa"/>
              <w:left w:w="80" w:type="dxa"/>
              <w:bottom w:w="0" w:type="dxa"/>
              <w:right w:w="80" w:type="dxa"/>
            </w:tcMar>
          </w:tcPr>
          <w:p w14:paraId="6C2936F7" w14:textId="77777777" w:rsidR="00BB7AA9" w:rsidRPr="005F44EF" w:rsidRDefault="00B9564D">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 xml:space="preserve">Dates (ka) and dating methods </w:t>
            </w:r>
            <w:proofErr w:type="spellStart"/>
            <w:r w:rsidRPr="005F44EF">
              <w:rPr>
                <w:rFonts w:ascii="Times New Roman" w:eastAsia="Times New Roman" w:hAnsi="Times New Roman" w:cs="Times New Roman"/>
                <w:color w:val="2E2E2E"/>
                <w:sz w:val="16"/>
                <w:szCs w:val="16"/>
              </w:rPr>
              <w:t>direclty</w:t>
            </w:r>
            <w:proofErr w:type="spellEnd"/>
            <w:r w:rsidRPr="005F44EF">
              <w:rPr>
                <w:rFonts w:ascii="Times New Roman" w:eastAsia="Times New Roman" w:hAnsi="Times New Roman" w:cs="Times New Roman"/>
                <w:color w:val="2E2E2E"/>
                <w:sz w:val="16"/>
                <w:szCs w:val="16"/>
              </w:rPr>
              <w:t xml:space="preserve"> associated with the archaeological occurrence</w:t>
            </w:r>
          </w:p>
        </w:tc>
        <w:tc>
          <w:tcPr>
            <w:tcW w:w="498" w:type="dxa"/>
            <w:tcBorders>
              <w:top w:val="single" w:sz="6" w:space="0" w:color="000000"/>
              <w:left w:val="nil"/>
              <w:bottom w:val="single" w:sz="6" w:space="0" w:color="000000"/>
              <w:right w:val="single" w:sz="6" w:space="0" w:color="000000"/>
            </w:tcBorders>
            <w:shd w:val="clear" w:color="auto" w:fill="auto"/>
            <w:tcMar>
              <w:top w:w="0" w:type="dxa"/>
              <w:left w:w="80" w:type="dxa"/>
              <w:bottom w:w="0" w:type="dxa"/>
              <w:right w:w="80" w:type="dxa"/>
            </w:tcMar>
          </w:tcPr>
          <w:p w14:paraId="042EA16A" w14:textId="77777777" w:rsidR="00BB7AA9" w:rsidRPr="005F44EF" w:rsidRDefault="00B9564D">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MIS</w:t>
            </w:r>
          </w:p>
        </w:tc>
        <w:tc>
          <w:tcPr>
            <w:tcW w:w="903" w:type="dxa"/>
            <w:tcBorders>
              <w:top w:val="single" w:sz="6" w:space="0" w:color="000000"/>
              <w:left w:val="nil"/>
              <w:bottom w:val="single" w:sz="6" w:space="0" w:color="000000"/>
              <w:right w:val="single" w:sz="6" w:space="0" w:color="000000"/>
            </w:tcBorders>
            <w:shd w:val="clear" w:color="auto" w:fill="auto"/>
            <w:tcMar>
              <w:top w:w="0" w:type="dxa"/>
              <w:left w:w="80" w:type="dxa"/>
              <w:bottom w:w="0" w:type="dxa"/>
              <w:right w:w="80" w:type="dxa"/>
            </w:tcMar>
          </w:tcPr>
          <w:p w14:paraId="0BF30068" w14:textId="77777777" w:rsidR="00BB7AA9" w:rsidRPr="005F44EF" w:rsidRDefault="00B9564D">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References</w:t>
            </w:r>
          </w:p>
        </w:tc>
      </w:tr>
      <w:tr w:rsidR="00BB7AA9" w:rsidRPr="005F44EF" w14:paraId="1C9FF7BF" w14:textId="77777777" w:rsidTr="003C6FBD">
        <w:trPr>
          <w:trHeight w:val="311"/>
        </w:trPr>
        <w:tc>
          <w:tcPr>
            <w:tcW w:w="802" w:type="dxa"/>
            <w:tcBorders>
              <w:top w:val="nil"/>
              <w:left w:val="single" w:sz="6" w:space="0" w:color="000000"/>
              <w:bottom w:val="single" w:sz="6" w:space="0" w:color="000000"/>
              <w:right w:val="single" w:sz="6" w:space="0" w:color="000000"/>
            </w:tcBorders>
            <w:shd w:val="clear" w:color="auto" w:fill="auto"/>
            <w:tcMar>
              <w:top w:w="0" w:type="dxa"/>
              <w:left w:w="80" w:type="dxa"/>
              <w:bottom w:w="0" w:type="dxa"/>
              <w:right w:w="80" w:type="dxa"/>
            </w:tcMar>
            <w:vAlign w:val="bottom"/>
          </w:tcPr>
          <w:p w14:paraId="6E7FEBD9" w14:textId="77777777" w:rsidR="00BB7AA9" w:rsidRPr="005F44EF" w:rsidRDefault="00B9564D">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 xml:space="preserve"> </w:t>
            </w:r>
          </w:p>
        </w:tc>
        <w:tc>
          <w:tcPr>
            <w:tcW w:w="3457" w:type="dxa"/>
            <w:gridSpan w:val="3"/>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C87C83D" w14:textId="079826D2" w:rsidR="00BB7AA9" w:rsidRPr="005F44EF" w:rsidRDefault="00BB7AA9" w:rsidP="005A0A55">
            <w:pPr>
              <w:spacing w:before="240" w:after="0" w:line="276" w:lineRule="auto"/>
              <w:rPr>
                <w:rFonts w:ascii="Times New Roman" w:eastAsia="Times New Roman" w:hAnsi="Times New Roman" w:cs="Times New Roman"/>
                <w:color w:val="2E2E2E"/>
                <w:sz w:val="16"/>
                <w:szCs w:val="16"/>
              </w:rPr>
            </w:pP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0198EEC" w14:textId="7315FC9C" w:rsidR="00BB7AA9" w:rsidRPr="005F44EF" w:rsidRDefault="00BB7AA9" w:rsidP="005A0A55">
            <w:pPr>
              <w:spacing w:before="240" w:after="0" w:line="276" w:lineRule="auto"/>
              <w:rPr>
                <w:rFonts w:ascii="Times New Roman" w:eastAsia="Times New Roman" w:hAnsi="Times New Roman" w:cs="Times New Roman"/>
                <w:color w:val="2E2E2E"/>
                <w:sz w:val="16"/>
                <w:szCs w:val="16"/>
              </w:rPr>
            </w:pP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F8CC781" w14:textId="77777777" w:rsidR="00BB7AA9" w:rsidRPr="005F44EF" w:rsidRDefault="00B9564D" w:rsidP="005A0A5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OSL- FMM</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6CE7C8D" w14:textId="77777777" w:rsidR="00BB7AA9" w:rsidRPr="005F44EF" w:rsidRDefault="00B9564D" w:rsidP="005A0A5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OSL - CAM</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A8CFB25" w14:textId="77777777" w:rsidR="00BB7AA9" w:rsidRPr="005F44EF" w:rsidRDefault="00B9564D" w:rsidP="005A0A5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TL</w:t>
            </w: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D8BB70D" w14:textId="77777777" w:rsidR="00BB7AA9" w:rsidRPr="005F44EF" w:rsidRDefault="00B9564D" w:rsidP="005A0A5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IRSL</w:t>
            </w: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3FA23E5" w14:textId="77777777" w:rsidR="00BB7AA9" w:rsidRPr="005F44EF" w:rsidRDefault="00B9564D" w:rsidP="005A0A5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ESR</w:t>
            </w: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E3FEE8A" w14:textId="211403DE" w:rsidR="00BB7AA9" w:rsidRPr="005F44EF" w:rsidRDefault="003A55AE" w:rsidP="005A0A5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 xml:space="preserve">Combined </w:t>
            </w:r>
            <w:r w:rsidR="00B9564D" w:rsidRPr="005F44EF">
              <w:rPr>
                <w:rFonts w:ascii="Times New Roman" w:eastAsia="Times New Roman" w:hAnsi="Times New Roman" w:cs="Times New Roman"/>
                <w:color w:val="2E2E2E"/>
                <w:sz w:val="16"/>
                <w:szCs w:val="16"/>
              </w:rPr>
              <w:t>US-ESR</w:t>
            </w: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5AF28FC" w14:textId="77777777" w:rsidR="00BB7AA9" w:rsidRPr="005F44EF" w:rsidRDefault="00B9564D" w:rsidP="005A0A5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U-series</w:t>
            </w: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BC400F8" w14:textId="2D88E0F6" w:rsidR="00BB7AA9" w:rsidRPr="005F44EF" w:rsidRDefault="00BB7AA9" w:rsidP="005A0A55">
            <w:pPr>
              <w:spacing w:before="240" w:after="0" w:line="276" w:lineRule="auto"/>
              <w:rPr>
                <w:rFonts w:ascii="Times New Roman" w:eastAsia="Times New Roman" w:hAnsi="Times New Roman" w:cs="Times New Roman"/>
                <w:color w:val="2E2E2E"/>
                <w:sz w:val="16"/>
                <w:szCs w:val="16"/>
              </w:rPr>
            </w:pPr>
          </w:p>
        </w:tc>
        <w:tc>
          <w:tcPr>
            <w:tcW w:w="90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966177D" w14:textId="772B139B" w:rsidR="00BB7AA9" w:rsidRPr="005F44EF" w:rsidRDefault="00BB7AA9" w:rsidP="005A0A55">
            <w:pPr>
              <w:spacing w:before="240" w:after="0" w:line="276" w:lineRule="auto"/>
              <w:rPr>
                <w:rFonts w:ascii="Times New Roman" w:eastAsia="Times New Roman" w:hAnsi="Times New Roman" w:cs="Times New Roman"/>
                <w:sz w:val="16"/>
                <w:szCs w:val="16"/>
              </w:rPr>
            </w:pPr>
          </w:p>
        </w:tc>
      </w:tr>
      <w:tr w:rsidR="005A0A55" w:rsidRPr="005F44EF" w14:paraId="5A6E853B" w14:textId="77777777" w:rsidTr="003C6FBD">
        <w:trPr>
          <w:trHeight w:val="190"/>
        </w:trPr>
        <w:tc>
          <w:tcPr>
            <w:tcW w:w="802" w:type="dxa"/>
            <w:vMerge w:val="restart"/>
            <w:tcBorders>
              <w:top w:val="nil"/>
              <w:left w:val="single" w:sz="6" w:space="0" w:color="000000"/>
              <w:right w:val="single" w:sz="6" w:space="0" w:color="000000"/>
            </w:tcBorders>
            <w:shd w:val="clear" w:color="auto" w:fill="auto"/>
            <w:tcMar>
              <w:top w:w="0" w:type="dxa"/>
              <w:left w:w="80" w:type="dxa"/>
              <w:bottom w:w="0" w:type="dxa"/>
              <w:right w:w="80" w:type="dxa"/>
            </w:tcMar>
          </w:tcPr>
          <w:p w14:paraId="3FF00BFD" w14:textId="77777777" w:rsidR="005A0A55" w:rsidRPr="005F44EF" w:rsidRDefault="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Northern Africa</w:t>
            </w:r>
          </w:p>
        </w:tc>
        <w:tc>
          <w:tcPr>
            <w:tcW w:w="116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708CC30"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Morocco</w:t>
            </w:r>
          </w:p>
        </w:tc>
        <w:tc>
          <w:tcPr>
            <w:tcW w:w="100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78E4121"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Atlantic coast</w:t>
            </w:r>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76553DA"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Bizmoune</w:t>
            </w: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54E82E7"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4c</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0008DF1" w14:textId="4A9C2422"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0522EF7" w14:textId="63230BE2"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BE0A075" w14:textId="528BCDA5"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3788377" w14:textId="585D0609"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15859B4" w14:textId="03BD71F9"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5761054" w14:textId="15CA03C0"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D5D3A5D"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142±29</w:t>
            </w: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C94BF13"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6</w:t>
            </w:r>
          </w:p>
        </w:tc>
        <w:tc>
          <w:tcPr>
            <w:tcW w:w="90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1732C12" w14:textId="0308C251" w:rsidR="005A0A55" w:rsidRPr="005F44EF" w:rsidRDefault="00D35BC4"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fldChar w:fldCharType="begin" w:fldLock="1"/>
            </w:r>
            <w:r w:rsidR="00614E13">
              <w:rPr>
                <w:rFonts w:ascii="Times New Roman" w:eastAsia="Times New Roman" w:hAnsi="Times New Roman" w:cs="Times New Roman"/>
                <w:sz w:val="16"/>
                <w:szCs w:val="16"/>
              </w:rPr>
              <w:instrText>ADDIN CSL_CITATION {"citationItems":[{"id":"ITEM-1","itemData":{"DOI":"10.1126/SCIADV.ABI8620/SUPPL_FILE/SCIADV.ABI8620_SM.PDF","ISSN":"23752548","PMID":"34550742","abstract":"Ornaments such as beads are among the earliest signs of symbolic behavior among human ancestors. Their appearance signals important developments in both cognition and social relations. This paper describes and presents contextual information for 33 shell beads from Bizmoune Cave (southwest Morocco). Many of the beads come as deposits dating to ≥142 thousand years, making them the oldest shell beads yet recovered. They extend the dates for the first appearance of this behavior into the late Middle Pleistocene. The ages and ubiquity of beads in Middle Stone Age (MSA) sites in North Africa provide further evidence of the potential importance of these artifacts as signals of identity. The early and continued use of Tritia gibbosula and other material culture traits also suggest a remarkable degree of cultural continuity among early MSA Homo sapiens groups across North Africa.","author":[{"dropping-particle":"","family":"Sehasseh","given":"El Mehdi","non-dropping-particle":"","parse-names":false,"suffix":""},{"dropping-particle":"","family":"Fernandez","given":"Philippe","non-dropping-particle":"","parse-names":false,"suffix":""},{"dropping-particle":"","family":"Kuhn","given":"Steven","non-dropping-particle":"","parse-names":false,"suffix":""},{"dropping-particle":"","family":"Stiner","given":"Mary","non-dropping-particle":"","parse-names":false,"suffix":""},{"dropping-particle":"","family":"Mentzer","given":"Susan","non-dropping-particle":"","parse-names":false,"suffix":""},{"dropping-particle":"","family":"Colarossi","given":"Debra","non-dropping-particle":"","parse-names":false,"suffix":""},{"dropping-particle":"","family":"Clark","given":"Amy","non-dropping-particle":"","parse-names":false,"suffix":""},{"dropping-particle":"","family":"Lanoe","given":"François","non-dropping-particle":"","parse-names":false,"suffix":""},{"dropping-particle":"","family":"Pailes","given":"Matthew","non-dropping-particle":"","parse-names":false,"suffix":""},{"dropping-particle":"","family":"Hoffmann","given":"Dirk","non-dropping-particle":"","parse-names":false,"suffix":""},{"dropping-particle":"","family":"Benson","given":"Alexa","non-dropping-particle":"","parse-names":false,"suffix":""},{"dropping-particle":"","family":"Rhodes","given":"Edward","non-dropping-particle":"","parse-names":false,"suffix":""},{"dropping-particle":"","family":"Benmansour","given":"Moncef","non-dropping-particle":"","parse-names":false,"suffix":""},{"dropping-particle":"","family":"Laissaoui","given":"Abdelmoughit","non-dropping-particle":"","parse-names":false,"suffix":""},{"dropping-particle":"","family":"Ziani","given":"Ismail","non-dropping-particle":"","parse-names":false,"suffix":""},{"dropping-particle":"","family":"Vidal-Matutano","given":"Paloma","non-dropping-particle":"","parse-names":false,"suffix":""},{"dropping-particle":"","family":"Morales","given":"Jacob","non-dropping-particle":"","parse-names":false,"suffix":""},{"dropping-particle":"","family":"Djellal","given":"Youssef","non-dropping-particle":"","parse-names":false,"suffix":""},{"dropping-particle":"","family":"Longet","given":"Benoit","non-dropping-particle":"","parse-names":false,"suffix":""},{"dropping-particle":"","family":"Hublin","given":"Jean Jacques","non-dropping-particle":"","parse-names":false,"suffix":""},{"dropping-particle":"","family":"Mouhiddine","given":"Mohammed","non-dropping-particle":"","parse-names":false,"suffix":""},{"dropping-particle":"","family":"Rafi","given":"Fatima Zohra","non-dropping-particle":"","parse-names":false,"suffix":""},{"dropping-particle":"","family":"Worthey","given":"Kayla Beth","non-dropping-particle":"","parse-names":false,"suffix":""},{"dropping-particle":"","family":"Sanchez-Morales","given":"Ismael","non-dropping-particle":"","parse-names":false,"suffix":""},{"dropping-particle":"","family":"Ghayati","given":"Noufel","non-dropping-particle":"","parse-names":false,"suffix":""},{"dropping-particle":"","family":"Bouzouggar","given":"Abdeljalil","non-dropping-particle":"","parse-names":false,"suffix":""}],"container-title":"Science Advances","id":"ITEM-1","issue":"39","issued":{"date-parts":[["2021","9","1"]]},"page":"8620-8642","publisher":"American Association for the Advancement of Science","title":"Early middle stone age personal ornaments from Bizmoune Cave, Essaouira, Morocco","type":"article-journal","volume":"7"},"uris":["http://www.mendeley.com/documents/?uuid=89658859-a3e8-3454-8ffa-5287b77ba846"]}],"mendeley":{"formattedCitation":"&lt;sup&gt;138&lt;/sup&gt;","plainTextFormattedCitation":"138","previouslyFormattedCitation":"&lt;sup&gt;138&lt;/sup&gt;"},"properties":{"noteIndex":0},"schema":"https://github.com/citation-style-language/schema/raw/master/csl-citation.json"}</w:instrText>
            </w:r>
            <w:r w:rsidRPr="005F44EF">
              <w:rPr>
                <w:rFonts w:ascii="Times New Roman" w:eastAsia="Times New Roman" w:hAnsi="Times New Roman" w:cs="Times New Roman"/>
                <w:sz w:val="16"/>
                <w:szCs w:val="16"/>
              </w:rPr>
              <w:fldChar w:fldCharType="separate"/>
            </w:r>
            <w:r w:rsidR="00C212A1" w:rsidRPr="00C212A1">
              <w:rPr>
                <w:rFonts w:ascii="Times New Roman" w:eastAsia="Times New Roman" w:hAnsi="Times New Roman" w:cs="Times New Roman"/>
                <w:noProof/>
                <w:sz w:val="16"/>
                <w:szCs w:val="16"/>
                <w:vertAlign w:val="superscript"/>
              </w:rPr>
              <w:t>138</w:t>
            </w:r>
            <w:r w:rsidRPr="005F44EF">
              <w:rPr>
                <w:rFonts w:ascii="Times New Roman" w:eastAsia="Times New Roman" w:hAnsi="Times New Roman" w:cs="Times New Roman"/>
                <w:sz w:val="16"/>
                <w:szCs w:val="16"/>
              </w:rPr>
              <w:fldChar w:fldCharType="end"/>
            </w:r>
          </w:p>
        </w:tc>
      </w:tr>
      <w:tr w:rsidR="005A0A55" w:rsidRPr="005F44EF" w14:paraId="54F0C6BA" w14:textId="77777777" w:rsidTr="003C6FBD">
        <w:trPr>
          <w:trHeight w:val="190"/>
        </w:trPr>
        <w:tc>
          <w:tcPr>
            <w:tcW w:w="802" w:type="dxa"/>
            <w:vMerge/>
            <w:tcBorders>
              <w:left w:val="single" w:sz="6" w:space="0" w:color="000000"/>
              <w:right w:val="single" w:sz="6" w:space="0" w:color="000000"/>
            </w:tcBorders>
            <w:shd w:val="clear" w:color="auto" w:fill="auto"/>
            <w:tcMar>
              <w:top w:w="100" w:type="dxa"/>
              <w:left w:w="100" w:type="dxa"/>
              <w:bottom w:w="100" w:type="dxa"/>
              <w:right w:w="100" w:type="dxa"/>
            </w:tcMar>
          </w:tcPr>
          <w:p w14:paraId="5CFA0857" w14:textId="77777777" w:rsidR="005A0A55" w:rsidRPr="005F44EF" w:rsidRDefault="005A0A55">
            <w:pPr>
              <w:spacing w:after="0" w:line="276" w:lineRule="auto"/>
              <w:jc w:val="both"/>
              <w:rPr>
                <w:rFonts w:ascii="Times New Roman" w:eastAsia="Times New Roman" w:hAnsi="Times New Roman" w:cs="Times New Roman"/>
                <w:b/>
                <w:sz w:val="24"/>
                <w:szCs w:val="24"/>
              </w:rPr>
            </w:pPr>
          </w:p>
        </w:tc>
        <w:tc>
          <w:tcPr>
            <w:tcW w:w="116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F1EDE9F"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Morocco</w:t>
            </w:r>
          </w:p>
        </w:tc>
        <w:tc>
          <w:tcPr>
            <w:tcW w:w="100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E4F84FA"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Eastern Rif</w:t>
            </w:r>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BAD578B"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proofErr w:type="spellStart"/>
            <w:r w:rsidRPr="005F44EF">
              <w:rPr>
                <w:rFonts w:ascii="Times New Roman" w:eastAsia="Times New Roman" w:hAnsi="Times New Roman" w:cs="Times New Roman"/>
                <w:sz w:val="16"/>
                <w:szCs w:val="16"/>
              </w:rPr>
              <w:t>Ifri</w:t>
            </w:r>
            <w:proofErr w:type="spellEnd"/>
            <w:r w:rsidRPr="005F44EF">
              <w:rPr>
                <w:rFonts w:ascii="Times New Roman" w:eastAsia="Times New Roman" w:hAnsi="Times New Roman" w:cs="Times New Roman"/>
                <w:sz w:val="16"/>
                <w:szCs w:val="16"/>
              </w:rPr>
              <w:t xml:space="preserve"> </w:t>
            </w:r>
            <w:proofErr w:type="spellStart"/>
            <w:r w:rsidRPr="005F44EF">
              <w:rPr>
                <w:rFonts w:ascii="Times New Roman" w:eastAsia="Times New Roman" w:hAnsi="Times New Roman" w:cs="Times New Roman"/>
                <w:sz w:val="16"/>
                <w:szCs w:val="16"/>
              </w:rPr>
              <w:t>n'Ammar</w:t>
            </w:r>
            <w:proofErr w:type="spellEnd"/>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404387A"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Lower OS</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0F77704" w14:textId="1CE47EC6"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09D8DFF" w14:textId="04E02496"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75D5CA8"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145±9</w:t>
            </w: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3B87DE2" w14:textId="25E850E1"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7C233AC" w14:textId="5C739F07"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0452EE4" w14:textId="5AA8C0D5"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924BFC3" w14:textId="16FA9DCC"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1DD7B00"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6</w:t>
            </w:r>
          </w:p>
        </w:tc>
        <w:tc>
          <w:tcPr>
            <w:tcW w:w="90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8C47CB3" w14:textId="7B8DB1CA"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fldChar w:fldCharType="begin" w:fldLock="1"/>
            </w:r>
            <w:r w:rsidR="00614E13">
              <w:rPr>
                <w:rFonts w:ascii="Times New Roman" w:eastAsia="Times New Roman" w:hAnsi="Times New Roman" w:cs="Times New Roman"/>
                <w:sz w:val="16"/>
                <w:szCs w:val="16"/>
              </w:rPr>
              <w:instrText>ADDIN CSL_CITATION {"citationItems":[{"id":"ITEM-1","itemData":{"DOI":"10.1016/j.jhevol.2010.07.024","ISBN":"0047-2484","ISSN":"00472484","PMID":"20880568","abstract":"In addition to South Africa, the Northwestern corner of the African continent is providing a wealth of data for the understanding of the behaviour of early modern humans. In NW Africa, this modern behaviour is associated with a technocomplex called 'Aterian'. However, its definition as well as chronological position is heavily debated. As a common notion, the 'Aterian' is placed as the (more or less) last technocomplex of the Middle Stone Age/Middle Palaeolithic. However, the stratigraphy of the Moroccan site of Ifri n'Ammar provides evidence that the 'Aterian' cannot serve as a chronostratigraphic entity because of its presence in a stratigraphical sequence before as well as after Middle Palaeolithic industries lacking tanged tools. These should supposedly all occur beneath any layer containing tanged lithic objects, which are, at present, the main criteria for assigning an assemblage to the 'Aterian'. According to the sequence of Ifri n'Ammar, the relative chronostratigraphical position of tanged tools is therefore shown not to be a single unit.Thermoluminescence (TL) dating of heated artefacts from the main layers of Ifri n'Ammar provides a first chronostratigraphic backbone for the site and for the Maghreb. Layer 'Upper OS', which contains tanged items as well as personal ornaments is dated to 83.3 ± 5.6 ka (n = 10), while the underlying 'Lower OS', which is lacking tanged pieces, is dated to 130.0 ± 7.8 ka (n = 9). The following layer (Upper OI), which again contains tanged items, and thus provides the earliest appearance of the technique of tanging is dated to 145 ± 9 ka. The base of the sequence is formed by a Middle Palaeolithic layer (Lower OI) again lacking tanged objects and dated to 171 ± 12 ka by TL on heated lithic artefacts. These data significantly push back in time the earliest occurrence of tanged tools and the sequence calls for a complete revision of the Maghreb chronostratigraphy. © 2010 Elsevier Ltd.","author":[{"dropping-particle":"","family":"Richter","given":"D.","non-dropping-particle":"","parse-names":false,"suffix":""},{"dropping-particle":"","family":"Moser","given":"Johannes","non-dropping-particle":"","parse-names":false,"suffix":""},{"dropping-particle":"","family":"Nami","given":"Mustapha","non-dropping-particle":"","parse-names":false,"suffix":""},{"dropping-particle":"","family":"Eiwanger","given":"Josef","non-dropping-particle":"","parse-names":false,"suffix":""},{"dropping-particle":"","family":"Mikdad","given":"Abdeslam","non-dropping-particle":"","parse-names":false,"suffix":""}],"container-title":"Journal of Human Evolution","id":"ITEM-1","issue":"6","issued":{"date-parts":[["2010"]]},"page":"672-679","publisher":"Elsevier Ltd","title":"New chronometric data from Ifri n'Ammar (Morocco) and the chronostratigraphy of the Middle Palaeolithic in the Western Maghreb","type":"article-journal","volume":"59"},"uris":["http://www.mendeley.com/documents/?uuid=3c601b95-c2a6-4a1b-a1af-6c45c67b3f27"]}],"mendeley":{"formattedCitation":"&lt;sup&gt;139&lt;/sup&gt;","plainTextFormattedCitation":"139","previouslyFormattedCitation":"&lt;sup&gt;139&lt;/sup&gt;"},"properties":{"noteIndex":0},"schema":"https://github.com/citation-style-language/schema/raw/master/csl-citation.json"}</w:instrText>
            </w:r>
            <w:r w:rsidRPr="005F44EF">
              <w:rPr>
                <w:rFonts w:ascii="Times New Roman" w:eastAsia="Times New Roman" w:hAnsi="Times New Roman" w:cs="Times New Roman"/>
                <w:sz w:val="16"/>
                <w:szCs w:val="16"/>
              </w:rPr>
              <w:fldChar w:fldCharType="separate"/>
            </w:r>
            <w:r w:rsidR="00C212A1" w:rsidRPr="00C212A1">
              <w:rPr>
                <w:rFonts w:ascii="Times New Roman" w:eastAsia="Times New Roman" w:hAnsi="Times New Roman" w:cs="Times New Roman"/>
                <w:noProof/>
                <w:sz w:val="16"/>
                <w:szCs w:val="16"/>
                <w:vertAlign w:val="superscript"/>
              </w:rPr>
              <w:t>139</w:t>
            </w:r>
            <w:r w:rsidRPr="005F44EF">
              <w:rPr>
                <w:rFonts w:ascii="Times New Roman" w:eastAsia="Times New Roman" w:hAnsi="Times New Roman" w:cs="Times New Roman"/>
                <w:sz w:val="16"/>
                <w:szCs w:val="16"/>
              </w:rPr>
              <w:fldChar w:fldCharType="end"/>
            </w:r>
          </w:p>
        </w:tc>
      </w:tr>
      <w:tr w:rsidR="005A0A55" w:rsidRPr="005F44EF" w14:paraId="54B4BD03" w14:textId="77777777" w:rsidTr="003C6FBD">
        <w:trPr>
          <w:trHeight w:val="190"/>
        </w:trPr>
        <w:tc>
          <w:tcPr>
            <w:tcW w:w="802" w:type="dxa"/>
            <w:vMerge/>
            <w:tcBorders>
              <w:left w:val="single" w:sz="6" w:space="0" w:color="000000"/>
              <w:right w:val="single" w:sz="6" w:space="0" w:color="000000"/>
            </w:tcBorders>
            <w:shd w:val="clear" w:color="auto" w:fill="auto"/>
            <w:tcMar>
              <w:top w:w="100" w:type="dxa"/>
              <w:left w:w="100" w:type="dxa"/>
              <w:bottom w:w="100" w:type="dxa"/>
              <w:right w:w="100" w:type="dxa"/>
            </w:tcMar>
          </w:tcPr>
          <w:p w14:paraId="3404B665" w14:textId="77777777" w:rsidR="005A0A55" w:rsidRPr="005F44EF" w:rsidRDefault="005A0A55">
            <w:pPr>
              <w:spacing w:after="0" w:line="276" w:lineRule="auto"/>
              <w:jc w:val="both"/>
              <w:rPr>
                <w:rFonts w:ascii="Times New Roman" w:eastAsia="Times New Roman" w:hAnsi="Times New Roman" w:cs="Times New Roman"/>
                <w:b/>
                <w:sz w:val="24"/>
                <w:szCs w:val="24"/>
              </w:rPr>
            </w:pPr>
          </w:p>
        </w:tc>
        <w:tc>
          <w:tcPr>
            <w:tcW w:w="1164"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3D61EF4"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Tunisia</w:t>
            </w:r>
          </w:p>
        </w:tc>
        <w:tc>
          <w:tcPr>
            <w:tcW w:w="1009"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86E3D73"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proofErr w:type="spellStart"/>
            <w:r w:rsidRPr="005F44EF">
              <w:rPr>
                <w:rFonts w:ascii="Times New Roman" w:eastAsia="Times New Roman" w:hAnsi="Times New Roman" w:cs="Times New Roman"/>
                <w:sz w:val="16"/>
                <w:szCs w:val="16"/>
              </w:rPr>
              <w:t>Kebili</w:t>
            </w:r>
            <w:proofErr w:type="spellEnd"/>
          </w:p>
        </w:tc>
        <w:tc>
          <w:tcPr>
            <w:tcW w:w="1284"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8383133" w14:textId="3AE4656D"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 xml:space="preserve">Wadi </w:t>
            </w:r>
            <w:proofErr w:type="spellStart"/>
            <w:r w:rsidRPr="005F44EF">
              <w:rPr>
                <w:rFonts w:ascii="Times New Roman" w:eastAsia="Times New Roman" w:hAnsi="Times New Roman" w:cs="Times New Roman"/>
                <w:sz w:val="16"/>
                <w:szCs w:val="16"/>
              </w:rPr>
              <w:t>Lazalim</w:t>
            </w:r>
            <w:proofErr w:type="spellEnd"/>
            <w:r w:rsidR="00F24010">
              <w:rPr>
                <w:rFonts w:ascii="Times New Roman" w:eastAsia="Times New Roman" w:hAnsi="Times New Roman" w:cs="Times New Roman"/>
                <w:sz w:val="16"/>
                <w:szCs w:val="16"/>
              </w:rPr>
              <w:t xml:space="preserve"> </w:t>
            </w:r>
            <w:r w:rsidRPr="005F44EF">
              <w:rPr>
                <w:rFonts w:ascii="Times New Roman" w:eastAsia="Times New Roman" w:hAnsi="Times New Roman" w:cs="Times New Roman"/>
                <w:sz w:val="16"/>
                <w:szCs w:val="16"/>
              </w:rPr>
              <w:t>(site 16/29)</w:t>
            </w: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EC47C39"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Layer 3</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2DE5292" w14:textId="27845C99"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612B043" w14:textId="1BE129FC"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600D2AF" w14:textId="28145834"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89F3CF9"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149±15</w:t>
            </w: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FF2D52D" w14:textId="2F888A73"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1E90C73" w14:textId="2434232A"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48F36DF" w14:textId="7F35BD5F"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538F176"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6</w:t>
            </w:r>
          </w:p>
        </w:tc>
        <w:tc>
          <w:tcPr>
            <w:tcW w:w="903"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49434A7" w14:textId="7CB49284"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fldChar w:fldCharType="begin" w:fldLock="1"/>
            </w:r>
            <w:r w:rsidR="00614E13">
              <w:rPr>
                <w:rFonts w:ascii="Times New Roman" w:eastAsia="Times New Roman" w:hAnsi="Times New Roman" w:cs="Times New Roman"/>
                <w:sz w:val="16"/>
                <w:szCs w:val="16"/>
              </w:rPr>
              <w:instrText>ADDIN CSL_CITATION {"citationItems":[{"id":"ITEM-1","itemData":{"DOI":"10.1038/s41598-022-07816-x","ISSN":"2045-2322","abstract":"&lt;p&gt; The late Middle Pleistocene, starting at around 300 ka, witnessed large-scale biological and cultural dynamics in hominin evolution across Africa including the onset of the Middle Stone Age that is closely associated with the evolution of our species— &lt;italic&gt;Homo sapiens&lt;/italic&gt; . However, archaeological and geochronological data of its earliest appearance are scarce. Here we report on the late Middle Pleistocene sequence of Wadi Lazalim, in the Sahara of Southern Tunisia, which has yielded evidence for human occupations bracketed between ca. 300–130 ka. Wadi Lazalim contributes valuable information on the spread of early MSA technocomplexes across North Africa, that likely were an expression of large-scale diffusion processes. &lt;/p&gt;","author":[{"dropping-particle":"","family":"Cancellieri","given":"Emanuele","non-dropping-particle":"","parse-names":false,"suffix":""},{"dropping-particle":"","family":"Bel Hadj Brahim","given":"Hedi","non-dropping-particle":"","parse-names":false,"suffix":""},{"dropping-particle":"","family":"Nasr","given":"Jaafar","non-dropping-particle":"Ben","parse-names":false,"suffix":""},{"dropping-particle":"","family":"Fraj","given":"Tarek","non-dropping-particle":"Ben","parse-names":false,"suffix":""},{"dropping-particle":"","family":"Boussoffara","given":"Ridha","non-dropping-particle":"","parse-names":false,"suffix":""},{"dropping-particle":"","family":"Matteo","given":"Martina","non-dropping-particle":"Di","parse-names":false,"suffix":""},{"dropping-particle":"","family":"Mercier","given":"Norbert","non-dropping-particle":"","parse-names":false,"suffix":""},{"dropping-particle":"","family":"Marnaoui","given":"Marwa","non-dropping-particle":"","parse-names":false,"suffix":""},{"dropping-particle":"","family":"Monaco","given":"Andrea","non-dropping-particle":"","parse-names":false,"suffix":""},{"dropping-particle":"","family":"Richard","given":"Maïlys","non-dropping-particle":"","parse-names":false,"suffix":""},{"dropping-particle":"","family":"Mariani","given":"Guido S.","non-dropping-particle":"","parse-names":false,"suffix":""},{"dropping-particle":"","family":"Scancarello","given":"Olivier","non-dropping-particle":"","parse-names":false,"suffix":""},{"dropping-particle":"","family":"Zerboni","given":"Andrea","non-dropping-particle":"","parse-names":false,"suffix":""},{"dropping-particle":"","family":"Lernia","given":"Savino","non-dropping-particle":"di","parse-names":false,"suffix":""}],"container-title":"Scientific Reports","id":"ITEM-1","issue":"1","issued":{"date-parts":[["2022","12","18"]]},"page":"3996","title":"A late Middle Pleistocene Middle Stone Age sequence identified at Wadi Lazalim in southern Tunisia","type":"article-journal","volume":"12"},"uris":["http://www.mendeley.com/documents/?uuid=fe4cfdbc-cec9-3bac-8172-13cea719c649"]}],"mendeley":{"formattedCitation":"&lt;sup&gt;140&lt;/sup&gt;","plainTextFormattedCitation":"140","previouslyFormattedCitation":"&lt;sup&gt;140&lt;/sup&gt;"},"properties":{"noteIndex":0},"schema":"https://github.com/citation-style-language/schema/raw/master/csl-citation.json"}</w:instrText>
            </w:r>
            <w:r w:rsidRPr="005F44EF">
              <w:rPr>
                <w:rFonts w:ascii="Times New Roman" w:eastAsia="Times New Roman" w:hAnsi="Times New Roman" w:cs="Times New Roman"/>
                <w:sz w:val="16"/>
                <w:szCs w:val="16"/>
              </w:rPr>
              <w:fldChar w:fldCharType="separate"/>
            </w:r>
            <w:r w:rsidR="00C212A1" w:rsidRPr="00C212A1">
              <w:rPr>
                <w:rFonts w:ascii="Times New Roman" w:eastAsia="Times New Roman" w:hAnsi="Times New Roman" w:cs="Times New Roman"/>
                <w:noProof/>
                <w:sz w:val="16"/>
                <w:szCs w:val="16"/>
                <w:vertAlign w:val="superscript"/>
              </w:rPr>
              <w:t>140</w:t>
            </w:r>
            <w:r w:rsidRPr="005F44EF">
              <w:rPr>
                <w:rFonts w:ascii="Times New Roman" w:eastAsia="Times New Roman" w:hAnsi="Times New Roman" w:cs="Times New Roman"/>
                <w:sz w:val="16"/>
                <w:szCs w:val="16"/>
              </w:rPr>
              <w:fldChar w:fldCharType="end"/>
            </w:r>
          </w:p>
        </w:tc>
      </w:tr>
      <w:tr w:rsidR="005A0A55" w:rsidRPr="005F44EF" w14:paraId="743D0DD8" w14:textId="77777777" w:rsidTr="003C6FBD">
        <w:trPr>
          <w:trHeight w:val="190"/>
        </w:trPr>
        <w:tc>
          <w:tcPr>
            <w:tcW w:w="802" w:type="dxa"/>
            <w:vMerge/>
            <w:tcBorders>
              <w:left w:val="single" w:sz="6" w:space="0" w:color="000000"/>
              <w:right w:val="single" w:sz="6" w:space="0" w:color="000000"/>
            </w:tcBorders>
            <w:shd w:val="clear" w:color="auto" w:fill="auto"/>
            <w:tcMar>
              <w:top w:w="100" w:type="dxa"/>
              <w:left w:w="100" w:type="dxa"/>
              <w:bottom w:w="100" w:type="dxa"/>
              <w:right w:w="100" w:type="dxa"/>
            </w:tcMar>
          </w:tcPr>
          <w:p w14:paraId="34C40DD5" w14:textId="77777777" w:rsidR="005A0A55" w:rsidRPr="005F44EF" w:rsidRDefault="005A0A55">
            <w:pPr>
              <w:spacing w:after="0" w:line="276" w:lineRule="auto"/>
              <w:jc w:val="both"/>
              <w:rPr>
                <w:rFonts w:ascii="Times New Roman" w:eastAsia="Times New Roman" w:hAnsi="Times New Roman" w:cs="Times New Roman"/>
                <w:b/>
                <w:sz w:val="24"/>
                <w:szCs w:val="24"/>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605373E0" w14:textId="77777777" w:rsidR="005A0A55" w:rsidRPr="005F44EF" w:rsidRDefault="005A0A55" w:rsidP="005A0A55">
            <w:pPr>
              <w:spacing w:after="0" w:line="276" w:lineRule="auto"/>
              <w:rPr>
                <w:rFonts w:ascii="Times New Roman" w:eastAsia="Times New Roman" w:hAnsi="Times New Roman" w:cs="Times New Roman"/>
                <w:b/>
                <w:sz w:val="24"/>
                <w:szCs w:val="24"/>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7C914DDC" w14:textId="77777777" w:rsidR="005A0A55" w:rsidRPr="005F44EF" w:rsidRDefault="005A0A55" w:rsidP="005A0A55">
            <w:pPr>
              <w:spacing w:after="0" w:line="276" w:lineRule="auto"/>
              <w:rPr>
                <w:rFonts w:ascii="Times New Roman" w:eastAsia="Times New Roman" w:hAnsi="Times New Roman" w:cs="Times New Roman"/>
                <w:b/>
                <w:sz w:val="24"/>
                <w:szCs w:val="24"/>
              </w:rPr>
            </w:pPr>
          </w:p>
        </w:tc>
        <w:tc>
          <w:tcPr>
            <w:tcW w:w="128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6D64E9EE" w14:textId="77777777" w:rsidR="005A0A55" w:rsidRPr="005F44EF" w:rsidRDefault="005A0A55" w:rsidP="005A0A55">
            <w:pPr>
              <w:spacing w:after="0" w:line="276" w:lineRule="auto"/>
              <w:rPr>
                <w:rFonts w:ascii="Times New Roman" w:eastAsia="Times New Roman" w:hAnsi="Times New Roman" w:cs="Times New Roman"/>
                <w:b/>
                <w:sz w:val="24"/>
                <w:szCs w:val="24"/>
              </w:rPr>
            </w:pP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36F36C9"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Layer 5</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C95A970" w14:textId="4BAEF1C7"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4922785" w14:textId="117E3A56"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60300A5" w14:textId="32909CF5"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C3C7FED"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131±13</w:t>
            </w: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804739A" w14:textId="70E220D1"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DD39FE1" w14:textId="2E11EC83"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AA958C6" w14:textId="00AB175D"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DBF7C32"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6</w:t>
            </w:r>
          </w:p>
        </w:tc>
        <w:tc>
          <w:tcPr>
            <w:tcW w:w="90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160C62F5" w14:textId="77777777" w:rsidR="005A0A55" w:rsidRPr="005F44EF" w:rsidRDefault="005A0A55" w:rsidP="005A0A55">
            <w:pPr>
              <w:spacing w:after="0" w:line="276" w:lineRule="auto"/>
              <w:rPr>
                <w:rFonts w:ascii="Times New Roman" w:eastAsia="Times New Roman" w:hAnsi="Times New Roman" w:cs="Times New Roman"/>
                <w:b/>
                <w:sz w:val="24"/>
                <w:szCs w:val="24"/>
              </w:rPr>
            </w:pPr>
          </w:p>
        </w:tc>
      </w:tr>
      <w:tr w:rsidR="005A0A55" w:rsidRPr="005F44EF" w14:paraId="7280C830" w14:textId="77777777" w:rsidTr="003C6FBD">
        <w:trPr>
          <w:trHeight w:val="190"/>
        </w:trPr>
        <w:tc>
          <w:tcPr>
            <w:tcW w:w="802" w:type="dxa"/>
            <w:vMerge/>
            <w:tcBorders>
              <w:left w:val="single" w:sz="6" w:space="0" w:color="000000"/>
              <w:right w:val="single" w:sz="6" w:space="0" w:color="000000"/>
            </w:tcBorders>
            <w:shd w:val="clear" w:color="auto" w:fill="auto"/>
            <w:tcMar>
              <w:top w:w="100" w:type="dxa"/>
              <w:left w:w="100" w:type="dxa"/>
              <w:bottom w:w="100" w:type="dxa"/>
              <w:right w:w="100" w:type="dxa"/>
            </w:tcMar>
          </w:tcPr>
          <w:p w14:paraId="65490430" w14:textId="77777777" w:rsidR="005A0A55" w:rsidRPr="005F44EF" w:rsidRDefault="005A0A55">
            <w:pPr>
              <w:spacing w:after="0" w:line="276" w:lineRule="auto"/>
              <w:jc w:val="both"/>
              <w:rPr>
                <w:rFonts w:ascii="Times New Roman" w:eastAsia="Times New Roman" w:hAnsi="Times New Roman" w:cs="Times New Roman"/>
                <w:b/>
                <w:sz w:val="24"/>
                <w:szCs w:val="24"/>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3D3294DB" w14:textId="77777777" w:rsidR="005A0A55" w:rsidRPr="005F44EF" w:rsidRDefault="005A0A55" w:rsidP="005A0A55">
            <w:pPr>
              <w:spacing w:after="0" w:line="276" w:lineRule="auto"/>
              <w:rPr>
                <w:rFonts w:ascii="Times New Roman" w:eastAsia="Times New Roman" w:hAnsi="Times New Roman" w:cs="Times New Roman"/>
                <w:b/>
                <w:sz w:val="24"/>
                <w:szCs w:val="24"/>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58857338" w14:textId="77777777" w:rsidR="005A0A55" w:rsidRPr="005F44EF" w:rsidRDefault="005A0A55" w:rsidP="005A0A55">
            <w:pPr>
              <w:spacing w:after="0" w:line="276" w:lineRule="auto"/>
              <w:rPr>
                <w:rFonts w:ascii="Times New Roman" w:eastAsia="Times New Roman" w:hAnsi="Times New Roman" w:cs="Times New Roman"/>
                <w:b/>
                <w:sz w:val="24"/>
                <w:szCs w:val="24"/>
              </w:rPr>
            </w:pPr>
          </w:p>
        </w:tc>
        <w:tc>
          <w:tcPr>
            <w:tcW w:w="128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12A20722" w14:textId="77777777" w:rsidR="005A0A55" w:rsidRPr="005F44EF" w:rsidRDefault="005A0A55" w:rsidP="005A0A55">
            <w:pPr>
              <w:spacing w:after="0" w:line="276" w:lineRule="auto"/>
              <w:rPr>
                <w:rFonts w:ascii="Times New Roman" w:eastAsia="Times New Roman" w:hAnsi="Times New Roman" w:cs="Times New Roman"/>
                <w:b/>
                <w:sz w:val="24"/>
                <w:szCs w:val="24"/>
              </w:rPr>
            </w:pP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CF86A62"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Layer 6</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11612F0" w14:textId="3EABFFFC"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6E132DE" w14:textId="67883F09"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8693288" w14:textId="70E7356D"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6C47AF9"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160±14</w:t>
            </w: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AAE8E0E" w14:textId="70F98BC8"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58C82A2" w14:textId="30747B28"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A7C48A3" w14:textId="7FA57EFA"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CFB4924"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6</w:t>
            </w:r>
          </w:p>
        </w:tc>
        <w:tc>
          <w:tcPr>
            <w:tcW w:w="90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3F31BF32" w14:textId="77777777" w:rsidR="005A0A55" w:rsidRPr="005F44EF" w:rsidRDefault="005A0A55" w:rsidP="005A0A55">
            <w:pPr>
              <w:spacing w:after="0" w:line="276" w:lineRule="auto"/>
              <w:rPr>
                <w:rFonts w:ascii="Times New Roman" w:eastAsia="Times New Roman" w:hAnsi="Times New Roman" w:cs="Times New Roman"/>
                <w:b/>
                <w:sz w:val="24"/>
                <w:szCs w:val="24"/>
              </w:rPr>
            </w:pPr>
          </w:p>
        </w:tc>
      </w:tr>
      <w:tr w:rsidR="005A0A55" w:rsidRPr="005F44EF" w14:paraId="4C1F303C" w14:textId="77777777" w:rsidTr="003C6FBD">
        <w:trPr>
          <w:trHeight w:val="190"/>
        </w:trPr>
        <w:tc>
          <w:tcPr>
            <w:tcW w:w="802" w:type="dxa"/>
            <w:vMerge/>
            <w:tcBorders>
              <w:left w:val="single" w:sz="6" w:space="0" w:color="000000"/>
              <w:bottom w:val="single" w:sz="6" w:space="0" w:color="000000"/>
              <w:right w:val="single" w:sz="6" w:space="0" w:color="000000"/>
            </w:tcBorders>
            <w:shd w:val="clear" w:color="auto" w:fill="auto"/>
            <w:tcMar>
              <w:top w:w="0" w:type="dxa"/>
              <w:left w:w="80" w:type="dxa"/>
              <w:bottom w:w="0" w:type="dxa"/>
              <w:right w:w="80" w:type="dxa"/>
            </w:tcMar>
          </w:tcPr>
          <w:p w14:paraId="518CD046" w14:textId="6A0F6B71" w:rsidR="005A0A55" w:rsidRPr="005F44EF" w:rsidRDefault="005A0A55">
            <w:pPr>
              <w:spacing w:before="240" w:after="0" w:line="276" w:lineRule="auto"/>
              <w:rPr>
                <w:rFonts w:ascii="Times New Roman" w:eastAsia="Times New Roman" w:hAnsi="Times New Roman" w:cs="Times New Roman"/>
                <w:sz w:val="16"/>
                <w:szCs w:val="16"/>
              </w:rPr>
            </w:pPr>
          </w:p>
        </w:tc>
        <w:tc>
          <w:tcPr>
            <w:tcW w:w="116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21EEA91"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Egypt</w:t>
            </w:r>
          </w:p>
        </w:tc>
        <w:tc>
          <w:tcPr>
            <w:tcW w:w="100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7198E0D" w14:textId="0B0527AC"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A6B463D"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Taramsa 1</w:t>
            </w: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07270DF"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Unit RS</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160E545" w14:textId="5FCFA5DC"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D483BC4" w14:textId="781A9854" w:rsidR="005A0A55" w:rsidRPr="005F44EF" w:rsidRDefault="00566EDB"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 xml:space="preserve">165.5±17.8 </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729B4C7" w14:textId="697DA6B5"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60929AF" w14:textId="147166D7"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890EDEC" w14:textId="5D830DF6"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B045E4A" w14:textId="07BB77A1"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1A1F169" w14:textId="3DE9061F"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CB70949"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6</w:t>
            </w:r>
          </w:p>
        </w:tc>
        <w:tc>
          <w:tcPr>
            <w:tcW w:w="90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4EBFB93" w14:textId="33B9AF29"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fldChar w:fldCharType="begin" w:fldLock="1"/>
            </w:r>
            <w:r w:rsidR="00614E13">
              <w:rPr>
                <w:rFonts w:ascii="Times New Roman" w:eastAsia="Times New Roman" w:hAnsi="Times New Roman" w:cs="Times New Roman"/>
                <w:sz w:val="16"/>
                <w:szCs w:val="16"/>
              </w:rPr>
              <w:instrText>ADDIN CSL_CITATION {"citationItems":[{"id":"ITEM-1","itemData":{"DOI":"10.1086/jar.67.2.41303298","ISSN":"0091-7710","author":[{"dropping-particle":"","family":"Peer","given":"P.","non-dropping-particle":"Van","parse-names":false,"suffix":""},{"dropping-particle":"","family":"Vermeersch","given":"P. M.","non-dropping-particle":"","parse-names":false,"suffix":""},{"dropping-particle":"","family":"Paulissen","given":"E.","non-dropping-particle":"","parse-names":false,"suffix":""}],"container-title":"Leuven University Press","id":"ITEM-1","issue":"2","issued":{"date-parts":[["2010"]]},"page":"288-289","title":"Chert Quarrying, Lithic Technology and a Modern Human Burial at the Palaeolithic Site of Taramsa 1, Upper Egypt . Philip Van Peer , Pierre M. Vermeersch , Etienne Paulissen","type":"article-journal","volume":"67"},"uris":["http://www.mendeley.com/documents/?uuid=56fbc6d1-1446-4364-812d-a24580bafb9f"]}],"mendeley":{"formattedCitation":"&lt;sup&gt;141&lt;/sup&gt;","plainTextFormattedCitation":"141","previouslyFormattedCitation":"&lt;sup&gt;141&lt;/sup&gt;"},"properties":{"noteIndex":0},"schema":"https://github.com/citation-style-language/schema/raw/master/csl-citation.json"}</w:instrText>
            </w:r>
            <w:r w:rsidRPr="005F44EF">
              <w:rPr>
                <w:rFonts w:ascii="Times New Roman" w:eastAsia="Times New Roman" w:hAnsi="Times New Roman" w:cs="Times New Roman"/>
                <w:sz w:val="16"/>
                <w:szCs w:val="16"/>
              </w:rPr>
              <w:fldChar w:fldCharType="separate"/>
            </w:r>
            <w:r w:rsidR="00C212A1" w:rsidRPr="00C212A1">
              <w:rPr>
                <w:rFonts w:ascii="Times New Roman" w:eastAsia="Times New Roman" w:hAnsi="Times New Roman" w:cs="Times New Roman"/>
                <w:noProof/>
                <w:sz w:val="16"/>
                <w:szCs w:val="16"/>
                <w:vertAlign w:val="superscript"/>
              </w:rPr>
              <w:t>141</w:t>
            </w:r>
            <w:r w:rsidRPr="005F44EF">
              <w:rPr>
                <w:rFonts w:ascii="Times New Roman" w:eastAsia="Times New Roman" w:hAnsi="Times New Roman" w:cs="Times New Roman"/>
                <w:sz w:val="16"/>
                <w:szCs w:val="16"/>
              </w:rPr>
              <w:fldChar w:fldCharType="end"/>
            </w:r>
          </w:p>
        </w:tc>
      </w:tr>
      <w:tr w:rsidR="005A0A55" w:rsidRPr="005F44EF" w14:paraId="31E75E65" w14:textId="77777777" w:rsidTr="003C6FBD">
        <w:trPr>
          <w:trHeight w:val="20"/>
        </w:trPr>
        <w:tc>
          <w:tcPr>
            <w:tcW w:w="802" w:type="dxa"/>
            <w:vMerge w:val="restart"/>
            <w:tcBorders>
              <w:top w:val="nil"/>
              <w:left w:val="single" w:sz="6" w:space="0" w:color="000000"/>
              <w:right w:val="single" w:sz="6" w:space="0" w:color="000000"/>
            </w:tcBorders>
            <w:shd w:val="clear" w:color="auto" w:fill="auto"/>
            <w:tcMar>
              <w:top w:w="100" w:type="dxa"/>
              <w:left w:w="100" w:type="dxa"/>
              <w:bottom w:w="100" w:type="dxa"/>
              <w:right w:w="100" w:type="dxa"/>
            </w:tcMar>
          </w:tcPr>
          <w:p w14:paraId="638A54F9" w14:textId="54BDC0AA" w:rsidR="005A0A55" w:rsidRPr="005F44EF" w:rsidRDefault="005A0A55">
            <w:pPr>
              <w:spacing w:after="0" w:line="276" w:lineRule="auto"/>
              <w:jc w:val="both"/>
              <w:rPr>
                <w:rFonts w:ascii="Times New Roman" w:eastAsia="Times New Roman" w:hAnsi="Times New Roman" w:cs="Times New Roman"/>
                <w:b/>
                <w:sz w:val="24"/>
                <w:szCs w:val="24"/>
              </w:rPr>
            </w:pPr>
            <w:r w:rsidRPr="005F44EF">
              <w:rPr>
                <w:rFonts w:ascii="Times New Roman" w:eastAsia="Times New Roman" w:hAnsi="Times New Roman" w:cs="Times New Roman"/>
                <w:sz w:val="16"/>
                <w:szCs w:val="16"/>
              </w:rPr>
              <w:t>Eastern Africa</w:t>
            </w:r>
          </w:p>
        </w:tc>
        <w:tc>
          <w:tcPr>
            <w:tcW w:w="116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CEAB2DE"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Soudan</w:t>
            </w:r>
          </w:p>
        </w:tc>
        <w:tc>
          <w:tcPr>
            <w:tcW w:w="100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2DCC364" w14:textId="2F9CBAAA"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A40BDE0"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Sai Island 8-B-11</w:t>
            </w: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0C11F74" w14:textId="2AB1D8B6"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Unit ES and Unit S</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BE08040" w14:textId="03D38680"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EA512A8" w14:textId="64DBA1CF"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Between 223±19 and 152 ± 10</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DC9972A" w14:textId="58DB5CB6"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9B901E5" w14:textId="72809C23"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98A8DA6" w14:textId="4AF2EBBE"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36902E1" w14:textId="644AA9C5"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EA048F4" w14:textId="1F5FCAED" w:rsidR="005A0A55" w:rsidRPr="005F44EF" w:rsidRDefault="005A0A55" w:rsidP="005A0A55">
            <w:pPr>
              <w:spacing w:before="240" w:after="0" w:line="276" w:lineRule="auto"/>
              <w:rPr>
                <w:rFonts w:ascii="Times New Roman" w:eastAsia="Times New Roman" w:hAnsi="Times New Roman" w:cs="Times New Roman"/>
                <w:sz w:val="16"/>
                <w:szCs w:val="16"/>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61BA2F7" w14:textId="77777777"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6</w:t>
            </w:r>
          </w:p>
        </w:tc>
        <w:tc>
          <w:tcPr>
            <w:tcW w:w="90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D47ADE8" w14:textId="4590237E" w:rsidR="005A0A55" w:rsidRPr="005F44EF" w:rsidRDefault="005A0A55" w:rsidP="005A0A5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fldChar w:fldCharType="begin" w:fldLock="1"/>
            </w:r>
            <w:r w:rsidRPr="005F44EF">
              <w:rPr>
                <w:rFonts w:ascii="Times New Roman" w:eastAsia="Times New Roman" w:hAnsi="Times New Roman" w:cs="Times New Roman"/>
                <w:sz w:val="16"/>
                <w:szCs w:val="16"/>
              </w:rPr>
              <w:instrText>ADDIN CSL_CITATION {"citationItems":[{"id":"ITEM-1","itemData":{"DOI":"10.1007/978-3-031-20290-2_66","ISBN":"978-3-031-20290-2","abstract":"Sai is an island in the Middle Nile located slightly upstream from the Second Cataract, in the Northern Province of Sudan (20.70 N; 30.33 E). It is well-known for its Pharaonic and Kerma culture archaeological sites. The Middle Stone Age (MSA) site of...","author":[{"dropping-particle":"","family":"Peer","given":"Philip","non-dropping-particle":"Van","parse-names":false,"suffix":""}],"container-title":"Handbook of Pleistocene Archaeology of Africa","id":"ITEM-1","issued":{"date-parts":[["2023"]]},"page":"1013-1025","publisher":"Springer, Cham","title":"Sai Island (Site 8-B-11), Sudan","type":"article-journal"},"uris":["http://www.mendeley.com/documents/?uuid=1388fd6d-6e30-38e4-a3db-73ce12d578f2"]}],"mendeley":{"formattedCitation":"&lt;sup&gt;41&lt;/sup&gt;","plainTextFormattedCitation":"41","previouslyFormattedCitation":"&lt;sup&gt;41&lt;/sup&gt;"},"properties":{"noteIndex":0},"schema":"https://github.com/citation-style-language/schema/raw/master/csl-citation.json"}</w:instrText>
            </w:r>
            <w:r w:rsidRPr="005F44EF">
              <w:rPr>
                <w:rFonts w:ascii="Times New Roman" w:eastAsia="Times New Roman" w:hAnsi="Times New Roman" w:cs="Times New Roman"/>
                <w:sz w:val="16"/>
                <w:szCs w:val="16"/>
              </w:rPr>
              <w:fldChar w:fldCharType="separate"/>
            </w:r>
            <w:r w:rsidRPr="005F44EF">
              <w:rPr>
                <w:rFonts w:ascii="Times New Roman" w:eastAsia="Times New Roman" w:hAnsi="Times New Roman" w:cs="Times New Roman"/>
                <w:noProof/>
                <w:sz w:val="16"/>
                <w:szCs w:val="16"/>
                <w:vertAlign w:val="superscript"/>
              </w:rPr>
              <w:t>41</w:t>
            </w:r>
            <w:r w:rsidRPr="005F44EF">
              <w:rPr>
                <w:rFonts w:ascii="Times New Roman" w:eastAsia="Times New Roman" w:hAnsi="Times New Roman" w:cs="Times New Roman"/>
                <w:sz w:val="16"/>
                <w:szCs w:val="16"/>
              </w:rPr>
              <w:fldChar w:fldCharType="end"/>
            </w:r>
          </w:p>
        </w:tc>
      </w:tr>
      <w:tr w:rsidR="00C455A8" w:rsidRPr="005F44EF" w14:paraId="7830EC79" w14:textId="77777777" w:rsidTr="003C6FBD">
        <w:trPr>
          <w:trHeight w:val="20"/>
        </w:trPr>
        <w:tc>
          <w:tcPr>
            <w:tcW w:w="802" w:type="dxa"/>
            <w:vMerge/>
            <w:tcBorders>
              <w:top w:val="nil"/>
              <w:left w:val="single" w:sz="6" w:space="0" w:color="000000"/>
              <w:right w:val="single" w:sz="6" w:space="0" w:color="000000"/>
            </w:tcBorders>
            <w:shd w:val="clear" w:color="auto" w:fill="auto"/>
            <w:tcMar>
              <w:top w:w="100" w:type="dxa"/>
              <w:left w:w="100" w:type="dxa"/>
              <w:bottom w:w="100" w:type="dxa"/>
              <w:right w:w="100" w:type="dxa"/>
            </w:tcMar>
          </w:tcPr>
          <w:p w14:paraId="336B72EB" w14:textId="77777777" w:rsidR="00C455A8" w:rsidRPr="005F44EF" w:rsidRDefault="00C455A8" w:rsidP="00C455A8">
            <w:pPr>
              <w:spacing w:after="0" w:line="276" w:lineRule="auto"/>
              <w:jc w:val="both"/>
              <w:rPr>
                <w:rFonts w:ascii="Times New Roman" w:eastAsia="Times New Roman" w:hAnsi="Times New Roman" w:cs="Times New Roman"/>
                <w:sz w:val="16"/>
                <w:szCs w:val="16"/>
              </w:rPr>
            </w:pPr>
          </w:p>
        </w:tc>
        <w:tc>
          <w:tcPr>
            <w:tcW w:w="116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C247E82" w14:textId="532A481C"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Soudan</w:t>
            </w:r>
          </w:p>
        </w:tc>
        <w:tc>
          <w:tcPr>
            <w:tcW w:w="100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F161299"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CD45B76" w14:textId="7891B149" w:rsidR="00C455A8" w:rsidRPr="005F44EF" w:rsidRDefault="00C455A8" w:rsidP="00C455A8">
            <w:pPr>
              <w:spacing w:before="240" w:after="0" w:line="276" w:lineRule="auto"/>
              <w:rPr>
                <w:rFonts w:ascii="Times New Roman" w:eastAsia="Times New Roman" w:hAnsi="Times New Roman" w:cs="Times New Roman"/>
                <w:sz w:val="16"/>
                <w:szCs w:val="16"/>
              </w:rPr>
            </w:pPr>
            <w:proofErr w:type="spellStart"/>
            <w:r w:rsidRPr="005F44EF">
              <w:rPr>
                <w:rFonts w:ascii="Times New Roman" w:eastAsia="Times New Roman" w:hAnsi="Times New Roman" w:cs="Times New Roman"/>
                <w:sz w:val="16"/>
                <w:szCs w:val="16"/>
              </w:rPr>
              <w:t>Bîr</w:t>
            </w:r>
            <w:proofErr w:type="spellEnd"/>
            <w:r w:rsidRPr="005F44EF">
              <w:rPr>
                <w:rFonts w:ascii="Times New Roman" w:eastAsia="Times New Roman" w:hAnsi="Times New Roman" w:cs="Times New Roman"/>
                <w:sz w:val="16"/>
                <w:szCs w:val="16"/>
              </w:rPr>
              <w:t xml:space="preserve"> </w:t>
            </w:r>
            <w:proofErr w:type="spellStart"/>
            <w:r w:rsidRPr="005F44EF">
              <w:rPr>
                <w:rFonts w:ascii="Times New Roman" w:eastAsia="Times New Roman" w:hAnsi="Times New Roman" w:cs="Times New Roman"/>
                <w:sz w:val="16"/>
                <w:szCs w:val="16"/>
              </w:rPr>
              <w:t>Tirfawi</w:t>
            </w:r>
            <w:proofErr w:type="spellEnd"/>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9C59C94" w14:textId="084B236D"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Grey 1 Phase</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D14A406"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BE52DE1" w14:textId="459AC146"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135.1±21.6</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21DF750"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2A5AB74"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8AF507E"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8AFB2F7"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7716242"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3D33E1E" w14:textId="5CF56881"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6</w:t>
            </w:r>
          </w:p>
        </w:tc>
        <w:tc>
          <w:tcPr>
            <w:tcW w:w="90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A02CAF6" w14:textId="32AF9621"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fldChar w:fldCharType="begin" w:fldLock="1"/>
            </w:r>
            <w:r w:rsidR="00614E13">
              <w:rPr>
                <w:rFonts w:ascii="Times New Roman" w:eastAsia="Times New Roman" w:hAnsi="Times New Roman" w:cs="Times New Roman"/>
                <w:sz w:val="16"/>
                <w:szCs w:val="16"/>
              </w:rPr>
              <w:instrText>ADDIN CSL_CITATION {"citationItems":[{"id":"ITEM-1","itemData":{"DOI":"10.1016/J.QUAINT.2016.08.037","ISSN":"1040-6182","abstract":"At Bîr Tirfawi and Bîr Sahara in the now hyperarid Egyptian Sahara, relict lake deposits located in adjacent deflation basins near 22°54′57.58″N 28°50′19.54″E preserve evidence of different hydroclimate conditions that enabled cultural activities during the Middle Stone Age – Middle Paleolithic (MSA-MP). Single aliquot regeneration optically stimulated luminescence (SAR-OSL) dating techniques were applied to sediment samples with archaeological contexts to generate a more precise geochronology for the groundwater-supported lakes and prehistoric activities in the region. New age determinations on nine samples collected from Bîr Sahara East and Bîr Tirfawi are presented for the five paleolake phases originally described by the excavation team. The new analyses yielded dates that are more precise, and refine the original geochronology for water availability at this location. The determinations suggest that some of the originally defined lake phases are temporally indistinct. SAR-OSL dates of the West 2 and West 3 lake phases defined at Bîr Sahara East overlap in time, and are contemporaneous with the Grey 3 phase at Bîr Tirfawi, at around 102 ka. The refined age for the Grey 1 phase at Bîr Tirfawi dates to 135 ± 21.6 ka, and two dates for the Post-Lake phase at Bîr Sahara center around 41 ka. A probability distribution plot (pdf) of all nine of the analytical results resolves the chronology of groundwater-supported paleolakes and prehistoric activities in the region around 41 ka (MIS 3), 80 ka (MIS 5a), 102 (MIS 5c-d), and 115 ka (MIS 5d-e). Precise dates for the sediments at these archaeological sites are important for several lines of multidisciplinary inquiry, including the role of Middle-Late Pleistocene climate on landscape change and water availability, variations in material culture and the adaptations in populations of anatomically modern humans (AMH) in the Sahara. Research in the Bîr Sahara – Bîr Tirfawi region is particularly interesting because the sites are within the modern hyperarid core of NE Africa, and are not located along the coasts or major waterway corridors “Out of Africa” like the Nile Valley. Semi-permanent paleolakes and long-lived spring-fed oases located in the modern arid belt west of the River Nile between Egypt and Sudan were crucial biomes for sustaining the lifeways and dispersal of Homo throughout the Quaternary. However, the importance and the role of such ecosystems dispersed across the North African landscape is somewha…","author":[{"dropping-particle":"","family":"Nicoll","given":"Kathleen","non-dropping-particle":"","parse-names":false,"suffix":""}],"container-title":"Quaternary International","id":"ITEM-1","issued":{"date-parts":[["2018","1","2"]]},"page":"18-28","publisher":"Pergamon","title":"A revised chronology for Pleistocene paleolakes and Middle Stone Age – Middle Paleolithic cultural activity at Bîr Tirfawi – Bîr Sahara in the Egyptian Sahara","type":"article-journal","volume":"463"},"uris":["http://www.mendeley.com/documents/?uuid=176cf63f-694f-31c6-85df-ae5fb3bfdda6"]}],"mendeley":{"formattedCitation":"&lt;sup&gt;142&lt;/sup&gt;","plainTextFormattedCitation":"142","previouslyFormattedCitation":"&lt;sup&gt;142&lt;/sup&gt;"},"properties":{"noteIndex":0},"schema":"https://github.com/citation-style-language/schema/raw/master/csl-citation.json"}</w:instrText>
            </w:r>
            <w:r w:rsidRPr="005F44EF">
              <w:rPr>
                <w:rFonts w:ascii="Times New Roman" w:eastAsia="Times New Roman" w:hAnsi="Times New Roman" w:cs="Times New Roman"/>
                <w:sz w:val="16"/>
                <w:szCs w:val="16"/>
              </w:rPr>
              <w:fldChar w:fldCharType="separate"/>
            </w:r>
            <w:r w:rsidR="00C212A1" w:rsidRPr="00C212A1">
              <w:rPr>
                <w:rFonts w:ascii="Times New Roman" w:eastAsia="Times New Roman" w:hAnsi="Times New Roman" w:cs="Times New Roman"/>
                <w:noProof/>
                <w:sz w:val="16"/>
                <w:szCs w:val="16"/>
                <w:vertAlign w:val="superscript"/>
              </w:rPr>
              <w:t>142</w:t>
            </w:r>
            <w:r w:rsidRPr="005F44EF">
              <w:rPr>
                <w:rFonts w:ascii="Times New Roman" w:eastAsia="Times New Roman" w:hAnsi="Times New Roman" w:cs="Times New Roman"/>
                <w:sz w:val="16"/>
                <w:szCs w:val="16"/>
              </w:rPr>
              <w:fldChar w:fldCharType="end"/>
            </w:r>
          </w:p>
        </w:tc>
      </w:tr>
      <w:tr w:rsidR="00C455A8" w:rsidRPr="005F44EF" w14:paraId="1778E356" w14:textId="77777777" w:rsidTr="003C6FBD">
        <w:trPr>
          <w:trHeight w:val="190"/>
        </w:trPr>
        <w:tc>
          <w:tcPr>
            <w:tcW w:w="802" w:type="dxa"/>
            <w:vMerge/>
            <w:tcBorders>
              <w:left w:val="single" w:sz="6" w:space="0" w:color="000000"/>
              <w:right w:val="single" w:sz="6" w:space="0" w:color="000000"/>
            </w:tcBorders>
            <w:shd w:val="clear" w:color="auto" w:fill="auto"/>
            <w:tcMar>
              <w:top w:w="100" w:type="dxa"/>
              <w:left w:w="100" w:type="dxa"/>
              <w:bottom w:w="100" w:type="dxa"/>
              <w:right w:w="100" w:type="dxa"/>
            </w:tcMar>
          </w:tcPr>
          <w:p w14:paraId="7A53747D" w14:textId="77777777" w:rsidR="00C455A8" w:rsidRPr="005F44EF" w:rsidRDefault="00C455A8" w:rsidP="00C455A8">
            <w:pPr>
              <w:spacing w:after="0" w:line="276" w:lineRule="auto"/>
              <w:jc w:val="both"/>
              <w:rPr>
                <w:rFonts w:ascii="Times New Roman" w:eastAsia="Times New Roman" w:hAnsi="Times New Roman" w:cs="Times New Roman"/>
                <w:b/>
                <w:sz w:val="24"/>
                <w:szCs w:val="24"/>
              </w:rPr>
            </w:pPr>
          </w:p>
        </w:tc>
        <w:tc>
          <w:tcPr>
            <w:tcW w:w="116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EA8DF89" w14:textId="0459E26E"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Soudan</w:t>
            </w:r>
          </w:p>
        </w:tc>
        <w:tc>
          <w:tcPr>
            <w:tcW w:w="100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F947BFC"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E655E11" w14:textId="10E40950" w:rsidR="00C455A8" w:rsidRPr="005F44EF" w:rsidRDefault="00C455A8" w:rsidP="00C455A8">
            <w:pPr>
              <w:spacing w:before="240" w:after="0" w:line="276" w:lineRule="auto"/>
              <w:rPr>
                <w:rFonts w:ascii="Times New Roman" w:eastAsia="Times New Roman" w:hAnsi="Times New Roman" w:cs="Times New Roman"/>
                <w:sz w:val="16"/>
                <w:szCs w:val="16"/>
              </w:rPr>
            </w:pPr>
            <w:proofErr w:type="spellStart"/>
            <w:r w:rsidRPr="005F44EF">
              <w:rPr>
                <w:rFonts w:ascii="Times New Roman" w:eastAsia="Times New Roman" w:hAnsi="Times New Roman" w:cs="Times New Roman"/>
                <w:sz w:val="16"/>
                <w:szCs w:val="16"/>
              </w:rPr>
              <w:t>Edar</w:t>
            </w:r>
            <w:proofErr w:type="spellEnd"/>
            <w:r w:rsidRPr="005F44EF">
              <w:rPr>
                <w:rFonts w:ascii="Times New Roman" w:eastAsia="Times New Roman" w:hAnsi="Times New Roman" w:cs="Times New Roman"/>
                <w:sz w:val="16"/>
                <w:szCs w:val="16"/>
              </w:rPr>
              <w:t xml:space="preserve"> 135</w:t>
            </w: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1D6A51D" w14:textId="38F8B034"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Unit II A – Unit II B</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2893BCD"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5C80175" w14:textId="3A9C0FC0"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Between 194.8 ± 19.4 and 144.7 ± 19.4</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4ECEB7B"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0127877"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FA46292"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0663FC0"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DA871E2"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225A95F" w14:textId="6202210D"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6/7</w:t>
            </w:r>
          </w:p>
        </w:tc>
        <w:tc>
          <w:tcPr>
            <w:tcW w:w="90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9DF52D0" w14:textId="675764E6"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fldChar w:fldCharType="begin" w:fldLock="1"/>
            </w:r>
            <w:r w:rsidR="00614E13">
              <w:rPr>
                <w:rFonts w:ascii="Times New Roman" w:eastAsia="Times New Roman" w:hAnsi="Times New Roman" w:cs="Times New Roman"/>
                <w:sz w:val="16"/>
                <w:szCs w:val="16"/>
              </w:rPr>
              <w:instrText>ADDIN CSL_CITATION {"citationItems":[{"id":"ITEM-1","itemData":{"DOI":"10.1080/00934690.2021.1993618","ISSN":"20424582","abstract":"This paper presents the results of the analysis of a late Acheulean horizon from the EDAR 135 site, which was discovered in the Eastern Desert, Sudan, in an area heavily transformed by modern minin...","author":[{"dropping-particle":"","family":"Michalec","given":"Grzegorz","non-dropping-particle":"","parse-names":false,"suffix":""},{"dropping-particle":"","family":"Cendrowska","given":"Marzena","non-dropping-particle":"","parse-names":false,"suffix":""},{"dropping-particle":"","family":"Andrieux","given":"Eric","non-dropping-particle":"","parse-names":false,"suffix":""},{"dropping-particle":"","family":"Armitage","given":"Simon J.","non-dropping-particle":"","parse-names":false,"suffix":""},{"dropping-particle":"","family":"Ehlert","given":"Maciej","non-dropping-particle":"","parse-names":false,"suffix":""},{"dropping-particle":"","family":"Kim","given":"Ju Yong","non-dropping-particle":"","parse-names":false,"suffix":""},{"dropping-particle":"","family":"Sohn","given":"Young Kwan","non-dropping-particle":"","parse-names":false,"suffix":""},{"dropping-particle":"","family":"Krupa-Kurzynowska","given":"Joanna","non-dropping-particle":"","parse-names":false,"suffix":""},{"dropping-particle":"","family":"Moska","given":"Piotr","non-dropping-particle":"","parse-names":false,"suffix":""},{"dropping-particle":"","family":"Szmit","given":"Marcin","non-dropping-particle":"","parse-names":false,"suffix":""},{"dropping-particle":"","family":"Masojć","given":"Mirosław","non-dropping-particle":"","parse-names":false,"suffix":""}],"container-title":"https://doi.org/10.1080/00934690.2021.1993618","id":"ITEM-1","issue":"8","issued":{"date-parts":[["2021"]]},"page":"513-533","publisher":"Routledge","title":"A Window into the Early–Middle Stone Age Transition in Northeastern Africa—A Marine Isotope Stage 7a/6 Late Acheulean Horizon from the EDAR 135 Site, Eastern Sahara (Sudan)","type":"article-journal","volume":"46"},"uris":["http://www.mendeley.com/documents/?uuid=4cb918e0-0869-31e2-a91b-4fb6d8131565"]}],"mendeley":{"formattedCitation":"&lt;sup&gt;143&lt;/sup&gt;","plainTextFormattedCitation":"143","previouslyFormattedCitation":"&lt;sup&gt;143&lt;/sup&gt;"},"properties":{"noteIndex":0},"schema":"https://github.com/citation-style-language/schema/raw/master/csl-citation.json"}</w:instrText>
            </w:r>
            <w:r w:rsidRPr="005F44EF">
              <w:rPr>
                <w:rFonts w:ascii="Times New Roman" w:eastAsia="Times New Roman" w:hAnsi="Times New Roman" w:cs="Times New Roman"/>
                <w:sz w:val="16"/>
                <w:szCs w:val="16"/>
              </w:rPr>
              <w:fldChar w:fldCharType="separate"/>
            </w:r>
            <w:r w:rsidR="00C212A1" w:rsidRPr="00C212A1">
              <w:rPr>
                <w:rFonts w:ascii="Times New Roman" w:eastAsia="Times New Roman" w:hAnsi="Times New Roman" w:cs="Times New Roman"/>
                <w:noProof/>
                <w:sz w:val="16"/>
                <w:szCs w:val="16"/>
                <w:vertAlign w:val="superscript"/>
              </w:rPr>
              <w:t>143</w:t>
            </w:r>
            <w:r w:rsidRPr="005F44EF">
              <w:rPr>
                <w:rFonts w:ascii="Times New Roman" w:eastAsia="Times New Roman" w:hAnsi="Times New Roman" w:cs="Times New Roman"/>
                <w:sz w:val="16"/>
                <w:szCs w:val="16"/>
              </w:rPr>
              <w:fldChar w:fldCharType="end"/>
            </w:r>
          </w:p>
        </w:tc>
      </w:tr>
      <w:tr w:rsidR="00C455A8" w:rsidRPr="005F44EF" w14:paraId="3207FD8D" w14:textId="77777777" w:rsidTr="003C6FBD">
        <w:trPr>
          <w:trHeight w:val="190"/>
        </w:trPr>
        <w:tc>
          <w:tcPr>
            <w:tcW w:w="802"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41D1C9D" w14:textId="77777777" w:rsidR="00C455A8" w:rsidRPr="005F44EF" w:rsidRDefault="00C455A8" w:rsidP="00C455A8">
            <w:pPr>
              <w:spacing w:after="0" w:line="276" w:lineRule="auto"/>
              <w:jc w:val="both"/>
              <w:rPr>
                <w:rFonts w:ascii="Times New Roman" w:eastAsia="Times New Roman" w:hAnsi="Times New Roman" w:cs="Times New Roman"/>
                <w:b/>
                <w:sz w:val="24"/>
                <w:szCs w:val="24"/>
              </w:rPr>
            </w:pPr>
          </w:p>
        </w:tc>
        <w:tc>
          <w:tcPr>
            <w:tcW w:w="116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BDF774C"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Soudan</w:t>
            </w:r>
          </w:p>
        </w:tc>
        <w:tc>
          <w:tcPr>
            <w:tcW w:w="100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6F0644C" w14:textId="378C8705"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F44683D"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proofErr w:type="spellStart"/>
            <w:r w:rsidRPr="005F44EF">
              <w:rPr>
                <w:rFonts w:ascii="Times New Roman" w:eastAsia="Times New Roman" w:hAnsi="Times New Roman" w:cs="Times New Roman"/>
                <w:sz w:val="16"/>
                <w:szCs w:val="16"/>
              </w:rPr>
              <w:t>Abdur</w:t>
            </w:r>
            <w:proofErr w:type="spellEnd"/>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E5FC195" w14:textId="0732B0B6"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Coral formation</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A92274E" w14:textId="3EB1E626"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3FA9B54" w14:textId="49D703D7"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0259DA3" w14:textId="58BB263F"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E1D51EE" w14:textId="1EB7223E"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5DCD786" w14:textId="72A978D1"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4451521" w14:textId="16348236"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94890F1" w14:textId="373BD0FC"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125 ± 7</w:t>
            </w: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FED5459" w14:textId="777413C7"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5/6</w:t>
            </w:r>
          </w:p>
        </w:tc>
        <w:tc>
          <w:tcPr>
            <w:tcW w:w="90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EC9E2A0" w14:textId="046F800A"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fldChar w:fldCharType="begin" w:fldLock="1"/>
            </w:r>
            <w:r w:rsidR="00614E13">
              <w:rPr>
                <w:rFonts w:ascii="Times New Roman" w:eastAsia="Times New Roman" w:hAnsi="Times New Roman" w:cs="Times New Roman"/>
                <w:sz w:val="16"/>
                <w:szCs w:val="16"/>
              </w:rPr>
              <w:instrText>ADDIN CSL_CITATION {"citationItems":[{"id":"ITEM-1","itemData":{"DOI":"10.1038/35011048","ISSN":"00280836","PMID":"10811218","abstract":"The geographical origin of modern humans is the subject of ongoing scientific debate. The 'multiregional evolution' hypothesis argues that modern humans evolved semi-independently in Europe, Asia and Africa between 100,000 and 40,000 years ago, whereas the 'out of Africa' hypothesis contends that modern humans evolved in Africa between 200 and 100 kyr ago, migrating to Eurasia at some later time. Direct palaeontological, archaeological and biological evidence is necessary to resolve this debate. Here we report the discovery of early Middle Stone Age artefacts in an emerged reef terrace on the Red Sea coast of Eritrea, which we date to the last interglacial (about 125 kyr ago) using U-Th mass spectrometry techniques on fossil corals. The geological setting of these artefacts shows that early humans occupied coastal areas and exploited near-shore marine food resources in East Africa by this time. Together with similar, tentatively dated discoveries from South Africa this is the earliest well-dated evidence for human adaptation to a coastal marine environment, heralding an expansion in the range and complexity of human behaviour from one end of Africa to the other. This new, wide-spread adaptive strategy may, in part, signal the onset of modern human behaviour, which supports an African origin for modern humans by 125 kyr ago.","author":[{"dropping-particle":"","family":"Walter","given":"Robert C.","non-dropping-particle":"","parse-names":false,"suffix":""},{"dropping-particle":"","family":"Buffler","given":"Richard T.","non-dropping-particle":"","parse-names":false,"suffix":""},{"dropping-particle":"","family":"Bruggemann","given":"J. Henrich","non-dropping-particle":"","parse-names":false,"suffix":""},{"dropping-particle":"","family":"Guillaume","given":"Mireille M.M.","non-dropping-particle":"","parse-names":false,"suffix":""},{"dropping-particle":"","family":"Berhe","given":"Seife M.","non-dropping-particle":"","parse-names":false,"suffix":""},{"dropping-particle":"","family":"Negassi","given":"Berhane","non-dropping-particle":"","parse-names":false,"suffix":""},{"dropping-particle":"","family":"Libsekal","given":"Yoseph","non-dropping-particle":"","parse-names":false,"suffix":""},{"dropping-particle":"","family":"Cheng","given":"Hal","non-dropping-particle":"","parse-names":false,"suffix":""},{"dropping-particle":"","family":"Edwards","given":"R. Lawrence","non-dropping-particle":"","parse-names":false,"suffix":""},{"dropping-particle":"","family":"Cosel","given":"Rudo","non-dropping-particle":"Von","parse-names":false,"suffix":""},{"dropping-particle":"","family":"Néraudeau","given":"Didler","non-dropping-particle":"","parse-names":false,"suffix":""},{"dropping-particle":"","family":"Gagnon","given":"Mario","non-dropping-particle":"","parse-names":false,"suffix":""}],"container-title":"Nature","id":"ITEM-1","issue":"6782","issued":{"date-parts":[["2000"]]},"page":"65-69","title":"Early human occupation of the Red Sea coast of Eritrea during the last interglacial","type":"article-journal","volume":"405"},"uris":["http://www.mendeley.com/documents/?uuid=1125f90d-7150-43e4-a81a-f60984dece82"]}],"mendeley":{"formattedCitation":"&lt;sup&gt;144&lt;/sup&gt;","plainTextFormattedCitation":"144","previouslyFormattedCitation":"&lt;sup&gt;144&lt;/sup&gt;"},"properties":{"noteIndex":0},"schema":"https://github.com/citation-style-language/schema/raw/master/csl-citation.json"}</w:instrText>
            </w:r>
            <w:r w:rsidRPr="005F44EF">
              <w:rPr>
                <w:rFonts w:ascii="Times New Roman" w:eastAsia="Times New Roman" w:hAnsi="Times New Roman" w:cs="Times New Roman"/>
                <w:sz w:val="16"/>
                <w:szCs w:val="16"/>
              </w:rPr>
              <w:fldChar w:fldCharType="separate"/>
            </w:r>
            <w:r w:rsidR="00C212A1" w:rsidRPr="00C212A1">
              <w:rPr>
                <w:rFonts w:ascii="Times New Roman" w:eastAsia="Times New Roman" w:hAnsi="Times New Roman" w:cs="Times New Roman"/>
                <w:noProof/>
                <w:sz w:val="16"/>
                <w:szCs w:val="16"/>
                <w:vertAlign w:val="superscript"/>
              </w:rPr>
              <w:t>144</w:t>
            </w:r>
            <w:r w:rsidRPr="005F44EF">
              <w:rPr>
                <w:rFonts w:ascii="Times New Roman" w:eastAsia="Times New Roman" w:hAnsi="Times New Roman" w:cs="Times New Roman"/>
                <w:sz w:val="16"/>
                <w:szCs w:val="16"/>
              </w:rPr>
              <w:fldChar w:fldCharType="end"/>
            </w:r>
          </w:p>
        </w:tc>
      </w:tr>
      <w:tr w:rsidR="00C455A8" w:rsidRPr="005F44EF" w14:paraId="15E42017" w14:textId="77777777" w:rsidTr="003C6FBD">
        <w:trPr>
          <w:trHeight w:val="190"/>
        </w:trPr>
        <w:tc>
          <w:tcPr>
            <w:tcW w:w="802" w:type="dxa"/>
            <w:vMerge w:val="restart"/>
            <w:tcBorders>
              <w:top w:val="nil"/>
              <w:left w:val="single" w:sz="6" w:space="0" w:color="000000"/>
              <w:bottom w:val="single" w:sz="6" w:space="0" w:color="000000"/>
              <w:right w:val="single" w:sz="6" w:space="0" w:color="000000"/>
            </w:tcBorders>
            <w:shd w:val="clear" w:color="auto" w:fill="auto"/>
            <w:tcMar>
              <w:top w:w="0" w:type="dxa"/>
              <w:left w:w="80" w:type="dxa"/>
              <w:bottom w:w="0" w:type="dxa"/>
              <w:right w:w="80" w:type="dxa"/>
            </w:tcMar>
          </w:tcPr>
          <w:p w14:paraId="0D3F8B8C"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Southern Africa</w:t>
            </w:r>
          </w:p>
        </w:tc>
        <w:tc>
          <w:tcPr>
            <w:tcW w:w="116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9D9228B"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South Africa</w:t>
            </w:r>
          </w:p>
        </w:tc>
        <w:tc>
          <w:tcPr>
            <w:tcW w:w="100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A0F2089" w14:textId="362DA252"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1601325"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proofErr w:type="spellStart"/>
            <w:r w:rsidRPr="005F44EF">
              <w:rPr>
                <w:rFonts w:ascii="Times New Roman" w:eastAsia="Times New Roman" w:hAnsi="Times New Roman" w:cs="Times New Roman"/>
                <w:sz w:val="16"/>
                <w:szCs w:val="16"/>
              </w:rPr>
              <w:t>Amanzi</w:t>
            </w:r>
            <w:proofErr w:type="spellEnd"/>
            <w:r w:rsidRPr="005F44EF">
              <w:rPr>
                <w:rFonts w:ascii="Times New Roman" w:eastAsia="Times New Roman" w:hAnsi="Times New Roman" w:cs="Times New Roman"/>
                <w:sz w:val="16"/>
                <w:szCs w:val="16"/>
              </w:rPr>
              <w:t xml:space="preserve"> Springs</w:t>
            </w: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DCB3128"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GBS (Area 1)</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729A6A6"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189.7±2.8</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3EADCFC" w14:textId="0FB8E607"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42C8F9B" w14:textId="435D63E6"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C8E01E6" w14:textId="70CE41B9"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EEBD787" w14:textId="33BC47E0"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8B8435C" w14:textId="591E24FB"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FFD2138" w14:textId="747D8B65"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CF06AC4"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6</w:t>
            </w:r>
          </w:p>
        </w:tc>
        <w:tc>
          <w:tcPr>
            <w:tcW w:w="90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E3C99C7" w14:textId="0A4699EF"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fldChar w:fldCharType="begin" w:fldLock="1"/>
            </w:r>
            <w:r w:rsidR="00614E13">
              <w:rPr>
                <w:rFonts w:ascii="Times New Roman" w:eastAsia="Times New Roman" w:hAnsi="Times New Roman" w:cs="Times New Roman"/>
                <w:sz w:val="16"/>
                <w:szCs w:val="16"/>
              </w:rPr>
              <w:instrText>ADDIN CSL_CITATION {"citationItems":[{"id":"ITEM-1","itemData":{"DOI":"10.1371/journal.pone.0273714","ISBN":"1111111111","ISSN":"19326203","PMID":"36264956","abstract":"Amanzi Springs is a series of inactive thermal springs located near Kariega in the Eastern Cape of South Africa. Excavations in the 1960s exposed rare, stratified Acheulian-bearing deposits that were not further investigated over the next 50 years. Reanalysis of the site and its legacy collection has led to a redefined stratigraphic context for the archaeology, a confirmed direct association between Acheulian artefacts and wood, as well as the first reliable age estimates for the site. Thermally transferred optically stimulated luminescence and post-infrared infrared stimulated luminescence dating indicates that the Acheulian deposits from the Amanzi Springs Area 1 spring eye formed during Marine Isotope Stage (MIS) 11 at ~ 404-390 ka. At this time, higher sea levels of ~13-14m would have placed Amanzi Springs around 7 km from a ria that would have formed along what is today the Swartkops River, and which likely led to spring reactivation. This makes the Amanzi Springs Area 1 assemblage an unusual occurrence of a verified late occurring, seaward, open-air Acheulian occupation. The Acheulian levels do not contain any Middle Stone Age (MSA) elements such as blades and points that have been documented in the interior of South Africa at this time. However, a small number of stone tools from the upper layers of the artefact zone, and originally thought of as intrusive, have been dated to ~190 ka, at the transition between MIS 7 to 6, and represent the first potential MSA identified at the site.","author":[{"dropping-particle":"","family":"Herries","given":"Andy I.R.","non-dropping-particle":"","parse-names":false,"suffix":""},{"dropping-particle":"","family":"Arnold","given":"Lee J.","non-dropping-particle":"","parse-names":false,"suffix":""},{"dropping-particle":"","family":"Boschian","given":"Giovanni","non-dropping-particle":"","parse-names":false,"suffix":""},{"dropping-particle":"","family":"Blackwood","given":"Alexander F.","non-dropping-particle":"","parse-names":false,"suffix":""},{"dropping-particle":"","family":"Wilson","given":"Coen","non-dropping-particle":"","parse-names":false,"suffix":""},{"dropping-particle":"","family":"Mallett","given":"Tom","non-dropping-particle":"","parse-names":false,"suffix":""},{"dropping-particle":"","family":"Armstrong","given":"Brian","non-dropping-particle":"","parse-names":false,"suffix":""},{"dropping-particle":"","family":"Demuro","given":"Martina","non-dropping-particle":"","parse-names":false,"suffix":""},{"dropping-particle":"","family":"Petchey","given":"Fiona","non-dropping-particle":"","parse-names":false,"suffix":""},{"dropping-particle":"","family":"Meredith-Williams","given":"Matthew","non-dropping-particle":"","parse-names":false,"suffix":""},{"dropping-particle":"","family":"Penzo-Kajewski","given":"Paul","non-dropping-particle":"","parse-names":false,"suffix":""},{"dropping-particle":"V.","family":"Caruana","given":"Matthew","non-dropping-particle":"","parse-names":false,"suffix":""}],"container-title":"PLoS ONE","id":"ITEM-1","issue":"10 October","issued":{"date-parts":[["2022"]]},"number-of-pages":"1-53","title":"A marine isotope stage 11 coastal Acheulian workshop with associated wood at Amanzi Springs Area 1, South Africa","type":"book","volume":"17"},"uris":["http://www.mendeley.com/documents/?uuid=aab171d8-0ca5-41b4-8fb4-b7d4510fca32"]}],"mendeley":{"formattedCitation":"&lt;sup&gt;145&lt;/sup&gt;","plainTextFormattedCitation":"145","previouslyFormattedCitation":"&lt;sup&gt;145&lt;/sup&gt;"},"properties":{"noteIndex":0},"schema":"https://github.com/citation-style-language/schema/raw/master/csl-citation.json"}</w:instrText>
            </w:r>
            <w:r w:rsidRPr="005F44EF">
              <w:rPr>
                <w:rFonts w:ascii="Times New Roman" w:eastAsia="Times New Roman" w:hAnsi="Times New Roman" w:cs="Times New Roman"/>
                <w:sz w:val="16"/>
                <w:szCs w:val="16"/>
              </w:rPr>
              <w:fldChar w:fldCharType="separate"/>
            </w:r>
            <w:r w:rsidR="00C212A1" w:rsidRPr="00C212A1">
              <w:rPr>
                <w:rFonts w:ascii="Times New Roman" w:eastAsia="Times New Roman" w:hAnsi="Times New Roman" w:cs="Times New Roman"/>
                <w:noProof/>
                <w:sz w:val="16"/>
                <w:szCs w:val="16"/>
                <w:vertAlign w:val="superscript"/>
              </w:rPr>
              <w:t>145</w:t>
            </w:r>
            <w:r w:rsidRPr="005F44EF">
              <w:rPr>
                <w:rFonts w:ascii="Times New Roman" w:eastAsia="Times New Roman" w:hAnsi="Times New Roman" w:cs="Times New Roman"/>
                <w:sz w:val="16"/>
                <w:szCs w:val="16"/>
              </w:rPr>
              <w:fldChar w:fldCharType="end"/>
            </w:r>
          </w:p>
        </w:tc>
      </w:tr>
      <w:tr w:rsidR="00C455A8" w:rsidRPr="005F44EF" w14:paraId="305FBFB2" w14:textId="77777777" w:rsidTr="003C6FBD">
        <w:trPr>
          <w:trHeight w:val="190"/>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BAFE00E" w14:textId="77777777" w:rsidR="00C455A8" w:rsidRPr="005F44EF" w:rsidRDefault="00C455A8" w:rsidP="00C455A8">
            <w:pPr>
              <w:spacing w:after="0" w:line="276" w:lineRule="auto"/>
              <w:jc w:val="both"/>
              <w:rPr>
                <w:rFonts w:ascii="Times New Roman" w:eastAsia="Times New Roman" w:hAnsi="Times New Roman" w:cs="Times New Roman"/>
                <w:b/>
                <w:sz w:val="24"/>
                <w:szCs w:val="24"/>
              </w:rPr>
            </w:pPr>
          </w:p>
        </w:tc>
        <w:tc>
          <w:tcPr>
            <w:tcW w:w="116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53360C9"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South Africa</w:t>
            </w:r>
          </w:p>
        </w:tc>
        <w:tc>
          <w:tcPr>
            <w:tcW w:w="100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F14E7D8" w14:textId="0F599635"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00F27BA"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proofErr w:type="spellStart"/>
            <w:r w:rsidRPr="005F44EF">
              <w:rPr>
                <w:rFonts w:ascii="Times New Roman" w:eastAsia="Times New Roman" w:hAnsi="Times New Roman" w:cs="Times New Roman"/>
                <w:sz w:val="16"/>
                <w:szCs w:val="16"/>
              </w:rPr>
              <w:t>Florisbad</w:t>
            </w:r>
            <w:proofErr w:type="spellEnd"/>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073F7BD"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Olive Green Sand</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BF40074"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157±21</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AC2201B" w14:textId="7AE4341C"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4568DF8" w14:textId="1FB0139B"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791149F" w14:textId="40ECD77B"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3D0F412" w14:textId="59137009"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2304E5A" w14:textId="59BDE7C1"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23A9742" w14:textId="6570B2D3"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CC97A2C"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6</w:t>
            </w:r>
          </w:p>
        </w:tc>
        <w:tc>
          <w:tcPr>
            <w:tcW w:w="90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860B07E" w14:textId="2EB077F3"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fldChar w:fldCharType="begin" w:fldLock="1"/>
            </w:r>
            <w:r w:rsidR="00614E13">
              <w:rPr>
                <w:rFonts w:ascii="Times New Roman" w:eastAsia="Times New Roman" w:hAnsi="Times New Roman" w:cs="Times New Roman"/>
                <w:sz w:val="16"/>
                <w:szCs w:val="16"/>
              </w:rPr>
              <w:instrText>ADDIN CSL_CITATION {"citationItems":[{"id":"ITEM-1","itemData":{"author":[{"dropping-particle":"","family":"Grun","given":"Rainer","non-dropping-particle":"","parse-names":false,"suffix":""}],"container-title":"Science","id":"ITEM-1","issued":{"date-parts":[["1996"]]},"page":"500-5001","title":"Direct dating of Florisbad hominid","type":"article","volume":"382"},"uris":["http://www.mendeley.com/documents/?uuid=74e5a813-cde8-4cfd-bc31-d6c675bbdf11"]}],"mendeley":{"formattedCitation":"&lt;sup&gt;146&lt;/sup&gt;","plainTextFormattedCitation":"146","previouslyFormattedCitation":"&lt;sup&gt;146&lt;/sup&gt;"},"properties":{"noteIndex":0},"schema":"https://github.com/citation-style-language/schema/raw/master/csl-citation.json"}</w:instrText>
            </w:r>
            <w:r w:rsidRPr="005F44EF">
              <w:rPr>
                <w:rFonts w:ascii="Times New Roman" w:eastAsia="Times New Roman" w:hAnsi="Times New Roman" w:cs="Times New Roman"/>
                <w:sz w:val="16"/>
                <w:szCs w:val="16"/>
              </w:rPr>
              <w:fldChar w:fldCharType="separate"/>
            </w:r>
            <w:r w:rsidR="00C212A1" w:rsidRPr="00C212A1">
              <w:rPr>
                <w:rFonts w:ascii="Times New Roman" w:eastAsia="Times New Roman" w:hAnsi="Times New Roman" w:cs="Times New Roman"/>
                <w:noProof/>
                <w:sz w:val="16"/>
                <w:szCs w:val="16"/>
                <w:vertAlign w:val="superscript"/>
              </w:rPr>
              <w:t>146</w:t>
            </w:r>
            <w:r w:rsidRPr="005F44EF">
              <w:rPr>
                <w:rFonts w:ascii="Times New Roman" w:eastAsia="Times New Roman" w:hAnsi="Times New Roman" w:cs="Times New Roman"/>
                <w:sz w:val="16"/>
                <w:szCs w:val="16"/>
              </w:rPr>
              <w:fldChar w:fldCharType="end"/>
            </w:r>
          </w:p>
        </w:tc>
      </w:tr>
      <w:tr w:rsidR="00C455A8" w:rsidRPr="005F44EF" w14:paraId="0187E9C7" w14:textId="77777777" w:rsidTr="003C6FBD">
        <w:trPr>
          <w:trHeight w:val="190"/>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449D51F" w14:textId="77777777" w:rsidR="00C455A8" w:rsidRPr="005F44EF" w:rsidRDefault="00C455A8" w:rsidP="00C455A8">
            <w:pPr>
              <w:spacing w:after="0" w:line="276" w:lineRule="auto"/>
              <w:jc w:val="both"/>
              <w:rPr>
                <w:rFonts w:ascii="Times New Roman" w:eastAsia="Times New Roman" w:hAnsi="Times New Roman" w:cs="Times New Roman"/>
                <w:b/>
                <w:sz w:val="24"/>
                <w:szCs w:val="24"/>
              </w:rPr>
            </w:pPr>
          </w:p>
        </w:tc>
        <w:tc>
          <w:tcPr>
            <w:tcW w:w="116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F81EEB5"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South Africa</w:t>
            </w:r>
          </w:p>
        </w:tc>
        <w:tc>
          <w:tcPr>
            <w:tcW w:w="100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6AF9DE6" w14:textId="2F892F15"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A495C0C"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Pinnacle Point 13B</w:t>
            </w: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B5CE385"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LGB Sand 2/3</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59130C4"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~174-153</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E08CC08" w14:textId="3CDFF7B8"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288406D" w14:textId="772F256F"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01C5032" w14:textId="66BBFA20"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93D434A" w14:textId="54777F8E"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E4B3F68" w14:textId="076553F0"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7CC443D" w14:textId="5551E080"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2628844"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6</w:t>
            </w:r>
          </w:p>
        </w:tc>
        <w:tc>
          <w:tcPr>
            <w:tcW w:w="90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91263B4" w14:textId="5183F9E3"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fldChar w:fldCharType="begin" w:fldLock="1"/>
            </w:r>
            <w:r w:rsidR="00614E13">
              <w:rPr>
                <w:rFonts w:ascii="Times New Roman" w:eastAsia="Times New Roman" w:hAnsi="Times New Roman" w:cs="Times New Roman"/>
                <w:sz w:val="16"/>
                <w:szCs w:val="16"/>
              </w:rPr>
              <w:instrText xml:space="preserve">ADDIN CSL_CITATION {"citationItems":[{"id":"ITEM-1","itemData":{"DOI":"10.1016/j.jhevol.2010.07.011","ISSN":"00472484","abstract":"Genetic and anatomical evidence suggests that Homo sapiens arose in Africa between 200 and 100. ka, and recent evidence suggests that complex cognition may have appeared between </w:instrText>
            </w:r>
            <w:r w:rsidR="00614E13">
              <w:rPr>
                <w:rFonts w:ascii="Cambria Math" w:eastAsia="Times New Roman" w:hAnsi="Cambria Math" w:cs="Cambria Math"/>
                <w:sz w:val="16"/>
                <w:szCs w:val="16"/>
              </w:rPr>
              <w:instrText>∼</w:instrText>
            </w:r>
            <w:r w:rsidR="00614E13">
              <w:rPr>
                <w:rFonts w:ascii="Times New Roman" w:eastAsia="Times New Roman" w:hAnsi="Times New Roman" w:cs="Times New Roman"/>
                <w:sz w:val="16"/>
                <w:szCs w:val="16"/>
              </w:rPr>
              <w:instrText xml:space="preserve">164 and 75. ka. This evidence directs our focus to Marine Isotope Stage (MIS) 6, when from 195-123. ka the world was in a fluctuating but predominantly glacial stage, when much of Africa was cooler and drier, and when dated archaeological sites are rare. Previously we have shown that humans had expanded their diet to include marine resources by </w:instrText>
            </w:r>
            <w:r w:rsidR="00614E13">
              <w:rPr>
                <w:rFonts w:ascii="Cambria Math" w:eastAsia="Times New Roman" w:hAnsi="Cambria Math" w:cs="Cambria Math"/>
                <w:sz w:val="16"/>
                <w:szCs w:val="16"/>
              </w:rPr>
              <w:instrText>∼</w:instrText>
            </w:r>
            <w:r w:rsidR="00614E13">
              <w:rPr>
                <w:rFonts w:ascii="Times New Roman" w:eastAsia="Times New Roman" w:hAnsi="Times New Roman" w:cs="Times New Roman"/>
                <w:sz w:val="16"/>
                <w:szCs w:val="16"/>
              </w:rPr>
              <w:instrText>164. ka (±12. ka) at Pinnacle Point Cave 13B (PP13B) on the south coast of South Africa, perhaps as a response to these harsh environmental conditions. The associated material culture documents an early use and modification of pigment, likely for symbolic behavior, as well as the production of bladelet stone tool technology, and there is now intriguing evidence for heat treatment of lithics. PP13B also includes a later sequence of MIS 5 occupations that document an adaptation that increasingly focuses on coastal resources. A model is developed that suggests that the combined richness of the Cape Floral Region on the south coast of Africa, with its high diversity and density of geophyte plants and the rich coastal ecosystems of the associated Agulhas Current, combined to provide a stable set of carbohydrate and protein resources for early modern humans along the southern coast of South Africa during this crucial but environmentally harsh phase in the evolution of modern humans. Humans structured their mobility around the use of coastal resources and geophyte abundance and focused their occupation at the intersection of the geophyte rich Cape flora and coastline. The evidence for human occupation relative to the distance to the coastline over time at PP13B is consistent with this model. © 2010 Elsevier Ltd.","author":[{"dropping-particle":"","family":"Marean","given":"Curtis W.","non-dropping-particle":"","parse-names":false,"suffix":""}],"container-title":"Journal of Human Evolution","id":"ITEM-1","issue":"3-4","issued":{"date-parts":[["2010"]]},"page":"425-443","publisher":"Elsevier Ltd","title":"Pinnacle Point Cave 13B (Western Cape Province, South Africa) in context: The Cape Floral kingdom, shellfish, and modern human origins","type":"article-journal","volume":"59"},"uris":["http://www.mendeley.com/documents/?uuid=85377c75-0b3c-46f9-8ae5-644d1b90e035"]}],"mendeley":{"formattedCitation":"&lt;sup&gt;147&lt;/sup&gt;","plainTextFormattedCitation":"147","previouslyFormattedCitation":"&lt;sup&gt;147&lt;/sup&gt;"},"properties":{"noteIndex":0},"schema":"https://github.com/citation-style-language/schema/raw/master/csl-citation.json"}</w:instrText>
            </w:r>
            <w:r w:rsidRPr="005F44EF">
              <w:rPr>
                <w:rFonts w:ascii="Times New Roman" w:eastAsia="Times New Roman" w:hAnsi="Times New Roman" w:cs="Times New Roman"/>
                <w:sz w:val="16"/>
                <w:szCs w:val="16"/>
              </w:rPr>
              <w:fldChar w:fldCharType="separate"/>
            </w:r>
            <w:r w:rsidR="00C212A1" w:rsidRPr="00C212A1">
              <w:rPr>
                <w:rFonts w:ascii="Times New Roman" w:eastAsia="Times New Roman" w:hAnsi="Times New Roman" w:cs="Times New Roman"/>
                <w:noProof/>
                <w:sz w:val="16"/>
                <w:szCs w:val="16"/>
                <w:vertAlign w:val="superscript"/>
              </w:rPr>
              <w:t>147</w:t>
            </w:r>
            <w:r w:rsidRPr="005F44EF">
              <w:rPr>
                <w:rFonts w:ascii="Times New Roman" w:eastAsia="Times New Roman" w:hAnsi="Times New Roman" w:cs="Times New Roman"/>
                <w:sz w:val="16"/>
                <w:szCs w:val="16"/>
              </w:rPr>
              <w:fldChar w:fldCharType="end"/>
            </w:r>
          </w:p>
        </w:tc>
      </w:tr>
      <w:tr w:rsidR="00C455A8" w:rsidRPr="005F44EF" w14:paraId="1BA1916F" w14:textId="77777777" w:rsidTr="003C6FBD">
        <w:trPr>
          <w:trHeight w:val="311"/>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62034A9" w14:textId="77777777" w:rsidR="00C455A8" w:rsidRPr="005F44EF" w:rsidRDefault="00C455A8" w:rsidP="00C455A8">
            <w:pPr>
              <w:spacing w:after="0" w:line="276" w:lineRule="auto"/>
              <w:jc w:val="both"/>
              <w:rPr>
                <w:rFonts w:ascii="Times New Roman" w:eastAsia="Times New Roman" w:hAnsi="Times New Roman" w:cs="Times New Roman"/>
                <w:b/>
                <w:sz w:val="24"/>
                <w:szCs w:val="24"/>
              </w:rPr>
            </w:pPr>
          </w:p>
        </w:tc>
        <w:tc>
          <w:tcPr>
            <w:tcW w:w="116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C91082B"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South Africa</w:t>
            </w:r>
          </w:p>
        </w:tc>
        <w:tc>
          <w:tcPr>
            <w:tcW w:w="100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2F33795" w14:textId="411E5ED3"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7A8206D"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proofErr w:type="spellStart"/>
            <w:r w:rsidRPr="005F44EF">
              <w:rPr>
                <w:rFonts w:ascii="Times New Roman" w:eastAsia="Times New Roman" w:hAnsi="Times New Roman" w:cs="Times New Roman"/>
                <w:sz w:val="16"/>
                <w:szCs w:val="16"/>
              </w:rPr>
              <w:t>Wonderwerk</w:t>
            </w:r>
            <w:proofErr w:type="spellEnd"/>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7F0D282" w14:textId="452893B4"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CC8A80F"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~187-132</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8E41154" w14:textId="40B72C12"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079A11A" w14:textId="4E22738C"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5263744" w14:textId="1AB7A6DE"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622F6DA" w14:textId="1289406F"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6651084" w14:textId="36799520"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E377397" w14:textId="715ACC4E"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05A4751"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6</w:t>
            </w:r>
          </w:p>
        </w:tc>
        <w:tc>
          <w:tcPr>
            <w:tcW w:w="90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26EB1A2" w14:textId="79A356E3"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fldChar w:fldCharType="begin" w:fldLock="1"/>
            </w:r>
            <w:r w:rsidR="00614E13">
              <w:rPr>
                <w:rFonts w:ascii="Times New Roman" w:eastAsia="Times New Roman" w:hAnsi="Times New Roman" w:cs="Times New Roman"/>
                <w:sz w:val="16"/>
                <w:szCs w:val="16"/>
              </w:rPr>
              <w:instrText>ADDIN CSL_CITATION {"citationItems":[{"id":"ITEM-1","itemData":{"ISSN":"0038-2353","author":[{"dropping-particle":"","family":"Beaumont","given":"Peter B","non-dropping-particle":"","parse-names":false,"suffix":""},{"dropping-particle":"","family":"Vogel","given":"John C","non-dropping-particle":"","parse-names":false,"suffix":""}],"container-title":"South African Journal of Science","id":"ITEM-1","issued":{"date-parts":[["2006"]]},"page":"217-228","publisher":"Academy of Science South Africa (ASSAF)","title":"On a timescale for the past million years of human history in central South Africa","type":"article-journal","volume":"102"},"uris":["http://www.mendeley.com/documents/?uuid=72b67e66-97e1-3c15-952c-1ba29cdce8dc"]}],"mendeley":{"formattedCitation":"&lt;sup&gt;148&lt;/sup&gt;","plainTextFormattedCitation":"148","previouslyFormattedCitation":"&lt;sup&gt;148&lt;/sup&gt;"},"properties":{"noteIndex":0},"schema":"https://github.com/citation-style-language/schema/raw/master/csl-citation.json"}</w:instrText>
            </w:r>
            <w:r w:rsidRPr="005F44EF">
              <w:rPr>
                <w:rFonts w:ascii="Times New Roman" w:eastAsia="Times New Roman" w:hAnsi="Times New Roman" w:cs="Times New Roman"/>
                <w:sz w:val="16"/>
                <w:szCs w:val="16"/>
              </w:rPr>
              <w:fldChar w:fldCharType="separate"/>
            </w:r>
            <w:r w:rsidR="00C212A1" w:rsidRPr="00C212A1">
              <w:rPr>
                <w:rFonts w:ascii="Times New Roman" w:eastAsia="Times New Roman" w:hAnsi="Times New Roman" w:cs="Times New Roman"/>
                <w:noProof/>
                <w:sz w:val="16"/>
                <w:szCs w:val="16"/>
                <w:vertAlign w:val="superscript"/>
              </w:rPr>
              <w:t>148</w:t>
            </w:r>
            <w:r w:rsidRPr="005F44EF">
              <w:rPr>
                <w:rFonts w:ascii="Times New Roman" w:eastAsia="Times New Roman" w:hAnsi="Times New Roman" w:cs="Times New Roman"/>
                <w:sz w:val="16"/>
                <w:szCs w:val="16"/>
              </w:rPr>
              <w:fldChar w:fldCharType="end"/>
            </w:r>
          </w:p>
        </w:tc>
      </w:tr>
      <w:tr w:rsidR="00C455A8" w:rsidRPr="005F44EF" w14:paraId="0AC2751E" w14:textId="77777777" w:rsidTr="003C6FBD">
        <w:trPr>
          <w:trHeight w:val="190"/>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0551349" w14:textId="77777777" w:rsidR="00C455A8" w:rsidRPr="005F44EF" w:rsidRDefault="00C455A8" w:rsidP="00C455A8">
            <w:pPr>
              <w:spacing w:after="0" w:line="276" w:lineRule="auto"/>
              <w:jc w:val="both"/>
              <w:rPr>
                <w:rFonts w:ascii="Times New Roman" w:eastAsia="Times New Roman" w:hAnsi="Times New Roman" w:cs="Times New Roman"/>
                <w:b/>
                <w:sz w:val="24"/>
                <w:szCs w:val="24"/>
              </w:rPr>
            </w:pPr>
          </w:p>
        </w:tc>
        <w:tc>
          <w:tcPr>
            <w:tcW w:w="116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AD1A7B1"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South Africa</w:t>
            </w:r>
          </w:p>
        </w:tc>
        <w:tc>
          <w:tcPr>
            <w:tcW w:w="100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81B18C7" w14:textId="435CCAD1"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2925E4A"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Border Cave</w:t>
            </w: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438081C"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Member 5 White Ash</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49C0219"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183 ± 20</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0095074" w14:textId="59DD7EC7"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0601DAE" w14:textId="215583BE"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25F3DC9" w14:textId="68ABD5A1"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AD1F12D" w14:textId="232F77E1"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31E0FC1" w14:textId="6F16A5E9"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34F1420" w14:textId="52E7DE2B"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BC3E9E0"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6</w:t>
            </w:r>
          </w:p>
        </w:tc>
        <w:tc>
          <w:tcPr>
            <w:tcW w:w="90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5F03232" w14:textId="4D051C63"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fldChar w:fldCharType="begin" w:fldLock="1"/>
            </w:r>
            <w:r w:rsidR="00614E13">
              <w:rPr>
                <w:rFonts w:ascii="Times New Roman" w:eastAsia="Times New Roman" w:hAnsi="Times New Roman" w:cs="Times New Roman"/>
                <w:sz w:val="16"/>
                <w:szCs w:val="16"/>
              </w:rPr>
              <w:instrText>ADDIN CSL_CITATION {"citationItems":[{"id":"ITEM-1","itemData":{"DOI":"10.1126/SCIENCE.ABC7239/SUPPL_FILE/ABC7239_WADLEY_SM.PDF","ISSN":"10959203","PMID":"32792402","abstract":"Early plant use is seldom described in the archaeological record because of poor preservation. We report the discovery of grass bedding used to create comfortable areas for sleeping and working by people who lived in Border Cave at least 200,000 years ago. Sheaves of grass belonging to the broad-leafed Panicoideae subfamily were placed near the back of the cave on ash layers that were often remnants of bedding burned for site maintenance. This strategy is one forerunner of more-complex behavior that is archaeologically discernible from ~100,000 years ago.","author":[{"dropping-particle":"","family":"Wadley","given":"Lyn","non-dropping-particle":"","parse-names":false,"suffix":""},{"dropping-particle":"","family":"Esteban","given":"Irene","non-dropping-particle":"","parse-names":false,"suffix":""},{"dropping-particle":"","family":"La Peña","given":"Paloma","non-dropping-particle":"De","parse-names":false,"suffix":""},{"dropping-particle":"","family":"Wojcieszak","given":"Marine","non-dropping-particle":"","parse-names":false,"suffix":""},{"dropping-particle":"","family":"Stratford","given":"Dominic","non-dropping-particle":"","parse-names":false,"suffix":""},{"dropping-particle":"","family":"Lennox","given":"Sandra","non-dropping-particle":"","parse-names":false,"suffix":""},{"dropping-particle":"","family":"D'Errico","given":"Francesco","non-dropping-particle":"","parse-names":false,"suffix":""},{"dropping-particle":"","family":"Rosso","given":"Daniela Eugenia","non-dropping-particle":"","parse-names":false,"suffix":""},{"dropping-particle":"","family":"Orange","given":"François","non-dropping-particle":"","parse-names":false,"suffix":""},{"dropping-particle":"","family":"Backwell","given":"Lucinda","non-dropping-particle":"","parse-names":false,"suffix":""},{"dropping-particle":"","family":"Sievers","given":"Christine","non-dropping-particle":"","parse-names":false,"suffix":""}],"container-title":"Science","id":"ITEM-1","issue":"6505","issued":{"date-parts":[["2020","8","14"]]},"page":"863-866","publisher":"American Association for the Advancement of Science","title":"Fire and grass-bedding construction 200 thousand years ago at Border Cave, South Africa","type":"article-journal","volume":"369"},"uris":["http://www.mendeley.com/documents/?uuid=df311347-aa6c-36de-8295-e9ec34824442"]}],"mendeley":{"formattedCitation":"&lt;sup&gt;149&lt;/sup&gt;","plainTextFormattedCitation":"149","previouslyFormattedCitation":"&lt;sup&gt;149&lt;/sup&gt;"},"properties":{"noteIndex":0},"schema":"https://github.com/citation-style-language/schema/raw/master/csl-citation.json"}</w:instrText>
            </w:r>
            <w:r w:rsidRPr="005F44EF">
              <w:rPr>
                <w:rFonts w:ascii="Times New Roman" w:eastAsia="Times New Roman" w:hAnsi="Times New Roman" w:cs="Times New Roman"/>
                <w:sz w:val="16"/>
                <w:szCs w:val="16"/>
              </w:rPr>
              <w:fldChar w:fldCharType="separate"/>
            </w:r>
            <w:r w:rsidR="00C212A1" w:rsidRPr="00C212A1">
              <w:rPr>
                <w:rFonts w:ascii="Times New Roman" w:eastAsia="Times New Roman" w:hAnsi="Times New Roman" w:cs="Times New Roman"/>
                <w:noProof/>
                <w:sz w:val="16"/>
                <w:szCs w:val="16"/>
                <w:vertAlign w:val="superscript"/>
              </w:rPr>
              <w:t>149</w:t>
            </w:r>
            <w:r w:rsidRPr="005F44EF">
              <w:rPr>
                <w:rFonts w:ascii="Times New Roman" w:eastAsia="Times New Roman" w:hAnsi="Times New Roman" w:cs="Times New Roman"/>
                <w:sz w:val="16"/>
                <w:szCs w:val="16"/>
              </w:rPr>
              <w:fldChar w:fldCharType="end"/>
            </w:r>
          </w:p>
        </w:tc>
      </w:tr>
      <w:tr w:rsidR="00C455A8" w:rsidRPr="005F44EF" w14:paraId="5B4263FA" w14:textId="77777777" w:rsidTr="003C6FBD">
        <w:trPr>
          <w:trHeight w:val="190"/>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113C847" w14:textId="77777777" w:rsidR="00C455A8" w:rsidRPr="005F44EF" w:rsidRDefault="00C455A8" w:rsidP="00C455A8">
            <w:pPr>
              <w:spacing w:after="0" w:line="276" w:lineRule="auto"/>
              <w:jc w:val="both"/>
              <w:rPr>
                <w:rFonts w:ascii="Times New Roman" w:eastAsia="Times New Roman" w:hAnsi="Times New Roman" w:cs="Times New Roman"/>
                <w:b/>
                <w:sz w:val="24"/>
                <w:szCs w:val="24"/>
              </w:rPr>
            </w:pPr>
          </w:p>
        </w:tc>
        <w:tc>
          <w:tcPr>
            <w:tcW w:w="116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EF73777"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South Africa</w:t>
            </w:r>
          </w:p>
        </w:tc>
        <w:tc>
          <w:tcPr>
            <w:tcW w:w="100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D17AABE" w14:textId="244301A6"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FFE250D"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proofErr w:type="spellStart"/>
            <w:r w:rsidRPr="005F44EF">
              <w:rPr>
                <w:rFonts w:ascii="Times New Roman" w:eastAsia="Times New Roman" w:hAnsi="Times New Roman" w:cs="Times New Roman"/>
                <w:sz w:val="16"/>
                <w:szCs w:val="16"/>
              </w:rPr>
              <w:t>Bundu</w:t>
            </w:r>
            <w:proofErr w:type="spellEnd"/>
            <w:r w:rsidRPr="005F44EF">
              <w:rPr>
                <w:rFonts w:ascii="Times New Roman" w:eastAsia="Times New Roman" w:hAnsi="Times New Roman" w:cs="Times New Roman"/>
                <w:sz w:val="16"/>
                <w:szCs w:val="16"/>
              </w:rPr>
              <w:t xml:space="preserve"> Farm</w:t>
            </w: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3E01819"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Upper Group 4 trench 7</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7094FA5" w14:textId="39A2F19B"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B41619A" w14:textId="3B1B98E8"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64A4A08" w14:textId="2CC5CEB4"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B06DCC4" w14:textId="3B97A1BD"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1500619" w14:textId="43249B0A"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606BE15" w14:textId="6E5C9E21"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BB6ECAB" w14:textId="722B4D79" w:rsidR="00C455A8" w:rsidRPr="005F44EF" w:rsidRDefault="00C455A8" w:rsidP="00C455A8">
            <w:pPr>
              <w:spacing w:before="240" w:after="0" w:line="276" w:lineRule="auto"/>
              <w:rPr>
                <w:rFonts w:ascii="Times New Roman" w:eastAsia="Times New Roman" w:hAnsi="Times New Roman" w:cs="Times New Roman"/>
                <w:sz w:val="16"/>
                <w:szCs w:val="16"/>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3A22912" w14:textId="77777777"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6</w:t>
            </w:r>
          </w:p>
        </w:tc>
        <w:tc>
          <w:tcPr>
            <w:tcW w:w="90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F0E8649" w14:textId="7CB087DB" w:rsidR="00C455A8" w:rsidRPr="005F44EF" w:rsidRDefault="00C455A8" w:rsidP="00C455A8">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fldChar w:fldCharType="begin" w:fldLock="1"/>
            </w:r>
            <w:r w:rsidR="00614E13">
              <w:rPr>
                <w:rFonts w:ascii="Times New Roman" w:eastAsia="Times New Roman" w:hAnsi="Times New Roman" w:cs="Times New Roman"/>
                <w:sz w:val="16"/>
                <w:szCs w:val="16"/>
              </w:rPr>
              <w:instrText>ADDIN CSL_CITATION {"citationItems":[{"id":"ITEM-1","itemData":{"author":[{"dropping-particle":"","family":"Kiberd","given":"Philip","non-dropping-particle":"","parse-names":false,"suffix":""}],"container-title":"The South African Archaeological Bulletin","id":"ITEM-1","issue":"184","issued":{"date-parts":[["2006"]]},"page":"189-201","title":"Bundu Farm: A Report on Archaeological and Palaeoenvironmental Assemblages from a Pan Site in Bushmanland, Northern Cape, South Africa","type":"article-journal","volume":"61"},"uris":["http://www.mendeley.com/documents/?uuid=73e173a7-4166-4e80-a85b-bf2d8b502d6d"]}],"mendeley":{"formattedCitation":"&lt;sup&gt;150&lt;/sup&gt;","plainTextFormattedCitation":"150","previouslyFormattedCitation":"&lt;sup&gt;150&lt;/sup&gt;"},"properties":{"noteIndex":0},"schema":"https://github.com/citation-style-language/schema/raw/master/csl-citation.json"}</w:instrText>
            </w:r>
            <w:r w:rsidRPr="005F44EF">
              <w:rPr>
                <w:rFonts w:ascii="Times New Roman" w:eastAsia="Times New Roman" w:hAnsi="Times New Roman" w:cs="Times New Roman"/>
                <w:sz w:val="16"/>
                <w:szCs w:val="16"/>
              </w:rPr>
              <w:fldChar w:fldCharType="separate"/>
            </w:r>
            <w:r w:rsidR="00C212A1" w:rsidRPr="00C212A1">
              <w:rPr>
                <w:rFonts w:ascii="Times New Roman" w:eastAsia="Times New Roman" w:hAnsi="Times New Roman" w:cs="Times New Roman"/>
                <w:noProof/>
                <w:sz w:val="16"/>
                <w:szCs w:val="16"/>
                <w:vertAlign w:val="superscript"/>
              </w:rPr>
              <w:t>150</w:t>
            </w:r>
            <w:r w:rsidRPr="005F44EF">
              <w:rPr>
                <w:rFonts w:ascii="Times New Roman" w:eastAsia="Times New Roman" w:hAnsi="Times New Roman" w:cs="Times New Roman"/>
                <w:sz w:val="16"/>
                <w:szCs w:val="16"/>
              </w:rPr>
              <w:fldChar w:fldCharType="end"/>
            </w:r>
          </w:p>
        </w:tc>
      </w:tr>
      <w:tr w:rsidR="00886415" w:rsidRPr="005F44EF" w14:paraId="703AD16B" w14:textId="77777777" w:rsidTr="003C6FBD">
        <w:trPr>
          <w:trHeight w:val="190"/>
        </w:trPr>
        <w:tc>
          <w:tcPr>
            <w:tcW w:w="802" w:type="dxa"/>
            <w:vMerge w:val="restart"/>
            <w:tcBorders>
              <w:top w:val="nil"/>
              <w:left w:val="single" w:sz="6" w:space="0" w:color="000000"/>
              <w:bottom w:val="single" w:sz="6" w:space="0" w:color="000000"/>
              <w:right w:val="single" w:sz="6" w:space="0" w:color="000000"/>
            </w:tcBorders>
            <w:shd w:val="clear" w:color="auto" w:fill="auto"/>
            <w:tcMar>
              <w:top w:w="0" w:type="dxa"/>
              <w:left w:w="80" w:type="dxa"/>
              <w:bottom w:w="0" w:type="dxa"/>
              <w:right w:w="80" w:type="dxa"/>
            </w:tcMar>
            <w:vAlign w:val="bottom"/>
          </w:tcPr>
          <w:p w14:paraId="1D025646" w14:textId="77777777" w:rsidR="00886415" w:rsidRPr="005F44EF" w:rsidRDefault="00886415" w:rsidP="0088641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Western Africa</w:t>
            </w:r>
          </w:p>
        </w:tc>
        <w:tc>
          <w:tcPr>
            <w:tcW w:w="1164"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DB476D8"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Côte d'Ivoire</w:t>
            </w:r>
          </w:p>
        </w:tc>
        <w:tc>
          <w:tcPr>
            <w:tcW w:w="1009"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F403E3F" w14:textId="024813F8"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p>
        </w:tc>
        <w:tc>
          <w:tcPr>
            <w:tcW w:w="1284"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EA0C171"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Bété I</w:t>
            </w: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829DB9F"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Unit C</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8DB5F38" w14:textId="33513DDF"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2E0B5DF" w14:textId="5174CE0A" w:rsidR="00886415" w:rsidRPr="005F44EF" w:rsidRDefault="00886415" w:rsidP="0088641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12±1</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1ADED47" w14:textId="12B14F70"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874784B" w14:textId="374138D4"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73781E5" w14:textId="5C2DFF3F"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77F30AA" w14:textId="6BA5F2BE"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57A9E95" w14:textId="585E6193"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C229624"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2</w:t>
            </w:r>
          </w:p>
        </w:tc>
        <w:tc>
          <w:tcPr>
            <w:tcW w:w="903"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5E6BF04" w14:textId="3DD58DB6" w:rsidR="00886415" w:rsidRPr="005F44EF" w:rsidRDefault="00886415" w:rsidP="0088641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This study</w:t>
            </w:r>
          </w:p>
        </w:tc>
      </w:tr>
      <w:tr w:rsidR="00886415" w:rsidRPr="005F44EF" w14:paraId="519F0C91" w14:textId="77777777" w:rsidTr="003C6FBD">
        <w:trPr>
          <w:trHeight w:val="311"/>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B80F554" w14:textId="77777777" w:rsidR="00886415" w:rsidRPr="005F44EF" w:rsidRDefault="00886415" w:rsidP="00886415">
            <w:pPr>
              <w:spacing w:after="0" w:line="276" w:lineRule="auto"/>
              <w:jc w:val="both"/>
              <w:rPr>
                <w:rFonts w:ascii="Times New Roman" w:eastAsia="Times New Roman" w:hAnsi="Times New Roman" w:cs="Times New Roman"/>
                <w:b/>
                <w:sz w:val="24"/>
                <w:szCs w:val="24"/>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3D5049F1"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4C3185C1"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28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22E529D6"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C82BFB9"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Unit C</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F01F2E6" w14:textId="37D23CAA"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8D04177" w14:textId="71518357" w:rsidR="00886415" w:rsidRPr="005F44EF" w:rsidRDefault="00886415" w:rsidP="0088641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20±1</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86C38E4" w14:textId="176E0DB1"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ACF4152" w14:textId="74100129"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C09ACFF" w14:textId="48FACCB5" w:rsidR="00886415" w:rsidRPr="005F44EF" w:rsidRDefault="00886415" w:rsidP="0088641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51 ± 17</w:t>
            </w: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A3E940B" w14:textId="25097523"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DC248EF" w14:textId="76DF8146"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174B19F"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3</w:t>
            </w:r>
          </w:p>
        </w:tc>
        <w:tc>
          <w:tcPr>
            <w:tcW w:w="90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44CEEE76"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r>
      <w:tr w:rsidR="00886415" w:rsidRPr="005F44EF" w14:paraId="1B388C94" w14:textId="77777777" w:rsidTr="003C6FBD">
        <w:trPr>
          <w:trHeight w:val="311"/>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DB1FF80" w14:textId="77777777" w:rsidR="00886415" w:rsidRPr="005F44EF" w:rsidRDefault="00886415" w:rsidP="00886415">
            <w:pPr>
              <w:spacing w:after="0" w:line="276" w:lineRule="auto"/>
              <w:jc w:val="both"/>
              <w:rPr>
                <w:rFonts w:ascii="Times New Roman" w:eastAsia="Times New Roman" w:hAnsi="Times New Roman" w:cs="Times New Roman"/>
                <w:b/>
                <w:sz w:val="24"/>
                <w:szCs w:val="24"/>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10A3AFC3"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729A92A5"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28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2EF8B6BC"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6870844"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Unit C/D</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554D47F" w14:textId="4EBF74AB"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268E407" w14:textId="55120AD9" w:rsidR="00886415" w:rsidRPr="005F44EF" w:rsidRDefault="00886415" w:rsidP="0088641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35±3</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D00BCDA" w14:textId="0595EEF2"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059EF02" w14:textId="63FC697E"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532E449" w14:textId="14B21DDD" w:rsidR="00886415" w:rsidRPr="005F44EF" w:rsidRDefault="00886415" w:rsidP="0088641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44 ± 19</w:t>
            </w: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C6CA613" w14:textId="6567EDB9"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F2C13C5" w14:textId="5F17C213"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8FF69ED"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3</w:t>
            </w:r>
          </w:p>
        </w:tc>
        <w:tc>
          <w:tcPr>
            <w:tcW w:w="90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498F583A"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r>
      <w:tr w:rsidR="00886415" w:rsidRPr="005F44EF" w14:paraId="34882664" w14:textId="77777777" w:rsidTr="003C6FBD">
        <w:trPr>
          <w:trHeight w:val="311"/>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375C5A2" w14:textId="77777777" w:rsidR="00886415" w:rsidRPr="005F44EF" w:rsidRDefault="00886415" w:rsidP="00886415">
            <w:pPr>
              <w:spacing w:after="0" w:line="276" w:lineRule="auto"/>
              <w:jc w:val="both"/>
              <w:rPr>
                <w:rFonts w:ascii="Times New Roman" w:eastAsia="Times New Roman" w:hAnsi="Times New Roman" w:cs="Times New Roman"/>
                <w:b/>
                <w:sz w:val="24"/>
                <w:szCs w:val="24"/>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382BB6B6"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000D3C50"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28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16CF7486"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FB5F9A5"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Unit D1</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3370294" w14:textId="68E96316"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06AD503" w14:textId="2FD2F741" w:rsidR="00886415" w:rsidRPr="005F44EF" w:rsidRDefault="00886415" w:rsidP="0088641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55±3</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D7AA7A3" w14:textId="37411A27"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57DE000" w14:textId="57951372"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90713EC" w14:textId="4DFB41A7" w:rsidR="00886415" w:rsidRPr="005F44EF" w:rsidRDefault="00886415" w:rsidP="0088641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77± 18</w:t>
            </w: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F944037" w14:textId="0D17EEFC"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5706503" w14:textId="6A37E29B"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3DFCE33"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4</w:t>
            </w:r>
          </w:p>
        </w:tc>
        <w:tc>
          <w:tcPr>
            <w:tcW w:w="90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7BF65783"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r>
      <w:tr w:rsidR="00886415" w:rsidRPr="005F44EF" w14:paraId="662F3A3D" w14:textId="77777777" w:rsidTr="003C6FBD">
        <w:trPr>
          <w:trHeight w:val="190"/>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6359016" w14:textId="77777777" w:rsidR="00886415" w:rsidRPr="005F44EF" w:rsidRDefault="00886415" w:rsidP="00886415">
            <w:pPr>
              <w:spacing w:after="0" w:line="276" w:lineRule="auto"/>
              <w:jc w:val="both"/>
              <w:rPr>
                <w:rFonts w:ascii="Times New Roman" w:eastAsia="Times New Roman" w:hAnsi="Times New Roman" w:cs="Times New Roman"/>
                <w:b/>
                <w:sz w:val="24"/>
                <w:szCs w:val="24"/>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2FE579F4"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118456F1"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28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1D08121A"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9AB2BE9"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Unit D2</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6C079E4" w14:textId="7CFD42D3"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110D70C" w14:textId="3B3FA60E" w:rsidR="00886415" w:rsidRPr="005F44EF" w:rsidRDefault="00886415" w:rsidP="0088641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76±4</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E16E28B" w14:textId="1AF995C9"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EFDB9A6" w14:textId="73F400AE"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6C7F644" w14:textId="72CB0A0B"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03F43D3" w14:textId="724D4B7E"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619ED89" w14:textId="1A561896"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BBA9296"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5</w:t>
            </w:r>
          </w:p>
        </w:tc>
        <w:tc>
          <w:tcPr>
            <w:tcW w:w="90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1F965B09"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r>
      <w:tr w:rsidR="00886415" w:rsidRPr="005F44EF" w14:paraId="5715752C" w14:textId="77777777" w:rsidTr="003C6FBD">
        <w:trPr>
          <w:trHeight w:val="190"/>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CDA2B6C" w14:textId="77777777" w:rsidR="00886415" w:rsidRPr="005F44EF" w:rsidRDefault="00886415" w:rsidP="00886415">
            <w:pPr>
              <w:spacing w:after="0" w:line="276" w:lineRule="auto"/>
              <w:jc w:val="both"/>
              <w:rPr>
                <w:rFonts w:ascii="Times New Roman" w:eastAsia="Times New Roman" w:hAnsi="Times New Roman" w:cs="Times New Roman"/>
                <w:b/>
                <w:sz w:val="24"/>
                <w:szCs w:val="24"/>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18C0B257"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338680DC"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28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4A0A35D0"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4BF47C1"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Unit D2</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9306CC3" w14:textId="73F9F70C"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1C950C8" w14:textId="0E27AAD8" w:rsidR="00886415" w:rsidRPr="005F44EF" w:rsidRDefault="00886415" w:rsidP="0088641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106±6</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32CB742" w14:textId="57878F47"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57F5E6F" w14:textId="069083D1"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2567AC0" w14:textId="3DD37F95"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AAFFAF4" w14:textId="19AC7A15"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C3B4F5D" w14:textId="08D432C0"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A606BC3"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5</w:t>
            </w:r>
          </w:p>
        </w:tc>
        <w:tc>
          <w:tcPr>
            <w:tcW w:w="90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601314E5"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r>
      <w:tr w:rsidR="00886415" w:rsidRPr="005F44EF" w14:paraId="0773B839" w14:textId="77777777" w:rsidTr="003C6FBD">
        <w:trPr>
          <w:trHeight w:val="311"/>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D3D0CF9" w14:textId="77777777" w:rsidR="00886415" w:rsidRPr="005F44EF" w:rsidRDefault="00886415" w:rsidP="00886415">
            <w:pPr>
              <w:spacing w:after="0" w:line="276" w:lineRule="auto"/>
              <w:jc w:val="both"/>
              <w:rPr>
                <w:rFonts w:ascii="Times New Roman" w:eastAsia="Times New Roman" w:hAnsi="Times New Roman" w:cs="Times New Roman"/>
                <w:b/>
                <w:sz w:val="24"/>
                <w:szCs w:val="24"/>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5A278D30"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3A605775"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28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1D08085C"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83577A1"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Unit D3</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63B3CE6" w14:textId="4FABAF4A"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99BFC1F" w14:textId="0ACF1F80" w:rsidR="00886415" w:rsidRPr="005F44EF" w:rsidRDefault="00886415" w:rsidP="0088641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146±9</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02436C8" w14:textId="087084ED"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8568ADF" w14:textId="5FA81FCF"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B1A5C5C" w14:textId="1501EF3C" w:rsidR="00886415" w:rsidRPr="005F44EF" w:rsidRDefault="00886415" w:rsidP="0088641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207 ±75</w:t>
            </w: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D561CF8" w14:textId="4FD92C61"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BA2577F" w14:textId="59885975"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E03714A"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6</w:t>
            </w:r>
          </w:p>
        </w:tc>
        <w:tc>
          <w:tcPr>
            <w:tcW w:w="90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251DE8AB"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r>
      <w:tr w:rsidR="00886415" w:rsidRPr="005F44EF" w14:paraId="63725478" w14:textId="77777777" w:rsidTr="003C6FBD">
        <w:trPr>
          <w:trHeight w:val="251"/>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D6F1CD9" w14:textId="77777777" w:rsidR="00886415" w:rsidRPr="005F44EF" w:rsidRDefault="00886415" w:rsidP="00886415">
            <w:pPr>
              <w:spacing w:after="0" w:line="276" w:lineRule="auto"/>
              <w:jc w:val="both"/>
              <w:rPr>
                <w:rFonts w:ascii="Times New Roman" w:eastAsia="Times New Roman" w:hAnsi="Times New Roman" w:cs="Times New Roman"/>
                <w:b/>
                <w:sz w:val="24"/>
                <w:szCs w:val="24"/>
              </w:rPr>
            </w:pPr>
          </w:p>
        </w:tc>
        <w:tc>
          <w:tcPr>
            <w:tcW w:w="1164"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AB2AF3D"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Senegal</w:t>
            </w:r>
          </w:p>
        </w:tc>
        <w:tc>
          <w:tcPr>
            <w:tcW w:w="1009"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3F97B1F" w14:textId="59D66679"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Falémé Valley</w:t>
            </w:r>
          </w:p>
        </w:tc>
        <w:tc>
          <w:tcPr>
            <w:tcW w:w="1284"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4F52470"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Ravin Blanc I</w:t>
            </w: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B839DCD"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SU 1</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3499564" w14:textId="5EDCBDA3"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8F507F3"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128 ± 12</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B3EE152" w14:textId="5563F1C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657044B" w14:textId="763F37C8"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34C94AD" w14:textId="724BE159"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BF08C1D" w14:textId="64111089"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63BF126" w14:textId="7DB445B0"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498"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49F3CFB"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5</w:t>
            </w:r>
          </w:p>
        </w:tc>
        <w:tc>
          <w:tcPr>
            <w:tcW w:w="903" w:type="dxa"/>
            <w:vMerge w:val="restart"/>
            <w:tcBorders>
              <w:top w:val="nil"/>
              <w:left w:val="nil"/>
              <w:right w:val="single" w:sz="6" w:space="0" w:color="000000"/>
            </w:tcBorders>
            <w:shd w:val="clear" w:color="auto" w:fill="auto"/>
            <w:tcMar>
              <w:top w:w="0" w:type="dxa"/>
              <w:left w:w="80" w:type="dxa"/>
              <w:bottom w:w="0" w:type="dxa"/>
              <w:right w:w="80" w:type="dxa"/>
            </w:tcMar>
            <w:vAlign w:val="center"/>
          </w:tcPr>
          <w:p w14:paraId="1BF364E5" w14:textId="076EB493" w:rsidR="00886415" w:rsidRPr="005F44EF" w:rsidRDefault="00886415" w:rsidP="0088641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fldChar w:fldCharType="begin" w:fldLock="1"/>
            </w:r>
            <w:r w:rsidR="00614E13">
              <w:rPr>
                <w:rFonts w:ascii="Times New Roman" w:eastAsia="Times New Roman" w:hAnsi="Times New Roman" w:cs="Times New Roman"/>
                <w:sz w:val="16"/>
                <w:szCs w:val="16"/>
              </w:rPr>
              <w:instrText>ADDIN CSL_CITATION {"citationItems":[{"id":"ITEM-1","itemData":{"DOI":"10.1016/j.jhevol.2021.102952","ISSN":"00472484","author":[{"dropping-particle":"","family":"Douze","given":"Katja","non-dropping-particle":"","parse-names":false,"suffix":""},{"dropping-particle":"","family":"Lespez","given":"Laurent","non-dropping-particle":"","parse-names":false,"suffix":""},{"dropping-particle":"","family":"Rasse","given":"Michel","non-dropping-particle":"","parse-names":false,"suffix":""},{"dropping-particle":"","family":"Tribolo","given":"Chantal","non-dropping-particle":"","parse-names":false,"suffix":""},{"dropping-particle":"","family":"Garnier","given":"Aline","non-dropping-particle":"","parse-names":false,"suffix":""},{"dropping-particle":"","family":"Lebrun","given":"Brice","non-dropping-particle":"","parse-names":false,"suffix":""},{"dropping-particle":"","family":"Mercier","given":"Norbert","non-dropping-particle":"","parse-names":false,"suffix":""},{"dropping-particle":"","family":"Ndiaye","given":"Matar","non-dropping-particle":"","parse-names":false,"suffix":""},{"dropping-particle":"","family":"Chevrier","given":"Benoît","non-dropping-particle":"","parse-names":false,"suffix":""},{"dropping-particle":"","family":"Huysecom","given":"Eric","non-dropping-particle":"","parse-names":false,"suffix":""}],"container-title":"Journal of Human Evolution","id":"ITEM-1","issued":{"date-parts":[["2021","5"]]},"page":"102952","title":"A West African Middle Stone Age site dated to the beginning of MIS 5: Archaeology, chronology, and paleoenvironment of the Ravin Blanc I (eastern Senegal)","type":"article-journal","volume":"154"},"uris":["http://www.mendeley.com/documents/?uuid=b9efe01a-3945-36d8-bc6f-047e13a4b3ab"]}],"mendeley":{"formattedCitation":"&lt;sup&gt;151&lt;/sup&gt;","plainTextFormattedCitation":"151","previouslyFormattedCitation":"&lt;sup&gt;151&lt;/sup&gt;"},"properties":{"noteIndex":0},"schema":"https://github.com/citation-style-language/schema/raw/master/csl-citation.json"}</w:instrText>
            </w:r>
            <w:r w:rsidRPr="005F44EF">
              <w:rPr>
                <w:rFonts w:ascii="Times New Roman" w:eastAsia="Times New Roman" w:hAnsi="Times New Roman" w:cs="Times New Roman"/>
                <w:sz w:val="16"/>
                <w:szCs w:val="16"/>
              </w:rPr>
              <w:fldChar w:fldCharType="separate"/>
            </w:r>
            <w:r w:rsidR="00C212A1" w:rsidRPr="00C212A1">
              <w:rPr>
                <w:rFonts w:ascii="Times New Roman" w:eastAsia="Times New Roman" w:hAnsi="Times New Roman" w:cs="Times New Roman"/>
                <w:noProof/>
                <w:sz w:val="16"/>
                <w:szCs w:val="16"/>
                <w:vertAlign w:val="superscript"/>
              </w:rPr>
              <w:t>151</w:t>
            </w:r>
            <w:r w:rsidRPr="005F44EF">
              <w:rPr>
                <w:rFonts w:ascii="Times New Roman" w:eastAsia="Times New Roman" w:hAnsi="Times New Roman" w:cs="Times New Roman"/>
                <w:sz w:val="16"/>
                <w:szCs w:val="16"/>
              </w:rPr>
              <w:fldChar w:fldCharType="end"/>
            </w:r>
          </w:p>
        </w:tc>
      </w:tr>
      <w:tr w:rsidR="00886415" w:rsidRPr="005F44EF" w14:paraId="126FD5D8" w14:textId="77777777" w:rsidTr="003C6FBD">
        <w:trPr>
          <w:trHeight w:val="352"/>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41F7109" w14:textId="77777777" w:rsidR="00886415" w:rsidRPr="005F44EF" w:rsidRDefault="00886415" w:rsidP="00886415">
            <w:pPr>
              <w:spacing w:after="0" w:line="276" w:lineRule="auto"/>
              <w:jc w:val="both"/>
              <w:rPr>
                <w:rFonts w:ascii="Times New Roman" w:eastAsia="Times New Roman" w:hAnsi="Times New Roman" w:cs="Times New Roman"/>
                <w:b/>
                <w:sz w:val="24"/>
                <w:szCs w:val="24"/>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35404042"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7CEE0395"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28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520C62A4"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030FCA1"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SU 2</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258782B" w14:textId="07E25CB0"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706CEA2"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124 ± 12</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B31DB7E" w14:textId="120A8735"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2BE44EB" w14:textId="38F1C9BB"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866C489" w14:textId="2ED4DDBB"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98E9B74" w14:textId="374B1DC2"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EEE8941" w14:textId="57C1789C"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49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001473D6"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903" w:type="dxa"/>
            <w:vMerge/>
            <w:tcBorders>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BAC7777" w14:textId="50B39E09" w:rsidR="00886415" w:rsidRPr="005F44EF" w:rsidRDefault="00886415" w:rsidP="00886415">
            <w:pPr>
              <w:spacing w:before="240" w:after="0" w:line="276" w:lineRule="auto"/>
              <w:rPr>
                <w:rFonts w:ascii="Times New Roman" w:eastAsia="Times New Roman" w:hAnsi="Times New Roman" w:cs="Times New Roman"/>
                <w:sz w:val="16"/>
                <w:szCs w:val="16"/>
              </w:rPr>
            </w:pPr>
          </w:p>
        </w:tc>
      </w:tr>
      <w:tr w:rsidR="00886415" w:rsidRPr="005F44EF" w14:paraId="1D0EB081" w14:textId="77777777" w:rsidTr="003C6FBD">
        <w:trPr>
          <w:trHeight w:val="311"/>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76B76C4" w14:textId="77777777" w:rsidR="00886415" w:rsidRPr="005F44EF" w:rsidRDefault="00886415" w:rsidP="00886415">
            <w:pPr>
              <w:spacing w:after="0" w:line="276" w:lineRule="auto"/>
              <w:jc w:val="both"/>
              <w:rPr>
                <w:rFonts w:ascii="Times New Roman" w:eastAsia="Times New Roman" w:hAnsi="Times New Roman" w:cs="Times New Roman"/>
                <w:b/>
                <w:sz w:val="24"/>
                <w:szCs w:val="24"/>
              </w:rPr>
            </w:pPr>
          </w:p>
        </w:tc>
        <w:tc>
          <w:tcPr>
            <w:tcW w:w="1164"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0B818FE"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Mali</w:t>
            </w:r>
          </w:p>
        </w:tc>
        <w:tc>
          <w:tcPr>
            <w:tcW w:w="1009"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1A38F4E"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Ounjougou</w:t>
            </w:r>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ABD84AC"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proofErr w:type="spellStart"/>
            <w:r w:rsidRPr="005F44EF">
              <w:rPr>
                <w:rFonts w:ascii="Times New Roman" w:eastAsia="Times New Roman" w:hAnsi="Times New Roman" w:cs="Times New Roman"/>
                <w:color w:val="2E2E2E"/>
                <w:sz w:val="16"/>
                <w:szCs w:val="16"/>
              </w:rPr>
              <w:t>Kokolo</w:t>
            </w:r>
            <w:proofErr w:type="spellEnd"/>
            <w:r w:rsidRPr="005F44EF">
              <w:rPr>
                <w:rFonts w:ascii="Times New Roman" w:eastAsia="Times New Roman" w:hAnsi="Times New Roman" w:cs="Times New Roman"/>
                <w:color w:val="2E2E2E"/>
                <w:sz w:val="16"/>
                <w:szCs w:val="16"/>
              </w:rPr>
              <w:t xml:space="preserve"> 2</w:t>
            </w: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3976C17"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U2</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31A6B47" w14:textId="343CF069"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AD14782" w14:textId="20DFA9AA"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60 ± 5;</w:t>
            </w:r>
          </w:p>
          <w:p w14:paraId="279229C2" w14:textId="17CF67E4"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59 ± 6</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D58BC57" w14:textId="3F7C971B"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03E1D50" w14:textId="29BDB110"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9F75962" w14:textId="6D3E8CE0"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12CDDD8" w14:textId="13AF53F4"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14767C3" w14:textId="483484BE"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B645179"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4</w:t>
            </w:r>
          </w:p>
        </w:tc>
        <w:tc>
          <w:tcPr>
            <w:tcW w:w="90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2965A30" w14:textId="53FDA1AD" w:rsidR="00886415" w:rsidRPr="005F44EF" w:rsidRDefault="00886415" w:rsidP="0088641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lang w:val="es-ES"/>
              </w:rPr>
              <w:fldChar w:fldCharType="begin" w:fldLock="1"/>
            </w:r>
            <w:r w:rsidR="00614E13">
              <w:rPr>
                <w:rFonts w:ascii="Times New Roman" w:eastAsia="Times New Roman" w:hAnsi="Times New Roman" w:cs="Times New Roman"/>
                <w:sz w:val="16"/>
                <w:szCs w:val="16"/>
                <w:lang w:val="es-ES"/>
              </w:rPr>
              <w:instrText>ADDIN CSL_CITATION {"citationItems":[{"id":"ITEM-1","itemData":{"author":[{"dropping-particle":"","family":"Soriano","given":"S","non-dropping-particle":"","parse-names":false,"suffix":""},{"dropping-particle":"","family":"Rasse","given":"M","non-dropping-particle":"","parse-names":false,"suffix":""},{"dropping-particle":"","family":"Tribolo","given":"C","non-dropping-particle":"","parse-names":false,"suffix":""},{"dropping-particle":"","family":"Huysecom","given":"E","non-dropping-particle":"","parse-names":false,"suffix":""}],"container-title":"West African Archaeology. New Developments, New Perspectives","editor":[{"dropping-particle":"","family":"Allsworth-Jones","given":"P.","non-dropping-particle":"","parse-names":false,"suffix":""}],"id":"ITEM-1","issued":{"date-parts":[["2010"]]},"page":"1-14","publisher":"Archaeopress","publisher-place":"Oxford","title":"Ounjougou: A long Middle Stone Age sequence in the Dogon country (Mali)","type":"paper-conference"},"uris":["http://www.mendeley.com/documents/?uuid=7ff257ec-98f1-3f89-9f0f-3ceb58478e2c"]},{"id":"ITEM-2","itemData":{"DOI":"10.1016/j.quageo.2015.05.013","ISSN":"18711014","abstract":"Ounjougou is the name of a large complex of archaeological sites, that were extensively studied between 1997 and 2008 by the international team of the \". Human settlement and palaeoenvironment in West Africa\" project. This complex is important because well stratified Palaeolithic sites in West Africa are rare, and because it covers a long period of time (most of the Upper Pleistocene and Holocene) and exhibits a wide set of technical cultures. Therefore, for the first time it is possible to propose a chronological framework for the human settlement in this region that can be related to other technical cultures in Africa and to palaeoenvironmental data.The purpose of this paper is to present the OSL dating results obtained from 57 sediment samples that led to this framework. Measurements were first performed between 2004 and 2006 in Oxford (School of Geography), using micro-aliquots (2-10 grains) OSL and ICP-MS for determination of equivalent doses and beta-dose rates, respectively (gamma dose rates being deduced from field gamma spectrometry). More recently, new measurements were done on 28 samples of this former set at the IRAMAT-CRP2A laboratory in Bordeaux, where \"true\" single quartz grain OSL and high resolution gamma spectrometry measurements were performed. Both sets of results are, for all but two samples, statistically consistent with each other. A consistent chrono-stratigraphic framework can thus be deduced, covering the Upper Pleistocene. It suggests that the region was regularly visited during this time interval and more particularly during Marine Isotope Stage 3, when groups with different technical cultures followed each other relatively rapidly.","author":[{"dropping-particle":"","family":"Tribolo","given":"C.","non-dropping-particle":"","parse-names":false,"suffix":""},{"dropping-particle":"","family":"Rasse","given":"M.","non-dropping-particle":"","parse-names":false,"suffix":""},{"dropping-particle":"","family":"Soriano","given":"S.","non-dropping-particle":"","parse-names":false,"suffix":""},{"dropping-particle":"","family":"Huysecom","given":"E.","non-dropping-particle":"","parse-names":false,"suffix":""}],"container-title":"Quaternary Geochronology","id":"ITEM-2","issued":{"date-parts":[["2015","8","1"]]},"page":"80-96","publisher":"Elsevier","title":"Defining a chronological framework for the Middle Stone Age in West Africa: Comparison of methods and models for OSL ages at Ounjougou (Mali)","type":"article-journal","volume":"29"},"uris":["http://www.mendeley.com/documents/?uuid=6e0018ac-ada1-3cfb-bff5-c03223816195"]}],"mendeley":{"formattedCitation":"&lt;sup&gt;152,153&lt;/sup&gt;","plainTextFormattedCitation":"152,153","previouslyFormattedCitation":"&lt;sup&gt;152,153&lt;/sup&gt;"},"properties":{"noteIndex":0},"schema":"https://github.com/citation-style-language/schema/raw/master/csl-citation.json"}</w:instrText>
            </w:r>
            <w:r w:rsidRPr="005F44EF">
              <w:rPr>
                <w:rFonts w:ascii="Times New Roman" w:eastAsia="Times New Roman" w:hAnsi="Times New Roman" w:cs="Times New Roman"/>
                <w:sz w:val="16"/>
                <w:szCs w:val="16"/>
                <w:lang w:val="es-ES"/>
              </w:rPr>
              <w:fldChar w:fldCharType="separate"/>
            </w:r>
            <w:r w:rsidR="00C212A1" w:rsidRPr="00C212A1">
              <w:rPr>
                <w:rFonts w:ascii="Times New Roman" w:eastAsia="Times New Roman" w:hAnsi="Times New Roman" w:cs="Times New Roman"/>
                <w:noProof/>
                <w:sz w:val="16"/>
                <w:szCs w:val="16"/>
                <w:vertAlign w:val="superscript"/>
                <w:lang w:val="es-ES"/>
              </w:rPr>
              <w:t>152,153</w:t>
            </w:r>
            <w:r w:rsidRPr="005F44EF">
              <w:rPr>
                <w:rFonts w:ascii="Times New Roman" w:eastAsia="Times New Roman" w:hAnsi="Times New Roman" w:cs="Times New Roman"/>
                <w:sz w:val="16"/>
                <w:szCs w:val="16"/>
                <w:lang w:val="es-ES"/>
              </w:rPr>
              <w:fldChar w:fldCharType="end"/>
            </w:r>
          </w:p>
        </w:tc>
      </w:tr>
      <w:tr w:rsidR="00886415" w:rsidRPr="005F44EF" w14:paraId="5C7D3F5C" w14:textId="77777777" w:rsidTr="003C6FBD">
        <w:trPr>
          <w:trHeight w:val="462"/>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796048D" w14:textId="77777777" w:rsidR="00886415" w:rsidRPr="005F44EF" w:rsidRDefault="00886415" w:rsidP="00886415">
            <w:pPr>
              <w:spacing w:after="0" w:line="276" w:lineRule="auto"/>
              <w:jc w:val="both"/>
              <w:rPr>
                <w:rFonts w:ascii="Times New Roman" w:eastAsia="Times New Roman" w:hAnsi="Times New Roman" w:cs="Times New Roman"/>
                <w:b/>
                <w:sz w:val="24"/>
                <w:szCs w:val="24"/>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31397E33"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05AB305D"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36B1E5A"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Oumounaama Atelier</w:t>
            </w: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F782FE0"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U2</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0D15B4D"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56 ± 6</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AA851EB"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64 ± 7</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65B8002" w14:textId="21D54358"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F4AAC2F" w14:textId="0D85440A"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EBC70A7" w14:textId="4C8FE888"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E3A6799" w14:textId="47D88C63"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1A52382" w14:textId="598E89C8"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75024A5"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4</w:t>
            </w:r>
          </w:p>
        </w:tc>
        <w:tc>
          <w:tcPr>
            <w:tcW w:w="90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89A8F6D" w14:textId="2053ADF1" w:rsidR="00886415" w:rsidRPr="005F44EF" w:rsidRDefault="00886415" w:rsidP="00886415">
            <w:pPr>
              <w:spacing w:before="240" w:after="0" w:line="276" w:lineRule="auto"/>
              <w:rPr>
                <w:rFonts w:ascii="Times New Roman" w:eastAsia="Times New Roman" w:hAnsi="Times New Roman" w:cs="Times New Roman"/>
                <w:sz w:val="16"/>
                <w:szCs w:val="16"/>
                <w:lang w:val="es-ES"/>
              </w:rPr>
            </w:pPr>
            <w:r w:rsidRPr="005F44EF">
              <w:rPr>
                <w:rFonts w:ascii="Times New Roman" w:eastAsia="Times New Roman" w:hAnsi="Times New Roman" w:cs="Times New Roman"/>
                <w:sz w:val="16"/>
                <w:szCs w:val="16"/>
                <w:lang w:val="es-ES"/>
              </w:rPr>
              <w:fldChar w:fldCharType="begin" w:fldLock="1"/>
            </w:r>
            <w:r w:rsidR="00614E13">
              <w:rPr>
                <w:rFonts w:ascii="Times New Roman" w:eastAsia="Times New Roman" w:hAnsi="Times New Roman" w:cs="Times New Roman"/>
                <w:sz w:val="16"/>
                <w:szCs w:val="16"/>
                <w:lang w:val="es-ES"/>
              </w:rPr>
              <w:instrText>ADDIN CSL_CITATION {"citationItems":[{"id":"ITEM-1","itemData":{"author":[{"dropping-particle":"","family":"Soriano","given":"S","non-dropping-particle":"","parse-names":false,"suffix":""},{"dropping-particle":"","family":"Rasse","given":"M","non-dropping-particle":"","parse-names":false,"suffix":""},{"dropping-particle":"","family":"Tribolo","given":"C","non-dropping-particle":"","parse-names":false,"suffix":""},{"dropping-particle":"","family":"Huysecom","given":"E","non-dropping-particle":"","parse-names":false,"suffix":""}],"container-title":"West African Archaeology. New Developments, New Perspectives","editor":[{"dropping-particle":"","family":"Allsworth-Jones","given":"P.","non-dropping-particle":"","parse-names":false,"suffix":""}],"id":"ITEM-1","issued":{"date-parts":[["2010"]]},"page":"1-14","publisher":"Archaeopress","publisher-place":"Oxford","title":"Ounjougou: A long Middle Stone Age sequence in the Dogon country (Mali)","type":"paper-conference"},"uris":["http://www.mendeley.com/documents/?uuid=7ff257ec-98f1-3f89-9f0f-3ceb58478e2c"]},{"id":"ITEM-2","itemData":{"DOI":"10.1016/j.quageo.2015.05.013","ISSN":"18711014","abstract":"Ounjougou is the name of a large complex of archaeological sites, that were extensively studied between 1997 and 2008 by the international team of the \". Human settlement and palaeoenvironment in West Africa\" project. This complex is important because well stratified Palaeolithic sites in West Africa are rare, and because it covers a long period of time (most of the Upper Pleistocene and Holocene) and exhibits a wide set of technical cultures. Therefore, for the first time it is possible to propose a chronological framework for the human settlement in this region that can be related to other technical cultures in Africa and to palaeoenvironmental data.The purpose of this paper is to present the OSL dating results obtained from 57 sediment samples that led to this framework. Measurements were first performed between 2004 and 2006 in Oxford (School of Geography), using micro-aliquots (2-10 grains) OSL and ICP-MS for determination of equivalent doses and beta-dose rates, respectively (gamma dose rates being deduced from field gamma spectrometry). More recently, new measurements were done on 28 samples of this former set at the IRAMAT-CRP2A laboratory in Bordeaux, where \"true\" single quartz grain OSL and high resolution gamma spectrometry measurements were performed. Both sets of results are, for all but two samples, statistically consistent with each other. A consistent chrono-stratigraphic framework can thus be deduced, covering the Upper Pleistocene. It suggests that the region was regularly visited during this time interval and more particularly during Marine Isotope Stage 3, when groups with different technical cultures followed each other relatively rapidly.","author":[{"dropping-particle":"","family":"Tribolo","given":"C.","non-dropping-particle":"","parse-names":false,"suffix":""},{"dropping-particle":"","family":"Rasse","given":"M.","non-dropping-particle":"","parse-names":false,"suffix":""},{"dropping-particle":"","family":"Soriano","given":"S.","non-dropping-particle":"","parse-names":false,"suffix":""},{"dropping-particle":"","family":"Huysecom","given":"E.","non-dropping-particle":"","parse-names":false,"suffix":""}],"container-title":"Quaternary Geochronology","id":"ITEM-2","issued":{"date-parts":[["2015","8","1"]]},"page":"80-96","publisher":"Elsevier","title":"Defining a chronological framework for the Middle Stone Age in West Africa: Comparison of methods and models for OSL ages at Ounjougou (Mali)","type":"article-journal","volume":"29"},"uris":["http://www.mendeley.com/documents/?uuid=6e0018ac-ada1-3cfb-bff5-c03223816195"]}],"mendeley":{"formattedCitation":"&lt;sup&gt;152,153&lt;/sup&gt;","plainTextFormattedCitation":"152,153","previouslyFormattedCitation":"&lt;sup&gt;152,153&lt;/sup&gt;"},"properties":{"noteIndex":0},"schema":"https://github.com/citation-style-language/schema/raw/master/csl-citation.json"}</w:instrText>
            </w:r>
            <w:r w:rsidRPr="005F44EF">
              <w:rPr>
                <w:rFonts w:ascii="Times New Roman" w:eastAsia="Times New Roman" w:hAnsi="Times New Roman" w:cs="Times New Roman"/>
                <w:sz w:val="16"/>
                <w:szCs w:val="16"/>
                <w:lang w:val="es-ES"/>
              </w:rPr>
              <w:fldChar w:fldCharType="separate"/>
            </w:r>
            <w:r w:rsidR="00C212A1" w:rsidRPr="00C212A1">
              <w:rPr>
                <w:rFonts w:ascii="Times New Roman" w:eastAsia="Times New Roman" w:hAnsi="Times New Roman" w:cs="Times New Roman"/>
                <w:noProof/>
                <w:sz w:val="16"/>
                <w:szCs w:val="16"/>
                <w:vertAlign w:val="superscript"/>
                <w:lang w:val="es-ES"/>
              </w:rPr>
              <w:t>152,153</w:t>
            </w:r>
            <w:r w:rsidRPr="005F44EF">
              <w:rPr>
                <w:rFonts w:ascii="Times New Roman" w:eastAsia="Times New Roman" w:hAnsi="Times New Roman" w:cs="Times New Roman"/>
                <w:sz w:val="16"/>
                <w:szCs w:val="16"/>
                <w:lang w:val="es-ES"/>
              </w:rPr>
              <w:fldChar w:fldCharType="end"/>
            </w:r>
          </w:p>
        </w:tc>
      </w:tr>
      <w:tr w:rsidR="00886415" w:rsidRPr="005F44EF" w14:paraId="019FD340" w14:textId="77777777" w:rsidTr="003C6FBD">
        <w:trPr>
          <w:trHeight w:val="311"/>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BF48284" w14:textId="77777777" w:rsidR="00886415" w:rsidRPr="005F44EF" w:rsidRDefault="00886415" w:rsidP="00886415">
            <w:pPr>
              <w:spacing w:after="0" w:line="276" w:lineRule="auto"/>
              <w:jc w:val="both"/>
              <w:rPr>
                <w:rFonts w:ascii="Times New Roman" w:eastAsia="Times New Roman" w:hAnsi="Times New Roman" w:cs="Times New Roman"/>
                <w:b/>
                <w:sz w:val="24"/>
                <w:szCs w:val="24"/>
                <w:lang w:val="es-ES"/>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7E3FD079"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712DBFF2"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32988D9"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roofErr w:type="spellStart"/>
            <w:r w:rsidRPr="005F44EF">
              <w:rPr>
                <w:rFonts w:ascii="Times New Roman" w:eastAsia="Times New Roman" w:hAnsi="Times New Roman" w:cs="Times New Roman"/>
                <w:color w:val="2E2E2E"/>
                <w:sz w:val="16"/>
                <w:szCs w:val="16"/>
                <w:lang w:val="es-ES"/>
              </w:rPr>
              <w:t>Vipère</w:t>
            </w:r>
            <w:proofErr w:type="spellEnd"/>
            <w:r w:rsidRPr="005F44EF">
              <w:rPr>
                <w:rFonts w:ascii="Times New Roman" w:eastAsia="Times New Roman" w:hAnsi="Times New Roman" w:cs="Times New Roman"/>
                <w:color w:val="2E2E2E"/>
                <w:sz w:val="16"/>
                <w:szCs w:val="16"/>
                <w:lang w:val="es-ES"/>
              </w:rPr>
              <w:t xml:space="preserve"> 1, </w:t>
            </w:r>
            <w:proofErr w:type="spellStart"/>
            <w:r w:rsidRPr="005F44EF">
              <w:rPr>
                <w:rFonts w:ascii="Times New Roman" w:eastAsia="Times New Roman" w:hAnsi="Times New Roman" w:cs="Times New Roman"/>
                <w:color w:val="2E2E2E"/>
                <w:sz w:val="16"/>
                <w:szCs w:val="16"/>
                <w:lang w:val="es-ES"/>
              </w:rPr>
              <w:t>Lower</w:t>
            </w:r>
            <w:proofErr w:type="spellEnd"/>
            <w:r w:rsidRPr="005F44EF">
              <w:rPr>
                <w:rFonts w:ascii="Times New Roman" w:eastAsia="Times New Roman" w:hAnsi="Times New Roman" w:cs="Times New Roman"/>
                <w:color w:val="2E2E2E"/>
                <w:sz w:val="16"/>
                <w:szCs w:val="16"/>
                <w:lang w:val="es-ES"/>
              </w:rPr>
              <w:t xml:space="preserve"> and </w:t>
            </w:r>
            <w:proofErr w:type="spellStart"/>
            <w:r w:rsidRPr="005F44EF">
              <w:rPr>
                <w:rFonts w:ascii="Times New Roman" w:eastAsia="Times New Roman" w:hAnsi="Times New Roman" w:cs="Times New Roman"/>
                <w:color w:val="2E2E2E"/>
                <w:sz w:val="16"/>
                <w:szCs w:val="16"/>
                <w:lang w:val="es-ES"/>
              </w:rPr>
              <w:t>Upper</w:t>
            </w:r>
            <w:proofErr w:type="spellEnd"/>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B73AFE4"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U3</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02FAD79"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57 ± 5</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01EDE3D"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55 ± 5</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B40977C" w14:textId="4C489300"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8005B46" w14:textId="173C3C92"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0BA3D23" w14:textId="7CEC7125"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3C81DBD" w14:textId="15BD9CEB"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F29B413" w14:textId="26399C3E"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DEE23A1"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4</w:t>
            </w:r>
          </w:p>
        </w:tc>
        <w:tc>
          <w:tcPr>
            <w:tcW w:w="90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3D9B273" w14:textId="317238A7" w:rsidR="00886415" w:rsidRPr="005F44EF" w:rsidRDefault="00886415" w:rsidP="00886415">
            <w:pPr>
              <w:spacing w:before="240" w:after="0" w:line="276" w:lineRule="auto"/>
              <w:rPr>
                <w:rFonts w:ascii="Times New Roman" w:eastAsia="Times New Roman" w:hAnsi="Times New Roman" w:cs="Times New Roman"/>
                <w:sz w:val="16"/>
                <w:szCs w:val="16"/>
                <w:lang w:val="es-ES"/>
              </w:rPr>
            </w:pPr>
            <w:r w:rsidRPr="005F44EF">
              <w:rPr>
                <w:rFonts w:ascii="Times New Roman" w:eastAsia="Times New Roman" w:hAnsi="Times New Roman" w:cs="Times New Roman"/>
                <w:sz w:val="16"/>
                <w:szCs w:val="16"/>
                <w:lang w:val="es-ES"/>
              </w:rPr>
              <w:fldChar w:fldCharType="begin" w:fldLock="1"/>
            </w:r>
            <w:r w:rsidR="00614E13">
              <w:rPr>
                <w:rFonts w:ascii="Times New Roman" w:eastAsia="Times New Roman" w:hAnsi="Times New Roman" w:cs="Times New Roman"/>
                <w:sz w:val="16"/>
                <w:szCs w:val="16"/>
                <w:lang w:val="es-ES"/>
              </w:rPr>
              <w:instrText>ADDIN CSL_CITATION {"citationItems":[{"id":"ITEM-1","itemData":{"author":[{"dropping-particle":"","family":"Soriano","given":"S","non-dropping-particle":"","parse-names":false,"suffix":""},{"dropping-particle":"","family":"Rasse","given":"M","non-dropping-particle":"","parse-names":false,"suffix":""},{"dropping-particle":"","family":"Tribolo","given":"C","non-dropping-particle":"","parse-names":false,"suffix":""},{"dropping-particle":"","family":"Huysecom","given":"E","non-dropping-particle":"","parse-names":false,"suffix":""}],"container-title":"West African Archaeology. New Developments, New Perspectives","editor":[{"dropping-particle":"","family":"Allsworth-Jones","given":"P.","non-dropping-particle":"","parse-names":false,"suffix":""}],"id":"ITEM-1","issued":{"date-parts":[["2010"]]},"page":"1-14","publisher":"Archaeopress","publisher-place":"Oxford","title":"Ounjougou: A long Middle Stone Age sequence in the Dogon country (Mali)","type":"paper-conference"},"uris":["http://www.mendeley.com/documents/?uuid=7ff257ec-98f1-3f89-9f0f-3ceb58478e2c"]},{"id":"ITEM-2","itemData":{"DOI":"10.1016/j.quageo.2015.05.013","ISSN":"18711014","abstract":"Ounjougou is the name of a large complex of archaeological sites, that were extensively studied between 1997 and 2008 by the international team of the \". Human settlement and palaeoenvironment in West Africa\" project. This complex is important because well stratified Palaeolithic sites in West Africa are rare, and because it covers a long period of time (most of the Upper Pleistocene and Holocene) and exhibits a wide set of technical cultures. Therefore, for the first time it is possible to propose a chronological framework for the human settlement in this region that can be related to other technical cultures in Africa and to palaeoenvironmental data.The purpose of this paper is to present the OSL dating results obtained from 57 sediment samples that led to this framework. Measurements were first performed between 2004 and 2006 in Oxford (School of Geography), using micro-aliquots (2-10 grains) OSL and ICP-MS for determination of equivalent doses and beta-dose rates, respectively (gamma dose rates being deduced from field gamma spectrometry). More recently, new measurements were done on 28 samples of this former set at the IRAMAT-CRP2A laboratory in Bordeaux, where \"true\" single quartz grain OSL and high resolution gamma spectrometry measurements were performed. Both sets of results are, for all but two samples, statistically consistent with each other. A consistent chrono-stratigraphic framework can thus be deduced, covering the Upper Pleistocene. It suggests that the region was regularly visited during this time interval and more particularly during Marine Isotope Stage 3, when groups with different technical cultures followed each other relatively rapidly.","author":[{"dropping-particle":"","family":"Tribolo","given":"C.","non-dropping-particle":"","parse-names":false,"suffix":""},{"dropping-particle":"","family":"Rasse","given":"M.","non-dropping-particle":"","parse-names":false,"suffix":""},{"dropping-particle":"","family":"Soriano","given":"S.","non-dropping-particle":"","parse-names":false,"suffix":""},{"dropping-particle":"","family":"Huysecom","given":"E.","non-dropping-particle":"","parse-names":false,"suffix":""}],"container-title":"Quaternary Geochronology","id":"ITEM-2","issued":{"date-parts":[["2015","8","1"]]},"page":"80-96","publisher":"Elsevier","title":"Defining a chronological framework for the Middle Stone Age in West Africa: Comparison of methods and models for OSL ages at Ounjougou (Mali)","type":"article-journal","volume":"29"},"uris":["http://www.mendeley.com/documents/?uuid=6e0018ac-ada1-3cfb-bff5-c03223816195"]}],"mendeley":{"formattedCitation":"&lt;sup&gt;152,153&lt;/sup&gt;","plainTextFormattedCitation":"152,153","previouslyFormattedCitation":"&lt;sup&gt;152,153&lt;/sup&gt;"},"properties":{"noteIndex":0},"schema":"https://github.com/citation-style-language/schema/raw/master/csl-citation.json"}</w:instrText>
            </w:r>
            <w:r w:rsidRPr="005F44EF">
              <w:rPr>
                <w:rFonts w:ascii="Times New Roman" w:eastAsia="Times New Roman" w:hAnsi="Times New Roman" w:cs="Times New Roman"/>
                <w:sz w:val="16"/>
                <w:szCs w:val="16"/>
                <w:lang w:val="es-ES"/>
              </w:rPr>
              <w:fldChar w:fldCharType="separate"/>
            </w:r>
            <w:r w:rsidR="00C212A1" w:rsidRPr="00C212A1">
              <w:rPr>
                <w:rFonts w:ascii="Times New Roman" w:eastAsia="Times New Roman" w:hAnsi="Times New Roman" w:cs="Times New Roman"/>
                <w:noProof/>
                <w:sz w:val="16"/>
                <w:szCs w:val="16"/>
                <w:vertAlign w:val="superscript"/>
                <w:lang w:val="es-ES"/>
              </w:rPr>
              <w:t>152,153</w:t>
            </w:r>
            <w:r w:rsidRPr="005F44EF">
              <w:rPr>
                <w:rFonts w:ascii="Times New Roman" w:eastAsia="Times New Roman" w:hAnsi="Times New Roman" w:cs="Times New Roman"/>
                <w:sz w:val="16"/>
                <w:szCs w:val="16"/>
                <w:lang w:val="es-ES"/>
              </w:rPr>
              <w:fldChar w:fldCharType="end"/>
            </w:r>
          </w:p>
        </w:tc>
      </w:tr>
      <w:tr w:rsidR="00886415" w:rsidRPr="005F44EF" w14:paraId="15A3E214" w14:textId="77777777" w:rsidTr="003C6FBD">
        <w:trPr>
          <w:trHeight w:val="714"/>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B780042" w14:textId="77777777" w:rsidR="00886415" w:rsidRPr="005F44EF" w:rsidRDefault="00886415" w:rsidP="00886415">
            <w:pPr>
              <w:spacing w:after="0" w:line="276" w:lineRule="auto"/>
              <w:jc w:val="both"/>
              <w:rPr>
                <w:rFonts w:ascii="Times New Roman" w:eastAsia="Times New Roman" w:hAnsi="Times New Roman" w:cs="Times New Roman"/>
                <w:b/>
                <w:sz w:val="24"/>
                <w:szCs w:val="24"/>
                <w:lang w:val="es-ES"/>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75AEE527"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5199F43D"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A3BB7BB"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Kondo</w:t>
            </w: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004462C"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U3</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F04B32B"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45 ± 5</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25A4068"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59 ± 6</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B659791" w14:textId="0B2BCB32"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37481F3" w14:textId="2A1EFA62"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7AA0CCF" w14:textId="01784471"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1BA509E" w14:textId="7DE6576C"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3B39B22" w14:textId="08B4C92B"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C534A1B"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4</w:t>
            </w:r>
          </w:p>
        </w:tc>
        <w:tc>
          <w:tcPr>
            <w:tcW w:w="90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24ED73C" w14:textId="235D3BE4" w:rsidR="00886415" w:rsidRPr="005F44EF" w:rsidRDefault="00886415" w:rsidP="00886415">
            <w:pPr>
              <w:spacing w:before="240" w:after="0" w:line="276" w:lineRule="auto"/>
              <w:rPr>
                <w:rFonts w:ascii="Times New Roman" w:eastAsia="Times New Roman" w:hAnsi="Times New Roman" w:cs="Times New Roman"/>
                <w:sz w:val="16"/>
                <w:szCs w:val="16"/>
                <w:lang w:val="es-ES"/>
              </w:rPr>
            </w:pPr>
            <w:r w:rsidRPr="005F44EF">
              <w:rPr>
                <w:rFonts w:ascii="Times New Roman" w:eastAsia="Times New Roman" w:hAnsi="Times New Roman" w:cs="Times New Roman"/>
                <w:sz w:val="16"/>
                <w:szCs w:val="16"/>
                <w:lang w:val="es-ES"/>
              </w:rPr>
              <w:fldChar w:fldCharType="begin" w:fldLock="1"/>
            </w:r>
            <w:r w:rsidR="00614E13">
              <w:rPr>
                <w:rFonts w:ascii="Times New Roman" w:eastAsia="Times New Roman" w:hAnsi="Times New Roman" w:cs="Times New Roman"/>
                <w:sz w:val="16"/>
                <w:szCs w:val="16"/>
                <w:lang w:val="es-ES"/>
              </w:rPr>
              <w:instrText>ADDIN CSL_CITATION {"citationItems":[{"id":"ITEM-1","itemData":{"DOI":"10.1016/j.quageo.2015.05.013","ISSN":"18711014","abstract":"Ounjougou is the name of a large complex of archaeological sites, that were extensively studied between 1997 and 2008 by the international team of the \". Human settlement and palaeoenvironment in West Africa\" project. This complex is important because well stratified Palaeolithic sites in West Africa are rare, and because it covers a long period of time (most of the Upper Pleistocene and Holocene) and exhibits a wide set of technical cultures. Therefore, for the first time it is possible to propose a chronological framework for the human settlement in this region that can be related to other technical cultures in Africa and to palaeoenvironmental data.The purpose of this paper is to present the OSL dating results obtained from 57 sediment samples that led to this framework. Measurements were first performed between 2004 and 2006 in Oxford (School of Geography), using micro-aliquots (2-10 grains) OSL and ICP-MS for determination of equivalent doses and beta-dose rates, respectively (gamma dose rates being deduced from field gamma spectrometry). More recently, new measurements were done on 28 samples of this former set at the IRAMAT-CRP2A laboratory in Bordeaux, where \"true\" single quartz grain OSL and high resolution gamma spectrometry measurements were performed. Both sets of results are, for all but two samples, statistically consistent with each other. A consistent chrono-stratigraphic framework can thus be deduced, covering the Upper Pleistocene. It suggests that the region was regularly visited during this time interval and more particularly during Marine Isotope Stage 3, when groups with different technical cultures followed each other relatively rapidly.","author":[{"dropping-particle":"","family":"Tribolo","given":"C.","non-dropping-particle":"","parse-names":false,"suffix":""},{"dropping-particle":"","family":"Rasse","given":"M.","non-dropping-particle":"","parse-names":false,"suffix":""},{"dropping-particle":"","family":"Soriano","given":"S.","non-dropping-particle":"","parse-names":false,"suffix":""},{"dropping-particle":"","family":"Huysecom","given":"E.","non-dropping-particle":"","parse-names":false,"suffix":""}],"container-title":"Quaternary Geochronology","id":"ITEM-1","issued":{"date-parts":[["2015","8","1"]]},"page":"80-96","publisher":"Elsevier","title":"Defining a chronological framework for the Middle Stone Age in West Africa: Comparison of methods and models for OSL ages at Ounjougou (Mali)","type":"article-journal","volume":"29"},"uris":["http://www.mendeley.com/documents/?uuid=6e0018ac-ada1-3cfb-bff5-c03223816195"]},{"id":"ITEM-2","itemData":{"DOI":"10.1016/j.quaint.2017.11.027","ISSN":"10406182","abstract":"In Paleolithic settlement models for Africa, West Africa has been neglected, if not entirely ignored, due to an obvious lack of research in the region but also of the availability of reliable and precise chronostratigraphic data. However, since 1997 research conducted at Ounjougou (Mali) has significantly updated our view of the West African Middle Stone Age with the establishment of the first archaeological and chronostratigraphic sequence and use of a comprehensive geomorphological approach. This site complex has provided most of the data for MIS 5 to 3, but in order to document MIS 2, one must turn to the Falémé Valley (Senegal), where data is now available from research conducted since 2011. Complemented with other scattered data from West Africa, it is now possible to propose a nearly continuous techno-cultural history for the Upper Pleistocene, supplemented by substantive evidence from the Early Holocene. We can now demonstrate significant diversity in lithic production systems, the probable times of their appearance and disappearance, and their very rapid rate of change. The Middle Stone Age in West Africa thus reflects a unique techno-cultural mosaic and technological history, very different from that observed in the Sahara and North Africa.","author":[{"dropping-particle":"","family":"Chevrier","given":"B.","non-dropping-particle":"","parse-names":false,"suffix":""},{"dropping-particle":"","family":"Huysecom","given":"","non-dropping-particle":"","parse-names":false,"suffix":""},{"dropping-particle":"","family":"Soriano","given":"S.","non-dropping-particle":"","parse-names":false,"suffix":""},{"dropping-particle":"","family":"Rasse","given":"M.","non-dropping-particle":"","parse-names":false,"suffix":""},{"dropping-particle":"","family":"Lespez","given":"L.","non-dropping-particle":"","parse-names":false,"suffix":""},{"dropping-particle":"","family":"Lebrun","given":"B.","non-dropping-particle":"","parse-names":false,"suffix":""},{"dropping-particle":"","family":"Tribolo","given":"C.","non-dropping-particle":"","parse-names":false,"suffix":""}],"container-title":"Quaternary International","id":"ITEM-2","issued":{"date-parts":[["2018","2","1"]]},"page":"3-22","publisher":"Elsevier Ltd","title":"Between continuity and discontinuity: An overview of the West African Paleolithic over the last 200,000 years","type":"article-journal","volume":"466"},"uris":["http://www.mendeley.com/documents/?uuid=f3fd0315-f220-3e0e-8371-72e81fea01f8"]}],"mendeley":{"formattedCitation":"&lt;sup&gt;153,154&lt;/sup&gt;","plainTextFormattedCitation":"153,154","previouslyFormattedCitation":"&lt;sup&gt;153,154&lt;/sup&gt;"},"properties":{"noteIndex":0},"schema":"https://github.com/citation-style-language/schema/raw/master/csl-citation.json"}</w:instrText>
            </w:r>
            <w:r w:rsidRPr="005F44EF">
              <w:rPr>
                <w:rFonts w:ascii="Times New Roman" w:eastAsia="Times New Roman" w:hAnsi="Times New Roman" w:cs="Times New Roman"/>
                <w:sz w:val="16"/>
                <w:szCs w:val="16"/>
                <w:lang w:val="es-ES"/>
              </w:rPr>
              <w:fldChar w:fldCharType="separate"/>
            </w:r>
            <w:r w:rsidR="00C212A1" w:rsidRPr="00C212A1">
              <w:rPr>
                <w:rFonts w:ascii="Times New Roman" w:eastAsia="Times New Roman" w:hAnsi="Times New Roman" w:cs="Times New Roman"/>
                <w:noProof/>
                <w:sz w:val="16"/>
                <w:szCs w:val="16"/>
                <w:vertAlign w:val="superscript"/>
                <w:lang w:val="es-ES"/>
              </w:rPr>
              <w:t>153,154</w:t>
            </w:r>
            <w:r w:rsidRPr="005F44EF">
              <w:rPr>
                <w:rFonts w:ascii="Times New Roman" w:eastAsia="Times New Roman" w:hAnsi="Times New Roman" w:cs="Times New Roman"/>
                <w:sz w:val="16"/>
                <w:szCs w:val="16"/>
                <w:lang w:val="es-ES"/>
              </w:rPr>
              <w:fldChar w:fldCharType="end"/>
            </w:r>
          </w:p>
        </w:tc>
      </w:tr>
      <w:tr w:rsidR="00886415" w:rsidRPr="005F44EF" w14:paraId="3867BDCE" w14:textId="77777777" w:rsidTr="003C6FBD">
        <w:trPr>
          <w:trHeight w:val="311"/>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B24E578" w14:textId="77777777" w:rsidR="00886415" w:rsidRPr="005F44EF" w:rsidRDefault="00886415" w:rsidP="00886415">
            <w:pPr>
              <w:spacing w:after="0" w:line="276" w:lineRule="auto"/>
              <w:jc w:val="both"/>
              <w:rPr>
                <w:rFonts w:ascii="Times New Roman" w:eastAsia="Times New Roman" w:hAnsi="Times New Roman" w:cs="Times New Roman"/>
                <w:b/>
                <w:sz w:val="24"/>
                <w:szCs w:val="24"/>
                <w:lang w:val="es-ES"/>
              </w:rPr>
            </w:pPr>
          </w:p>
        </w:tc>
        <w:tc>
          <w:tcPr>
            <w:tcW w:w="116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183FC04"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Mali</w:t>
            </w:r>
          </w:p>
        </w:tc>
        <w:tc>
          <w:tcPr>
            <w:tcW w:w="100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F6813FA"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roofErr w:type="spellStart"/>
            <w:r w:rsidRPr="005F44EF">
              <w:rPr>
                <w:rFonts w:ascii="Times New Roman" w:eastAsia="Times New Roman" w:hAnsi="Times New Roman" w:cs="Times New Roman"/>
                <w:color w:val="2E2E2E"/>
                <w:sz w:val="16"/>
                <w:szCs w:val="16"/>
                <w:lang w:val="es-ES"/>
              </w:rPr>
              <w:t>Yawa</w:t>
            </w:r>
            <w:proofErr w:type="spellEnd"/>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6D30E39"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Songona 1</w:t>
            </w: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9D58796"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F3A</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FBF481B" w14:textId="1A962A19"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83DF9A4"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44 ± 4</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C9EED81" w14:textId="0DD9D2C2"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80A6167" w14:textId="78770F80"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14789B5" w14:textId="0A9A9618"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07A9DB3" w14:textId="677CBC1B"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B00B7AB" w14:textId="37494A26"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592D438"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3</w:t>
            </w:r>
          </w:p>
        </w:tc>
        <w:tc>
          <w:tcPr>
            <w:tcW w:w="90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CE42B8E" w14:textId="22D23B2D" w:rsidR="00886415" w:rsidRPr="005F44EF" w:rsidRDefault="00886415" w:rsidP="00886415">
            <w:pPr>
              <w:spacing w:before="240" w:after="0" w:line="276" w:lineRule="auto"/>
              <w:rPr>
                <w:rFonts w:ascii="Times New Roman" w:eastAsia="Times New Roman" w:hAnsi="Times New Roman" w:cs="Times New Roman"/>
                <w:sz w:val="16"/>
                <w:szCs w:val="16"/>
                <w:lang w:val="es-ES"/>
              </w:rPr>
            </w:pPr>
            <w:r w:rsidRPr="005F44EF">
              <w:rPr>
                <w:rFonts w:ascii="Times New Roman" w:eastAsia="Times New Roman" w:hAnsi="Times New Roman" w:cs="Times New Roman"/>
                <w:sz w:val="16"/>
                <w:szCs w:val="16"/>
                <w:lang w:val="es-ES"/>
              </w:rPr>
              <w:fldChar w:fldCharType="begin" w:fldLock="1"/>
            </w:r>
            <w:r w:rsidR="00614E13">
              <w:rPr>
                <w:rFonts w:ascii="Times New Roman" w:eastAsia="Times New Roman" w:hAnsi="Times New Roman" w:cs="Times New Roman"/>
                <w:sz w:val="16"/>
                <w:szCs w:val="16"/>
                <w:lang w:val="es-ES"/>
              </w:rPr>
              <w:instrText>ADDIN CSL_CITATION {"citationItems":[{"id":"ITEM-1","itemData":{"DOI":"10.4000/QUATERNAIRE.6163","ISSN":"1965-0795","abstract":"Les formations pléistocènes situées au pied de la « falaise » de Bandiagara (pays Dogon, Mali) n’ont jamais fait l’objet de datations précises. Cet escarpement, un « glint » développé dans les grès conglomératiques du Précambrien reposant en discordance sur le socle birrimien, constitue un obstacle majeur propice à la fois aux accumulations éoliennes récurrentes et, par les écoulements issus du plateau gréseux en saisons des pluies, à leurs remaniements successifs. Différentes campagnes de recherches géomorphologiques et préhistoriques ont permis de mettre en valeur le potentiel stratigraphique et archéologique de ces sédiments sableux du Pléistocène supérieur. Le cadre chronologique absolu, établi ici par la méthode OSL, est confronté aux connaissances tirées des sédiments de la vallée du Yamé (site d’Ounjougou) et aux courbes paléoclimatiques globales. Au-dessus d’une formation sableuse indurée F1 antérieure à 90 ka, se déposent, surtout pendant les stades isotopiques marins (MIS) 4 et 3 (entre 85 et 30 ka), les formations F2 et F3 qui témoignent de conditions paléoenvironnementales favorables à la fois à l’apport de sables éoliens et à leur remaniement local. Du strict point de vue stratigraphique et au pied de l’escarpement, un hiatus est reconnu durant la période 30-7 ka ; il correspond pro parte au dernier maximum aride. Les informations archéologiques sont également replacées dans leur contexte régional. Elles s'intègrent sans difficulté au panorama du Paléolithique moyen régional tel que nous l'avons documenté à partir des travaux menés dans la vallée du Yamé sur le plateau gréseux (site d’Ounjougou).","author":[{"dropping-particle":"","family":"Rasse","given":"Michel","non-dropping-particle":"","parse-names":false,"suffix":""},{"dropping-particle":"","family":"Tribolo","given":"Chantal","non-dropping-particle":"","parse-names":false,"suffix":""},{"dropping-particle":"","family":"Soriano","given":"Sylvain","non-dropping-particle":"","parse-names":false,"suffix":""},{"dropping-particle":"","family":"Huysecom","given":"Eric","non-dropping-particle":"","parse-names":false,"suffix":""}],"container-title":"http://journals.openedition.org/quaternaire","id":"ITEM-1","issue":"vol. 23/1","issued":{"date-parts":[["2012","3","1"]]},"page":"5-23","publisher":"Association Française pour l’Étude du Quaternaire","title":"Premières données chronostratigraphiques sur les formations du Pléistocène supérieur de la « falaise » de Bandiagara (Mali, Afrique de l’Ouest)","type":"article-journal","volume":"23"},"uris":["http://www.mendeley.com/documents/?uuid=043f8c7e-cc02-31aa-a3f1-8b23f156ca10"]},{"id":"ITEM-2","itemData":{"DOI":"10.1016/j.quaint.2017.11.027","ISSN":"10406182","abstract":"In Paleolithic settlement models for Africa, West Africa has been neglected, if not entirely ignored, due to an obvious lack of research in the region but also of the availability of reliable and precise chronostratigraphic data. However, since 1997 research conducted at Ounjougou (Mali) has significantly updated our view of the West African Middle Stone Age with the establishment of the first archaeological and chronostratigraphic sequence and use of a comprehensive geomorphological approach. This site complex has provided most of the data for MIS 5 to 3, but in order to document MIS 2, one must turn to the Falémé Valley (Senegal), where data is now available from research conducted since 2011. Complemented with other scattered data from West Africa, it is now possible to propose a nearly continuous techno-cultural history for the Upper Pleistocene, supplemented by substantive evidence from the Early Holocene. We can now demonstrate significant diversity in lithic production systems, the probable times of their appearance and disappearance, and their very rapid rate of change. The Middle Stone Age in West Africa thus reflects a unique techno-cultural mosaic and technological history, very different from that observed in the Sahara and North Africa.","author":[{"dropping-particle":"","family":"Chevrier","given":"B.","non-dropping-particle":"","parse-names":false,"suffix":""},{"dropping-particle":"","family":"Huysecom","given":"","non-dropping-particle":"","parse-names":false,"suffix":""},{"dropping-particle":"","family":"Soriano","given":"S.","non-dropping-particle":"","parse-names":false,"suffix":""},{"dropping-particle":"","family":"Rasse","given":"M.","non-dropping-particle":"","parse-names":false,"suffix":""},{"dropping-particle":"","family":"Lespez","given":"L.","non-dropping-particle":"","parse-names":false,"suffix":""},{"dropping-particle":"","family":"Lebrun","given":"B.","non-dropping-particle":"","parse-names":false,"suffix":""},{"dropping-particle":"","family":"Tribolo","given":"C.","non-dropping-particle":"","parse-names":false,"suffix":""}],"container-title":"Quaternary International","id":"ITEM-2","issued":{"date-parts":[["2018","2","1"]]},"page":"3-22","publisher":"Elsevier Ltd","title":"Between continuity and discontinuity: An overview of the West African Paleolithic over the last 200,000 years","type":"article-journal","volume":"466"},"uris":["http://www.mendeley.com/documents/?uuid=f3fd0315-f220-3e0e-8371-72e81fea01f8"]}],"mendeley":{"formattedCitation":"&lt;sup&gt;154,155&lt;/sup&gt;","plainTextFormattedCitation":"154,155","previouslyFormattedCitation":"&lt;sup&gt;154,155&lt;/sup&gt;"},"properties":{"noteIndex":0},"schema":"https://github.com/citation-style-language/schema/raw/master/csl-citation.json"}</w:instrText>
            </w:r>
            <w:r w:rsidRPr="005F44EF">
              <w:rPr>
                <w:rFonts w:ascii="Times New Roman" w:eastAsia="Times New Roman" w:hAnsi="Times New Roman" w:cs="Times New Roman"/>
                <w:sz w:val="16"/>
                <w:szCs w:val="16"/>
                <w:lang w:val="es-ES"/>
              </w:rPr>
              <w:fldChar w:fldCharType="separate"/>
            </w:r>
            <w:r w:rsidR="00C212A1" w:rsidRPr="00C212A1">
              <w:rPr>
                <w:rFonts w:ascii="Times New Roman" w:eastAsia="Times New Roman" w:hAnsi="Times New Roman" w:cs="Times New Roman"/>
                <w:noProof/>
                <w:sz w:val="16"/>
                <w:szCs w:val="16"/>
                <w:vertAlign w:val="superscript"/>
                <w:lang w:val="es-ES"/>
              </w:rPr>
              <w:t>154,155</w:t>
            </w:r>
            <w:r w:rsidRPr="005F44EF">
              <w:rPr>
                <w:rFonts w:ascii="Times New Roman" w:eastAsia="Times New Roman" w:hAnsi="Times New Roman" w:cs="Times New Roman"/>
                <w:sz w:val="16"/>
                <w:szCs w:val="16"/>
                <w:lang w:val="es-ES"/>
              </w:rPr>
              <w:fldChar w:fldCharType="end"/>
            </w:r>
          </w:p>
        </w:tc>
      </w:tr>
      <w:tr w:rsidR="00886415" w:rsidRPr="005F44EF" w14:paraId="575C038C" w14:textId="77777777" w:rsidTr="003C6FBD">
        <w:trPr>
          <w:trHeight w:val="462"/>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EE94BCB" w14:textId="77777777" w:rsidR="00886415" w:rsidRPr="005F44EF" w:rsidRDefault="00886415" w:rsidP="00886415">
            <w:pPr>
              <w:spacing w:after="0" w:line="276" w:lineRule="auto"/>
              <w:jc w:val="both"/>
              <w:rPr>
                <w:rFonts w:ascii="Times New Roman" w:eastAsia="Times New Roman" w:hAnsi="Times New Roman" w:cs="Times New Roman"/>
                <w:b/>
                <w:sz w:val="24"/>
                <w:szCs w:val="24"/>
                <w:lang w:val="es-ES"/>
              </w:rPr>
            </w:pPr>
          </w:p>
        </w:tc>
        <w:tc>
          <w:tcPr>
            <w:tcW w:w="1164"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70DA148"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Mali</w:t>
            </w:r>
          </w:p>
        </w:tc>
        <w:tc>
          <w:tcPr>
            <w:tcW w:w="1009"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0F12EC8"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Dogon</w:t>
            </w:r>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F9C9082"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roofErr w:type="spellStart"/>
            <w:r w:rsidRPr="005F44EF">
              <w:rPr>
                <w:rFonts w:ascii="Times New Roman" w:eastAsia="Times New Roman" w:hAnsi="Times New Roman" w:cs="Times New Roman"/>
                <w:color w:val="2E2E2E"/>
                <w:sz w:val="16"/>
                <w:szCs w:val="16"/>
                <w:lang w:val="es-ES"/>
              </w:rPr>
              <w:t>Draperies</w:t>
            </w:r>
            <w:proofErr w:type="spellEnd"/>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460D3F9"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U5</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1B0BDF8"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43 ± 5</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47483A5"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43 ± 5</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4EB45C2" w14:textId="11AE74B1"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0DFF4C6" w14:textId="6CBF5874"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ABE2CD7" w14:textId="03B15627"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CCB16F0" w14:textId="4542BAF5"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63BBF11" w14:textId="2C0B29F6"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D1DCCC3"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3</w:t>
            </w:r>
          </w:p>
        </w:tc>
        <w:tc>
          <w:tcPr>
            <w:tcW w:w="90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B4529A8" w14:textId="504B23A2" w:rsidR="00886415" w:rsidRPr="005F44EF" w:rsidRDefault="00886415" w:rsidP="00886415">
            <w:pPr>
              <w:spacing w:before="240" w:after="0" w:line="276" w:lineRule="auto"/>
              <w:rPr>
                <w:rFonts w:ascii="Times New Roman" w:eastAsia="Times New Roman" w:hAnsi="Times New Roman" w:cs="Times New Roman"/>
                <w:sz w:val="16"/>
                <w:szCs w:val="16"/>
                <w:lang w:val="es-ES"/>
              </w:rPr>
            </w:pPr>
            <w:r w:rsidRPr="005F44EF">
              <w:rPr>
                <w:rFonts w:ascii="Times New Roman" w:eastAsia="Times New Roman" w:hAnsi="Times New Roman" w:cs="Times New Roman"/>
                <w:sz w:val="16"/>
                <w:szCs w:val="16"/>
                <w:lang w:val="es-ES"/>
              </w:rPr>
              <w:fldChar w:fldCharType="begin" w:fldLock="1"/>
            </w:r>
            <w:r w:rsidR="00614E13">
              <w:rPr>
                <w:rFonts w:ascii="Times New Roman" w:eastAsia="Times New Roman" w:hAnsi="Times New Roman" w:cs="Times New Roman"/>
                <w:sz w:val="16"/>
                <w:szCs w:val="16"/>
                <w:lang w:val="es-ES"/>
              </w:rPr>
              <w:instrText>ADDIN CSL_CITATION {"citationItems":[{"id":"ITEM-1","itemData":{"author":[{"dropping-particle":"","family":"Soriano","given":"S","non-dropping-particle":"","parse-names":false,"suffix":""},{"dropping-particle":"","family":"Rasse","given":"M","non-dropping-particle":"","parse-names":false,"suffix":""},{"dropping-particle":"","family":"Tribolo","given":"C","non-dropping-particle":"","parse-names":false,"suffix":""},{"dropping-particle":"","family":"Huysecom","given":"E","non-dropping-particle":"","parse-names":false,"suffix":""}],"container-title":"West African Archaeology. New Developments, New Perspectives","editor":[{"dropping-particle":"","family":"Allsworth-Jones","given":"P.","non-dropping-particle":"","parse-names":false,"suffix":""}],"id":"ITEM-1","issued":{"date-parts":[["2010"]]},"page":"1-14","publisher":"Archaeopress","publisher-place":"Oxford","title":"Ounjougou: A long Middle Stone Age sequence in the Dogon country (Mali)","type":"paper-conference"},"uris":["http://www.mendeley.com/documents/?uuid=7ff257ec-98f1-3f89-9f0f-3ceb58478e2c"]},{"id":"ITEM-2","itemData":{"DOI":"10.1016/j.quageo.2015.05.013","ISSN":"18711014","abstract":"Ounjougou is the name of a large complex of archaeological sites, that were extensively studied between 1997 and 2008 by the international team of the \". Human settlement and palaeoenvironment in West Africa\" project. This complex is important because well stratified Palaeolithic sites in West Africa are rare, and because it covers a long period of time (most of the Upper Pleistocene and Holocene) and exhibits a wide set of technical cultures. Therefore, for the first time it is possible to propose a chronological framework for the human settlement in this region that can be related to other technical cultures in Africa and to palaeoenvironmental data.The purpose of this paper is to present the OSL dating results obtained from 57 sediment samples that led to this framework. Measurements were first performed between 2004 and 2006 in Oxford (School of Geography), using micro-aliquots (2-10 grains) OSL and ICP-MS for determination of equivalent doses and beta-dose rates, respectively (gamma dose rates being deduced from field gamma spectrometry). More recently, new measurements were done on 28 samples of this former set at the IRAMAT-CRP2A laboratory in Bordeaux, where \"true\" single quartz grain OSL and high resolution gamma spectrometry measurements were performed. Both sets of results are, for all but two samples, statistically consistent with each other. A consistent chrono-stratigraphic framework can thus be deduced, covering the Upper Pleistocene. It suggests that the region was regularly visited during this time interval and more particularly during Marine Isotope Stage 3, when groups with different technical cultures followed each other relatively rapidly.","author":[{"dropping-particle":"","family":"Tribolo","given":"C.","non-dropping-particle":"","parse-names":false,"suffix":""},{"dropping-particle":"","family":"Rasse","given":"M.","non-dropping-particle":"","parse-names":false,"suffix":""},{"dropping-particle":"","family":"Soriano","given":"S.","non-dropping-particle":"","parse-names":false,"suffix":""},{"dropping-particle":"","family":"Huysecom","given":"E.","non-dropping-particle":"","parse-names":false,"suffix":""}],"container-title":"Quaternary Geochronology","id":"ITEM-2","issued":{"date-parts":[["2015","8","1"]]},"page":"80-96","publisher":"Elsevier","title":"Defining a chronological framework for the Middle Stone Age in West Africa: Comparison of methods and models for OSL ages at Ounjougou (Mali)","type":"article-journal","volume":"29"},"uris":["http://www.mendeley.com/documents/?uuid=6e0018ac-ada1-3cfb-bff5-c03223816195"]}],"mendeley":{"formattedCitation":"&lt;sup&gt;152,153&lt;/sup&gt;","plainTextFormattedCitation":"152,153","previouslyFormattedCitation":"&lt;sup&gt;152,153&lt;/sup&gt;"},"properties":{"noteIndex":0},"schema":"https://github.com/citation-style-language/schema/raw/master/csl-citation.json"}</w:instrText>
            </w:r>
            <w:r w:rsidRPr="005F44EF">
              <w:rPr>
                <w:rFonts w:ascii="Times New Roman" w:eastAsia="Times New Roman" w:hAnsi="Times New Roman" w:cs="Times New Roman"/>
                <w:sz w:val="16"/>
                <w:szCs w:val="16"/>
                <w:lang w:val="es-ES"/>
              </w:rPr>
              <w:fldChar w:fldCharType="separate"/>
            </w:r>
            <w:r w:rsidR="00C212A1" w:rsidRPr="00C212A1">
              <w:rPr>
                <w:rFonts w:ascii="Times New Roman" w:eastAsia="Times New Roman" w:hAnsi="Times New Roman" w:cs="Times New Roman"/>
                <w:noProof/>
                <w:sz w:val="16"/>
                <w:szCs w:val="16"/>
                <w:vertAlign w:val="superscript"/>
                <w:lang w:val="es-ES"/>
              </w:rPr>
              <w:t>152,153</w:t>
            </w:r>
            <w:r w:rsidRPr="005F44EF">
              <w:rPr>
                <w:rFonts w:ascii="Times New Roman" w:eastAsia="Times New Roman" w:hAnsi="Times New Roman" w:cs="Times New Roman"/>
                <w:sz w:val="16"/>
                <w:szCs w:val="16"/>
                <w:lang w:val="es-ES"/>
              </w:rPr>
              <w:fldChar w:fldCharType="end"/>
            </w:r>
          </w:p>
        </w:tc>
      </w:tr>
      <w:tr w:rsidR="00886415" w:rsidRPr="005F44EF" w14:paraId="21054587" w14:textId="77777777" w:rsidTr="003C6FBD">
        <w:trPr>
          <w:trHeight w:val="332"/>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000F2E5" w14:textId="77777777" w:rsidR="00886415" w:rsidRPr="005F44EF" w:rsidRDefault="00886415" w:rsidP="00886415">
            <w:pPr>
              <w:spacing w:after="0" w:line="276" w:lineRule="auto"/>
              <w:jc w:val="both"/>
              <w:rPr>
                <w:rFonts w:ascii="Times New Roman" w:eastAsia="Times New Roman" w:hAnsi="Times New Roman" w:cs="Times New Roman"/>
                <w:b/>
                <w:sz w:val="24"/>
                <w:szCs w:val="24"/>
                <w:lang w:val="es-ES"/>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3F72F749"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388578EC"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37CCF59"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 xml:space="preserve">Oumounaama </w:t>
            </w:r>
            <w:proofErr w:type="spellStart"/>
            <w:r w:rsidRPr="005F44EF">
              <w:rPr>
                <w:rFonts w:ascii="Times New Roman" w:eastAsia="Times New Roman" w:hAnsi="Times New Roman" w:cs="Times New Roman"/>
                <w:color w:val="2E2E2E"/>
                <w:sz w:val="16"/>
                <w:szCs w:val="16"/>
                <w:lang w:val="es-ES"/>
              </w:rPr>
              <w:t>butte</w:t>
            </w:r>
            <w:proofErr w:type="spellEnd"/>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62B6C77"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U6</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AECD0B3"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41 ± 6</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A0F10BD"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43 ± 6</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F01CE7D" w14:textId="43559DDB"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35B9B95" w14:textId="4695AC15"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C6C5481" w14:textId="76F76D14"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2F2CD9B" w14:textId="0D209519"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7C666CA" w14:textId="3604AB3C"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161FEB1"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3</w:t>
            </w:r>
          </w:p>
        </w:tc>
        <w:tc>
          <w:tcPr>
            <w:tcW w:w="90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774A5B2" w14:textId="57869CCF" w:rsidR="00886415" w:rsidRPr="005F44EF" w:rsidRDefault="00886415" w:rsidP="00886415">
            <w:pPr>
              <w:spacing w:before="240" w:after="0" w:line="276" w:lineRule="auto"/>
              <w:rPr>
                <w:rFonts w:ascii="Times New Roman" w:eastAsia="Times New Roman" w:hAnsi="Times New Roman" w:cs="Times New Roman"/>
                <w:sz w:val="16"/>
                <w:szCs w:val="16"/>
                <w:lang w:val="es-ES"/>
              </w:rPr>
            </w:pPr>
            <w:r w:rsidRPr="005F44EF">
              <w:rPr>
                <w:rFonts w:ascii="Times New Roman" w:eastAsia="Times New Roman" w:hAnsi="Times New Roman" w:cs="Times New Roman"/>
                <w:sz w:val="16"/>
                <w:szCs w:val="16"/>
                <w:lang w:val="es-ES"/>
              </w:rPr>
              <w:fldChar w:fldCharType="begin" w:fldLock="1"/>
            </w:r>
            <w:r w:rsidR="00614E13">
              <w:rPr>
                <w:rFonts w:ascii="Times New Roman" w:eastAsia="Times New Roman" w:hAnsi="Times New Roman" w:cs="Times New Roman"/>
                <w:sz w:val="16"/>
                <w:szCs w:val="16"/>
                <w:lang w:val="es-ES"/>
              </w:rPr>
              <w:instrText>ADDIN CSL_CITATION {"citationItems":[{"id":"ITEM-1","itemData":{"DOI":"10.1016/j.quageo.2015.05.013","ISSN":"18711014","abstract":"Ounjougou is the name of a large complex of archaeological sites, that were extensively studied between 1997 and 2008 by the international team of the \". Human settlement and palaeoenvironment in West Africa\" project. This complex is important because well stratified Palaeolithic sites in West Africa are rare, and because it covers a long period of time (most of the Upper Pleistocene and Holocene) and exhibits a wide set of technical cultures. Therefore, for the first time it is possible to propose a chronological framework for the human settlement in this region that can be related to other technical cultures in Africa and to palaeoenvironmental data.The purpose of this paper is to present the OSL dating results obtained from 57 sediment samples that led to this framework. Measurements were first performed between 2004 and 2006 in Oxford (School of Geography), using micro-aliquots (2-10 grains) OSL and ICP-MS for determination of equivalent doses and beta-dose rates, respectively (gamma dose rates being deduced from field gamma spectrometry). More recently, new measurements were done on 28 samples of this former set at the IRAMAT-CRP2A laboratory in Bordeaux, where \"true\" single quartz grain OSL and high resolution gamma spectrometry measurements were performed. Both sets of results are, for all but two samples, statistically consistent with each other. A consistent chrono-stratigraphic framework can thus be deduced, covering the Upper Pleistocene. It suggests that the region was regularly visited during this time interval and more particularly during Marine Isotope Stage 3, when groups with different technical cultures followed each other relatively rapidly.","author":[{"dropping-particle":"","family":"Tribolo","given":"C.","non-dropping-particle":"","parse-names":false,"suffix":""},{"dropping-particle":"","family":"Rasse","given":"M.","non-dropping-particle":"","parse-names":false,"suffix":""},{"dropping-particle":"","family":"Soriano","given":"S.","non-dropping-particle":"","parse-names":false,"suffix":""},{"dropping-particle":"","family":"Huysecom","given":"E.","non-dropping-particle":"","parse-names":false,"suffix":""}],"container-title":"Quaternary Geochronology","id":"ITEM-1","issued":{"date-parts":[["2015","8","1"]]},"page":"80-96","publisher":"Elsevier","title":"Defining a chronological framework for the Middle Stone Age in West Africa: Comparison of methods and models for OSL ages at Ounjougou (Mali)","type":"article-journal","volume":"29"},"uris":["http://www.mendeley.com/documents/?uuid=6e0018ac-ada1-3cfb-bff5-c03223816195"]},{"id":"ITEM-2","itemData":{"DOI":"10.1016/j.quaint.2017.11.027","ISSN":"10406182","abstract":"In Paleolithic settlement models for Africa, West Africa has been neglected, if not entirely ignored, due to an obvious lack of research in the region but also of the availability of reliable and precise chronostratigraphic data. However, since 1997 research conducted at Ounjougou (Mali) has significantly updated our view of the West African Middle Stone Age with the establishment of the first archaeological and chronostratigraphic sequence and use of a comprehensive geomorphological approach. This site complex has provided most of the data for MIS 5 to 3, but in order to document MIS 2, one must turn to the Falémé Valley (Senegal), where data is now available from research conducted since 2011. Complemented with other scattered data from West Africa, it is now possible to propose a nearly continuous techno-cultural history for the Upper Pleistocene, supplemented by substantive evidence from the Early Holocene. We can now demonstrate significant diversity in lithic production systems, the probable times of their appearance and disappearance, and their very rapid rate of change. The Middle Stone Age in West Africa thus reflects a unique techno-cultural mosaic and technological history, very different from that observed in the Sahara and North Africa.","author":[{"dropping-particle":"","family":"Chevrier","given":"B.","non-dropping-particle":"","parse-names":false,"suffix":""},{"dropping-particle":"","family":"Huysecom","given":"","non-dropping-particle":"","parse-names":false,"suffix":""},{"dropping-particle":"","family":"Soriano","given":"S.","non-dropping-particle":"","parse-names":false,"suffix":""},{"dropping-particle":"","family":"Rasse","given":"M.","non-dropping-particle":"","parse-names":false,"suffix":""},{"dropping-particle":"","family":"Lespez","given":"L.","non-dropping-particle":"","parse-names":false,"suffix":""},{"dropping-particle":"","family":"Lebrun","given":"B.","non-dropping-particle":"","parse-names":false,"suffix":""},{"dropping-particle":"","family":"Tribolo","given":"C.","non-dropping-particle":"","parse-names":false,"suffix":""}],"container-title":"Quaternary International","id":"ITEM-2","issued":{"date-parts":[["2018","2","1"]]},"page":"3-22","publisher":"Elsevier Ltd","title":"Between continuity and discontinuity: An overview of the West African Paleolithic over the last 200,000 years","type":"article-journal","volume":"466"},"uris":["http://www.mendeley.com/documents/?uuid=f3fd0315-f220-3e0e-8371-72e81fea01f8"]}],"mendeley":{"formattedCitation":"&lt;sup&gt;153,154&lt;/sup&gt;","plainTextFormattedCitation":"153,154","previouslyFormattedCitation":"&lt;sup&gt;153,154&lt;/sup&gt;"},"properties":{"noteIndex":0},"schema":"https://github.com/citation-style-language/schema/raw/master/csl-citation.json"}</w:instrText>
            </w:r>
            <w:r w:rsidRPr="005F44EF">
              <w:rPr>
                <w:rFonts w:ascii="Times New Roman" w:eastAsia="Times New Roman" w:hAnsi="Times New Roman" w:cs="Times New Roman"/>
                <w:sz w:val="16"/>
                <w:szCs w:val="16"/>
                <w:lang w:val="es-ES"/>
              </w:rPr>
              <w:fldChar w:fldCharType="separate"/>
            </w:r>
            <w:r w:rsidR="00C212A1" w:rsidRPr="00C212A1">
              <w:rPr>
                <w:rFonts w:ascii="Times New Roman" w:eastAsia="Times New Roman" w:hAnsi="Times New Roman" w:cs="Times New Roman"/>
                <w:noProof/>
                <w:sz w:val="16"/>
                <w:szCs w:val="16"/>
                <w:vertAlign w:val="superscript"/>
                <w:lang w:val="es-ES"/>
              </w:rPr>
              <w:t>153,154</w:t>
            </w:r>
            <w:r w:rsidRPr="005F44EF">
              <w:rPr>
                <w:rFonts w:ascii="Times New Roman" w:eastAsia="Times New Roman" w:hAnsi="Times New Roman" w:cs="Times New Roman"/>
                <w:sz w:val="16"/>
                <w:szCs w:val="16"/>
                <w:lang w:val="es-ES"/>
              </w:rPr>
              <w:fldChar w:fldCharType="end"/>
            </w:r>
          </w:p>
        </w:tc>
      </w:tr>
      <w:tr w:rsidR="00886415" w:rsidRPr="005F44EF" w14:paraId="6EDE019E" w14:textId="77777777" w:rsidTr="003C6FBD">
        <w:trPr>
          <w:trHeight w:val="311"/>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24917CB" w14:textId="77777777" w:rsidR="00886415" w:rsidRPr="005F44EF" w:rsidRDefault="00886415" w:rsidP="00886415">
            <w:pPr>
              <w:spacing w:after="0" w:line="276" w:lineRule="auto"/>
              <w:jc w:val="both"/>
              <w:rPr>
                <w:rFonts w:ascii="Times New Roman" w:eastAsia="Times New Roman" w:hAnsi="Times New Roman" w:cs="Times New Roman"/>
                <w:b/>
                <w:sz w:val="24"/>
                <w:szCs w:val="24"/>
                <w:lang w:val="es-ES"/>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2922B917"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342361E0"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C6EA2E5"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 xml:space="preserve">Oumounaama </w:t>
            </w:r>
            <w:proofErr w:type="spellStart"/>
            <w:r w:rsidRPr="005F44EF">
              <w:rPr>
                <w:rFonts w:ascii="Times New Roman" w:eastAsia="Times New Roman" w:hAnsi="Times New Roman" w:cs="Times New Roman"/>
                <w:color w:val="2E2E2E"/>
                <w:sz w:val="16"/>
                <w:szCs w:val="16"/>
                <w:lang w:val="es-ES"/>
              </w:rPr>
              <w:t>Px</w:t>
            </w:r>
            <w:proofErr w:type="spellEnd"/>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B6C00D6"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U5</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968DCD3"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40 ± 3; 33 ± 3</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6EC3E48"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40 ± 3;39 ± 3</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01E0968" w14:textId="6C29FDC0"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B5B8591" w14:textId="21F8B09A"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11FDAA7" w14:textId="5C9BD58A"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E140BC3" w14:textId="615C07EA"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214228A" w14:textId="22A894B8"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97DD4CA"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3</w:t>
            </w:r>
          </w:p>
        </w:tc>
        <w:tc>
          <w:tcPr>
            <w:tcW w:w="90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B58F5E5" w14:textId="39C33ABC" w:rsidR="00886415" w:rsidRPr="005F44EF" w:rsidRDefault="00886415" w:rsidP="00886415">
            <w:pPr>
              <w:spacing w:before="240" w:after="0" w:line="276" w:lineRule="auto"/>
              <w:rPr>
                <w:rFonts w:ascii="Times New Roman" w:eastAsia="Times New Roman" w:hAnsi="Times New Roman" w:cs="Times New Roman"/>
                <w:sz w:val="16"/>
                <w:szCs w:val="16"/>
                <w:lang w:val="es-ES"/>
              </w:rPr>
            </w:pPr>
            <w:r w:rsidRPr="005F44EF">
              <w:rPr>
                <w:rFonts w:ascii="Times New Roman" w:eastAsia="Times New Roman" w:hAnsi="Times New Roman" w:cs="Times New Roman"/>
                <w:sz w:val="16"/>
                <w:szCs w:val="16"/>
                <w:lang w:val="es-ES"/>
              </w:rPr>
              <w:fldChar w:fldCharType="begin" w:fldLock="1"/>
            </w:r>
            <w:r w:rsidR="00614E13">
              <w:rPr>
                <w:rFonts w:ascii="Times New Roman" w:eastAsia="Times New Roman" w:hAnsi="Times New Roman" w:cs="Times New Roman"/>
                <w:sz w:val="16"/>
                <w:szCs w:val="16"/>
                <w:lang w:val="es-ES"/>
              </w:rPr>
              <w:instrText>ADDIN CSL_CITATION {"citationItems":[{"id":"ITEM-1","itemData":{"DOI":"10.1016/j.quageo.2015.05.013","ISSN":"18711014","abstract":"Ounjougou is the name of a large complex of archaeological sites, that were extensively studied between 1997 and 2008 by the international team of the \". Human settlement and palaeoenvironment in West Africa\" project. This complex is important because well stratified Palaeolithic sites in West Africa are rare, and because it covers a long period of time (most of the Upper Pleistocene and Holocene) and exhibits a wide set of technical cultures. Therefore, for the first time it is possible to propose a chronological framework for the human settlement in this region that can be related to other technical cultures in Africa and to palaeoenvironmental data.The purpose of this paper is to present the OSL dating results obtained from 57 sediment samples that led to this framework. Measurements were first performed between 2004 and 2006 in Oxford (School of Geography), using micro-aliquots (2-10 grains) OSL and ICP-MS for determination of equivalent doses and beta-dose rates, respectively (gamma dose rates being deduced from field gamma spectrometry). More recently, new measurements were done on 28 samples of this former set at the IRAMAT-CRP2A laboratory in Bordeaux, where \"true\" single quartz grain OSL and high resolution gamma spectrometry measurements were performed. Both sets of results are, for all but two samples, statistically consistent with each other. A consistent chrono-stratigraphic framework can thus be deduced, covering the Upper Pleistocene. It suggests that the region was regularly visited during this time interval and more particularly during Marine Isotope Stage 3, when groups with different technical cultures followed each other relatively rapidly.","author":[{"dropping-particle":"","family":"Tribolo","given":"C.","non-dropping-particle":"","parse-names":false,"suffix":""},{"dropping-particle":"","family":"Rasse","given":"M.","non-dropping-particle":"","parse-names":false,"suffix":""},{"dropping-particle":"","family":"Soriano","given":"S.","non-dropping-particle":"","parse-names":false,"suffix":""},{"dropping-particle":"","family":"Huysecom","given":"E.","non-dropping-particle":"","parse-names":false,"suffix":""}],"container-title":"Quaternary Geochronology","id":"ITEM-1","issued":{"date-parts":[["2015","8","1"]]},"page":"80-96","publisher":"Elsevier","title":"Defining a chronological framework for the Middle Stone Age in West Africa: Comparison of methods and models for OSL ages at Ounjougou (Mali)","type":"article-journal","volume":"29"},"uris":["http://www.mendeley.com/documents/?uuid=6e0018ac-ada1-3cfb-bff5-c03223816195"]},{"id":"ITEM-2","itemData":{"DOI":"10.1016/j.quaint.2017.11.027","ISSN":"10406182","abstract":"In Paleolithic settlement models for Africa, West Africa has been neglected, if not entirely ignored, due to an obvious lack of research in the region but also of the availability of reliable and precise chronostratigraphic data. However, since 1997 research conducted at Ounjougou (Mali) has significantly updated our view of the West African Middle Stone Age with the establishment of the first archaeological and chronostratigraphic sequence and use of a comprehensive geomorphological approach. This site complex has provided most of the data for MIS 5 to 3, but in order to document MIS 2, one must turn to the Falémé Valley (Senegal), where data is now available from research conducted since 2011. Complemented with other scattered data from West Africa, it is now possible to propose a nearly continuous techno-cultural history for the Upper Pleistocene, supplemented by substantive evidence from the Early Holocene. We can now demonstrate significant diversity in lithic production systems, the probable times of their appearance and disappearance, and their very rapid rate of change. The Middle Stone Age in West Africa thus reflects a unique techno-cultural mosaic and technological history, very different from that observed in the Sahara and North Africa.","author":[{"dropping-particle":"","family":"Chevrier","given":"B.","non-dropping-particle":"","parse-names":false,"suffix":""},{"dropping-particle":"","family":"Huysecom","given":"","non-dropping-particle":"","parse-names":false,"suffix":""},{"dropping-particle":"","family":"Soriano","given":"S.","non-dropping-particle":"","parse-names":false,"suffix":""},{"dropping-particle":"","family":"Rasse","given":"M.","non-dropping-particle":"","parse-names":false,"suffix":""},{"dropping-particle":"","family":"Lespez","given":"L.","non-dropping-particle":"","parse-names":false,"suffix":""},{"dropping-particle":"","family":"Lebrun","given":"B.","non-dropping-particle":"","parse-names":false,"suffix":""},{"dropping-particle":"","family":"Tribolo","given":"C.","non-dropping-particle":"","parse-names":false,"suffix":""}],"container-title":"Quaternary International","id":"ITEM-2","issued":{"date-parts":[["2018","2","1"]]},"page":"3-22","publisher":"Elsevier Ltd","title":"Between continuity and discontinuity: An overview of the West African Paleolithic over the last 200,000 years","type":"article-journal","volume":"466"},"uris":["http://www.mendeley.com/documents/?uuid=f3fd0315-f220-3e0e-8371-72e81fea01f8"]}],"mendeley":{"formattedCitation":"&lt;sup&gt;153,154&lt;/sup&gt;","plainTextFormattedCitation":"153,154","previouslyFormattedCitation":"&lt;sup&gt;153,154&lt;/sup&gt;"},"properties":{"noteIndex":0},"schema":"https://github.com/citation-style-language/schema/raw/master/csl-citation.json"}</w:instrText>
            </w:r>
            <w:r w:rsidRPr="005F44EF">
              <w:rPr>
                <w:rFonts w:ascii="Times New Roman" w:eastAsia="Times New Roman" w:hAnsi="Times New Roman" w:cs="Times New Roman"/>
                <w:sz w:val="16"/>
                <w:szCs w:val="16"/>
                <w:lang w:val="es-ES"/>
              </w:rPr>
              <w:fldChar w:fldCharType="separate"/>
            </w:r>
            <w:r w:rsidR="00C212A1" w:rsidRPr="00C212A1">
              <w:rPr>
                <w:rFonts w:ascii="Times New Roman" w:eastAsia="Times New Roman" w:hAnsi="Times New Roman" w:cs="Times New Roman"/>
                <w:noProof/>
                <w:sz w:val="16"/>
                <w:szCs w:val="16"/>
                <w:vertAlign w:val="superscript"/>
                <w:lang w:val="es-ES"/>
              </w:rPr>
              <w:t>153,154</w:t>
            </w:r>
            <w:r w:rsidRPr="005F44EF">
              <w:rPr>
                <w:rFonts w:ascii="Times New Roman" w:eastAsia="Times New Roman" w:hAnsi="Times New Roman" w:cs="Times New Roman"/>
                <w:sz w:val="16"/>
                <w:szCs w:val="16"/>
                <w:lang w:val="es-ES"/>
              </w:rPr>
              <w:fldChar w:fldCharType="end"/>
            </w:r>
          </w:p>
        </w:tc>
      </w:tr>
      <w:tr w:rsidR="00886415" w:rsidRPr="005F44EF" w14:paraId="3D73E8EC" w14:textId="77777777" w:rsidTr="003C6FBD">
        <w:trPr>
          <w:trHeight w:val="311"/>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5F109C7" w14:textId="77777777" w:rsidR="00886415" w:rsidRPr="005F44EF" w:rsidRDefault="00886415" w:rsidP="00886415">
            <w:pPr>
              <w:spacing w:after="0" w:line="276" w:lineRule="auto"/>
              <w:jc w:val="both"/>
              <w:rPr>
                <w:rFonts w:ascii="Times New Roman" w:eastAsia="Times New Roman" w:hAnsi="Times New Roman" w:cs="Times New Roman"/>
                <w:b/>
                <w:sz w:val="24"/>
                <w:szCs w:val="24"/>
                <w:lang w:val="es-ES"/>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1B10E90B"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72C904FD"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4D14E61"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roofErr w:type="spellStart"/>
            <w:r w:rsidRPr="005F44EF">
              <w:rPr>
                <w:rFonts w:ascii="Times New Roman" w:eastAsia="Times New Roman" w:hAnsi="Times New Roman" w:cs="Times New Roman"/>
                <w:color w:val="2E2E2E"/>
                <w:sz w:val="16"/>
                <w:szCs w:val="16"/>
                <w:lang w:val="es-ES"/>
              </w:rPr>
              <w:t>Orosobo</w:t>
            </w:r>
            <w:proofErr w:type="spellEnd"/>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CB8AB72"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U5</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395DD7A"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44 ± 4; 45 ± 4</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75E597A"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39 ± 3;27 ± 3</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99B7417" w14:textId="385E2239"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BC156DF" w14:textId="0E53B436"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32E6B8D" w14:textId="3C352461"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6E0BF17" w14:textId="5DC16FE2"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70F980B" w14:textId="60EE185A"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C48AACC"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3</w:t>
            </w:r>
          </w:p>
        </w:tc>
        <w:tc>
          <w:tcPr>
            <w:tcW w:w="90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ACD34EB" w14:textId="5A182BED" w:rsidR="00886415" w:rsidRPr="005F44EF" w:rsidRDefault="00886415" w:rsidP="00886415">
            <w:pPr>
              <w:spacing w:before="240" w:after="0" w:line="276" w:lineRule="auto"/>
              <w:rPr>
                <w:rFonts w:ascii="Times New Roman" w:eastAsia="Times New Roman" w:hAnsi="Times New Roman" w:cs="Times New Roman"/>
                <w:sz w:val="16"/>
                <w:szCs w:val="16"/>
                <w:lang w:val="es-ES"/>
              </w:rPr>
            </w:pPr>
            <w:r w:rsidRPr="005F44EF">
              <w:rPr>
                <w:rFonts w:ascii="Times New Roman" w:eastAsia="Times New Roman" w:hAnsi="Times New Roman" w:cs="Times New Roman"/>
                <w:sz w:val="16"/>
                <w:szCs w:val="16"/>
                <w:lang w:val="es-ES"/>
              </w:rPr>
              <w:fldChar w:fldCharType="begin" w:fldLock="1"/>
            </w:r>
            <w:r w:rsidR="00614E13">
              <w:rPr>
                <w:rFonts w:ascii="Times New Roman" w:eastAsia="Times New Roman" w:hAnsi="Times New Roman" w:cs="Times New Roman"/>
                <w:sz w:val="16"/>
                <w:szCs w:val="16"/>
                <w:lang w:val="es-ES"/>
              </w:rPr>
              <w:instrText>ADDIN CSL_CITATION {"citationItems":[{"id":"ITEM-1","itemData":{"author":[{"dropping-particle":"","family":"Soriano","given":"S","non-dropping-particle":"","parse-names":false,"suffix":""},{"dropping-particle":"","family":"Rasse","given":"M","non-dropping-particle":"","parse-names":false,"suffix":""},{"dropping-particle":"","family":"Tribolo","given":"C","non-dropping-particle":"","parse-names":false,"suffix":""},{"dropping-particle":"","family":"Huysecom","given":"E","non-dropping-particle":"","parse-names":false,"suffix":""}],"container-title":"West African Archaeology. New Developments, New Perspectives","editor":[{"dropping-particle":"","family":"Allsworth-Jones","given":"P.","non-dropping-particle":"","parse-names":false,"suffix":""}],"id":"ITEM-1","issued":{"date-parts":[["2010"]]},"page":"1-14","publisher":"Archaeopress","publisher-place":"Oxford","title":"Ounjougou: A long Middle Stone Age sequence in the Dogon country (Mali)","type":"paper-conference"},"uris":["http://www.mendeley.com/documents/?uuid=7ff257ec-98f1-3f89-9f0f-3ceb58478e2c"]},{"id":"ITEM-2","itemData":{"DOI":"10.1016/j.quageo.2015.05.013","ISSN":"18711014","abstract":"Ounjougou is the name of a large complex of archaeological sites, that were extensively studied between 1997 and 2008 by the international team of the \". Human settlement and palaeoenvironment in West Africa\" project. This complex is important because well stratified Palaeolithic sites in West Africa are rare, and because it covers a long period of time (most of the Upper Pleistocene and Holocene) and exhibits a wide set of technical cultures. Therefore, for the first time it is possible to propose a chronological framework for the human settlement in this region that can be related to other technical cultures in Africa and to palaeoenvironmental data.The purpose of this paper is to present the OSL dating results obtained from 57 sediment samples that led to this framework. Measurements were first performed between 2004 and 2006 in Oxford (School of Geography), using micro-aliquots (2-10 grains) OSL and ICP-MS for determination of equivalent doses and beta-dose rates, respectively (gamma dose rates being deduced from field gamma spectrometry). More recently, new measurements were done on 28 samples of this former set at the IRAMAT-CRP2A laboratory in Bordeaux, where \"true\" single quartz grain OSL and high resolution gamma spectrometry measurements were performed. Both sets of results are, for all but two samples, statistically consistent with each other. A consistent chrono-stratigraphic framework can thus be deduced, covering the Upper Pleistocene. It suggests that the region was regularly visited during this time interval and more particularly during Marine Isotope Stage 3, when groups with different technical cultures followed each other relatively rapidly.","author":[{"dropping-particle":"","family":"Tribolo","given":"C.","non-dropping-particle":"","parse-names":false,"suffix":""},{"dropping-particle":"","family":"Rasse","given":"M.","non-dropping-particle":"","parse-names":false,"suffix":""},{"dropping-particle":"","family":"Soriano","given":"S.","non-dropping-particle":"","parse-names":false,"suffix":""},{"dropping-particle":"","family":"Huysecom","given":"E.","non-dropping-particle":"","parse-names":false,"suffix":""}],"container-title":"Quaternary Geochronology","id":"ITEM-2","issued":{"date-parts":[["2015","8","1"]]},"page":"80-96","publisher":"Elsevier","title":"Defining a chronological framework for the Middle Stone Age in West Africa: Comparison of methods and models for OSL ages at Ounjougou (Mali)","type":"article-journal","volume":"29"},"uris":["http://www.mendeley.com/documents/?uuid=6e0018ac-ada1-3cfb-bff5-c03223816195"]}],"mendeley":{"formattedCitation":"&lt;sup&gt;152,153&lt;/sup&gt;","plainTextFormattedCitation":"152,153","previouslyFormattedCitation":"&lt;sup&gt;152,153&lt;/sup&gt;"},"properties":{"noteIndex":0},"schema":"https://github.com/citation-style-language/schema/raw/master/csl-citation.json"}</w:instrText>
            </w:r>
            <w:r w:rsidRPr="005F44EF">
              <w:rPr>
                <w:rFonts w:ascii="Times New Roman" w:eastAsia="Times New Roman" w:hAnsi="Times New Roman" w:cs="Times New Roman"/>
                <w:sz w:val="16"/>
                <w:szCs w:val="16"/>
                <w:lang w:val="es-ES"/>
              </w:rPr>
              <w:fldChar w:fldCharType="separate"/>
            </w:r>
            <w:r w:rsidR="00C212A1" w:rsidRPr="00C212A1">
              <w:rPr>
                <w:rFonts w:ascii="Times New Roman" w:eastAsia="Times New Roman" w:hAnsi="Times New Roman" w:cs="Times New Roman"/>
                <w:noProof/>
                <w:sz w:val="16"/>
                <w:szCs w:val="16"/>
                <w:vertAlign w:val="superscript"/>
                <w:lang w:val="es-ES"/>
              </w:rPr>
              <w:t>152,153</w:t>
            </w:r>
            <w:r w:rsidRPr="005F44EF">
              <w:rPr>
                <w:rFonts w:ascii="Times New Roman" w:eastAsia="Times New Roman" w:hAnsi="Times New Roman" w:cs="Times New Roman"/>
                <w:sz w:val="16"/>
                <w:szCs w:val="16"/>
                <w:lang w:val="es-ES"/>
              </w:rPr>
              <w:fldChar w:fldCharType="end"/>
            </w:r>
          </w:p>
        </w:tc>
      </w:tr>
      <w:tr w:rsidR="00886415" w:rsidRPr="007655BB" w14:paraId="7F6CF120" w14:textId="77777777" w:rsidTr="003C6FBD">
        <w:trPr>
          <w:trHeight w:val="311"/>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2BB7F80" w14:textId="77777777" w:rsidR="00886415" w:rsidRPr="005F44EF" w:rsidRDefault="00886415" w:rsidP="00886415">
            <w:pPr>
              <w:spacing w:after="0" w:line="276" w:lineRule="auto"/>
              <w:jc w:val="both"/>
              <w:rPr>
                <w:rFonts w:ascii="Times New Roman" w:eastAsia="Times New Roman" w:hAnsi="Times New Roman" w:cs="Times New Roman"/>
                <w:b/>
                <w:sz w:val="24"/>
                <w:szCs w:val="24"/>
                <w:lang w:val="es-ES"/>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0E171C35"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27A1D467"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65E4146"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 xml:space="preserve">Oumounaama </w:t>
            </w:r>
            <w:proofErr w:type="spellStart"/>
            <w:r w:rsidRPr="005F44EF">
              <w:rPr>
                <w:rFonts w:ascii="Times New Roman" w:eastAsia="Times New Roman" w:hAnsi="Times New Roman" w:cs="Times New Roman"/>
                <w:color w:val="2E2E2E"/>
                <w:sz w:val="16"/>
                <w:szCs w:val="16"/>
                <w:lang w:val="es-ES"/>
              </w:rPr>
              <w:t>Coupe</w:t>
            </w:r>
            <w:proofErr w:type="spellEnd"/>
            <w:r w:rsidRPr="005F44EF">
              <w:rPr>
                <w:rFonts w:ascii="Times New Roman" w:eastAsia="Times New Roman" w:hAnsi="Times New Roman" w:cs="Times New Roman"/>
                <w:color w:val="2E2E2E"/>
                <w:sz w:val="16"/>
                <w:szCs w:val="16"/>
                <w:lang w:val="es-ES"/>
              </w:rPr>
              <w:t xml:space="preserve"> Frank</w:t>
            </w: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8FAC357"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U3</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724C12F"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41 ± 4</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8142D72"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18 ± 2; 19 ± 3</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920548B" w14:textId="29291A13"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8582214" w14:textId="28DA1B8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8201AFB" w14:textId="525ECE9A"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2B7CE20" w14:textId="1A28CB81"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06B6B48" w14:textId="2A13DA5F"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498"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3FF71D6"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3</w:t>
            </w:r>
          </w:p>
        </w:tc>
        <w:tc>
          <w:tcPr>
            <w:tcW w:w="903"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9BEFFEE" w14:textId="1AD7EDF7" w:rsidR="00886415" w:rsidRPr="007655BB" w:rsidRDefault="00886415" w:rsidP="00886415">
            <w:pPr>
              <w:spacing w:before="240" w:after="0" w:line="276" w:lineRule="auto"/>
              <w:rPr>
                <w:rFonts w:ascii="Times New Roman" w:eastAsia="Times New Roman" w:hAnsi="Times New Roman" w:cs="Times New Roman"/>
                <w:sz w:val="16"/>
                <w:szCs w:val="16"/>
                <w:lang w:val="es-ES"/>
              </w:rPr>
            </w:pPr>
            <w:r w:rsidRPr="005F44EF">
              <w:rPr>
                <w:rFonts w:ascii="Times New Roman" w:eastAsia="Times New Roman" w:hAnsi="Times New Roman" w:cs="Times New Roman"/>
                <w:sz w:val="16"/>
                <w:szCs w:val="16"/>
                <w:lang w:val="es-ES"/>
              </w:rPr>
              <w:fldChar w:fldCharType="begin" w:fldLock="1"/>
            </w:r>
            <w:r w:rsidR="00614E13">
              <w:rPr>
                <w:rFonts w:ascii="Times New Roman" w:eastAsia="Times New Roman" w:hAnsi="Times New Roman" w:cs="Times New Roman"/>
                <w:sz w:val="16"/>
                <w:szCs w:val="16"/>
                <w:lang w:val="es-ES"/>
              </w:rPr>
              <w:instrText>ADDIN CSL_CITATION {"citationItems":[{"id":"ITEM-1","itemData":{"author":[{"dropping-particle":"","family":"Soriano","given":"S","non-dropping-particle":"","parse-names":false,"suffix":""},{"dropping-particle":"","family":"Rasse","given":"M","non-dropping-particle":"","parse-names":false,"suffix":""},{"dropping-particle":"","family":"Tribolo","given":"C","non-dropping-particle":"","parse-names":false,"suffix":""},{"dropping-particle":"","family":"Huysecom","given":"E","non-dropping-particle":"","parse-names":false,"suffix":""}],"container-title":"West African Archaeology. New Developments, New Perspectives","editor":[{"dropping-particle":"","family":"Allsworth-Jones","given":"P.","non-dropping-particle":"","parse-names":false,"suffix":""}],"id":"ITEM-1","issued":{"date-parts":[["2010"]]},"page":"1-14","publisher":"Archaeopress","publisher-place":"Oxford","title":"Ounjougou: A long Middle Stone Age sequence in the Dogon country (Mali)","type":"paper-conference"},"uris":["http://www.mendeley.com/documents/?uuid=7ff257ec-98f1-3f89-9f0f-3ceb58478e2c"]},{"id":"ITEM-2","itemData":{"DOI":"10.1016/j.quageo.2015.05.013","ISSN":"18711014","abstract":"Ounjougou is the name of a large complex of archaeological sites, that were extensively studied between 1997 and 2008 by the international team of the \". Human settlement and palaeoenvironment in West Africa\" project. This complex is important because well stratified Palaeolithic sites in West Africa are rare, and because it covers a long period of time (most of the Upper Pleistocene and Holocene) and exhibits a wide set of technical cultures. Therefore, for the first time it is possible to propose a chronological framework for the human settlement in this region that can be related to other technical cultures in Africa and to palaeoenvironmental data.The purpose of this paper is to present the OSL dating results obtained from 57 sediment samples that led to this framework. Measurements were first performed between 2004 and 2006 in Oxford (School of Geography), using micro-aliquots (2-10 grains) OSL and ICP-MS for determination of equivalent doses and beta-dose rates, respectively (gamma dose rates being deduced from field gamma spectrometry). More recently, new measurements were done on 28 samples of this former set at the IRAMAT-CRP2A laboratory in Bordeaux, where \"true\" single quartz grain OSL and high resolution gamma spectrometry measurements were performed. Both sets of results are, for all but two samples, statistically consistent with each other. A consistent chrono-stratigraphic framework can thus be deduced, covering the Upper Pleistocene. It suggests that the region was regularly visited during this time interval and more particularly during Marine Isotope Stage 3, when groups with different technical cultures followed each other relatively rapidly.","author":[{"dropping-particle":"","family":"Tribolo","given":"C.","non-dropping-particle":"","parse-names":false,"suffix":""},{"dropping-particle":"","family":"Rasse","given":"M.","non-dropping-particle":"","parse-names":false,"suffix":""},{"dropping-particle":"","family":"Soriano","given":"S.","non-dropping-particle":"","parse-names":false,"suffix":""},{"dropping-particle":"","family":"Huysecom","given":"E.","non-dropping-particle":"","parse-names":false,"suffix":""}],"container-title":"Quaternary Geochronology","id":"ITEM-2","issued":{"date-parts":[["2015","8","1"]]},"page":"80-96","publisher":"Elsevier","title":"Defining a chronological framework for the Middle Stone Age in West Africa: Comparison of methods and models for OSL ages at Ounjougou (Mali)","type":"article-journal","volume":"29"},"uris":["http://www.mendeley.com/documents/?uuid=6e0018ac-ada1-3cfb-bff5-c03223816195"]}],"mendeley":{"formattedCitation":"&lt;sup&gt;152,153&lt;/sup&gt;","plainTextFormattedCitation":"152,153","previouslyFormattedCitation":"&lt;sup&gt;152,153&lt;/sup&gt;"},"properties":{"noteIndex":0},"schema":"https://github.com/citation-style-language/schema/raw/master/csl-citation.json"}</w:instrText>
            </w:r>
            <w:r w:rsidRPr="005F44EF">
              <w:rPr>
                <w:rFonts w:ascii="Times New Roman" w:eastAsia="Times New Roman" w:hAnsi="Times New Roman" w:cs="Times New Roman"/>
                <w:sz w:val="16"/>
                <w:szCs w:val="16"/>
                <w:lang w:val="es-ES"/>
              </w:rPr>
              <w:fldChar w:fldCharType="separate"/>
            </w:r>
            <w:r w:rsidR="00C212A1" w:rsidRPr="007655BB">
              <w:rPr>
                <w:rFonts w:ascii="Times New Roman" w:eastAsia="Times New Roman" w:hAnsi="Times New Roman" w:cs="Times New Roman"/>
                <w:noProof/>
                <w:sz w:val="16"/>
                <w:szCs w:val="16"/>
                <w:vertAlign w:val="superscript"/>
                <w:lang w:val="es-ES"/>
              </w:rPr>
              <w:t>152,153</w:t>
            </w:r>
            <w:r w:rsidRPr="005F44EF">
              <w:rPr>
                <w:rFonts w:ascii="Times New Roman" w:eastAsia="Times New Roman" w:hAnsi="Times New Roman" w:cs="Times New Roman"/>
                <w:sz w:val="16"/>
                <w:szCs w:val="16"/>
                <w:lang w:val="es-ES"/>
              </w:rPr>
              <w:fldChar w:fldCharType="end"/>
            </w:r>
          </w:p>
        </w:tc>
      </w:tr>
      <w:tr w:rsidR="00886415" w:rsidRPr="007655BB" w14:paraId="2CBC2684" w14:textId="77777777" w:rsidTr="003C6FBD">
        <w:trPr>
          <w:trHeight w:val="462"/>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16B4426" w14:textId="77777777" w:rsidR="00886415" w:rsidRPr="007655BB" w:rsidRDefault="00886415" w:rsidP="00886415">
            <w:pPr>
              <w:spacing w:after="0" w:line="276" w:lineRule="auto"/>
              <w:jc w:val="both"/>
              <w:rPr>
                <w:rFonts w:ascii="Times New Roman" w:eastAsia="Times New Roman" w:hAnsi="Times New Roman" w:cs="Times New Roman"/>
                <w:b/>
                <w:sz w:val="24"/>
                <w:szCs w:val="24"/>
                <w:lang w:val="es-ES"/>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5B223274" w14:textId="77777777" w:rsidR="00886415" w:rsidRPr="007655BB" w:rsidRDefault="00886415" w:rsidP="00886415">
            <w:pPr>
              <w:spacing w:after="0" w:line="276" w:lineRule="auto"/>
              <w:rPr>
                <w:rFonts w:ascii="Times New Roman" w:eastAsia="Times New Roman" w:hAnsi="Times New Roman" w:cs="Times New Roman"/>
                <w:b/>
                <w:sz w:val="24"/>
                <w:szCs w:val="24"/>
                <w:lang w:val="es-ES"/>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49F68560" w14:textId="77777777" w:rsidR="00886415" w:rsidRPr="007655BB" w:rsidRDefault="00886415" w:rsidP="00886415">
            <w:pPr>
              <w:spacing w:after="0" w:line="276" w:lineRule="auto"/>
              <w:rPr>
                <w:rFonts w:ascii="Times New Roman" w:eastAsia="Times New Roman" w:hAnsi="Times New Roman" w:cs="Times New Roman"/>
                <w:b/>
                <w:sz w:val="24"/>
                <w:szCs w:val="24"/>
                <w:lang w:val="es-ES"/>
              </w:rPr>
            </w:pPr>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16789AC" w14:textId="56AD456D" w:rsidR="00886415" w:rsidRPr="007655BB" w:rsidRDefault="00886415" w:rsidP="00886415">
            <w:pPr>
              <w:spacing w:before="240" w:after="0" w:line="276" w:lineRule="auto"/>
              <w:rPr>
                <w:rFonts w:ascii="Times New Roman" w:eastAsia="Times New Roman" w:hAnsi="Times New Roman" w:cs="Times New Roman"/>
                <w:color w:val="2E2E2E"/>
                <w:sz w:val="16"/>
                <w:szCs w:val="16"/>
                <w:lang w:val="es-ES"/>
              </w:rPr>
            </w:pPr>
            <w:r w:rsidRPr="007655BB">
              <w:rPr>
                <w:rFonts w:ascii="Times New Roman" w:eastAsia="Times New Roman" w:hAnsi="Times New Roman" w:cs="Times New Roman"/>
                <w:color w:val="2E2E2E"/>
                <w:sz w:val="16"/>
                <w:szCs w:val="16"/>
                <w:lang w:val="es-ES"/>
              </w:rPr>
              <w:t xml:space="preserve">Oumounaama </w:t>
            </w:r>
            <w:proofErr w:type="spellStart"/>
            <w:r w:rsidRPr="007655BB">
              <w:rPr>
                <w:rFonts w:ascii="Times New Roman" w:eastAsia="Times New Roman" w:hAnsi="Times New Roman" w:cs="Times New Roman"/>
                <w:color w:val="2E2E2E"/>
                <w:sz w:val="16"/>
                <w:szCs w:val="16"/>
                <w:lang w:val="es-ES"/>
              </w:rPr>
              <w:t>Coupe</w:t>
            </w:r>
            <w:proofErr w:type="spellEnd"/>
            <w:r w:rsidRPr="007655BB">
              <w:rPr>
                <w:rFonts w:ascii="Times New Roman" w:eastAsia="Times New Roman" w:hAnsi="Times New Roman" w:cs="Times New Roman"/>
                <w:color w:val="2E2E2E"/>
                <w:sz w:val="16"/>
                <w:szCs w:val="16"/>
                <w:lang w:val="es-ES"/>
              </w:rPr>
              <w:t xml:space="preserve"> Frank, </w:t>
            </w:r>
            <w:proofErr w:type="spellStart"/>
            <w:r w:rsidRPr="007655BB">
              <w:rPr>
                <w:rFonts w:ascii="Times New Roman" w:eastAsia="Times New Roman" w:hAnsi="Times New Roman" w:cs="Times New Roman"/>
                <w:color w:val="2E2E2E"/>
                <w:sz w:val="16"/>
                <w:szCs w:val="16"/>
                <w:lang w:val="es-ES"/>
              </w:rPr>
              <w:t>lower</w:t>
            </w:r>
            <w:proofErr w:type="spellEnd"/>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C193E23" w14:textId="77777777" w:rsidR="00886415" w:rsidRPr="007655BB" w:rsidRDefault="00886415" w:rsidP="00886415">
            <w:pPr>
              <w:spacing w:before="240" w:after="0" w:line="276" w:lineRule="auto"/>
              <w:rPr>
                <w:rFonts w:ascii="Times New Roman" w:eastAsia="Times New Roman" w:hAnsi="Times New Roman" w:cs="Times New Roman"/>
                <w:color w:val="2E2E2E"/>
                <w:sz w:val="16"/>
                <w:szCs w:val="16"/>
                <w:lang w:val="es-ES"/>
              </w:rPr>
            </w:pPr>
            <w:r w:rsidRPr="007655BB">
              <w:rPr>
                <w:rFonts w:ascii="Times New Roman" w:eastAsia="Times New Roman" w:hAnsi="Times New Roman" w:cs="Times New Roman"/>
                <w:color w:val="2E2E2E"/>
                <w:sz w:val="16"/>
                <w:szCs w:val="16"/>
                <w:lang w:val="es-ES"/>
              </w:rPr>
              <w:t>U4</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F719675" w14:textId="77777777" w:rsidR="00886415" w:rsidRPr="007655BB" w:rsidRDefault="00886415" w:rsidP="00886415">
            <w:pPr>
              <w:spacing w:before="240" w:after="0" w:line="276" w:lineRule="auto"/>
              <w:rPr>
                <w:rFonts w:ascii="Times New Roman" w:eastAsia="Times New Roman" w:hAnsi="Times New Roman" w:cs="Times New Roman"/>
                <w:color w:val="2E2E2E"/>
                <w:sz w:val="16"/>
                <w:szCs w:val="16"/>
                <w:lang w:val="es-ES"/>
              </w:rPr>
            </w:pPr>
            <w:r w:rsidRPr="007655BB">
              <w:rPr>
                <w:rFonts w:ascii="Times New Roman" w:eastAsia="Times New Roman" w:hAnsi="Times New Roman" w:cs="Times New Roman"/>
                <w:color w:val="2E2E2E"/>
                <w:sz w:val="16"/>
                <w:szCs w:val="16"/>
                <w:lang w:val="es-ES"/>
              </w:rPr>
              <w:t>43 ± 4; 37 ± 5</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3A60D3A" w14:textId="77777777" w:rsidR="00886415" w:rsidRPr="007655BB" w:rsidRDefault="00886415" w:rsidP="00886415">
            <w:pPr>
              <w:spacing w:before="240" w:after="0" w:line="276" w:lineRule="auto"/>
              <w:rPr>
                <w:rFonts w:ascii="Times New Roman" w:eastAsia="Times New Roman" w:hAnsi="Times New Roman" w:cs="Times New Roman"/>
                <w:color w:val="2E2E2E"/>
                <w:sz w:val="16"/>
                <w:szCs w:val="16"/>
                <w:lang w:val="es-ES"/>
              </w:rPr>
            </w:pPr>
            <w:r w:rsidRPr="007655BB">
              <w:rPr>
                <w:rFonts w:ascii="Times New Roman" w:eastAsia="Times New Roman" w:hAnsi="Times New Roman" w:cs="Times New Roman"/>
                <w:color w:val="2E2E2E"/>
                <w:sz w:val="16"/>
                <w:szCs w:val="16"/>
                <w:lang w:val="es-ES"/>
              </w:rPr>
              <w:t>47 ± 4;48 ± 6</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4563453" w14:textId="504D5B69" w:rsidR="00886415" w:rsidRPr="007655BB"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A222E38" w14:textId="42B8ABCD" w:rsidR="00886415" w:rsidRPr="007655BB"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C53DA8E" w14:textId="41A3BD73" w:rsidR="00886415" w:rsidRPr="007655BB" w:rsidRDefault="00886415" w:rsidP="00886415">
            <w:pPr>
              <w:spacing w:before="240" w:after="0" w:line="276" w:lineRule="auto"/>
              <w:rPr>
                <w:rFonts w:ascii="Times New Roman" w:eastAsia="Times New Roman" w:hAnsi="Times New Roman" w:cs="Times New Roman"/>
                <w:sz w:val="16"/>
                <w:szCs w:val="16"/>
                <w:lang w:val="es-ES"/>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7F46CFA" w14:textId="41A7C6C9" w:rsidR="00886415" w:rsidRPr="007655BB" w:rsidRDefault="00886415" w:rsidP="00886415">
            <w:pPr>
              <w:spacing w:before="240" w:after="0" w:line="276" w:lineRule="auto"/>
              <w:rPr>
                <w:rFonts w:ascii="Times New Roman" w:eastAsia="Times New Roman" w:hAnsi="Times New Roman" w:cs="Times New Roman"/>
                <w:sz w:val="16"/>
                <w:szCs w:val="16"/>
                <w:lang w:val="es-ES"/>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705822C" w14:textId="5C81D6F9" w:rsidR="00886415" w:rsidRPr="007655BB" w:rsidRDefault="00886415" w:rsidP="00886415">
            <w:pPr>
              <w:spacing w:before="240" w:after="0" w:line="276" w:lineRule="auto"/>
              <w:rPr>
                <w:rFonts w:ascii="Times New Roman" w:eastAsia="Times New Roman" w:hAnsi="Times New Roman" w:cs="Times New Roman"/>
                <w:sz w:val="16"/>
                <w:szCs w:val="16"/>
                <w:lang w:val="es-ES"/>
              </w:rPr>
            </w:pPr>
          </w:p>
        </w:tc>
        <w:tc>
          <w:tcPr>
            <w:tcW w:w="49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495F932C" w14:textId="77777777" w:rsidR="00886415" w:rsidRPr="007655BB" w:rsidRDefault="00886415" w:rsidP="00886415">
            <w:pPr>
              <w:spacing w:after="0" w:line="276" w:lineRule="auto"/>
              <w:rPr>
                <w:rFonts w:ascii="Times New Roman" w:eastAsia="Times New Roman" w:hAnsi="Times New Roman" w:cs="Times New Roman"/>
                <w:b/>
                <w:sz w:val="24"/>
                <w:szCs w:val="24"/>
                <w:lang w:val="es-ES"/>
              </w:rPr>
            </w:pPr>
          </w:p>
        </w:tc>
        <w:tc>
          <w:tcPr>
            <w:tcW w:w="90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729DD9DF" w14:textId="77777777" w:rsidR="00886415" w:rsidRPr="007655BB" w:rsidRDefault="00886415" w:rsidP="00886415">
            <w:pPr>
              <w:spacing w:after="0" w:line="276" w:lineRule="auto"/>
              <w:rPr>
                <w:rFonts w:ascii="Times New Roman" w:eastAsia="Times New Roman" w:hAnsi="Times New Roman" w:cs="Times New Roman"/>
                <w:b/>
                <w:sz w:val="24"/>
                <w:szCs w:val="24"/>
                <w:lang w:val="es-ES"/>
              </w:rPr>
            </w:pPr>
          </w:p>
        </w:tc>
      </w:tr>
      <w:tr w:rsidR="00886415" w:rsidRPr="007655BB" w14:paraId="400C00A4" w14:textId="77777777" w:rsidTr="003C6FBD">
        <w:trPr>
          <w:trHeight w:val="462"/>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91E5C03" w14:textId="77777777" w:rsidR="00886415" w:rsidRPr="007655BB" w:rsidRDefault="00886415" w:rsidP="00886415">
            <w:pPr>
              <w:spacing w:after="0" w:line="276" w:lineRule="auto"/>
              <w:jc w:val="both"/>
              <w:rPr>
                <w:rFonts w:ascii="Times New Roman" w:eastAsia="Times New Roman" w:hAnsi="Times New Roman" w:cs="Times New Roman"/>
                <w:b/>
                <w:sz w:val="24"/>
                <w:szCs w:val="24"/>
                <w:lang w:val="es-ES"/>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2CBCB290" w14:textId="77777777" w:rsidR="00886415" w:rsidRPr="007655BB" w:rsidRDefault="00886415" w:rsidP="00886415">
            <w:pPr>
              <w:spacing w:after="0" w:line="276" w:lineRule="auto"/>
              <w:rPr>
                <w:rFonts w:ascii="Times New Roman" w:eastAsia="Times New Roman" w:hAnsi="Times New Roman" w:cs="Times New Roman"/>
                <w:b/>
                <w:sz w:val="24"/>
                <w:szCs w:val="24"/>
                <w:lang w:val="es-ES"/>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5E1AFF20" w14:textId="77777777" w:rsidR="00886415" w:rsidRPr="007655BB" w:rsidRDefault="00886415" w:rsidP="00886415">
            <w:pPr>
              <w:spacing w:after="0" w:line="276" w:lineRule="auto"/>
              <w:rPr>
                <w:rFonts w:ascii="Times New Roman" w:eastAsia="Times New Roman" w:hAnsi="Times New Roman" w:cs="Times New Roman"/>
                <w:b/>
                <w:sz w:val="24"/>
                <w:szCs w:val="24"/>
                <w:lang w:val="es-ES"/>
              </w:rPr>
            </w:pPr>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CBA4D09" w14:textId="77777777" w:rsidR="00886415" w:rsidRPr="007655BB" w:rsidRDefault="00886415" w:rsidP="00886415">
            <w:pPr>
              <w:spacing w:before="240" w:after="0" w:line="276" w:lineRule="auto"/>
              <w:rPr>
                <w:rFonts w:ascii="Times New Roman" w:eastAsia="Times New Roman" w:hAnsi="Times New Roman" w:cs="Times New Roman"/>
                <w:color w:val="2E2E2E"/>
                <w:sz w:val="16"/>
                <w:szCs w:val="16"/>
                <w:lang w:val="es-ES"/>
              </w:rPr>
            </w:pPr>
            <w:r w:rsidRPr="007655BB">
              <w:rPr>
                <w:rFonts w:ascii="Times New Roman" w:eastAsia="Times New Roman" w:hAnsi="Times New Roman" w:cs="Times New Roman"/>
                <w:color w:val="2E2E2E"/>
                <w:sz w:val="16"/>
                <w:szCs w:val="16"/>
                <w:lang w:val="es-ES"/>
              </w:rPr>
              <w:t xml:space="preserve">Oumounaama </w:t>
            </w:r>
            <w:proofErr w:type="spellStart"/>
            <w:r w:rsidRPr="007655BB">
              <w:rPr>
                <w:rFonts w:ascii="Times New Roman" w:eastAsia="Times New Roman" w:hAnsi="Times New Roman" w:cs="Times New Roman"/>
                <w:color w:val="2E2E2E"/>
                <w:sz w:val="16"/>
                <w:szCs w:val="16"/>
                <w:lang w:val="es-ES"/>
              </w:rPr>
              <w:t>Coupe</w:t>
            </w:r>
            <w:proofErr w:type="spellEnd"/>
            <w:r w:rsidRPr="007655BB">
              <w:rPr>
                <w:rFonts w:ascii="Times New Roman" w:eastAsia="Times New Roman" w:hAnsi="Times New Roman" w:cs="Times New Roman"/>
                <w:color w:val="2E2E2E"/>
                <w:sz w:val="16"/>
                <w:szCs w:val="16"/>
                <w:lang w:val="es-ES"/>
              </w:rPr>
              <w:t xml:space="preserve"> Frank, </w:t>
            </w:r>
            <w:proofErr w:type="spellStart"/>
            <w:r w:rsidRPr="007655BB">
              <w:rPr>
                <w:rFonts w:ascii="Times New Roman" w:eastAsia="Times New Roman" w:hAnsi="Times New Roman" w:cs="Times New Roman"/>
                <w:color w:val="2E2E2E"/>
                <w:sz w:val="16"/>
                <w:szCs w:val="16"/>
                <w:lang w:val="es-ES"/>
              </w:rPr>
              <w:t>upper</w:t>
            </w:r>
            <w:proofErr w:type="spellEnd"/>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22A2704" w14:textId="7C20F302" w:rsidR="00886415" w:rsidRPr="007655BB" w:rsidRDefault="00886415" w:rsidP="00886415">
            <w:pPr>
              <w:spacing w:before="240" w:after="0" w:line="276" w:lineRule="auto"/>
              <w:rPr>
                <w:rFonts w:ascii="Times New Roman" w:eastAsia="Times New Roman" w:hAnsi="Times New Roman" w:cs="Times New Roman"/>
                <w:sz w:val="16"/>
                <w:szCs w:val="16"/>
                <w:lang w:val="es-ES"/>
              </w:rPr>
            </w:pP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62788A3" w14:textId="77777777" w:rsidR="00886415" w:rsidRPr="007655BB" w:rsidRDefault="00886415" w:rsidP="00886415">
            <w:pPr>
              <w:spacing w:before="240" w:after="0" w:line="276" w:lineRule="auto"/>
              <w:rPr>
                <w:rFonts w:ascii="Times New Roman" w:eastAsia="Times New Roman" w:hAnsi="Times New Roman" w:cs="Times New Roman"/>
                <w:color w:val="2E2E2E"/>
                <w:sz w:val="16"/>
                <w:szCs w:val="16"/>
                <w:lang w:val="es-ES"/>
              </w:rPr>
            </w:pPr>
            <w:r w:rsidRPr="007655BB">
              <w:rPr>
                <w:rFonts w:ascii="Times New Roman" w:eastAsia="Times New Roman" w:hAnsi="Times New Roman" w:cs="Times New Roman"/>
                <w:color w:val="2E2E2E"/>
                <w:sz w:val="16"/>
                <w:szCs w:val="16"/>
                <w:lang w:val="es-ES"/>
              </w:rPr>
              <w:t>37 ± 3</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5B1BA4A" w14:textId="77777777" w:rsidR="00886415" w:rsidRPr="007655BB" w:rsidRDefault="00886415" w:rsidP="00886415">
            <w:pPr>
              <w:spacing w:before="240" w:after="0" w:line="276" w:lineRule="auto"/>
              <w:rPr>
                <w:rFonts w:ascii="Times New Roman" w:eastAsia="Times New Roman" w:hAnsi="Times New Roman" w:cs="Times New Roman"/>
                <w:color w:val="2E2E2E"/>
                <w:sz w:val="16"/>
                <w:szCs w:val="16"/>
                <w:lang w:val="es-ES"/>
              </w:rPr>
            </w:pPr>
            <w:r w:rsidRPr="007655BB">
              <w:rPr>
                <w:rFonts w:ascii="Times New Roman" w:eastAsia="Times New Roman" w:hAnsi="Times New Roman" w:cs="Times New Roman"/>
                <w:color w:val="2E2E2E"/>
                <w:sz w:val="16"/>
                <w:szCs w:val="16"/>
                <w:lang w:val="es-ES"/>
              </w:rPr>
              <w:t>23 ± 3</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E44AA5C" w14:textId="17178ACA" w:rsidR="00886415" w:rsidRPr="007655BB"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B486077" w14:textId="7D3432FB" w:rsidR="00886415" w:rsidRPr="007655BB"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2A9954A" w14:textId="5694D1F3" w:rsidR="00886415" w:rsidRPr="007655BB" w:rsidRDefault="00886415" w:rsidP="00886415">
            <w:pPr>
              <w:spacing w:before="240" w:after="0" w:line="276" w:lineRule="auto"/>
              <w:rPr>
                <w:rFonts w:ascii="Times New Roman" w:eastAsia="Times New Roman" w:hAnsi="Times New Roman" w:cs="Times New Roman"/>
                <w:sz w:val="16"/>
                <w:szCs w:val="16"/>
                <w:lang w:val="es-ES"/>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ED10CA0" w14:textId="26474067" w:rsidR="00886415" w:rsidRPr="007655BB" w:rsidRDefault="00886415" w:rsidP="00886415">
            <w:pPr>
              <w:spacing w:before="240" w:after="0" w:line="276" w:lineRule="auto"/>
              <w:rPr>
                <w:rFonts w:ascii="Times New Roman" w:eastAsia="Times New Roman" w:hAnsi="Times New Roman" w:cs="Times New Roman"/>
                <w:sz w:val="16"/>
                <w:szCs w:val="16"/>
                <w:lang w:val="es-ES"/>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4DE40AC" w14:textId="167E8331" w:rsidR="00886415" w:rsidRPr="007655BB" w:rsidRDefault="00886415" w:rsidP="00886415">
            <w:pPr>
              <w:spacing w:before="240" w:after="0" w:line="276" w:lineRule="auto"/>
              <w:rPr>
                <w:rFonts w:ascii="Times New Roman" w:eastAsia="Times New Roman" w:hAnsi="Times New Roman" w:cs="Times New Roman"/>
                <w:sz w:val="16"/>
                <w:szCs w:val="16"/>
                <w:lang w:val="es-ES"/>
              </w:rPr>
            </w:pPr>
          </w:p>
        </w:tc>
        <w:tc>
          <w:tcPr>
            <w:tcW w:w="49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1D63EB91" w14:textId="77777777" w:rsidR="00886415" w:rsidRPr="007655BB" w:rsidRDefault="00886415" w:rsidP="00886415">
            <w:pPr>
              <w:spacing w:after="0" w:line="276" w:lineRule="auto"/>
              <w:rPr>
                <w:rFonts w:ascii="Times New Roman" w:eastAsia="Times New Roman" w:hAnsi="Times New Roman" w:cs="Times New Roman"/>
                <w:b/>
                <w:sz w:val="24"/>
                <w:szCs w:val="24"/>
                <w:lang w:val="es-ES"/>
              </w:rPr>
            </w:pPr>
          </w:p>
        </w:tc>
        <w:tc>
          <w:tcPr>
            <w:tcW w:w="90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1D50CE6E" w14:textId="77777777" w:rsidR="00886415" w:rsidRPr="007655BB" w:rsidRDefault="00886415" w:rsidP="00886415">
            <w:pPr>
              <w:spacing w:after="0" w:line="276" w:lineRule="auto"/>
              <w:rPr>
                <w:rFonts w:ascii="Times New Roman" w:eastAsia="Times New Roman" w:hAnsi="Times New Roman" w:cs="Times New Roman"/>
                <w:b/>
                <w:sz w:val="24"/>
                <w:szCs w:val="24"/>
                <w:lang w:val="es-ES"/>
              </w:rPr>
            </w:pPr>
          </w:p>
        </w:tc>
      </w:tr>
      <w:tr w:rsidR="00886415" w:rsidRPr="005F44EF" w14:paraId="50707015" w14:textId="77777777" w:rsidTr="003C6FBD">
        <w:trPr>
          <w:trHeight w:val="190"/>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78173A3" w14:textId="77777777" w:rsidR="00886415" w:rsidRPr="007655BB" w:rsidRDefault="00886415" w:rsidP="00886415">
            <w:pPr>
              <w:spacing w:after="0" w:line="276" w:lineRule="auto"/>
              <w:jc w:val="both"/>
              <w:rPr>
                <w:rFonts w:ascii="Times New Roman" w:eastAsia="Times New Roman" w:hAnsi="Times New Roman" w:cs="Times New Roman"/>
                <w:b/>
                <w:sz w:val="24"/>
                <w:szCs w:val="24"/>
                <w:lang w:val="es-ES"/>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2C3E08CF" w14:textId="77777777" w:rsidR="00886415" w:rsidRPr="007655BB" w:rsidRDefault="00886415" w:rsidP="00886415">
            <w:pPr>
              <w:spacing w:after="0" w:line="276" w:lineRule="auto"/>
              <w:rPr>
                <w:rFonts w:ascii="Times New Roman" w:eastAsia="Times New Roman" w:hAnsi="Times New Roman" w:cs="Times New Roman"/>
                <w:b/>
                <w:sz w:val="24"/>
                <w:szCs w:val="24"/>
                <w:lang w:val="es-ES"/>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62E4C9CF" w14:textId="77777777" w:rsidR="00886415" w:rsidRPr="007655BB" w:rsidRDefault="00886415" w:rsidP="00886415">
            <w:pPr>
              <w:spacing w:after="0" w:line="276" w:lineRule="auto"/>
              <w:rPr>
                <w:rFonts w:ascii="Times New Roman" w:eastAsia="Times New Roman" w:hAnsi="Times New Roman" w:cs="Times New Roman"/>
                <w:b/>
                <w:sz w:val="24"/>
                <w:szCs w:val="24"/>
                <w:lang w:val="es-ES"/>
              </w:rPr>
            </w:pPr>
          </w:p>
        </w:tc>
        <w:tc>
          <w:tcPr>
            <w:tcW w:w="1284"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E1EF784" w14:textId="77777777" w:rsidR="00886415" w:rsidRPr="007655BB" w:rsidRDefault="00886415" w:rsidP="00886415">
            <w:pPr>
              <w:spacing w:before="240" w:after="0" w:line="276" w:lineRule="auto"/>
              <w:rPr>
                <w:rFonts w:ascii="Times New Roman" w:eastAsia="Times New Roman" w:hAnsi="Times New Roman" w:cs="Times New Roman"/>
                <w:color w:val="2E2E2E"/>
                <w:sz w:val="16"/>
                <w:szCs w:val="16"/>
                <w:lang w:val="es-ES"/>
              </w:rPr>
            </w:pPr>
            <w:proofErr w:type="spellStart"/>
            <w:r w:rsidRPr="007655BB">
              <w:rPr>
                <w:rFonts w:ascii="Times New Roman" w:eastAsia="Times New Roman" w:hAnsi="Times New Roman" w:cs="Times New Roman"/>
                <w:color w:val="2E2E2E"/>
                <w:sz w:val="16"/>
                <w:szCs w:val="16"/>
                <w:lang w:val="es-ES"/>
              </w:rPr>
              <w:t>Kokolo</w:t>
            </w:r>
            <w:proofErr w:type="spellEnd"/>
            <w:r w:rsidRPr="007655BB">
              <w:rPr>
                <w:rFonts w:ascii="Times New Roman" w:eastAsia="Times New Roman" w:hAnsi="Times New Roman" w:cs="Times New Roman"/>
                <w:color w:val="2E2E2E"/>
                <w:sz w:val="16"/>
                <w:szCs w:val="16"/>
                <w:lang w:val="es-ES"/>
              </w:rPr>
              <w:t xml:space="preserve"> 3 c.3</w:t>
            </w:r>
          </w:p>
        </w:tc>
        <w:tc>
          <w:tcPr>
            <w:tcW w:w="1557"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50A83AF" w14:textId="77777777" w:rsidR="00886415" w:rsidRPr="007655BB" w:rsidRDefault="00886415" w:rsidP="00886415">
            <w:pPr>
              <w:spacing w:before="240" w:after="0" w:line="276" w:lineRule="auto"/>
              <w:rPr>
                <w:rFonts w:ascii="Times New Roman" w:eastAsia="Times New Roman" w:hAnsi="Times New Roman" w:cs="Times New Roman"/>
                <w:color w:val="2E2E2E"/>
                <w:sz w:val="16"/>
                <w:szCs w:val="16"/>
                <w:lang w:val="es-ES"/>
              </w:rPr>
            </w:pPr>
            <w:r w:rsidRPr="007655BB">
              <w:rPr>
                <w:rFonts w:ascii="Times New Roman" w:eastAsia="Times New Roman" w:hAnsi="Times New Roman" w:cs="Times New Roman"/>
                <w:color w:val="2E2E2E"/>
                <w:sz w:val="16"/>
                <w:szCs w:val="16"/>
                <w:lang w:val="es-ES"/>
              </w:rPr>
              <w:t>U5</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F6A8672" w14:textId="77777777" w:rsidR="00886415" w:rsidRPr="007655BB" w:rsidRDefault="00886415" w:rsidP="00886415">
            <w:pPr>
              <w:spacing w:before="240" w:after="0" w:line="276" w:lineRule="auto"/>
              <w:rPr>
                <w:rFonts w:ascii="Times New Roman" w:eastAsia="Times New Roman" w:hAnsi="Times New Roman" w:cs="Times New Roman"/>
                <w:color w:val="2E2E2E"/>
                <w:sz w:val="16"/>
                <w:szCs w:val="16"/>
                <w:lang w:val="es-ES"/>
              </w:rPr>
            </w:pPr>
            <w:r w:rsidRPr="007655BB">
              <w:rPr>
                <w:rFonts w:ascii="Times New Roman" w:eastAsia="Times New Roman" w:hAnsi="Times New Roman" w:cs="Times New Roman"/>
                <w:color w:val="2E2E2E"/>
                <w:sz w:val="16"/>
                <w:szCs w:val="16"/>
                <w:lang w:val="es-ES"/>
              </w:rPr>
              <w:t>U5: 31 ± 3</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4B4B442" w14:textId="77777777" w:rsidR="00886415" w:rsidRPr="007655BB" w:rsidRDefault="00886415" w:rsidP="00886415">
            <w:pPr>
              <w:spacing w:before="240" w:after="0" w:line="276" w:lineRule="auto"/>
              <w:rPr>
                <w:rFonts w:ascii="Times New Roman" w:eastAsia="Times New Roman" w:hAnsi="Times New Roman" w:cs="Times New Roman"/>
                <w:color w:val="2E2E2E"/>
                <w:sz w:val="16"/>
                <w:szCs w:val="16"/>
                <w:lang w:val="es-ES"/>
              </w:rPr>
            </w:pPr>
            <w:r w:rsidRPr="007655BB">
              <w:rPr>
                <w:rFonts w:ascii="Times New Roman" w:eastAsia="Times New Roman" w:hAnsi="Times New Roman" w:cs="Times New Roman"/>
                <w:color w:val="2E2E2E"/>
                <w:sz w:val="16"/>
                <w:szCs w:val="16"/>
                <w:lang w:val="es-ES"/>
              </w:rPr>
              <w:t>U5: 33 ± 3</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37410BC" w14:textId="0E7BA521" w:rsidR="00886415" w:rsidRPr="007655BB"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6B2BE15" w14:textId="387A8A8D" w:rsidR="00886415" w:rsidRPr="007655BB"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23317E6" w14:textId="50221977" w:rsidR="00886415" w:rsidRPr="007655BB" w:rsidRDefault="00886415" w:rsidP="00886415">
            <w:pPr>
              <w:spacing w:before="240" w:after="0" w:line="276" w:lineRule="auto"/>
              <w:rPr>
                <w:rFonts w:ascii="Times New Roman" w:eastAsia="Times New Roman" w:hAnsi="Times New Roman" w:cs="Times New Roman"/>
                <w:sz w:val="16"/>
                <w:szCs w:val="16"/>
                <w:lang w:val="es-ES"/>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D28BE74" w14:textId="4737C6B1" w:rsidR="00886415" w:rsidRPr="007655BB" w:rsidRDefault="00886415" w:rsidP="00886415">
            <w:pPr>
              <w:spacing w:before="240" w:after="0" w:line="276" w:lineRule="auto"/>
              <w:rPr>
                <w:rFonts w:ascii="Times New Roman" w:eastAsia="Times New Roman" w:hAnsi="Times New Roman" w:cs="Times New Roman"/>
                <w:sz w:val="16"/>
                <w:szCs w:val="16"/>
                <w:lang w:val="es-ES"/>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F1F3133" w14:textId="41CE53AF" w:rsidR="00886415" w:rsidRPr="007655BB" w:rsidRDefault="00886415" w:rsidP="00886415">
            <w:pPr>
              <w:spacing w:before="240" w:after="0" w:line="276" w:lineRule="auto"/>
              <w:rPr>
                <w:rFonts w:ascii="Times New Roman" w:eastAsia="Times New Roman" w:hAnsi="Times New Roman" w:cs="Times New Roman"/>
                <w:sz w:val="16"/>
                <w:szCs w:val="16"/>
                <w:lang w:val="es-ES"/>
              </w:rPr>
            </w:pPr>
          </w:p>
        </w:tc>
        <w:tc>
          <w:tcPr>
            <w:tcW w:w="498"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AAF28D3" w14:textId="77777777" w:rsidR="00886415" w:rsidRPr="007655BB" w:rsidRDefault="00886415" w:rsidP="00886415">
            <w:pPr>
              <w:spacing w:before="240" w:after="0" w:line="276" w:lineRule="auto"/>
              <w:rPr>
                <w:rFonts w:ascii="Times New Roman" w:eastAsia="Times New Roman" w:hAnsi="Times New Roman" w:cs="Times New Roman"/>
                <w:color w:val="2E2E2E"/>
                <w:sz w:val="16"/>
                <w:szCs w:val="16"/>
                <w:lang w:val="es-ES"/>
              </w:rPr>
            </w:pPr>
            <w:r w:rsidRPr="007655BB">
              <w:rPr>
                <w:rFonts w:ascii="Times New Roman" w:eastAsia="Times New Roman" w:hAnsi="Times New Roman" w:cs="Times New Roman"/>
                <w:color w:val="2E2E2E"/>
                <w:sz w:val="16"/>
                <w:szCs w:val="16"/>
                <w:lang w:val="es-ES"/>
              </w:rPr>
              <w:t>3</w:t>
            </w:r>
          </w:p>
        </w:tc>
        <w:tc>
          <w:tcPr>
            <w:tcW w:w="903"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CBE0270" w14:textId="49FEC224" w:rsidR="00886415" w:rsidRPr="005F44EF" w:rsidRDefault="00886415" w:rsidP="00886415">
            <w:pPr>
              <w:spacing w:before="240" w:after="0" w:line="276" w:lineRule="auto"/>
              <w:rPr>
                <w:rFonts w:ascii="Times New Roman" w:eastAsia="Times New Roman" w:hAnsi="Times New Roman" w:cs="Times New Roman"/>
                <w:sz w:val="16"/>
                <w:szCs w:val="16"/>
                <w:lang w:val="es-ES"/>
              </w:rPr>
            </w:pPr>
            <w:r w:rsidRPr="005F44EF">
              <w:rPr>
                <w:rFonts w:ascii="Times New Roman" w:eastAsia="Times New Roman" w:hAnsi="Times New Roman" w:cs="Times New Roman"/>
                <w:sz w:val="16"/>
                <w:szCs w:val="16"/>
                <w:lang w:val="es-ES"/>
              </w:rPr>
              <w:fldChar w:fldCharType="begin" w:fldLock="1"/>
            </w:r>
            <w:r w:rsidR="00614E13" w:rsidRPr="007655BB">
              <w:rPr>
                <w:rFonts w:ascii="Times New Roman" w:eastAsia="Times New Roman" w:hAnsi="Times New Roman" w:cs="Times New Roman"/>
                <w:sz w:val="16"/>
                <w:szCs w:val="16"/>
                <w:lang w:val="es-ES"/>
              </w:rPr>
              <w:instrText>ADDIN CSL_CITATION {"citationItems":[{"id":"ITEM-1","itemData":{"author":[{"dropping-particle":"","family":"Soriano","given":"S","non-dropping-particle":"","parse-names":false,"suffix":""},{"dropping-particle":"","family":"Rasse","given":"M","non-dropping-particle":"","parse-names":false,"suffix":""},{"dropping-particle":"","family":"Tribolo","given":"C","non-dropping-particle":"","parse-names":false,"suffix":""},{"dropping-particle":"","family":"Huysecom","given":"E","non-dropping-particle":"","parse-names":false,"suffix":""}],"container-title":"West African Archaeology. New Developments, New Perspectives","editor":[{"dropping-particle":"","family":"Allsworth-Jones","given":"P.","non-dropping-particle":"","parse-names":false,"suffix":""}],"id":"ITEM-1","issued":{"date-parts":[["2010"]]},"page":"1-14","publisher":"Archaeopress","publisher-place":"Oxford","title":"Ounjougou: A long Middle Stone Age sequence in the Dogon country (Mali)","type":"paper-conference"},"uris":["http://www.mendeley.com/documents/?uuid=7ff257ec-98f1-3f89-9f0f-3ceb58478e2c"]},{"id":"ITEM-2","itemData":{"DOI":"10.1016/j.quageo.2015.05.013","ISSN":"18711014","abstract":"Ounjougou is the name of a large complex of archaeological sites, that were extensively studied between 1997 and 2008 by the international team of the \"</w:instrText>
            </w:r>
            <w:r w:rsidR="00614E13">
              <w:rPr>
                <w:rFonts w:ascii="Times New Roman" w:eastAsia="Times New Roman" w:hAnsi="Times New Roman" w:cs="Times New Roman"/>
                <w:sz w:val="16"/>
                <w:szCs w:val="16"/>
                <w:lang w:val="en-US"/>
              </w:rPr>
              <w:instrText>. Human settlement and palaeoenvironment in West Africa\" project. This complex is important because well stratified Palaeolithic sites in West Africa are rare, and because it covers a long period of time (most of the Upper Pleistocene and Holocene) and exhibits a wide set of technical cultures. Therefore, for the first time it is possible to propose a chronological framework for the human settlement in this region that can be related to other technical cultures in Africa and to palaeoenvironmental data.The purpose of this paper is to present the OSL dating results obtained from 57 sediment samples that led to this framework. Measurements were first performed between 2004 and 2006 in Oxford (School of Geography), using micro-aliquots (2-10 grains) OSL and ICP-MS for determination of equivalent doses and beta-dose rates, respectively (gamma dose rates being deduced from field gamma spectrometry). More recently, new measurements were done on 28 samples of this former set at the IRAMAT-CRP2A laboratory in Bordeaux, where \"true\" single quartz grain OSL and high resolution gamma spectrometry measurements were performed. Both sets of results are, for all but two samples, statistically consistent with each other. A consistent chrono-stratigraphic framework can thus be deduced, covering the Upper Pleistocene. It suggests that the region was regularly visited during this time interval and more particularly during Marine Isotope Stage 3, when groups with different technical cultures followed each other relatively rapidly.","author":[{"dropping-particle":"","family":"Tribolo","given":"C.","non-dropping-particle":"","parse-names":false,"suffix":""},{"dropping-particle":"","family":"Rasse","given":"M.","non-dropping-particle":"","parse-names":false,"suffix":""},{"dropping-particle":"","family":"Soriano","given":"S.","non-dropping-particle":"","parse-names":false,"suffix":""},{"dropping-particle":"","family":"Huysecom","given":"E.","non-dropping-particle":"","parse-names":false,"suffix":""}],"container-title":"Quaternary Geochronology","id":"ITEM-2","issued":{"date-parts":[["2015","8","1"]]},"page":"80-96","publisher":"Elsevier","title":"Defining a chronological framework for the Middle Stone Age in West Africa: Comparison of methods and models for OSL ages at Ounjougou (Mali)","type":"article-journal","volume":"29"},"uris":["http://www.mendeley.com/documents/?uuid=6e0018ac-ada1-3cfb-bff5-c03223816195"]}],"mendeley":{"formattedCitation":"&lt;sup&gt;152,153&lt;/sup&gt;","plainTextFormattedCitation":"152,153","previouslyFormattedCitation":"&lt;sup&gt;152,153&lt;/sup&gt;"},"properties":{"noteIndex":0},"schema":"https://github.com/citation-style-language/schema/raw/master/csl-citation.json"}</w:instrText>
            </w:r>
            <w:r w:rsidRPr="005F44EF">
              <w:rPr>
                <w:rFonts w:ascii="Times New Roman" w:eastAsia="Times New Roman" w:hAnsi="Times New Roman" w:cs="Times New Roman"/>
                <w:sz w:val="16"/>
                <w:szCs w:val="16"/>
                <w:lang w:val="es-ES"/>
              </w:rPr>
              <w:fldChar w:fldCharType="separate"/>
            </w:r>
            <w:r w:rsidR="00C212A1" w:rsidRPr="00C212A1">
              <w:rPr>
                <w:rFonts w:ascii="Times New Roman" w:eastAsia="Times New Roman" w:hAnsi="Times New Roman" w:cs="Times New Roman"/>
                <w:noProof/>
                <w:sz w:val="16"/>
                <w:szCs w:val="16"/>
                <w:vertAlign w:val="superscript"/>
                <w:lang w:val="es-ES"/>
              </w:rPr>
              <w:t>152,153</w:t>
            </w:r>
            <w:r w:rsidRPr="005F44EF">
              <w:rPr>
                <w:rFonts w:ascii="Times New Roman" w:eastAsia="Times New Roman" w:hAnsi="Times New Roman" w:cs="Times New Roman"/>
                <w:sz w:val="16"/>
                <w:szCs w:val="16"/>
                <w:lang w:val="es-ES"/>
              </w:rPr>
              <w:fldChar w:fldCharType="end"/>
            </w:r>
          </w:p>
        </w:tc>
      </w:tr>
      <w:tr w:rsidR="00886415" w:rsidRPr="005F44EF" w14:paraId="070C1077" w14:textId="77777777" w:rsidTr="003C6FBD">
        <w:trPr>
          <w:trHeight w:val="190"/>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488B6F7" w14:textId="77777777" w:rsidR="00886415" w:rsidRPr="005F44EF" w:rsidRDefault="00886415" w:rsidP="00886415">
            <w:pPr>
              <w:spacing w:after="0" w:line="276" w:lineRule="auto"/>
              <w:jc w:val="both"/>
              <w:rPr>
                <w:rFonts w:ascii="Times New Roman" w:eastAsia="Times New Roman" w:hAnsi="Times New Roman" w:cs="Times New Roman"/>
                <w:b/>
                <w:sz w:val="24"/>
                <w:szCs w:val="24"/>
                <w:lang w:val="es-ES"/>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0BDFD356"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24BB4729"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c>
          <w:tcPr>
            <w:tcW w:w="128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3FA5BD39"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c>
          <w:tcPr>
            <w:tcW w:w="155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5458F891"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444A9BD"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U5: 33 ± 4</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930BA6A"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U5: 26 ± 3</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D6C26A3" w14:textId="236D432F"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913028C" w14:textId="31B7170D"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9558BB3" w14:textId="57FC114F"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1DD3FDF" w14:textId="7C30D764"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FE832CA" w14:textId="78C41368"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49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69F154FC"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c>
          <w:tcPr>
            <w:tcW w:w="90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6A562D13"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r>
      <w:tr w:rsidR="00886415" w:rsidRPr="005F44EF" w14:paraId="4F55CB93" w14:textId="77777777" w:rsidTr="003C6FBD">
        <w:trPr>
          <w:trHeight w:val="190"/>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4E0618B" w14:textId="77777777" w:rsidR="00886415" w:rsidRPr="005F44EF" w:rsidRDefault="00886415" w:rsidP="00886415">
            <w:pPr>
              <w:spacing w:after="0" w:line="276" w:lineRule="auto"/>
              <w:jc w:val="both"/>
              <w:rPr>
                <w:rFonts w:ascii="Times New Roman" w:eastAsia="Times New Roman" w:hAnsi="Times New Roman" w:cs="Times New Roman"/>
                <w:b/>
                <w:sz w:val="24"/>
                <w:szCs w:val="24"/>
                <w:lang w:val="es-ES"/>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5F0B1A2A"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47F7A316"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c>
          <w:tcPr>
            <w:tcW w:w="1284"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2385711"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Dandoli 1</w:t>
            </w:r>
          </w:p>
        </w:tc>
        <w:tc>
          <w:tcPr>
            <w:tcW w:w="1557"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670D302" w14:textId="15297532"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15BD788"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U5: 30 ± 4</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B686B26"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U5: 34 ± 4</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FE37CA1" w14:textId="7281AEBE"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530EEA6" w14:textId="741995F9"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1403F0D" w14:textId="149B617A"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8BFD387" w14:textId="27F74E14"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222BAFD" w14:textId="557B170D"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498"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96C2054"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3</w:t>
            </w:r>
          </w:p>
        </w:tc>
        <w:tc>
          <w:tcPr>
            <w:tcW w:w="903"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420F4A3" w14:textId="7DD5F6AE" w:rsidR="00886415" w:rsidRPr="005F44EF" w:rsidRDefault="00886415" w:rsidP="00886415">
            <w:pPr>
              <w:spacing w:before="240" w:after="0" w:line="276" w:lineRule="auto"/>
              <w:rPr>
                <w:rFonts w:ascii="Times New Roman" w:eastAsia="Times New Roman" w:hAnsi="Times New Roman" w:cs="Times New Roman"/>
                <w:sz w:val="16"/>
                <w:szCs w:val="16"/>
                <w:lang w:val="es-ES"/>
              </w:rPr>
            </w:pPr>
            <w:r w:rsidRPr="005F44EF">
              <w:rPr>
                <w:rFonts w:ascii="Times New Roman" w:eastAsia="Times New Roman" w:hAnsi="Times New Roman" w:cs="Times New Roman"/>
                <w:sz w:val="16"/>
                <w:szCs w:val="16"/>
                <w:lang w:val="es-ES"/>
              </w:rPr>
              <w:fldChar w:fldCharType="begin" w:fldLock="1"/>
            </w:r>
            <w:r w:rsidR="00614E13">
              <w:rPr>
                <w:rFonts w:ascii="Times New Roman" w:eastAsia="Times New Roman" w:hAnsi="Times New Roman" w:cs="Times New Roman"/>
                <w:sz w:val="16"/>
                <w:szCs w:val="16"/>
                <w:lang w:val="es-ES"/>
              </w:rPr>
              <w:instrText>ADDIN CSL_CITATION {"citationItems":[{"id":"ITEM-1","itemData":{"author":[{"dropping-particle":"","family":"Soriano","given":"S","non-dropping-particle":"","parse-names":false,"suffix":""},{"dropping-particle":"","family":"Rasse","given":"M","non-dropping-particle":"","parse-names":false,"suffix":""},{"dropping-particle":"","family":"Tribolo","given":"C","non-dropping-particle":"","parse-names":false,"suffix":""},{"dropping-particle":"","family":"Huysecom","given":"E","non-dropping-particle":"","parse-names":false,"suffix":""}],"container-title":"West African Archaeology. New Developments, New Perspectives","editor":[{"dropping-particle":"","family":"Allsworth-Jones","given":"P.","non-dropping-particle":"","parse-names":false,"suffix":""}],"id":"ITEM-1","issued":{"date-parts":[["2010"]]},"page":"1-14","publisher":"Archaeopress","publisher-place":"Oxford","title":"Ounjougou: A long Middle Stone Age sequence in the Dogon country (Mali)","type":"paper-conference"},"uris":["http://www.mendeley.com/documents/?uuid=7ff257ec-98f1-3f89-9f0f-3ceb58478e2c"]},{"id":"ITEM-2","itemData":{"DOI":"10.1016/j.quageo.2015.05.013","ISSN":"18711014","abstract":"Ounjougou is the name of a large complex of archaeological sites, that were extensively studied between 1997 and 2008 by the international team of the \". Human settlement and palaeoenvironment in West Africa\" project. This complex is important because well stratified Palaeolithic sites in West Africa are rare, and because it covers a long period of time (most of the Upper Pleistocene and Holocene) and exhibits a wide set of technical cultures. Therefore, for the first time it is possible to propose a chronological framework for the human settlement in this region that can be related to other technical cultures in Africa and to palaeoenvironmental data.The purpose of this paper is to present the OSL dating results obtained from 57 sediment samples that led to this framework. Measurements were first performed between 2004 and 2006 in Oxford (School of Geography), using micro-aliquots (2-10 grains) OSL and ICP-MS for determination of equivalent doses and beta-dose rates, respectively (gamma dose rates being deduced from field gamma spectrometry). More recently, new measurements were done on 28 samples of this former set at the IRAMAT-CRP2A laboratory in Bordeaux, where \"true\" single quartz grain OSL and high resolution gamma spectrometry measurements were performed. Both sets of results are, for all but two samples, statistically consistent with each other. A consistent chrono-stratigraphic framework can thus be deduced, covering the Upper Pleistocene. It suggests that the region was regularly visited during this time interval and more particularly during Marine Isotope Stage 3, when groups with different technical cultures followed each other relatively rapidly.","author":[{"dropping-particle":"","family":"Tribolo","given":"C.","non-dropping-particle":"","parse-names":false,"suffix":""},{"dropping-particle":"","family":"Rasse","given":"M.","non-dropping-particle":"","parse-names":false,"suffix":""},{"dropping-particle":"","family":"Soriano","given":"S.","non-dropping-particle":"","parse-names":false,"suffix":""},{"dropping-particle":"","family":"Huysecom","given":"E.","non-dropping-particle":"","parse-names":false,"suffix":""}],"container-title":"Quaternary Geochronology","id":"ITEM-2","issued":{"date-parts":[["2015","8","1"]]},"page":"80-96","publisher":"Elsevier","title":"Defining a chronological framework for the Middle Stone Age in West Africa: Comparison of methods and models for OSL ages at Ounjougou (Mali)","type":"article-journal","volume":"29"},"uris":["http://www.mendeley.com/documents/?uuid=6e0018ac-ada1-3cfb-bff5-c03223816195"]}],"mendeley":{"formattedCitation":"&lt;sup&gt;152,153&lt;/sup&gt;","plainTextFormattedCitation":"152,153","previouslyFormattedCitation":"&lt;sup&gt;152,153&lt;/sup&gt;"},"properties":{"noteIndex":0},"schema":"https://github.com/citation-style-language/schema/raw/master/csl-citation.json"}</w:instrText>
            </w:r>
            <w:r w:rsidRPr="005F44EF">
              <w:rPr>
                <w:rFonts w:ascii="Times New Roman" w:eastAsia="Times New Roman" w:hAnsi="Times New Roman" w:cs="Times New Roman"/>
                <w:sz w:val="16"/>
                <w:szCs w:val="16"/>
                <w:lang w:val="es-ES"/>
              </w:rPr>
              <w:fldChar w:fldCharType="separate"/>
            </w:r>
            <w:r w:rsidR="00C212A1" w:rsidRPr="00C212A1">
              <w:rPr>
                <w:rFonts w:ascii="Times New Roman" w:eastAsia="Times New Roman" w:hAnsi="Times New Roman" w:cs="Times New Roman"/>
                <w:noProof/>
                <w:sz w:val="16"/>
                <w:szCs w:val="16"/>
                <w:vertAlign w:val="superscript"/>
                <w:lang w:val="es-ES"/>
              </w:rPr>
              <w:t>152,153</w:t>
            </w:r>
            <w:r w:rsidRPr="005F44EF">
              <w:rPr>
                <w:rFonts w:ascii="Times New Roman" w:eastAsia="Times New Roman" w:hAnsi="Times New Roman" w:cs="Times New Roman"/>
                <w:sz w:val="16"/>
                <w:szCs w:val="16"/>
                <w:lang w:val="es-ES"/>
              </w:rPr>
              <w:fldChar w:fldCharType="end"/>
            </w:r>
          </w:p>
        </w:tc>
      </w:tr>
      <w:tr w:rsidR="00886415" w:rsidRPr="005F44EF" w14:paraId="33F1AE76" w14:textId="77777777" w:rsidTr="003C6FBD">
        <w:trPr>
          <w:trHeight w:val="190"/>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96FA41A" w14:textId="77777777" w:rsidR="00886415" w:rsidRPr="005F44EF" w:rsidRDefault="00886415" w:rsidP="00886415">
            <w:pPr>
              <w:spacing w:after="0" w:line="276" w:lineRule="auto"/>
              <w:jc w:val="both"/>
              <w:rPr>
                <w:rFonts w:ascii="Times New Roman" w:eastAsia="Times New Roman" w:hAnsi="Times New Roman" w:cs="Times New Roman"/>
                <w:b/>
                <w:sz w:val="24"/>
                <w:szCs w:val="24"/>
                <w:lang w:val="es-ES"/>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3AF74593"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3B34E0DC"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c>
          <w:tcPr>
            <w:tcW w:w="128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76A32432"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c>
          <w:tcPr>
            <w:tcW w:w="155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6BB08EEB"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F67B7D7"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U5: 36 ± 4</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904B7A7"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U5: 35 ± 4</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50667F2" w14:textId="6E3039FE"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1CE8682" w14:textId="4B2DB12B"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B0AE9AB" w14:textId="32F2AE0A"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CB300B1" w14:textId="230B934C"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A2E494A" w14:textId="0E1E8009"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49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1CBE5E32"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c>
          <w:tcPr>
            <w:tcW w:w="90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4E30747D"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r>
      <w:tr w:rsidR="00886415" w:rsidRPr="005F44EF" w14:paraId="356071F4" w14:textId="77777777" w:rsidTr="003C6FBD">
        <w:trPr>
          <w:trHeight w:val="311"/>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9BEB08B" w14:textId="77777777" w:rsidR="00886415" w:rsidRPr="005F44EF" w:rsidRDefault="00886415" w:rsidP="00886415">
            <w:pPr>
              <w:spacing w:after="0" w:line="276" w:lineRule="auto"/>
              <w:jc w:val="both"/>
              <w:rPr>
                <w:rFonts w:ascii="Times New Roman" w:eastAsia="Times New Roman" w:hAnsi="Times New Roman" w:cs="Times New Roman"/>
                <w:b/>
                <w:sz w:val="24"/>
                <w:szCs w:val="24"/>
                <w:lang w:val="es-ES"/>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0387AFDF"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0772BCA8"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7BC26D0"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Dandoli 2</w:t>
            </w: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829D2BA"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U5</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7860941"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30 ± 3;32 ± 3</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C1DDABA"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30 ± 3</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05D02CB" w14:textId="4322A04D"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B40C478" w14:textId="226C8B4E"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EBDF534" w14:textId="3929074D"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874AA4A" w14:textId="7609F840"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EB5C4B4" w14:textId="7785A2F0"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E4815D6"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3</w:t>
            </w:r>
          </w:p>
        </w:tc>
        <w:tc>
          <w:tcPr>
            <w:tcW w:w="90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E7ABAE3" w14:textId="653A57DF" w:rsidR="00886415" w:rsidRPr="005F44EF" w:rsidRDefault="00886415" w:rsidP="00886415">
            <w:pPr>
              <w:spacing w:before="240" w:after="0" w:line="276" w:lineRule="auto"/>
              <w:rPr>
                <w:rFonts w:ascii="Times New Roman" w:eastAsia="Times New Roman" w:hAnsi="Times New Roman" w:cs="Times New Roman"/>
                <w:sz w:val="16"/>
                <w:szCs w:val="16"/>
                <w:lang w:val="es-ES"/>
              </w:rPr>
            </w:pPr>
            <w:r w:rsidRPr="005F44EF">
              <w:rPr>
                <w:rFonts w:ascii="Times New Roman" w:eastAsia="Times New Roman" w:hAnsi="Times New Roman" w:cs="Times New Roman"/>
                <w:sz w:val="16"/>
                <w:szCs w:val="16"/>
                <w:lang w:val="es-ES"/>
              </w:rPr>
              <w:fldChar w:fldCharType="begin" w:fldLock="1"/>
            </w:r>
            <w:r w:rsidR="00614E13">
              <w:rPr>
                <w:rFonts w:ascii="Times New Roman" w:eastAsia="Times New Roman" w:hAnsi="Times New Roman" w:cs="Times New Roman"/>
                <w:sz w:val="16"/>
                <w:szCs w:val="16"/>
                <w:lang w:val="es-ES"/>
              </w:rPr>
              <w:instrText>ADDIN CSL_CITATION {"citationItems":[{"id":"ITEM-1","itemData":{"author":[{"dropping-particle":"","family":"Soriano","given":"S","non-dropping-particle":"","parse-names":false,"suffix":""},{"dropping-particle":"","family":"Rasse","given":"M","non-dropping-particle":"","parse-names":false,"suffix":""},{"dropping-particle":"","family":"Tribolo","given":"C","non-dropping-particle":"","parse-names":false,"suffix":""},{"dropping-particle":"","family":"Huysecom","given":"E","non-dropping-particle":"","parse-names":false,"suffix":""}],"container-title":"West African Archaeology. New Developments, New Perspectives","editor":[{"dropping-particle":"","family":"Allsworth-Jones","given":"P.","non-dropping-particle":"","parse-names":false,"suffix":""}],"id":"ITEM-1","issued":{"date-parts":[["2010"]]},"page":"1-14","publisher":"Archaeopress","publisher-place":"Oxford","title":"Ounjougou: A long Middle Stone Age sequence in the Dogon country (Mali)","type":"paper-conference"},"uris":["http://www.mendeley.com/documents/?uuid=7ff257ec-98f1-3f89-9f0f-3ceb58478e2c"]},{"id":"ITEM-2","itemData":{"DOI":"10.1016/j.quageo.2015.05.013","ISSN":"18711014","abstract":"Ounjougou is the name of a large complex of archaeological sites, that were extensively studied between 1997 and 2008 by the international team of the \". Human settlement and palaeoenvironment in West Africa\" project. This complex is important because well stratified Palaeolithic sites in West Africa are rare, and because it covers a long period of time (most of the Upper Pleistocene and Holocene) and exhibits a wide set of technical cultures. Therefore, for the first time it is possible to propose a chronological framework for the human settlement in this region that can be related to other technical cultures in Africa and to palaeoenvironmental data.The purpose of this paper is to present the OSL dating results obtained from 57 sediment samples that led to this framework. Measurements were first performed between 2004 and 2006 in Oxford (School of Geography), using micro-aliquots (2-10 grains) OSL and ICP-MS for determination of equivalent doses and beta-dose rates, respectively (gamma dose rates being deduced from field gamma spectrometry). More recently, new measurements were done on 28 samples of this former set at the IRAMAT-CRP2A laboratory in Bordeaux, where \"true\" single quartz grain OSL and high resolution gamma spectrometry measurements were performed. Both sets of results are, for all but two samples, statistically consistent with each other. A consistent chrono-stratigraphic framework can thus be deduced, covering the Upper Pleistocene. It suggests that the region was regularly visited during this time interval and more particularly during Marine Isotope Stage 3, when groups with different technical cultures followed each other relatively rapidly.","author":[{"dropping-particle":"","family":"Tribolo","given":"C.","non-dropping-particle":"","parse-names":false,"suffix":""},{"dropping-particle":"","family":"Rasse","given":"M.","non-dropping-particle":"","parse-names":false,"suffix":""},{"dropping-particle":"","family":"Soriano","given":"S.","non-dropping-particle":"","parse-names":false,"suffix":""},{"dropping-particle":"","family":"Huysecom","given":"E.","non-dropping-particle":"","parse-names":false,"suffix":""}],"container-title":"Quaternary Geochronology","id":"ITEM-2","issued":{"date-parts":[["2015","8","1"]]},"page":"80-96","publisher":"Elsevier","title":"Defining a chronological framework for the Middle Stone Age in West Africa: Comparison of methods and models for OSL ages at Ounjougou (Mali)","type":"article-journal","volume":"29"},"uris":["http://www.mendeley.com/documents/?uuid=6e0018ac-ada1-3cfb-bff5-c03223816195"]}],"mendeley":{"formattedCitation":"&lt;sup&gt;152,153&lt;/sup&gt;","plainTextFormattedCitation":"152,153","previouslyFormattedCitation":"&lt;sup&gt;152,153&lt;/sup&gt;"},"properties":{"noteIndex":0},"schema":"https://github.com/citation-style-language/schema/raw/master/csl-citation.json"}</w:instrText>
            </w:r>
            <w:r w:rsidRPr="005F44EF">
              <w:rPr>
                <w:rFonts w:ascii="Times New Roman" w:eastAsia="Times New Roman" w:hAnsi="Times New Roman" w:cs="Times New Roman"/>
                <w:sz w:val="16"/>
                <w:szCs w:val="16"/>
                <w:lang w:val="es-ES"/>
              </w:rPr>
              <w:fldChar w:fldCharType="separate"/>
            </w:r>
            <w:r w:rsidR="00C212A1" w:rsidRPr="00C212A1">
              <w:rPr>
                <w:rFonts w:ascii="Times New Roman" w:eastAsia="Times New Roman" w:hAnsi="Times New Roman" w:cs="Times New Roman"/>
                <w:noProof/>
                <w:sz w:val="16"/>
                <w:szCs w:val="16"/>
                <w:vertAlign w:val="superscript"/>
                <w:lang w:val="es-ES"/>
              </w:rPr>
              <w:t>152,153</w:t>
            </w:r>
            <w:r w:rsidRPr="005F44EF">
              <w:rPr>
                <w:rFonts w:ascii="Times New Roman" w:eastAsia="Times New Roman" w:hAnsi="Times New Roman" w:cs="Times New Roman"/>
                <w:sz w:val="16"/>
                <w:szCs w:val="16"/>
                <w:lang w:val="es-ES"/>
              </w:rPr>
              <w:fldChar w:fldCharType="end"/>
            </w:r>
          </w:p>
        </w:tc>
      </w:tr>
      <w:tr w:rsidR="00886415" w:rsidRPr="005F44EF" w14:paraId="11C64F0B" w14:textId="77777777" w:rsidTr="003C6FBD">
        <w:trPr>
          <w:trHeight w:val="311"/>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0006F29" w14:textId="77777777" w:rsidR="00886415" w:rsidRPr="005F44EF" w:rsidRDefault="00886415" w:rsidP="00886415">
            <w:pPr>
              <w:spacing w:after="0" w:line="276" w:lineRule="auto"/>
              <w:jc w:val="both"/>
              <w:rPr>
                <w:rFonts w:ascii="Times New Roman" w:eastAsia="Times New Roman" w:hAnsi="Times New Roman" w:cs="Times New Roman"/>
                <w:b/>
                <w:sz w:val="24"/>
                <w:szCs w:val="24"/>
                <w:lang w:val="es-ES"/>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3BB569B6"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39A54196" w14:textId="77777777" w:rsidR="00886415" w:rsidRPr="005F44EF" w:rsidRDefault="00886415" w:rsidP="00886415">
            <w:pPr>
              <w:spacing w:after="0" w:line="276" w:lineRule="auto"/>
              <w:rPr>
                <w:rFonts w:ascii="Times New Roman" w:eastAsia="Times New Roman" w:hAnsi="Times New Roman" w:cs="Times New Roman"/>
                <w:b/>
                <w:sz w:val="24"/>
                <w:szCs w:val="24"/>
                <w:lang w:val="es-ES"/>
              </w:rPr>
            </w:pPr>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3D1E280"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roofErr w:type="spellStart"/>
            <w:r w:rsidRPr="005F44EF">
              <w:rPr>
                <w:rFonts w:ascii="Times New Roman" w:eastAsia="Times New Roman" w:hAnsi="Times New Roman" w:cs="Times New Roman"/>
                <w:color w:val="2E2E2E"/>
                <w:sz w:val="16"/>
                <w:szCs w:val="16"/>
                <w:lang w:val="es-ES"/>
              </w:rPr>
              <w:t>Sinkarma</w:t>
            </w:r>
            <w:proofErr w:type="spellEnd"/>
            <w:r w:rsidRPr="005F44EF">
              <w:rPr>
                <w:rFonts w:ascii="Times New Roman" w:eastAsia="Times New Roman" w:hAnsi="Times New Roman" w:cs="Times New Roman"/>
                <w:color w:val="2E2E2E"/>
                <w:sz w:val="16"/>
                <w:szCs w:val="16"/>
                <w:lang w:val="es-ES"/>
              </w:rPr>
              <w:t xml:space="preserve"> 1</w:t>
            </w: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5EAF528"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U5</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1CBE343"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34 ± 4</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5DA5231"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23 ± 3</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38FD4E6" w14:textId="5CC8BC69"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FE7771C" w14:textId="1BF0DF4A"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DD15B3E" w14:textId="02B2D6E1"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3A62CEC" w14:textId="21EA23AC"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9161395" w14:textId="2E673E3A"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EF9F74B"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3</w:t>
            </w:r>
          </w:p>
        </w:tc>
        <w:tc>
          <w:tcPr>
            <w:tcW w:w="90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690F2FA" w14:textId="4A62691B" w:rsidR="00886415" w:rsidRPr="005F44EF" w:rsidRDefault="00886415" w:rsidP="00886415">
            <w:pPr>
              <w:spacing w:before="240" w:after="0" w:line="276" w:lineRule="auto"/>
              <w:rPr>
                <w:rFonts w:ascii="Times New Roman" w:eastAsia="Times New Roman" w:hAnsi="Times New Roman" w:cs="Times New Roman"/>
                <w:sz w:val="16"/>
                <w:szCs w:val="16"/>
                <w:lang w:val="es-ES"/>
              </w:rPr>
            </w:pPr>
            <w:r w:rsidRPr="005F44EF">
              <w:rPr>
                <w:rFonts w:ascii="Times New Roman" w:eastAsia="Times New Roman" w:hAnsi="Times New Roman" w:cs="Times New Roman"/>
                <w:sz w:val="16"/>
                <w:szCs w:val="16"/>
                <w:lang w:val="es-ES"/>
              </w:rPr>
              <w:fldChar w:fldCharType="begin" w:fldLock="1"/>
            </w:r>
            <w:r w:rsidR="00614E13">
              <w:rPr>
                <w:rFonts w:ascii="Times New Roman" w:eastAsia="Times New Roman" w:hAnsi="Times New Roman" w:cs="Times New Roman"/>
                <w:sz w:val="16"/>
                <w:szCs w:val="16"/>
                <w:lang w:val="es-ES"/>
              </w:rPr>
              <w:instrText>ADDIN CSL_CITATION {"citationItems":[{"id":"ITEM-1","itemData":{"author":[{"dropping-particle":"","family":"Soriano","given":"S","non-dropping-particle":"","parse-names":false,"suffix":""},{"dropping-particle":"","family":"Rasse","given":"M","non-dropping-particle":"","parse-names":false,"suffix":""},{"dropping-particle":"","family":"Tribolo","given":"C","non-dropping-particle":"","parse-names":false,"suffix":""},{"dropping-particle":"","family":"Huysecom","given":"E","non-dropping-particle":"","parse-names":false,"suffix":""}],"container-title":"West African Archaeology. New Developments, New Perspectives","editor":[{"dropping-particle":"","family":"Allsworth-Jones","given":"P.","non-dropping-particle":"","parse-names":false,"suffix":""}],"id":"ITEM-1","issued":{"date-parts":[["2010"]]},"page":"1-14","publisher":"Archaeopress","publisher-place":"Oxford","title":"Ounjougou: A long Middle Stone Age sequence in the Dogon country (Mali)","type":"paper-conference"},"uris":["http://www.mendeley.com/documents/?uuid=7ff257ec-98f1-3f89-9f0f-3ceb58478e2c"]},{"id":"ITEM-2","itemData":{"DOI":"10.1016/j.quageo.2015.05.013","ISSN":"18711014","abstract":"Ounjougou is the name of a large complex of archaeological sites, that were extensively studied between 1997 and 2008 by the international team of the \". Human settlement and palaeoenvironment in West Africa\" project. This complex is important because well stratified Palaeolithic sites in West Africa are rare, and because it covers a long period of time (most of the Upper Pleistocene and Holocene) and exhibits a wide set of technical cultures. Therefore, for the first time it is possible to propose a chronological framework for the human settlement in this region that can be related to other technical cultures in Africa and to palaeoenvironmental data.The purpose of this paper is to present the OSL dating results obtained from 57 sediment samples that led to this framework. Measurements were first performed between 2004 and 2006 in Oxford (School of Geography), using micro-aliquots (2-10 grains) OSL and ICP-MS for determination of equivalent doses and beta-dose rates, respectively (gamma dose rates being deduced from field gamma spectrometry). More recently, new measurements were done on 28 samples of this former set at the IRAMAT-CRP2A laboratory in Bordeaux, where \"true\" single quartz grain OSL and high resolution gamma spectrometry measurements were performed. Both sets of results are, for all but two samples, statistically consistent with each other. A consistent chrono-stratigraphic framework can thus be deduced, covering the Upper Pleistocene. It suggests that the region was regularly visited during this time interval and more particularly during Marine Isotope Stage 3, when groups with different technical cultures followed each other relatively rapidly.","author":[{"dropping-particle":"","family":"Tribolo","given":"C.","non-dropping-particle":"","parse-names":false,"suffix":""},{"dropping-particle":"","family":"Rasse","given":"M.","non-dropping-particle":"","parse-names":false,"suffix":""},{"dropping-particle":"","family":"Soriano","given":"S.","non-dropping-particle":"","parse-names":false,"suffix":""},{"dropping-particle":"","family":"Huysecom","given":"E.","non-dropping-particle":"","parse-names":false,"suffix":""}],"container-title":"Quaternary Geochronology","id":"ITEM-2","issued":{"date-parts":[["2015","8","1"]]},"page":"80-96","publisher":"Elsevier","title":"Defining a chronological framework for the Middle Stone Age in West Africa: Comparison of methods and models for OSL ages at Ounjougou (Mali)","type":"article-journal","volume":"29"},"uris":["http://www.mendeley.com/documents/?uuid=6e0018ac-ada1-3cfb-bff5-c03223816195"]}],"mendeley":{"formattedCitation":"&lt;sup&gt;152,153&lt;/sup&gt;","plainTextFormattedCitation":"152,153","previouslyFormattedCitation":"&lt;sup&gt;152,153&lt;/sup&gt;"},"properties":{"noteIndex":0},"schema":"https://github.com/citation-style-language/schema/raw/master/csl-citation.json"}</w:instrText>
            </w:r>
            <w:r w:rsidRPr="005F44EF">
              <w:rPr>
                <w:rFonts w:ascii="Times New Roman" w:eastAsia="Times New Roman" w:hAnsi="Times New Roman" w:cs="Times New Roman"/>
                <w:sz w:val="16"/>
                <w:szCs w:val="16"/>
                <w:lang w:val="es-ES"/>
              </w:rPr>
              <w:fldChar w:fldCharType="separate"/>
            </w:r>
            <w:r w:rsidR="00C212A1" w:rsidRPr="00C212A1">
              <w:rPr>
                <w:rFonts w:ascii="Times New Roman" w:eastAsia="Times New Roman" w:hAnsi="Times New Roman" w:cs="Times New Roman"/>
                <w:noProof/>
                <w:sz w:val="16"/>
                <w:szCs w:val="16"/>
                <w:vertAlign w:val="superscript"/>
                <w:lang w:val="es-ES"/>
              </w:rPr>
              <w:t>152,153</w:t>
            </w:r>
            <w:r w:rsidRPr="005F44EF">
              <w:rPr>
                <w:rFonts w:ascii="Times New Roman" w:eastAsia="Times New Roman" w:hAnsi="Times New Roman" w:cs="Times New Roman"/>
                <w:sz w:val="16"/>
                <w:szCs w:val="16"/>
                <w:lang w:val="es-ES"/>
              </w:rPr>
              <w:fldChar w:fldCharType="end"/>
            </w:r>
          </w:p>
        </w:tc>
      </w:tr>
      <w:tr w:rsidR="00886415" w:rsidRPr="005F44EF" w14:paraId="36B3F9CF" w14:textId="77777777" w:rsidTr="003C6FBD">
        <w:trPr>
          <w:trHeight w:val="311"/>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FD313E3" w14:textId="77777777" w:rsidR="00886415" w:rsidRPr="005F44EF" w:rsidRDefault="00886415" w:rsidP="00886415">
            <w:pPr>
              <w:spacing w:after="0" w:line="276" w:lineRule="auto"/>
              <w:jc w:val="both"/>
              <w:rPr>
                <w:rFonts w:ascii="Times New Roman" w:eastAsia="Times New Roman" w:hAnsi="Times New Roman" w:cs="Times New Roman"/>
                <w:b/>
                <w:sz w:val="24"/>
                <w:szCs w:val="24"/>
                <w:lang w:val="es-ES"/>
              </w:rPr>
            </w:pPr>
          </w:p>
        </w:tc>
        <w:tc>
          <w:tcPr>
            <w:tcW w:w="1164"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FAEE2D3"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Senegal</w:t>
            </w:r>
          </w:p>
        </w:tc>
        <w:tc>
          <w:tcPr>
            <w:tcW w:w="1009"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340A021"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 xml:space="preserve">Western </w:t>
            </w:r>
            <w:proofErr w:type="spellStart"/>
            <w:r w:rsidRPr="005F44EF">
              <w:rPr>
                <w:rFonts w:ascii="Times New Roman" w:eastAsia="Times New Roman" w:hAnsi="Times New Roman" w:cs="Times New Roman"/>
                <w:color w:val="2E2E2E"/>
                <w:sz w:val="16"/>
                <w:szCs w:val="16"/>
                <w:lang w:val="es-ES"/>
              </w:rPr>
              <w:t>coast</w:t>
            </w:r>
            <w:proofErr w:type="spellEnd"/>
          </w:p>
        </w:tc>
        <w:tc>
          <w:tcPr>
            <w:tcW w:w="1284"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14BE5E8"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Tiémassas</w:t>
            </w:r>
          </w:p>
        </w:tc>
        <w:tc>
          <w:tcPr>
            <w:tcW w:w="1557"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7BFDFE8" w14:textId="49CAFF2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6FD8D0A"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S7: 61.9 ± 2.6</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8189698" w14:textId="0BAB4AF8"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2561684" w14:textId="4567D0BA"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BAAA2DD" w14:textId="3ABF5819"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C36DB1D" w14:textId="59A37978"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F80D7C8" w14:textId="6F77C7E2"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CE2CB07" w14:textId="613C1A64" w:rsidR="00886415" w:rsidRPr="005F44EF" w:rsidRDefault="00886415" w:rsidP="00886415">
            <w:pPr>
              <w:spacing w:before="240" w:after="0" w:line="276" w:lineRule="auto"/>
              <w:rPr>
                <w:rFonts w:ascii="Times New Roman" w:eastAsia="Times New Roman" w:hAnsi="Times New Roman" w:cs="Times New Roman"/>
                <w:sz w:val="16"/>
                <w:szCs w:val="16"/>
                <w:lang w:val="es-ES"/>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393AE4D"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lang w:val="es-ES"/>
              </w:rPr>
            </w:pPr>
            <w:r w:rsidRPr="005F44EF">
              <w:rPr>
                <w:rFonts w:ascii="Times New Roman" w:eastAsia="Times New Roman" w:hAnsi="Times New Roman" w:cs="Times New Roman"/>
                <w:color w:val="2E2E2E"/>
                <w:sz w:val="16"/>
                <w:szCs w:val="16"/>
                <w:lang w:val="es-ES"/>
              </w:rPr>
              <w:t>4</w:t>
            </w:r>
          </w:p>
        </w:tc>
        <w:tc>
          <w:tcPr>
            <w:tcW w:w="903"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39282E2" w14:textId="665E3680" w:rsidR="00886415" w:rsidRPr="005F44EF" w:rsidRDefault="00886415" w:rsidP="00886415">
            <w:pPr>
              <w:spacing w:before="240" w:after="0" w:line="276" w:lineRule="auto"/>
              <w:rPr>
                <w:rFonts w:ascii="Times New Roman" w:eastAsia="Times New Roman" w:hAnsi="Times New Roman" w:cs="Times New Roman"/>
                <w:sz w:val="16"/>
                <w:szCs w:val="16"/>
                <w:lang w:val="fr-FR"/>
              </w:rPr>
            </w:pPr>
            <w:r w:rsidRPr="005F44EF">
              <w:rPr>
                <w:rFonts w:ascii="Times New Roman" w:eastAsia="Times New Roman" w:hAnsi="Times New Roman" w:cs="Times New Roman"/>
                <w:sz w:val="16"/>
                <w:szCs w:val="16"/>
                <w:lang w:val="fr-FR"/>
              </w:rPr>
              <w:fldChar w:fldCharType="begin" w:fldLock="1"/>
            </w:r>
            <w:r w:rsidR="00614E13">
              <w:rPr>
                <w:rFonts w:ascii="Times New Roman" w:eastAsia="Times New Roman" w:hAnsi="Times New Roman" w:cs="Times New Roman"/>
                <w:sz w:val="16"/>
                <w:szCs w:val="16"/>
                <w:lang w:val="es-ES"/>
              </w:rPr>
              <w:instrText xml:space="preserve">ADDIN CSL_CITATION {"citationItems":[{"id":"ITEM-1","itemData":{"DOI":"10.1016/j.quascirev.2018.03.022","ISSN":"02773791","abstract":"Examinations of modern human dispersals are typically focused on expansions from South, East or North Africa into Eurasia, with more limited attention paid to dispersals within Africa. The paucity of the West African fossil record means it has typically been overlooked in appraisals of human expansions in the Late Pleistocene, yet regions such as Senegal occur in key biogeographic transitional zones that may offer significant corridors for human occupation and expansion. Here, we report the first evidence for Middle Stone Age occupation of the West African littoral from Tiémassas, dating to </w:instrText>
            </w:r>
            <w:r w:rsidR="00614E13">
              <w:rPr>
                <w:rFonts w:ascii="Cambria Math" w:eastAsia="Times New Roman" w:hAnsi="Cambria Math" w:cs="Cambria Math"/>
                <w:sz w:val="16"/>
                <w:szCs w:val="16"/>
                <w:lang w:val="es-ES"/>
              </w:rPr>
              <w:instrText>∼</w:instrText>
            </w:r>
            <w:r w:rsidR="00614E13">
              <w:rPr>
                <w:rFonts w:ascii="Times New Roman" w:eastAsia="Times New Roman" w:hAnsi="Times New Roman" w:cs="Times New Roman"/>
                <w:sz w:val="16"/>
                <w:szCs w:val="16"/>
                <w:lang w:val="es-ES"/>
              </w:rPr>
              <w:instrText>44 thousand years ago, coinciding with a period of enhanced humidity across the region. Prehistoric populations mainly procured raw material from exposed Ypresian limestone horizons with Levallois, discoidal and informal reduction sequences producing flake blanks for retouched tools. We discuss this mid-Marine Isotope Stage 3 occupation in the context of the site's unique, ecotonal position amongst Middle Stone Age sites across West Africa, and its significance for Later Stone Age colonization of near coastal forests in the region. The results also support previous suggestions for connections between Middle Stone Age populations in West Africa and the Maghreb, for which the coastline may also have played a significant role.","author":[{"dropping-particle":"","family":"Niang","given":"Khady","non-dropping-particle":"","parse-names":false,"suffix":""},{"dropping-particle":"","family":"Blinkhorn","given":"James","non-dropping-particle":"","parse-names":false,"suffix":""},{"dropping-particle":"","family":"Ndiaye","given":"Matar","non-dropping-particle":"","parse-names":false,"suffix":""}],"container-title":"Quaternary Science Reviews","id":"ITEM-1","issued":{"date-parts":[["2018","4"]]},"title":"The oldest Stone Age occupation of coastal West Africa and its implications for modern human dispersals: New insight from Tiémassas","type":"article-journal"},"uris":["http://www.mendeley.com/documents/?uuid=8432f403-0da8-38c0-9b29-03ad70477de5"]},{"id":"ITEM-2","itemData":{"DOI":"10.1016/J.JASREP.2020.102658","ISSN":"2352-409X","abstract":"Chronometrically dated Pleistocene records of human occupations of West Africa are rare but offer critical information with which to explore patterns of human origins and adaptation both within the region and more widely across the continent. A number of Middle Stone Age sites are known from the larger river valleys of West Africa, but recent work at the site of Tiémassas has highlighted the presence of Late Pleistocene occupations of the West African coastline. Tiémassas is the westernmost Middle Stone Age site known from Africa, and is located at the interface of Sudanian savannahs, Guinean forest-savannah mosaics and mangrove habitats. Research in the 20th century identified rich collections of MSA stone tools at the site, and our earlier excavations at Tiémassas have constrained an occupation to ca. 44 thousand years ago. Here, we present the results of further chronological dating and detailed analyses of lithic assemblages from new excavations at the site. We synthesize these new findings with the wider suite of evidence from the site to characterize MSA occupations of the West African coast to between 62 and 25 thousand years ago. Our results suggest considerable technological continuity in stone tool technologies at Tiémassas. Despite the immediate proximity of the coastline, there is little evidence at present to suggest direct engagement with coastal resources by MSA populations. Rather, the ecotonal position of the site, alongside more diffuse benefits of its coastal position, may have provided an attractive context for Middle Stone Age occupation.","author":[{"dropping-particle":"","family":"Niang","given":"Khady","non-dropping-particle":"","parse-names":false,"suffix":""},{"dropping-particle":"","family":"Blinkhorn","given":"James","non-dropping-particle":"","parse-names":false,"suffix":""},{"dropping-particle":"","family":"Ndiaye","given":"Matar","non-dropping-particle":"","parse-names":false,"suffix":""},{"dropping-particle":"","family":"Bateman","given":"Mark","non-dropping-particle":"","parse-names":false,"suffix":""},{"dropping-particle":"","family":"Seck","given":"Birame","non-dropping-particle":"","parse-names":false,"suffix":""},{"dropping-particle":"","family":"Sawaré","given":"Gora","non-dropping-particle":"","parse-names":false,"suffix":""}],"container-title":"Journal of Archaeological Science: Reports","id":"ITEM-2","issued":{"date-parts":[["2020","12","1"]]},"page":"102658","publisher":"Elsevier","title":"The Middle Stone Age occupations of Tiémassas, coastal West Africa, between 62 and 25 thousand years ago","type":"article-journal","volume":"34"},"uris":["http://www.mendeley.com/documents/?uuid=e0c3395f-c307-3be5-b61f-4661b2430cb2"]}],"mendeley":{"formattedCitation":"&lt;sup&gt;156,157&lt;/sup&gt;","plainTextFormattedCitation":"156,157","previouslyFormattedCitation":"&lt;sup&gt;156,157&lt;/sup&gt;"},"properties":{"noteIndex":0},"schema":"https://github.com/citation-style-language/schema/raw/master/csl-citation.json"}</w:instrText>
            </w:r>
            <w:r w:rsidRPr="005F44EF">
              <w:rPr>
                <w:rFonts w:ascii="Times New Roman" w:eastAsia="Times New Roman" w:hAnsi="Times New Roman" w:cs="Times New Roman"/>
                <w:sz w:val="16"/>
                <w:szCs w:val="16"/>
                <w:lang w:val="fr-FR"/>
              </w:rPr>
              <w:fldChar w:fldCharType="separate"/>
            </w:r>
            <w:r w:rsidR="00C212A1" w:rsidRPr="00C212A1">
              <w:rPr>
                <w:rFonts w:ascii="Times New Roman" w:eastAsia="Times New Roman" w:hAnsi="Times New Roman" w:cs="Times New Roman"/>
                <w:noProof/>
                <w:sz w:val="16"/>
                <w:szCs w:val="16"/>
                <w:vertAlign w:val="superscript"/>
                <w:lang w:val="fr-FR"/>
              </w:rPr>
              <w:t>156,157</w:t>
            </w:r>
            <w:r w:rsidRPr="005F44EF">
              <w:rPr>
                <w:rFonts w:ascii="Times New Roman" w:eastAsia="Times New Roman" w:hAnsi="Times New Roman" w:cs="Times New Roman"/>
                <w:sz w:val="16"/>
                <w:szCs w:val="16"/>
                <w:lang w:val="fr-FR"/>
              </w:rPr>
              <w:fldChar w:fldCharType="end"/>
            </w:r>
          </w:p>
        </w:tc>
      </w:tr>
      <w:tr w:rsidR="00886415" w:rsidRPr="005F44EF" w14:paraId="167A3658" w14:textId="77777777" w:rsidTr="003C6FBD">
        <w:trPr>
          <w:trHeight w:val="311"/>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1834EA5" w14:textId="77777777" w:rsidR="00886415" w:rsidRPr="005F44EF" w:rsidRDefault="00886415" w:rsidP="00886415">
            <w:pPr>
              <w:spacing w:after="0" w:line="276" w:lineRule="auto"/>
              <w:jc w:val="both"/>
              <w:rPr>
                <w:rFonts w:ascii="Times New Roman" w:eastAsia="Times New Roman" w:hAnsi="Times New Roman" w:cs="Times New Roman"/>
                <w:b/>
                <w:sz w:val="24"/>
                <w:szCs w:val="24"/>
                <w:lang w:val="fr-FR"/>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156CDE9E" w14:textId="77777777" w:rsidR="00886415" w:rsidRPr="005F44EF" w:rsidRDefault="00886415" w:rsidP="00886415">
            <w:pPr>
              <w:spacing w:after="0" w:line="276" w:lineRule="auto"/>
              <w:rPr>
                <w:rFonts w:ascii="Times New Roman" w:eastAsia="Times New Roman" w:hAnsi="Times New Roman" w:cs="Times New Roman"/>
                <w:b/>
                <w:sz w:val="24"/>
                <w:szCs w:val="24"/>
                <w:lang w:val="fr-FR"/>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0CA5229A" w14:textId="77777777" w:rsidR="00886415" w:rsidRPr="005F44EF" w:rsidRDefault="00886415" w:rsidP="00886415">
            <w:pPr>
              <w:spacing w:after="0" w:line="276" w:lineRule="auto"/>
              <w:rPr>
                <w:rFonts w:ascii="Times New Roman" w:eastAsia="Times New Roman" w:hAnsi="Times New Roman" w:cs="Times New Roman"/>
                <w:b/>
                <w:sz w:val="24"/>
                <w:szCs w:val="24"/>
                <w:lang w:val="fr-FR"/>
              </w:rPr>
            </w:pPr>
          </w:p>
        </w:tc>
        <w:tc>
          <w:tcPr>
            <w:tcW w:w="128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362D2132" w14:textId="77777777" w:rsidR="00886415" w:rsidRPr="005F44EF" w:rsidRDefault="00886415" w:rsidP="00886415">
            <w:pPr>
              <w:spacing w:after="0" w:line="276" w:lineRule="auto"/>
              <w:rPr>
                <w:rFonts w:ascii="Times New Roman" w:eastAsia="Times New Roman" w:hAnsi="Times New Roman" w:cs="Times New Roman"/>
                <w:b/>
                <w:sz w:val="24"/>
                <w:szCs w:val="24"/>
                <w:lang w:val="fr-FR"/>
              </w:rPr>
            </w:pPr>
          </w:p>
        </w:tc>
        <w:tc>
          <w:tcPr>
            <w:tcW w:w="155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7C5F5E4A" w14:textId="77777777" w:rsidR="00886415" w:rsidRPr="005F44EF" w:rsidRDefault="00886415" w:rsidP="00886415">
            <w:pPr>
              <w:spacing w:after="0" w:line="276" w:lineRule="auto"/>
              <w:rPr>
                <w:rFonts w:ascii="Times New Roman" w:eastAsia="Times New Roman" w:hAnsi="Times New Roman" w:cs="Times New Roman"/>
                <w:b/>
                <w:sz w:val="24"/>
                <w:szCs w:val="24"/>
                <w:lang w:val="fr-FR"/>
              </w:rPr>
            </w:pP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1B148FF"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S6: 47.3 ± 2.9</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94A5240" w14:textId="59CD60BE"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3424594" w14:textId="370540E0"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07420EC" w14:textId="5F96A1C5"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21FD5C7" w14:textId="30C8FEF3"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A58F72D" w14:textId="29E977D6"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20F68EA" w14:textId="7CA7121F"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438C49B"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3</w:t>
            </w:r>
          </w:p>
        </w:tc>
        <w:tc>
          <w:tcPr>
            <w:tcW w:w="90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20DB41DB"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r>
      <w:tr w:rsidR="00886415" w:rsidRPr="005F44EF" w14:paraId="36D5F0FC" w14:textId="77777777" w:rsidTr="003C6FBD">
        <w:trPr>
          <w:trHeight w:val="311"/>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98381E4" w14:textId="77777777" w:rsidR="00886415" w:rsidRPr="005F44EF" w:rsidRDefault="00886415" w:rsidP="00886415">
            <w:pPr>
              <w:spacing w:after="0" w:line="276" w:lineRule="auto"/>
              <w:jc w:val="both"/>
              <w:rPr>
                <w:rFonts w:ascii="Times New Roman" w:eastAsia="Times New Roman" w:hAnsi="Times New Roman" w:cs="Times New Roman"/>
                <w:b/>
                <w:sz w:val="24"/>
                <w:szCs w:val="24"/>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751B034F"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285AD4BA"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28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3F9FB41E"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55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6CCDC6DA"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D527EE0"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S6: 43.8 ± 2.81</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0DA1D95" w14:textId="306F371C"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AADBE89" w14:textId="35A1ECC9"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6736CB4" w14:textId="2005BD07"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51E148D" w14:textId="17317F80"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E0732ED" w14:textId="60F50FB0"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5396F6F" w14:textId="3467CA00"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774DE26"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3</w:t>
            </w:r>
          </w:p>
        </w:tc>
        <w:tc>
          <w:tcPr>
            <w:tcW w:w="90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697B3610"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r>
      <w:tr w:rsidR="00886415" w:rsidRPr="005F44EF" w14:paraId="5B82BC0A" w14:textId="77777777" w:rsidTr="003C6FBD">
        <w:trPr>
          <w:trHeight w:val="311"/>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88ABFF9" w14:textId="77777777" w:rsidR="00886415" w:rsidRPr="005F44EF" w:rsidRDefault="00886415" w:rsidP="00886415">
            <w:pPr>
              <w:spacing w:after="0" w:line="276" w:lineRule="auto"/>
              <w:jc w:val="both"/>
              <w:rPr>
                <w:rFonts w:ascii="Times New Roman" w:eastAsia="Times New Roman" w:hAnsi="Times New Roman" w:cs="Times New Roman"/>
                <w:b/>
                <w:sz w:val="24"/>
                <w:szCs w:val="24"/>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0DF397CA"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5512DC2D"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28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4F95823D"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55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35B23A79"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17A0568"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S5: 25.9 ± 1.3</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12E2B45" w14:textId="0CBD2D88"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33EAA4B" w14:textId="5088717A"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617C9E1" w14:textId="1D764291"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9A86CEA" w14:textId="5CE48812"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D674558" w14:textId="4644FABF"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DDC0FDE" w14:textId="5F5453EA"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E599BC1"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3</w:t>
            </w:r>
          </w:p>
        </w:tc>
        <w:tc>
          <w:tcPr>
            <w:tcW w:w="90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3EB9085D"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r>
      <w:tr w:rsidR="00886415" w:rsidRPr="005F44EF" w14:paraId="64A6F766" w14:textId="77777777" w:rsidTr="003C6FBD">
        <w:trPr>
          <w:trHeight w:val="190"/>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174A6D2" w14:textId="77777777" w:rsidR="00886415" w:rsidRPr="005F44EF" w:rsidRDefault="00886415" w:rsidP="00886415">
            <w:pPr>
              <w:spacing w:after="0" w:line="276" w:lineRule="auto"/>
              <w:jc w:val="both"/>
              <w:rPr>
                <w:rFonts w:ascii="Times New Roman" w:eastAsia="Times New Roman" w:hAnsi="Times New Roman" w:cs="Times New Roman"/>
                <w:b/>
                <w:sz w:val="24"/>
                <w:szCs w:val="24"/>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3330A24D"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6BCF3FE8"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8D3A29E"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Bargny 1</w:t>
            </w: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A123A47"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US 5</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8527614" w14:textId="0F336292"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E88D7A0" w14:textId="51804528" w:rsidR="00886415" w:rsidRPr="005F44EF" w:rsidRDefault="00FA236C" w:rsidP="0088641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color w:val="2E2E2E"/>
                <w:sz w:val="16"/>
                <w:szCs w:val="16"/>
              </w:rPr>
              <w:t>1</w:t>
            </w:r>
            <w:r w:rsidR="0039197A">
              <w:rPr>
                <w:rFonts w:ascii="Times New Roman" w:eastAsia="Times New Roman" w:hAnsi="Times New Roman" w:cs="Times New Roman"/>
                <w:color w:val="2E2E2E"/>
                <w:sz w:val="16"/>
                <w:szCs w:val="16"/>
              </w:rPr>
              <w:t>44</w:t>
            </w:r>
            <w:r w:rsidRPr="005F44EF">
              <w:rPr>
                <w:rFonts w:ascii="Times New Roman" w:eastAsia="Times New Roman" w:hAnsi="Times New Roman" w:cs="Times New Roman"/>
                <w:color w:val="2E2E2E"/>
                <w:sz w:val="16"/>
                <w:szCs w:val="16"/>
              </w:rPr>
              <w:t>±6</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2C4E05B" w14:textId="24BB6ABB"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5DFC49E" w14:textId="44FA5B41"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486DF21" w14:textId="467E5037" w:rsidR="00886415" w:rsidRPr="005F44EF" w:rsidRDefault="00FA236C" w:rsidP="00886415">
            <w:pPr>
              <w:spacing w:before="240" w:after="0" w:line="276" w:lineRule="auto"/>
              <w:rPr>
                <w:rFonts w:ascii="Times New Roman" w:eastAsia="Times New Roman" w:hAnsi="Times New Roman" w:cs="Times New Roman"/>
                <w:sz w:val="16"/>
                <w:szCs w:val="16"/>
              </w:rPr>
            </w:pPr>
            <w:r w:rsidRPr="00FA236C">
              <w:rPr>
                <w:rFonts w:ascii="Times New Roman" w:eastAsia="Times New Roman" w:hAnsi="Times New Roman" w:cs="Times New Roman"/>
                <w:sz w:val="16"/>
                <w:szCs w:val="16"/>
              </w:rPr>
              <w:t>138±14</w:t>
            </w: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52AC708" w14:textId="2F6682D9"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5227A23" w14:textId="0AB692D5"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6B470B4"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6</w:t>
            </w:r>
          </w:p>
        </w:tc>
        <w:tc>
          <w:tcPr>
            <w:tcW w:w="90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35450A7" w14:textId="0989FEA6" w:rsidR="00886415" w:rsidRPr="005F44EF" w:rsidRDefault="00886415" w:rsidP="0088641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fldChar w:fldCharType="begin" w:fldLock="1"/>
            </w:r>
            <w:r w:rsidR="00614E13">
              <w:rPr>
                <w:rFonts w:ascii="Times New Roman" w:eastAsia="Times New Roman" w:hAnsi="Times New Roman" w:cs="Times New Roman"/>
                <w:sz w:val="16"/>
                <w:szCs w:val="16"/>
              </w:rPr>
              <w:instrText>ADDIN CSL_CITATION {"citationItems":[{"id":"ITEM-1","itemData":{"DOI":"10.1038/s41559-023-02046-4","ISSN":"2397-334X","abstract":"Middle Stone Age (MSA) technologies first appear in the archaeological records of northern, eastern and southern Africa during the Middle Pleistocene epoch. The absence of MSA sites from West Africa limits evaluation of shared behaviours across the continent during the late Middle Pleistocene and the diversity of subsequent regionalized trajectories. Here we present evidence for the late Middle Pleistocene MSA occupation of the West African littoral at Bargny, Senegal, dating to 150 thousand years ago. Palaeoecological evidence suggests that Bargny was a hydrological refugium during the MSA occupation, supporting estuarine conditions during Middle Pleistocene arid phases. The stone tool technology at Bargny presents characteristics widely shared across Africa in the late Middle Pleistocene but which remain uniquely stable in West Africa to the onset of the Holocene. We explore how the persistent habitability of West African environments, including mangroves, contributes to distinctly West African trajectories of behavioural stability. The late Middle Pleistocene site of Bargny, Senegal, documents stone tool trends seen across contemporary sites in Africa but which, in West Africa, remain uniquely stable into the Holocene. Palaeoenvironmental data suggest that persistently stable environments in West Africa through the Late Pleistocene, including estuarine refugia, may have supported consistent behavioural responses.","author":[{"dropping-particle":"","family":"Niang","given":"Khady","non-dropping-particle":"","parse-names":false,"suffix":""},{"dropping-particle":"","family":"Blinkhorn","given":"James","non-dropping-particle":"","parse-names":false,"suffix":""},{"dropping-particle":"","family":"Bateman","given":"Mark D.","non-dropping-particle":"","parse-names":false,"suffix":""},{"dropping-particle":"","family":"Kiahtipes","given":"Christopher A.","non-dropping-particle":"","parse-names":false,"suffix":""}],"container-title":"Nature Ecology &amp; Evolution 2023","id":"ITEM-1","issued":{"date-parts":[["2023","5","4"]]},"page":"1-11","publisher":"Nature Publishing Group","title":"Longstanding behavioural stability in West Africa extends to the Middle Pleistocene at Bargny, coastal Senegal","type":"article-journal"},"uris":["http://www.mendeley.com/documents/?uuid=a1d744a5-3623-38e6-a38c-c2a4983352b5"]},{"id":"ITEM-2","itemData":{"DOI":"doi.org/10.1016/j.qeh.2024.100044","author":[{"dropping-particle":"","family":"Arous","given":"E.","non-dropping-particle":"Ben","parse-names":false,"suffix":""},{"dropping-particle":"","family":"Niang","given":"K.","non-dropping-particle":"","parse-names":false,"suffix":""},{"dropping-particle":"","family":"Blinkhorn,","given":"J. A.","non-dropping-particle":"","parse-names":false,"suffix":""},{"dropping-particle":"","family":"Val","given":"M.","non-dropping-particle":"Del","parse-names":false,"suffix":""},{"dropping-particle":"","family":"Medialdea","given":"A.","non-dropping-particle":"","parse-names":false,"suffix":""},{"dropping-particle":"","family":"Coussot","given":"C.","non-dropping-particle":"","parse-names":false,"suffix":""},{"dropping-particle":"","family":"Alonso Escarza, M.J. Batema","given":"M. D.","non-dropping-particle":"","parse-names":false,"suffix":""},{"dropping-particle":"","family":"Churruca Clemente, A., Blackwood","given":"A.F.","non-dropping-particle":"","parse-names":false,"suffix":""},{"dropping-particle":"","family":"Iglesias-Cibanal","given":"J.","non-dropping-particle":"","parse-names":false,"suffix":""},{"dropping-particle":"","family":"Saíz","given":"C.","non-dropping-particle":"","parse-names":false,"suffix":""},{"dropping-particle":"","family":"Scerri","given":"E.M.L.","non-dropping-particle":"","parse-names":false,"suffix":""},{"dropping-particle":"","family":"Duval","given":"M.","non-dropping-particle":"","parse-names":false,"suffix":""}],"container-title":"Quaternary Environments and Humans","id":"ITEM-2","issued":{"date-parts":[["2024"]]},"title":"Constraining the age of the Middle Stone Age locality of Bargny sites (Senegal) through a combined OSL-ESR dating approach","type":"article-journal"},"uris":["http://www.mendeley.com/documents/?uuid=01a7971c-9704-4609-bf1a-71ce2982a551"]}],"mendeley":{"formattedCitation":"&lt;sup&gt;158,159&lt;/sup&gt;","plainTextFormattedCitation":"158,159","previouslyFormattedCitation":"&lt;sup&gt;158,159&lt;/sup&gt;"},"properties":{"noteIndex":0},"schema":"https://github.com/citation-style-language/schema/raw/master/csl-citation.json"}</w:instrText>
            </w:r>
            <w:r w:rsidRPr="005F44EF">
              <w:rPr>
                <w:rFonts w:ascii="Times New Roman" w:eastAsia="Times New Roman" w:hAnsi="Times New Roman" w:cs="Times New Roman"/>
                <w:sz w:val="16"/>
                <w:szCs w:val="16"/>
              </w:rPr>
              <w:fldChar w:fldCharType="separate"/>
            </w:r>
            <w:r w:rsidR="00C212A1" w:rsidRPr="00C212A1">
              <w:rPr>
                <w:rFonts w:ascii="Times New Roman" w:eastAsia="Times New Roman" w:hAnsi="Times New Roman" w:cs="Times New Roman"/>
                <w:noProof/>
                <w:sz w:val="16"/>
                <w:szCs w:val="16"/>
                <w:vertAlign w:val="superscript"/>
              </w:rPr>
              <w:t>158,159</w:t>
            </w:r>
            <w:r w:rsidRPr="005F44EF">
              <w:rPr>
                <w:rFonts w:ascii="Times New Roman" w:eastAsia="Times New Roman" w:hAnsi="Times New Roman" w:cs="Times New Roman"/>
                <w:sz w:val="16"/>
                <w:szCs w:val="16"/>
              </w:rPr>
              <w:fldChar w:fldCharType="end"/>
            </w:r>
          </w:p>
        </w:tc>
      </w:tr>
      <w:tr w:rsidR="002D6655" w:rsidRPr="005F44EF" w14:paraId="1253E701" w14:textId="77777777" w:rsidTr="003C6FBD">
        <w:trPr>
          <w:trHeight w:val="190"/>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922D5E5" w14:textId="77777777" w:rsidR="002D6655" w:rsidRPr="005F44EF" w:rsidRDefault="002D6655" w:rsidP="00886415">
            <w:pPr>
              <w:spacing w:after="0" w:line="276" w:lineRule="auto"/>
              <w:jc w:val="both"/>
              <w:rPr>
                <w:rFonts w:ascii="Times New Roman" w:eastAsia="Times New Roman" w:hAnsi="Times New Roman" w:cs="Times New Roman"/>
                <w:b/>
                <w:sz w:val="24"/>
                <w:szCs w:val="24"/>
              </w:rPr>
            </w:pPr>
          </w:p>
        </w:tc>
        <w:tc>
          <w:tcPr>
            <w:tcW w:w="1164"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4874B132" w14:textId="77777777" w:rsidR="002D6655" w:rsidRPr="005F44EF" w:rsidRDefault="002D6655" w:rsidP="00886415">
            <w:pPr>
              <w:spacing w:after="0" w:line="276" w:lineRule="auto"/>
              <w:rPr>
                <w:rFonts w:ascii="Times New Roman" w:eastAsia="Times New Roman" w:hAnsi="Times New Roman" w:cs="Times New Roman"/>
                <w:b/>
                <w:sz w:val="24"/>
                <w:szCs w:val="24"/>
              </w:rPr>
            </w:pPr>
          </w:p>
        </w:tc>
        <w:tc>
          <w:tcPr>
            <w:tcW w:w="1009"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3FBEA082" w14:textId="77777777" w:rsidR="002D6655" w:rsidRPr="005F44EF" w:rsidRDefault="002D6655" w:rsidP="00886415">
            <w:pPr>
              <w:spacing w:after="0" w:line="276" w:lineRule="auto"/>
              <w:rPr>
                <w:rFonts w:ascii="Times New Roman" w:eastAsia="Times New Roman" w:hAnsi="Times New Roman" w:cs="Times New Roman"/>
                <w:b/>
                <w:sz w:val="24"/>
                <w:szCs w:val="24"/>
              </w:rPr>
            </w:pPr>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F2070CC" w14:textId="2ADB2651" w:rsidR="002D6655" w:rsidRPr="005F44EF" w:rsidRDefault="002D6655" w:rsidP="00886415">
            <w:pPr>
              <w:spacing w:before="240" w:after="0" w:line="276" w:lineRule="auto"/>
              <w:rPr>
                <w:rFonts w:ascii="Times New Roman" w:eastAsia="Times New Roman" w:hAnsi="Times New Roman" w:cs="Times New Roman"/>
                <w:color w:val="2E2E2E"/>
                <w:sz w:val="16"/>
                <w:szCs w:val="16"/>
              </w:rPr>
            </w:pPr>
            <w:r>
              <w:rPr>
                <w:rFonts w:ascii="Times New Roman" w:eastAsia="Times New Roman" w:hAnsi="Times New Roman" w:cs="Times New Roman"/>
                <w:color w:val="2E2E2E"/>
                <w:sz w:val="16"/>
                <w:szCs w:val="16"/>
              </w:rPr>
              <w:t>Bargny 3</w:t>
            </w: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A940638" w14:textId="19A6817B" w:rsidR="002D6655" w:rsidRPr="005F44EF" w:rsidRDefault="00FA236C" w:rsidP="00886415">
            <w:pPr>
              <w:spacing w:before="240" w:after="0" w:line="276" w:lineRule="auto"/>
              <w:rPr>
                <w:rFonts w:ascii="Times New Roman" w:eastAsia="Times New Roman" w:hAnsi="Times New Roman" w:cs="Times New Roman"/>
                <w:color w:val="2E2E2E"/>
                <w:sz w:val="16"/>
                <w:szCs w:val="16"/>
              </w:rPr>
            </w:pPr>
            <w:r>
              <w:rPr>
                <w:rFonts w:ascii="Times New Roman" w:eastAsia="Times New Roman" w:hAnsi="Times New Roman" w:cs="Times New Roman"/>
                <w:color w:val="2E2E2E"/>
                <w:sz w:val="16"/>
                <w:szCs w:val="16"/>
              </w:rPr>
              <w:t>US 5</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BBF7074" w14:textId="77777777" w:rsidR="002D6655" w:rsidRPr="005F44EF" w:rsidRDefault="002D6655" w:rsidP="00886415">
            <w:pPr>
              <w:spacing w:before="240" w:after="0" w:line="276" w:lineRule="auto"/>
              <w:rPr>
                <w:rFonts w:ascii="Times New Roman" w:eastAsia="Times New Roman" w:hAnsi="Times New Roman" w:cs="Times New Roman"/>
                <w:color w:val="2E2E2E"/>
                <w:sz w:val="16"/>
                <w:szCs w:val="16"/>
              </w:rPr>
            </w:pP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A49F161" w14:textId="0C136A07" w:rsidR="002D6655" w:rsidRPr="005F44EF" w:rsidRDefault="00FA236C" w:rsidP="00886415">
            <w:pPr>
              <w:spacing w:before="240" w:after="0" w:line="276" w:lineRule="auto"/>
              <w:rPr>
                <w:rFonts w:ascii="Times New Roman" w:eastAsia="Times New Roman" w:hAnsi="Times New Roman" w:cs="Times New Roman"/>
                <w:sz w:val="16"/>
                <w:szCs w:val="16"/>
              </w:rPr>
            </w:pPr>
            <w:r w:rsidRPr="00FA236C">
              <w:rPr>
                <w:rFonts w:ascii="Times New Roman" w:eastAsia="Times New Roman" w:hAnsi="Times New Roman" w:cs="Times New Roman"/>
                <w:sz w:val="16"/>
                <w:szCs w:val="16"/>
              </w:rPr>
              <w:t>126±7</w:t>
            </w:r>
            <w:r>
              <w:rPr>
                <w:rFonts w:ascii="Times New Roman" w:eastAsia="Times New Roman" w:hAnsi="Times New Roman" w:cs="Times New Roman"/>
                <w:sz w:val="16"/>
                <w:szCs w:val="16"/>
              </w:rPr>
              <w:t xml:space="preserve"> </w:t>
            </w:r>
            <w:r w:rsidRPr="00FA236C">
              <w:rPr>
                <w:rFonts w:ascii="Times New Roman" w:eastAsia="Times New Roman" w:hAnsi="Times New Roman" w:cs="Times New Roman"/>
                <w:sz w:val="16"/>
                <w:szCs w:val="16"/>
              </w:rPr>
              <w:t>128±8</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1BDC48B" w14:textId="77777777" w:rsidR="002D6655" w:rsidRPr="005F44EF" w:rsidRDefault="002D6655" w:rsidP="00886415">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829EC13" w14:textId="77777777" w:rsidR="002D6655" w:rsidRPr="005F44EF" w:rsidRDefault="002D6655" w:rsidP="00886415">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B527E19" w14:textId="288E08E0" w:rsidR="00FA236C" w:rsidRPr="005F44EF" w:rsidRDefault="00FA236C" w:rsidP="00FA236C">
            <w:pPr>
              <w:spacing w:before="240" w:after="0" w:line="276"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w:t>
            </w:r>
            <w:r w:rsidRPr="00FA236C">
              <w:rPr>
                <w:rFonts w:ascii="Times New Roman" w:eastAsia="Times New Roman" w:hAnsi="Times New Roman" w:cs="Times New Roman"/>
                <w:sz w:val="16"/>
                <w:szCs w:val="16"/>
              </w:rPr>
              <w:t>15±13</w:t>
            </w:r>
            <w:r w:rsidR="00961C7A" w:rsidRPr="00FA236C">
              <w:rPr>
                <w:rFonts w:ascii="Times New Roman" w:eastAsia="Times New Roman" w:hAnsi="Times New Roman" w:cs="Times New Roman"/>
                <w:sz w:val="16"/>
                <w:szCs w:val="16"/>
              </w:rPr>
              <w:t>134±15</w:t>
            </w: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6BC862F" w14:textId="77777777" w:rsidR="002D6655" w:rsidRPr="005F44EF" w:rsidRDefault="002D6655" w:rsidP="00886415">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97491B7" w14:textId="77777777" w:rsidR="002D6655" w:rsidRPr="005F44EF" w:rsidRDefault="002D6655" w:rsidP="00886415">
            <w:pPr>
              <w:spacing w:before="240" w:after="0" w:line="276" w:lineRule="auto"/>
              <w:rPr>
                <w:rFonts w:ascii="Times New Roman" w:eastAsia="Times New Roman" w:hAnsi="Times New Roman" w:cs="Times New Roman"/>
                <w:sz w:val="16"/>
                <w:szCs w:val="16"/>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806EEBF" w14:textId="6C464A16" w:rsidR="002D6655" w:rsidRPr="005F44EF" w:rsidRDefault="0039197A" w:rsidP="00886415">
            <w:pPr>
              <w:spacing w:before="240" w:after="0" w:line="276" w:lineRule="auto"/>
              <w:rPr>
                <w:rFonts w:ascii="Times New Roman" w:eastAsia="Times New Roman" w:hAnsi="Times New Roman" w:cs="Times New Roman"/>
                <w:color w:val="2E2E2E"/>
                <w:sz w:val="16"/>
                <w:szCs w:val="16"/>
              </w:rPr>
            </w:pPr>
            <w:r>
              <w:rPr>
                <w:rFonts w:ascii="Times New Roman" w:eastAsia="Times New Roman" w:hAnsi="Times New Roman" w:cs="Times New Roman"/>
                <w:color w:val="2E2E2E"/>
                <w:sz w:val="16"/>
                <w:szCs w:val="16"/>
              </w:rPr>
              <w:t>6-5</w:t>
            </w:r>
          </w:p>
        </w:tc>
        <w:tc>
          <w:tcPr>
            <w:tcW w:w="90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D020A5A" w14:textId="1C9E216B" w:rsidR="002D6655" w:rsidRPr="005F44EF" w:rsidRDefault="0039197A" w:rsidP="00886415">
            <w:pPr>
              <w:spacing w:before="240" w:after="0" w:line="276"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fldChar w:fldCharType="begin" w:fldLock="1"/>
            </w:r>
            <w:r w:rsidR="00614E13">
              <w:rPr>
                <w:rFonts w:ascii="Times New Roman" w:eastAsia="Times New Roman" w:hAnsi="Times New Roman" w:cs="Times New Roman"/>
                <w:sz w:val="16"/>
                <w:szCs w:val="16"/>
              </w:rPr>
              <w:instrText>ADDIN CSL_CITATION {"citationItems":[{"id":"ITEM-1","itemData":{"DOI":"doi.org/10.1016/j.qeh.2024.100044","author":[{"dropping-particle":"","family":"Arous","given":"E.","non-dropping-particle":"Ben","parse-names":false,"suffix":""},{"dropping-particle":"","family":"Niang","given":"K.","non-dropping-particle":"","parse-names":false,"suffix":""},{"dropping-particle":"","family":"Blinkhorn,","given":"J. A.","non-dropping-particle":"","parse-names":false,"suffix":""},{"dropping-particle":"","family":"Val","given":"M.","non-dropping-particle":"Del","parse-names":false,"suffix":""},{"dropping-particle":"","family":"Medialdea","given":"A.","non-dropping-particle":"","parse-names":false,"suffix":""},{"dropping-particle":"","family":"Coussot","given":"C.","non-dropping-particle":"","parse-names":false,"suffix":""},{"dropping-particle":"","family":"Alonso Escarza, M.J. Batema","given":"M. D.","non-dropping-particle":"","parse-names":false,"suffix":""},{"dropping-particle":"","family":"Churruca Clemente, A., Blackwood","given":"A.F.","non-dropping-particle":"","parse-names":false,"suffix":""},{"dropping-particle":"","family":"Iglesias-Cibanal","given":"J.","non-dropping-particle":"","parse-names":false,"suffix":""},{"dropping-particle":"","family":"Saíz","given":"C.","non-dropping-particle":"","parse-names":false,"suffix":""},{"dropping-particle":"","family":"Scerri","given":"E.M.L.","non-dropping-particle":"","parse-names":false,"suffix":""},{"dropping-particle":"","family":"Duval","given":"M.","non-dropping-particle":"","parse-names":false,"suffix":""}],"container-title":"Quaternary Environments and Humans","id":"ITEM-1","issued":{"date-parts":[["2024"]]},"title":"Constraining the age of the Middle Stone Age locality of Bargny sites (Senegal) through a combined OSL-ESR dating approach","type":"article-journal"},"uris":["http://www.mendeley.com/documents/?uuid=01a7971c-9704-4609-bf1a-71ce2982a551"]}],"mendeley":{"formattedCitation":"&lt;sup&gt;159&lt;/sup&gt;","plainTextFormattedCitation":"159","previouslyFormattedCitation":"&lt;sup&gt;159&lt;/sup&gt;"},"properties":{"noteIndex":0},"schema":"https://github.com/citation-style-language/schema/raw/master/csl-citation.json"}</w:instrText>
            </w:r>
            <w:r>
              <w:rPr>
                <w:rFonts w:ascii="Times New Roman" w:eastAsia="Times New Roman" w:hAnsi="Times New Roman" w:cs="Times New Roman"/>
                <w:sz w:val="16"/>
                <w:szCs w:val="16"/>
              </w:rPr>
              <w:fldChar w:fldCharType="separate"/>
            </w:r>
            <w:r w:rsidR="00C212A1" w:rsidRPr="00C212A1">
              <w:rPr>
                <w:rFonts w:ascii="Times New Roman" w:eastAsia="Times New Roman" w:hAnsi="Times New Roman" w:cs="Times New Roman"/>
                <w:noProof/>
                <w:sz w:val="16"/>
                <w:szCs w:val="16"/>
                <w:vertAlign w:val="superscript"/>
              </w:rPr>
              <w:t>159</w:t>
            </w:r>
            <w:r>
              <w:rPr>
                <w:rFonts w:ascii="Times New Roman" w:eastAsia="Times New Roman" w:hAnsi="Times New Roman" w:cs="Times New Roman"/>
                <w:sz w:val="16"/>
                <w:szCs w:val="16"/>
              </w:rPr>
              <w:fldChar w:fldCharType="end"/>
            </w:r>
          </w:p>
        </w:tc>
      </w:tr>
      <w:tr w:rsidR="00886415" w:rsidRPr="005F44EF" w14:paraId="714D47F8" w14:textId="77777777" w:rsidTr="003C6FBD">
        <w:trPr>
          <w:trHeight w:val="190"/>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46DF0FF" w14:textId="77777777" w:rsidR="00886415" w:rsidRPr="005F44EF" w:rsidRDefault="00886415" w:rsidP="00886415">
            <w:pPr>
              <w:spacing w:after="0" w:line="276" w:lineRule="auto"/>
              <w:jc w:val="both"/>
              <w:rPr>
                <w:rFonts w:ascii="Times New Roman" w:eastAsia="Times New Roman" w:hAnsi="Times New Roman" w:cs="Times New Roman"/>
                <w:b/>
                <w:sz w:val="24"/>
                <w:szCs w:val="24"/>
              </w:rPr>
            </w:pPr>
          </w:p>
        </w:tc>
        <w:tc>
          <w:tcPr>
            <w:tcW w:w="1164"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8C36AE3"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Senegal</w:t>
            </w:r>
          </w:p>
        </w:tc>
        <w:tc>
          <w:tcPr>
            <w:tcW w:w="1009"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BE850DF" w14:textId="192B9A3F"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Falémé Valley</w:t>
            </w:r>
          </w:p>
        </w:tc>
        <w:tc>
          <w:tcPr>
            <w:tcW w:w="1284"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A733CA6"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proofErr w:type="spellStart"/>
            <w:r w:rsidRPr="005F44EF">
              <w:rPr>
                <w:rFonts w:ascii="Times New Roman" w:eastAsia="Times New Roman" w:hAnsi="Times New Roman" w:cs="Times New Roman"/>
                <w:color w:val="2E2E2E"/>
                <w:sz w:val="16"/>
                <w:szCs w:val="16"/>
              </w:rPr>
              <w:t>Toumboura</w:t>
            </w:r>
            <w:proofErr w:type="spellEnd"/>
            <w:r w:rsidRPr="005F44EF">
              <w:rPr>
                <w:rFonts w:ascii="Times New Roman" w:eastAsia="Times New Roman" w:hAnsi="Times New Roman" w:cs="Times New Roman"/>
                <w:color w:val="2E2E2E"/>
                <w:sz w:val="16"/>
                <w:szCs w:val="16"/>
              </w:rPr>
              <w:t xml:space="preserve"> III</w:t>
            </w:r>
          </w:p>
        </w:tc>
        <w:tc>
          <w:tcPr>
            <w:tcW w:w="1557"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1EA8AA4"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proofErr w:type="spellStart"/>
            <w:r w:rsidRPr="005F44EF">
              <w:rPr>
                <w:rFonts w:ascii="Times New Roman" w:eastAsia="Times New Roman" w:hAnsi="Times New Roman" w:cs="Times New Roman"/>
                <w:color w:val="2E2E2E"/>
                <w:sz w:val="16"/>
                <w:szCs w:val="16"/>
              </w:rPr>
              <w:t>Uj</w:t>
            </w:r>
            <w:proofErr w:type="spellEnd"/>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DD5835A"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35 ± 3</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31D025E" w14:textId="38C92473"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AF08E8F" w14:textId="17882726"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99A0FE9" w14:textId="5D528856"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661698A" w14:textId="42453989"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21A8B68" w14:textId="74BD24FE"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F62D811" w14:textId="17411784"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498"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E07E25E"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3</w:t>
            </w:r>
          </w:p>
        </w:tc>
        <w:tc>
          <w:tcPr>
            <w:tcW w:w="903"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F83E0A1" w14:textId="1DACFA7F" w:rsidR="00886415" w:rsidRPr="005F44EF" w:rsidRDefault="00886415" w:rsidP="0088641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lang w:val="fr-FR"/>
              </w:rPr>
              <w:fldChar w:fldCharType="begin" w:fldLock="1"/>
            </w:r>
            <w:r w:rsidR="00614E13">
              <w:rPr>
                <w:rFonts w:ascii="Times New Roman" w:eastAsia="Times New Roman" w:hAnsi="Times New Roman" w:cs="Times New Roman"/>
                <w:sz w:val="16"/>
                <w:szCs w:val="16"/>
                <w:lang w:val="en-US"/>
              </w:rPr>
              <w:instrText>ADDIN CSL_CITATION {"citationItems":[{"id":"ITEM-1","itemData":{"DOI":"10.1016/J.JASREP.2016.05.001","ISSN":"2352-409X","abstract":"Recent studies have shown that the Falémé Valley, located in eastern Senegal, is a major component in the comprehension of the West African Palaeolithic period. Several of the sites discovered in this region show a wide variety of lithic productions attributed to the Early, Middle and Later Stone Age. Optically stimulated luminescence dating of 16 samples coming from five sites produces evidence of archaeological records from at least Marine Isotope Stage 5, highlighting an ancient human presence. The dates also indicate nearly continuous sedimentary deposits over the entire upper Pleistocene. In particular, at least one archaeological level is positioned within Marine Isotope Stage 2, which is poorly documented in West Africa. Thus interestingly, the Falémé sequence completes the sequence of Ounjougou in Mali, which was considered up to now as the unique key element for the definition of the chrono-cultural framework of this region.","author":[{"dropping-particle":"","family":"Lebrun","given":"Brice","non-dropping-particle":"","parse-names":false,"suffix":""},{"dropping-particle":"","family":"Tribolo","given":"Chantal","non-dropping-particle":"","parse-names":false,"suffix":""},{"dropping-particle":"","family":"Chevrier","given":"Benoît","non-dropping-particle":"","parse-names":false,"suffix":""},{"dropping-particle":"","family":"Rasse","given":"Michel","non-dropping-particle":"","parse-names":false,"suffix":""},{"dropping-particle":"","family":"Lespez","given":"Laurent","non-dropping-particle":"","parse-names":false,"suffix":""},{"dropping-particle":"","family":"Leplongeon","given":"Alice","non-dropping-particle":"","parse-names":false,"suffix":""},{"dropping-particle":"","family":"Hajdas","given":"Irka","non-dropping-particle":"","parse-names":false,"suffix":""},{"dropping-particle":"","family":"Camara","given":"Abdoulaye","non-dropping-particle":"","parse-names":false,"suffix":""},{"dropping-particle":"","family":"Mercier","given":"Norbert","non-dropping-particle":"","parse-names":false,"suffix":""},{"dropping-particle":"","family":"Huysecom","given":"Éric","non-dropping-particle":"","parse-names":false,"suffix":""}],"container-title":"Journal of Archaeological Science: Reports","id":"ITEM-1","issued":{"date-parts":[["2016","6","1"]]},"page":"379-388","publisher":"Elsevier","title":"Establishing a West African chrono-cultural framework: First luminescence dating of sedimentary formations from the Falémé Valley, Eastern Senegal","type":"article-journal","volume":"7"},"uris":["http://www.mendeley.com/documents/?uuid=f3957089-a57c-3ad6-a20e-21c483ad17a2"]},{"id":"ITEM-2","itemData":{"DOI":"10.1016/J.QUAINT.2015.11.060","ISSN":"1040-6182","abstract":"For more than a century, Senegal has yielded abundant Palaeolithic finds, in particular on the Atlantic coast as well as in the Falémé Valley, but the lack of reliable and integrated chrono-cultural data has limited the possibilities of interpretation. These gaps were one of the main factors leading to the launch of a new research programme in the Falémé Valley (eastern Senegal). Its objective since 2012 has been to establish a new archaeological reference sequence in West Africa complementary to that of Ounjougou (Mali). Its more southerly location gave us the opportunity to obtain data to address the issue of human settlement and mobility in relation to changes in aridity and the position of the South-Saharan limit, along the north-south axis of the Falémé Valley.Field survey enabled the identification of a very large number of sites, some in primary context, thus confirming the potential of the region. Geomorphological analysis and initial chronological results indicate relatively continuous and fairly complex deposition, with the alternation of fine-grained and coarser deposits, in particular for Marine Isotope Stages (MIS) 3 and 2. From an archaeological viewpoint, while artefacts attributed to very early periods (prior to isotope stages 4/5) were found in reworked contexts, several MIS 2, or even MIS 3 occupations up to the early Holocene (Ravin des Guêpiers, Fatandi, Toumboura, Missira), attracted significant attention. These sites provide complete, precise and reliable information. They contain assemblages using different techniques of production, which raise questions regarding cultural rhythms and changes, and show evidence of populations present during the hyperarid \"Ogolian\", during which the Ounjougou sequence has a major sedimentary and archaeological hiatus for this period.","author":[{"dropping-particle":"","family":"Chevrier","given":"B.","non-dropping-particle":"","parse-names":false,"suffix":""},{"dropping-particle":"","family":"Rasse","given":"M.","non-dropping-particle":"","parse-names":false,"suffix":""},{"dropping-particle":"","family":"Lespez","given":"L.","non-dropping-particle":"","parse-names":false,"suffix":""},{"dropping-particle":"","family":"Tribolo","given":"C.","non-dropping-particle":"","parse-names":false,"suffix":""},{"dropping-particle":"","family":"Hajdas","given":"I.","non-dropping-particle":"","parse-names":false,"suffix":""},{"dropping-particle":"","family":"Guardiola Fígols","given":"M.","non-dropping-particle":"","parse-names":false,"suffix":""},{"dropping-particle":"","family":"Lebrun","given":"B.","non-dropping-particle":"","parse-names":false,"suffix":""},{"dropping-particle":"","family":"Leplongeon","given":"A.","non-dropping-particle":"","parse-names":false,"suffix":""},{"dropping-particle":"","family":"Camara","given":"A.","non-dropping-particle":"","parse-names":false,"suffix":""},{"dropping-particle":"","family":"Huysecom","given":"","non-dropping-particle":"","parse-names":false,"suffix":""}],"container-title":"Quaternary International","id":"ITEM-2","issued":{"date-parts":[["2016","7","15"]]},"page":"33-52","publisher":"Pergamon","title":"West African Palaeolithic history: New archaeological and chronostratigraphic data from the Falémé valley, eastern Senegal","type":"article-journal","volume":"408"},"uris":["http://www.mendeley.com/documents/?uuid=2118ea02-e2c6-3574-9d1c-816a99a2e7ba"]}],"mendeley":{"formattedCitation":"&lt;sup&gt;160,161&lt;/sup&gt;","plainTextFormattedCitation":"160,161","previouslyFormattedCitation":"&lt;sup&gt;160,161&lt;/sup&gt;"},"properties":{"noteIndex":0},"schema":"https://github.com/citation-style-language/schema/raw/master/csl-citation.json"}</w:instrText>
            </w:r>
            <w:r w:rsidRPr="005F44EF">
              <w:rPr>
                <w:rFonts w:ascii="Times New Roman" w:eastAsia="Times New Roman" w:hAnsi="Times New Roman" w:cs="Times New Roman"/>
                <w:sz w:val="16"/>
                <w:szCs w:val="16"/>
                <w:lang w:val="fr-FR"/>
              </w:rPr>
              <w:fldChar w:fldCharType="separate"/>
            </w:r>
            <w:r w:rsidR="00C212A1" w:rsidRPr="00C212A1">
              <w:rPr>
                <w:rFonts w:ascii="Times New Roman" w:eastAsia="Times New Roman" w:hAnsi="Times New Roman" w:cs="Times New Roman"/>
                <w:noProof/>
                <w:sz w:val="16"/>
                <w:szCs w:val="16"/>
                <w:vertAlign w:val="superscript"/>
                <w:lang w:val="fr-FR"/>
              </w:rPr>
              <w:t>160,161</w:t>
            </w:r>
            <w:r w:rsidRPr="005F44EF">
              <w:rPr>
                <w:rFonts w:ascii="Times New Roman" w:eastAsia="Times New Roman" w:hAnsi="Times New Roman" w:cs="Times New Roman"/>
                <w:sz w:val="16"/>
                <w:szCs w:val="16"/>
                <w:lang w:val="fr-FR"/>
              </w:rPr>
              <w:fldChar w:fldCharType="end"/>
            </w:r>
          </w:p>
        </w:tc>
      </w:tr>
      <w:tr w:rsidR="00886415" w:rsidRPr="005F44EF" w14:paraId="29939A5B" w14:textId="77777777" w:rsidTr="003C6FBD">
        <w:trPr>
          <w:trHeight w:val="190"/>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CCED9DF" w14:textId="77777777" w:rsidR="00886415" w:rsidRPr="005F44EF" w:rsidRDefault="00886415" w:rsidP="00886415">
            <w:pPr>
              <w:spacing w:after="0" w:line="276" w:lineRule="auto"/>
              <w:jc w:val="both"/>
              <w:rPr>
                <w:rFonts w:ascii="Times New Roman" w:eastAsia="Times New Roman" w:hAnsi="Times New Roman" w:cs="Times New Roman"/>
                <w:b/>
                <w:sz w:val="24"/>
                <w:szCs w:val="24"/>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668925B0"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3677BD6F"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28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2AAB25C4"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55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02D48CE6"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F2E0BFA"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33 ± 3</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48E470C" w14:textId="372FE484"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1485DF1" w14:textId="435E7352"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048C470" w14:textId="197AE2B0"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2A4C704" w14:textId="1A5741DF"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673C57C" w14:textId="2086C9E0"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26C0880" w14:textId="6DFB6340"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49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658F0A43"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90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3B899E88"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r>
      <w:tr w:rsidR="00886415" w:rsidRPr="005F44EF" w14:paraId="0764EDFC" w14:textId="77777777" w:rsidTr="003C6FBD">
        <w:trPr>
          <w:trHeight w:val="311"/>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E954B75" w14:textId="77777777" w:rsidR="00886415" w:rsidRPr="005F44EF" w:rsidRDefault="00886415" w:rsidP="00886415">
            <w:pPr>
              <w:spacing w:after="0" w:line="276" w:lineRule="auto"/>
              <w:jc w:val="both"/>
              <w:rPr>
                <w:rFonts w:ascii="Times New Roman" w:eastAsia="Times New Roman" w:hAnsi="Times New Roman" w:cs="Times New Roman"/>
                <w:b/>
                <w:sz w:val="24"/>
                <w:szCs w:val="24"/>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607C9C65"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2788C72E"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28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54DE62F"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proofErr w:type="spellStart"/>
            <w:r w:rsidRPr="005F44EF">
              <w:rPr>
                <w:rFonts w:ascii="Times New Roman" w:eastAsia="Times New Roman" w:hAnsi="Times New Roman" w:cs="Times New Roman"/>
                <w:color w:val="2E2E2E"/>
                <w:sz w:val="16"/>
                <w:szCs w:val="16"/>
              </w:rPr>
              <w:t>Missira</w:t>
            </w:r>
            <w:proofErr w:type="spellEnd"/>
            <w:r w:rsidRPr="005F44EF">
              <w:rPr>
                <w:rFonts w:ascii="Times New Roman" w:eastAsia="Times New Roman" w:hAnsi="Times New Roman" w:cs="Times New Roman"/>
                <w:color w:val="2E2E2E"/>
                <w:sz w:val="16"/>
                <w:szCs w:val="16"/>
              </w:rPr>
              <w:t xml:space="preserve"> III</w:t>
            </w:r>
          </w:p>
        </w:tc>
        <w:tc>
          <w:tcPr>
            <w:tcW w:w="155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88474EF"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proofErr w:type="spellStart"/>
            <w:r w:rsidRPr="005F44EF">
              <w:rPr>
                <w:rFonts w:ascii="Times New Roman" w:eastAsia="Times New Roman" w:hAnsi="Times New Roman" w:cs="Times New Roman"/>
                <w:color w:val="2E2E2E"/>
                <w:sz w:val="16"/>
                <w:szCs w:val="16"/>
              </w:rPr>
              <w:t>Uj</w:t>
            </w:r>
            <w:proofErr w:type="spellEnd"/>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C86E92F"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37 ± 4</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EACB3A7" w14:textId="601B7606"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274BFA6" w14:textId="188BB40D"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3E8FCB4" w14:textId="42871177"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C333E1D" w14:textId="52B5EBA7"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4E2A545" w14:textId="281E5550"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5EB0D86" w14:textId="2EBBAA44"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498"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572B621"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3</w:t>
            </w:r>
          </w:p>
        </w:tc>
        <w:tc>
          <w:tcPr>
            <w:tcW w:w="90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CC1F1C6" w14:textId="7738ED6F" w:rsidR="00886415" w:rsidRPr="005F44EF" w:rsidRDefault="00886415" w:rsidP="0088641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fldChar w:fldCharType="begin" w:fldLock="1"/>
            </w:r>
            <w:r w:rsidR="00614E13">
              <w:rPr>
                <w:rFonts w:ascii="Times New Roman" w:eastAsia="Times New Roman" w:hAnsi="Times New Roman" w:cs="Times New Roman"/>
                <w:sz w:val="16"/>
                <w:szCs w:val="16"/>
              </w:rPr>
              <w:instrText>ADDIN CSL_CITATION {"citationItems":[{"id":"ITEM-1","itemData":{"DOI":"10.1016/J.JASREP.2016.05.001","ISSN":"2352-409X","abstract":"Recent studies have shown that the Falémé Valley, located in eastern Senegal, is a major component in the comprehension of the West African Palaeolithic period. Several of the sites discovered in this region show a wide variety of lithic productions attributed to the Early, Middle and Later Stone Age. Optically stimulated luminescence dating of 16 samples coming from five sites produces evidence of archaeological records from at least Marine Isotope Stage 5, highlighting an ancient human presence. The dates also indicate nearly continuous sedimentary deposits over the entire upper Pleistocene. In particular, at least one archaeological level is positioned within Marine Isotope Stage 2, which is poorly documented in West Africa. Thus interestingly, the Falémé sequence completes the sequence of Ounjougou in Mali, which was considered up to now as the unique key element for the definition of the chrono-cultural framework of this region.","author":[{"dropping-particle":"","family":"Lebrun","given":"Brice","non-dropping-particle":"","parse-names":false,"suffix":""},{"dropping-particle":"","family":"Tribolo","given":"Chantal","non-dropping-particle":"","parse-names":false,"suffix":""},{"dropping-particle":"","family":"Chevrier","given":"Benoît","non-dropping-particle":"","parse-names":false,"suffix":""},{"dropping-particle":"","family":"Rasse","given":"Michel","non-dropping-particle":"","parse-names":false,"suffix":""},{"dropping-particle":"","family":"Lespez","given":"Laurent","non-dropping-particle":"","parse-names":false,"suffix":""},{"dropping-particle":"","family":"Leplongeon","given":"Alice","non-dropping-particle":"","parse-names":false,"suffix":""},{"dropping-particle":"","family":"Hajdas","given":"Irka","non-dropping-particle":"","parse-names":false,"suffix":""},{"dropping-particle":"","family":"Camara","given":"Abdoulaye","non-dropping-particle":"","parse-names":false,"suffix":""},{"dropping-particle":"","family":"Mercier","given":"Norbert","non-dropping-particle":"","parse-names":false,"suffix":""},{"dropping-particle":"","family":"Huysecom","given":"Éric","non-dropping-particle":"","parse-names":false,"suffix":""}],"container-title":"Journal of Archaeological Science: Reports","id":"ITEM-1","issued":{"date-parts":[["2016","6","1"]]},"page":"379-388","publisher":"Elsevier","title":"Establishing a West African chrono-cultural framework: First luminescence dating of sedimentary formations from the Falémé Valley, Eastern Senegal","type":"article-journal","volume":"7"},"uris":["http://www.mendeley.com/documents/?uuid=f3957089-a57c-3ad6-a20e-21c483ad17a2"]}],"mendeley":{"formattedCitation":"&lt;sup&gt;160&lt;/sup&gt;","plainTextFormattedCitation":"160","previouslyFormattedCitation":"&lt;sup&gt;160&lt;/sup&gt;"},"properties":{"noteIndex":0},"schema":"https://github.com/citation-style-language/schema/raw/master/csl-citation.json"}</w:instrText>
            </w:r>
            <w:r w:rsidRPr="005F44EF">
              <w:rPr>
                <w:rFonts w:ascii="Times New Roman" w:eastAsia="Times New Roman" w:hAnsi="Times New Roman" w:cs="Times New Roman"/>
                <w:sz w:val="16"/>
                <w:szCs w:val="16"/>
              </w:rPr>
              <w:fldChar w:fldCharType="separate"/>
            </w:r>
            <w:r w:rsidR="00C212A1" w:rsidRPr="00C212A1">
              <w:rPr>
                <w:rFonts w:ascii="Times New Roman" w:eastAsia="Times New Roman" w:hAnsi="Times New Roman" w:cs="Times New Roman"/>
                <w:noProof/>
                <w:sz w:val="16"/>
                <w:szCs w:val="16"/>
                <w:vertAlign w:val="superscript"/>
              </w:rPr>
              <w:t>160</w:t>
            </w:r>
            <w:r w:rsidRPr="005F44EF">
              <w:rPr>
                <w:rFonts w:ascii="Times New Roman" w:eastAsia="Times New Roman" w:hAnsi="Times New Roman" w:cs="Times New Roman"/>
                <w:sz w:val="16"/>
                <w:szCs w:val="16"/>
              </w:rPr>
              <w:fldChar w:fldCharType="end"/>
            </w:r>
          </w:p>
        </w:tc>
      </w:tr>
      <w:tr w:rsidR="00886415" w:rsidRPr="005F44EF" w14:paraId="4C912728" w14:textId="77777777" w:rsidTr="003C6FBD">
        <w:trPr>
          <w:trHeight w:val="190"/>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60A80BD" w14:textId="77777777" w:rsidR="00886415" w:rsidRPr="005F44EF" w:rsidRDefault="00886415" w:rsidP="00886415">
            <w:pPr>
              <w:spacing w:after="0" w:line="276" w:lineRule="auto"/>
              <w:jc w:val="both"/>
              <w:rPr>
                <w:rFonts w:ascii="Times New Roman" w:eastAsia="Times New Roman" w:hAnsi="Times New Roman" w:cs="Times New Roman"/>
                <w:b/>
                <w:sz w:val="24"/>
                <w:szCs w:val="24"/>
              </w:rPr>
            </w:pPr>
          </w:p>
        </w:tc>
        <w:tc>
          <w:tcPr>
            <w:tcW w:w="1164"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BF9A23D"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Ghana</w:t>
            </w:r>
          </w:p>
        </w:tc>
        <w:tc>
          <w:tcPr>
            <w:tcW w:w="1009"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2D1ADE3"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Northern Region</w:t>
            </w:r>
          </w:p>
        </w:tc>
        <w:tc>
          <w:tcPr>
            <w:tcW w:w="1284"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108D25A"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proofErr w:type="spellStart"/>
            <w:r w:rsidRPr="005F44EF">
              <w:rPr>
                <w:rFonts w:ascii="Times New Roman" w:eastAsia="Times New Roman" w:hAnsi="Times New Roman" w:cs="Times New Roman"/>
                <w:color w:val="2E2E2E"/>
                <w:sz w:val="16"/>
                <w:szCs w:val="16"/>
              </w:rPr>
              <w:t>Birimi</w:t>
            </w:r>
            <w:proofErr w:type="spellEnd"/>
            <w:r w:rsidRPr="005F44EF">
              <w:rPr>
                <w:rFonts w:ascii="Times New Roman" w:eastAsia="Times New Roman" w:hAnsi="Times New Roman" w:cs="Times New Roman"/>
                <w:color w:val="2E2E2E"/>
                <w:sz w:val="16"/>
                <w:szCs w:val="16"/>
              </w:rPr>
              <w:t>, Upper</w:t>
            </w:r>
          </w:p>
        </w:tc>
        <w:tc>
          <w:tcPr>
            <w:tcW w:w="1557"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A7AAE52" w14:textId="77777777" w:rsidR="00886415" w:rsidRPr="005F44EF" w:rsidRDefault="00886415" w:rsidP="0088641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Layer 3</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F7E61A6"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40.8 ± 11.4</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E74D953" w14:textId="707FC220"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3C20B97" w14:textId="70473424"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6434971" w14:textId="76A84648"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E6546A0" w14:textId="309D2614"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E53220C" w14:textId="17CA92BA"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64DE97F" w14:textId="516BABA8"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498"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6037D63"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2</w:t>
            </w:r>
          </w:p>
        </w:tc>
        <w:tc>
          <w:tcPr>
            <w:tcW w:w="903"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EEE070C" w14:textId="7B7D87F3" w:rsidR="00886415" w:rsidRPr="005F44EF" w:rsidRDefault="00886415" w:rsidP="0088641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lang w:val="fr-FR"/>
              </w:rPr>
              <w:fldChar w:fldCharType="begin" w:fldLock="1"/>
            </w:r>
            <w:r w:rsidR="00614E13">
              <w:rPr>
                <w:rFonts w:ascii="Times New Roman" w:eastAsia="Times New Roman" w:hAnsi="Times New Roman" w:cs="Times New Roman"/>
                <w:sz w:val="16"/>
                <w:szCs w:val="16"/>
                <w:lang w:val="fr-FR"/>
              </w:rPr>
              <w:instrText>ADDIN CSL_CITATION {"citationItems":[{"id":"ITEM-1","itemData":{"author":[{"dropping-particle":"","family":"Hawkins","given":"Alicia","non-dropping-particle":"","parse-names":false,"suffix":""},{"dropping-particle":"","family":"Casey","given":"Joanna L.","non-dropping-particle":"","parse-names":false,"suffix":""},{"dropping-particle":"","family":"Godfrey-smith","given":"Dorothy","non-dropping-particle":"","parse-names":false,"suffix":""},{"dropping-particle":"","family":"D'Andrea","given":"A. Catherine","non-dropping-particle":"","parse-names":false,"suffix":""}],"container-title":"Nyame akuma","id":"ITEM-1","issue":"2","issued":{"date-parts":[["1996"]]},"page":"1-3","title":"A Middle Stone Age Component at the Birimi Site, Northern Region, Ghana","type":"article-journal","volume":"46"},"uris":["http://www.mendeley.com/documents/?uuid=d5bf14c1-6f6f-4701-a6a6-38e0348c31ed"]},{"id":"ITEM-2","itemData":{"ISSN":"0713-5815","abstract":"Africa; West Africa; Ghana; Birimi Site; Kintampo; LSA; Later Stone Age; Holocene; pottery; pottery decoration; harpoons; barbed bone points; personal ornaments; figurines; projectile points","author":[{"dropping-particle":"","family":"Casey","given":"J","non-dropping-particle":"","parse-names":false,"suffix":""},{"dropping-particle":"","family":"Sawatzky","given":"R","non-dropping-particle":"","parse-names":false,"suffix":""},{"dropping-particle":"","family":"Godfrey-Smith","given":"D.","non-dropping-particle":"","parse-names":false,"suffix":""},{"dropping-particle":"","family":"Quickert","given":"N","non-dropping-particle":"","parse-names":false,"suffix":""},{"dropping-particle":"","family":"D'andrea","given":"A.","non-dropping-particle":"","parse-names":false,"suffix":""},{"dropping-particle":"","family":"Wollstonecroft","given":"M","non-dropping-particle":"","parse-names":false,"suffix":""},{"dropping-particle":"","family":"Hawkins","given":"A","non-dropping-particle":"","parse-names":false,"suffix":""}],"container-title":"Nyame akuma","id":"ITEM-2","issue":"48","issued":{"date-parts":[["1997"]]},"page":"32-38","title":"Report of investigations at the Birimi Site in Northern Ghana","type":"article-journal"},"uris":["http://www.mendeley.com/documents/?uuid=1346d5f9-d0d8-417a-9d50-0cee114821a9"]},{"id":"ITEM-3","itemData":{"DOI":"10.1016/S0277-3791(03)00050-7","ISSN":"02773791","abstract":"We report the first luminescence ages for the archeological and geological sediments forming the substrate of the Birimi archaeological site in the Northern Region of Ghana. The site's significance rests on the fact that it contains a rich collection of artifact assemblages representative of three distinct cultures, and that, on the basis of artifact typology, the earliest assemblage is diagnostic of the Middle Stone Age (MSA). In situ occurrences of MSA artifacts are found at over 1 m below today's surface. They are overlain by a ceramic-rich complex of a sedentary or semi-sendentary Later Stone Age culture known as the Kintampo. The western half of the site is dominated by the industrial remains of Iron Age smelting activity. Elemental, mineralogical, and sedimentological analysis of the cultural and sub-cultural sedimentary horizons at the site revealed at least three distinct lithostratigraphic units. The quartz sediments are derived from the sandstone of the Gambaga escarpment, mass wasted and accreted fluvially at a rate of 3.2cm/ka, forming a wide terrace at Birimi. Silts and finer fractions derive from windblown dust, likely from White Volta River and granitic sources to the north. Soil forming processes and wide fluctuations in moisture have progressively reduced the sediments at depth to the resistant quartz and kaolinite, with rich iron oxide coatings, and created two ironstone horizons composed of goethite-cemented quartz nodules. Multiple aliquot green-light stimulated optical ages for 125-150 μm quartz grains yielded ages of 23.6±2.9 and 40.8±11.8 ka for the MSA-bearing sediments, and 58.4±15.3 ka for the base of the terrace. Radiocarbon ages on charcoal from Kintampo-bearing units are 3.36-3.83 ka cal BP, and are supported by thermoluminescence (TL) ages on pottery sherds and burnt house daub fragments of this cultural complex. A 0.4 ka age on sediment from the site's surface confirms that the quartz zeroes well when exposed to natural light. Sediments bearing the Kintampo artifacts, however, yielded ages of 7.8-16.9 ka. These ages were obtained on sediments from large pits, some over 50 cm deep, and they deviate only slightly from the ages expected for naturally aggraded sediments at these depths. We conclude, therefore, that extensive digging of pits by the Kintampo dwellers was followed by rapid refilling, and that the bulk mobilization of the matrix did not permit the sedimentary quartz grains to experience any appreciable zeroing at …","author":[{"dropping-particle":"","family":"Quickert","given":"Nicole A.","non-dropping-particle":"","parse-names":false,"suffix":""},{"dropping-particle":"","family":"Godfrey-Smith","given":"Dorothy I.","non-dropping-particle":"","parse-names":false,"suffix":""},{"dropping-particle":"","family":"Casey","given":"Joanna L.","non-dropping-particle":"","parse-names":false,"suffix":""}],"container-title":"Quaternary Science Reviews","id":"ITEM-3","issue":"10-13","issued":{"date-parts":[["2003","5","1"]]},"page":"1291-1297","publisher":"Elsevier Ltd","title":"Optical and thermoluminescence dating of Middle Stone Age and Kintampo bearing sediments at Birimi, a multi-component archaeological site in Ghana","type":"paper-conference","volume":"22"},"uris":["http://www.mendeley.com/documents/?uuid=08ab4a6c-8555-327b-a0c8-d618486d4b0b"]}],"mendeley":{"formattedCitation":"&lt;sup&gt;162–164&lt;/sup&gt;","plainTextFormattedCitation":"162–164","previouslyFormattedCitation":"&lt;sup&gt;162–164&lt;/sup&gt;"},"properties":{"noteIndex":0},"schema":"https://github.com/citation-style-language/schema/raw/master/csl-citation.json"}</w:instrText>
            </w:r>
            <w:r w:rsidRPr="005F44EF">
              <w:rPr>
                <w:rFonts w:ascii="Times New Roman" w:eastAsia="Times New Roman" w:hAnsi="Times New Roman" w:cs="Times New Roman"/>
                <w:sz w:val="16"/>
                <w:szCs w:val="16"/>
                <w:lang w:val="fr-FR"/>
              </w:rPr>
              <w:fldChar w:fldCharType="separate"/>
            </w:r>
            <w:r w:rsidR="00C212A1" w:rsidRPr="00C212A1">
              <w:rPr>
                <w:rFonts w:ascii="Times New Roman" w:eastAsia="Times New Roman" w:hAnsi="Times New Roman" w:cs="Times New Roman"/>
                <w:noProof/>
                <w:sz w:val="16"/>
                <w:szCs w:val="16"/>
                <w:vertAlign w:val="superscript"/>
                <w:lang w:val="fr-FR"/>
              </w:rPr>
              <w:t>162–164</w:t>
            </w:r>
            <w:r w:rsidRPr="005F44EF">
              <w:rPr>
                <w:rFonts w:ascii="Times New Roman" w:eastAsia="Times New Roman" w:hAnsi="Times New Roman" w:cs="Times New Roman"/>
                <w:sz w:val="16"/>
                <w:szCs w:val="16"/>
                <w:lang w:val="fr-FR"/>
              </w:rPr>
              <w:fldChar w:fldCharType="end"/>
            </w:r>
          </w:p>
        </w:tc>
      </w:tr>
      <w:tr w:rsidR="00886415" w:rsidRPr="005F44EF" w14:paraId="0F5CAD91" w14:textId="77777777" w:rsidTr="003C6FBD">
        <w:trPr>
          <w:trHeight w:val="311"/>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7981487" w14:textId="77777777" w:rsidR="00886415" w:rsidRPr="005F44EF" w:rsidRDefault="00886415" w:rsidP="00886415">
            <w:pPr>
              <w:spacing w:after="0" w:line="276" w:lineRule="auto"/>
              <w:jc w:val="both"/>
              <w:rPr>
                <w:rFonts w:ascii="Times New Roman" w:eastAsia="Times New Roman" w:hAnsi="Times New Roman" w:cs="Times New Roman"/>
                <w:b/>
                <w:sz w:val="24"/>
                <w:szCs w:val="24"/>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20586792"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7A8A0E7F"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28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1D5B22C3"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155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4C5159CC"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7EEC179"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105 cm: 23.6 ± 2.9</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D811B0B" w14:textId="2AA52DD0"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CF757E6" w14:textId="1DDB5FFA"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7F409C3" w14:textId="03FDC461"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8277DBF" w14:textId="39636673"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E0FBE30" w14:textId="355E1FDF"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CFFFAF2" w14:textId="76F97C89"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49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034B0902"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c>
          <w:tcPr>
            <w:tcW w:w="90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vAlign w:val="center"/>
          </w:tcPr>
          <w:p w14:paraId="70A54533" w14:textId="77777777" w:rsidR="00886415" w:rsidRPr="005F44EF" w:rsidRDefault="00886415" w:rsidP="00886415">
            <w:pPr>
              <w:spacing w:after="0" w:line="276" w:lineRule="auto"/>
              <w:rPr>
                <w:rFonts w:ascii="Times New Roman" w:eastAsia="Times New Roman" w:hAnsi="Times New Roman" w:cs="Times New Roman"/>
                <w:b/>
                <w:sz w:val="24"/>
                <w:szCs w:val="24"/>
              </w:rPr>
            </w:pPr>
          </w:p>
        </w:tc>
      </w:tr>
      <w:tr w:rsidR="00886415" w:rsidRPr="005F44EF" w14:paraId="234A9FDA" w14:textId="77777777" w:rsidTr="003C6FBD">
        <w:trPr>
          <w:trHeight w:val="14"/>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17B5DC7" w14:textId="77777777" w:rsidR="00886415" w:rsidRPr="005F44EF" w:rsidRDefault="00886415" w:rsidP="00886415">
            <w:pPr>
              <w:spacing w:after="0" w:line="276" w:lineRule="auto"/>
              <w:jc w:val="both"/>
              <w:rPr>
                <w:rFonts w:ascii="Times New Roman" w:eastAsia="Times New Roman" w:hAnsi="Times New Roman" w:cs="Times New Roman"/>
                <w:b/>
                <w:sz w:val="24"/>
                <w:szCs w:val="24"/>
              </w:rPr>
            </w:pPr>
          </w:p>
        </w:tc>
        <w:tc>
          <w:tcPr>
            <w:tcW w:w="1164"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4C98DC9"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Senegal</w:t>
            </w:r>
          </w:p>
        </w:tc>
        <w:tc>
          <w:tcPr>
            <w:tcW w:w="1009"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3512079"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Gambia river</w:t>
            </w:r>
          </w:p>
        </w:tc>
        <w:tc>
          <w:tcPr>
            <w:tcW w:w="1284"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A57B499"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proofErr w:type="spellStart"/>
            <w:r w:rsidRPr="005F44EF">
              <w:rPr>
                <w:rFonts w:ascii="Times New Roman" w:eastAsia="Times New Roman" w:hAnsi="Times New Roman" w:cs="Times New Roman"/>
                <w:color w:val="2E2E2E"/>
                <w:sz w:val="16"/>
                <w:szCs w:val="16"/>
              </w:rPr>
              <w:t>Laminia</w:t>
            </w:r>
            <w:proofErr w:type="spellEnd"/>
          </w:p>
        </w:tc>
        <w:tc>
          <w:tcPr>
            <w:tcW w:w="1557"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1B827F9"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1B</w:t>
            </w: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0E265DC"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22 ± 0.85</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86A59B4" w14:textId="5C2B7B65"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3000B63" w14:textId="0B29B3A0"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3C182E6" w14:textId="59DCC41C"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1C7724B" w14:textId="055C4EDA"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B787EB0" w14:textId="4149AB28"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8A0FECD" w14:textId="4237EC95" w:rsidR="00886415" w:rsidRPr="005F44EF" w:rsidRDefault="00886415" w:rsidP="00886415">
            <w:pPr>
              <w:spacing w:before="240" w:after="0" w:line="276" w:lineRule="auto"/>
              <w:rPr>
                <w:rFonts w:ascii="Times New Roman" w:eastAsia="Times New Roman" w:hAnsi="Times New Roman" w:cs="Times New Roman"/>
                <w:sz w:val="16"/>
                <w:szCs w:val="16"/>
              </w:rPr>
            </w:pPr>
          </w:p>
        </w:tc>
        <w:tc>
          <w:tcPr>
            <w:tcW w:w="498"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35BE8A6"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2</w:t>
            </w:r>
          </w:p>
        </w:tc>
        <w:tc>
          <w:tcPr>
            <w:tcW w:w="903" w:type="dxa"/>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7F8EA8A" w14:textId="6BA91AD1" w:rsidR="00886415" w:rsidRPr="005F44EF" w:rsidRDefault="00886415" w:rsidP="0088641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fldChar w:fldCharType="begin" w:fldLock="1"/>
            </w:r>
            <w:r w:rsidR="00614E13">
              <w:rPr>
                <w:rFonts w:ascii="Times New Roman" w:eastAsia="Times New Roman" w:hAnsi="Times New Roman" w:cs="Times New Roman"/>
                <w:sz w:val="16"/>
                <w:szCs w:val="16"/>
              </w:rPr>
              <w:instrText>ADDIN CSL_CITATION {"citationItems":[{"id":"ITEM-1","itemData":{"DOI":"10.1038/s41598-020-79418-4","ISBN":"0123456789","abstract":"The African Middle Stone Age (MSA, typically considered to span ca. 300-30 thousand years ago [ka]), represents our species' first and longest lasting cultural phase. Although the MSA to Later Stone Age (LSA) transition is known to have had a degree of spatial and temporal variability, recent studies have implied that in some regions, the MSA persisted well beyond 30 ka. Here we report two new sites in Senegal that date the end of the MSA to around 11 ka, the youngest yet documented MSA in Africa. This shows that this cultural phase persisted into the Holocene. These results highlight significant spatial and temporal cultural variability in the African Late Pleistocene, consistent with genomic and palaeoanthropological hypotheses that significant, long-standing inter-group cultural differences shaped the later stages of human evolution in Africa.","author":[{"dropping-particle":"","family":"Scerri","given":"Eleanor M L","non-dropping-particle":"","parse-names":false,"suffix":""},{"dropping-particle":"","family":"Niang","given":"Khady","non-dropping-particle":"","parse-names":false,"suffix":""},{"dropping-particle":"","family":"Candy","given":"Ian","non-dropping-particle":"","parse-names":false,"suffix":""},{"dropping-particle":"","family":"Blinkhorn","given":"James","non-dropping-particle":"","parse-names":false,"suffix":""},{"dropping-particle":"","family":"Mills","given":"William","non-dropping-particle":"","parse-names":false,"suffix":""},{"dropping-particle":"","family":"Cerasoni","given":"Jacopo N","non-dropping-particle":"","parse-names":false,"suffix":""},{"dropping-particle":"","family":"Bateman","given":"Mark D","non-dropping-particle":"","parse-names":false,"suffix":""},{"dropping-particle":"","family":"Crowther","given":"Alison","non-dropping-particle":"","parse-names":false,"suffix":""},{"dropping-particle":"","family":"Groucutt","given":"Huw S","non-dropping-particle":"","parse-names":false,"suffix":""}],"container-title":"Scientific Reports","id":"ITEM-1","issue":"1","issued":{"date-parts":[["2021","1","11"]]},"page":"70","publisher":"Nature Publishing Group","title":"Continuity of the Middle Stone Age into the Holocene","type":"article-journal","volume":"11"},"uris":["http://www.mendeley.com/documents/?uuid=a85c47a4-1b3f-350b-b299-928cf953e840"]}],"mendeley":{"formattedCitation":"&lt;sup&gt;165&lt;/sup&gt;","plainTextFormattedCitation":"165","previouslyFormattedCitation":"&lt;sup&gt;165&lt;/sup&gt;"},"properties":{"noteIndex":0},"schema":"https://github.com/citation-style-language/schema/raw/master/csl-citation.json"}</w:instrText>
            </w:r>
            <w:r w:rsidRPr="005F44EF">
              <w:rPr>
                <w:rFonts w:ascii="Times New Roman" w:eastAsia="Times New Roman" w:hAnsi="Times New Roman" w:cs="Times New Roman"/>
                <w:sz w:val="16"/>
                <w:szCs w:val="16"/>
              </w:rPr>
              <w:fldChar w:fldCharType="separate"/>
            </w:r>
            <w:r w:rsidR="00C212A1" w:rsidRPr="00C212A1">
              <w:rPr>
                <w:rFonts w:ascii="Times New Roman" w:eastAsia="Times New Roman" w:hAnsi="Times New Roman" w:cs="Times New Roman"/>
                <w:noProof/>
                <w:sz w:val="16"/>
                <w:szCs w:val="16"/>
                <w:vertAlign w:val="superscript"/>
              </w:rPr>
              <w:t>165</w:t>
            </w:r>
            <w:r w:rsidRPr="005F44EF">
              <w:rPr>
                <w:rFonts w:ascii="Times New Roman" w:eastAsia="Times New Roman" w:hAnsi="Times New Roman" w:cs="Times New Roman"/>
                <w:sz w:val="16"/>
                <w:szCs w:val="16"/>
              </w:rPr>
              <w:fldChar w:fldCharType="end"/>
            </w:r>
          </w:p>
        </w:tc>
      </w:tr>
      <w:tr w:rsidR="00886415" w:rsidRPr="005F44EF" w14:paraId="58194C2A" w14:textId="77777777" w:rsidTr="003C6FBD">
        <w:trPr>
          <w:trHeight w:val="190"/>
        </w:trPr>
        <w:tc>
          <w:tcPr>
            <w:tcW w:w="80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0E34172" w14:textId="77777777" w:rsidR="00886415" w:rsidRPr="005F44EF" w:rsidRDefault="00886415" w:rsidP="00886415">
            <w:pPr>
              <w:spacing w:after="0" w:line="276" w:lineRule="auto"/>
              <w:jc w:val="both"/>
              <w:rPr>
                <w:rFonts w:ascii="Times New Roman" w:eastAsia="Times New Roman" w:hAnsi="Times New Roman" w:cs="Times New Roman"/>
                <w:b/>
                <w:sz w:val="24"/>
                <w:szCs w:val="24"/>
              </w:rPr>
            </w:pPr>
          </w:p>
        </w:tc>
        <w:tc>
          <w:tcPr>
            <w:tcW w:w="116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9525E53" w14:textId="77777777" w:rsidR="00886415" w:rsidRPr="005F44EF" w:rsidRDefault="00886415" w:rsidP="00886415">
            <w:pPr>
              <w:spacing w:after="0" w:line="276" w:lineRule="auto"/>
              <w:jc w:val="both"/>
              <w:rPr>
                <w:rFonts w:ascii="Times New Roman" w:eastAsia="Times New Roman" w:hAnsi="Times New Roman" w:cs="Times New Roman"/>
                <w:b/>
                <w:sz w:val="24"/>
                <w:szCs w:val="24"/>
              </w:rPr>
            </w:pPr>
          </w:p>
        </w:tc>
        <w:tc>
          <w:tcPr>
            <w:tcW w:w="10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7F95A90" w14:textId="77777777" w:rsidR="00886415" w:rsidRPr="005F44EF" w:rsidRDefault="00886415" w:rsidP="00886415">
            <w:pPr>
              <w:spacing w:after="0" w:line="276" w:lineRule="auto"/>
              <w:jc w:val="both"/>
              <w:rPr>
                <w:rFonts w:ascii="Times New Roman" w:eastAsia="Times New Roman" w:hAnsi="Times New Roman" w:cs="Times New Roman"/>
                <w:b/>
                <w:sz w:val="24"/>
                <w:szCs w:val="24"/>
              </w:rPr>
            </w:pPr>
          </w:p>
        </w:tc>
        <w:tc>
          <w:tcPr>
            <w:tcW w:w="1284"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4142570" w14:textId="77777777" w:rsidR="00886415" w:rsidRPr="005F44EF" w:rsidRDefault="00886415" w:rsidP="00886415">
            <w:pPr>
              <w:spacing w:after="0" w:line="276" w:lineRule="auto"/>
              <w:jc w:val="both"/>
              <w:rPr>
                <w:rFonts w:ascii="Times New Roman" w:eastAsia="Times New Roman" w:hAnsi="Times New Roman" w:cs="Times New Roman"/>
                <w:b/>
                <w:sz w:val="24"/>
                <w:szCs w:val="24"/>
              </w:rPr>
            </w:pPr>
          </w:p>
        </w:tc>
        <w:tc>
          <w:tcPr>
            <w:tcW w:w="155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3ECF0AF" w14:textId="77777777" w:rsidR="00886415" w:rsidRPr="005F44EF" w:rsidRDefault="00886415" w:rsidP="00886415">
            <w:pPr>
              <w:spacing w:after="0" w:line="276" w:lineRule="auto"/>
              <w:jc w:val="both"/>
              <w:rPr>
                <w:rFonts w:ascii="Times New Roman" w:eastAsia="Times New Roman" w:hAnsi="Times New Roman" w:cs="Times New Roman"/>
                <w:b/>
                <w:sz w:val="24"/>
                <w:szCs w:val="24"/>
              </w:rPr>
            </w:pPr>
          </w:p>
        </w:tc>
        <w:tc>
          <w:tcPr>
            <w:tcW w:w="93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tcPr>
          <w:p w14:paraId="13DA4FDB" w14:textId="77777777" w:rsidR="00886415" w:rsidRPr="005F44EF" w:rsidRDefault="00886415" w:rsidP="00886415">
            <w:pPr>
              <w:spacing w:before="240" w:after="0" w:line="276" w:lineRule="auto"/>
              <w:rPr>
                <w:rFonts w:ascii="Times New Roman" w:eastAsia="Times New Roman" w:hAnsi="Times New Roman" w:cs="Times New Roman"/>
                <w:color w:val="2E2E2E"/>
                <w:sz w:val="16"/>
                <w:szCs w:val="16"/>
              </w:rPr>
            </w:pPr>
            <w:r w:rsidRPr="005F44EF">
              <w:rPr>
                <w:rFonts w:ascii="Times New Roman" w:eastAsia="Times New Roman" w:hAnsi="Times New Roman" w:cs="Times New Roman"/>
                <w:color w:val="2E2E2E"/>
                <w:sz w:val="16"/>
                <w:szCs w:val="16"/>
              </w:rPr>
              <w:t>20.8 ± 0.83</w:t>
            </w:r>
          </w:p>
        </w:tc>
        <w:tc>
          <w:tcPr>
            <w:tcW w:w="893" w:type="dxa"/>
            <w:tcBorders>
              <w:top w:val="nil"/>
              <w:left w:val="nil"/>
              <w:bottom w:val="single" w:sz="6" w:space="0" w:color="000000"/>
              <w:right w:val="single" w:sz="6" w:space="0" w:color="000000"/>
            </w:tcBorders>
            <w:shd w:val="clear" w:color="auto" w:fill="auto"/>
            <w:tcMar>
              <w:top w:w="0" w:type="dxa"/>
              <w:left w:w="80" w:type="dxa"/>
              <w:bottom w:w="0" w:type="dxa"/>
              <w:right w:w="80" w:type="dxa"/>
            </w:tcMar>
          </w:tcPr>
          <w:p w14:paraId="393635B6" w14:textId="77777777" w:rsidR="00886415" w:rsidRPr="005F44EF" w:rsidRDefault="00886415" w:rsidP="0088641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 xml:space="preserve"> </w:t>
            </w:r>
          </w:p>
        </w:tc>
        <w:tc>
          <w:tcPr>
            <w:tcW w:w="547" w:type="dxa"/>
            <w:tcBorders>
              <w:top w:val="nil"/>
              <w:left w:val="nil"/>
              <w:bottom w:val="single" w:sz="6" w:space="0" w:color="000000"/>
              <w:right w:val="single" w:sz="6" w:space="0" w:color="000000"/>
            </w:tcBorders>
            <w:shd w:val="clear" w:color="auto" w:fill="auto"/>
            <w:tcMar>
              <w:top w:w="0" w:type="dxa"/>
              <w:left w:w="80" w:type="dxa"/>
              <w:bottom w:w="0" w:type="dxa"/>
              <w:right w:w="80" w:type="dxa"/>
            </w:tcMar>
          </w:tcPr>
          <w:p w14:paraId="6FB766F3" w14:textId="77777777" w:rsidR="00886415" w:rsidRPr="005F44EF" w:rsidRDefault="00886415" w:rsidP="0088641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 xml:space="preserve"> </w:t>
            </w:r>
          </w:p>
        </w:tc>
        <w:tc>
          <w:tcPr>
            <w:tcW w:w="70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tcPr>
          <w:p w14:paraId="69F55E54" w14:textId="77777777" w:rsidR="00886415" w:rsidRPr="005F44EF" w:rsidRDefault="00886415" w:rsidP="0088641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 xml:space="preserve"> </w:t>
            </w:r>
          </w:p>
        </w:tc>
        <w:tc>
          <w:tcPr>
            <w:tcW w:w="711" w:type="dxa"/>
            <w:tcBorders>
              <w:top w:val="nil"/>
              <w:left w:val="nil"/>
              <w:bottom w:val="single" w:sz="6" w:space="0" w:color="000000"/>
              <w:right w:val="single" w:sz="6" w:space="0" w:color="000000"/>
            </w:tcBorders>
            <w:shd w:val="clear" w:color="auto" w:fill="auto"/>
            <w:tcMar>
              <w:top w:w="0" w:type="dxa"/>
              <w:left w:w="80" w:type="dxa"/>
              <w:bottom w:w="0" w:type="dxa"/>
              <w:right w:w="80" w:type="dxa"/>
            </w:tcMar>
          </w:tcPr>
          <w:p w14:paraId="0530A5A5" w14:textId="77777777" w:rsidR="00886415" w:rsidRPr="005F44EF" w:rsidRDefault="00886415" w:rsidP="0088641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 xml:space="preserve"> </w:t>
            </w:r>
          </w:p>
        </w:tc>
        <w:tc>
          <w:tcPr>
            <w:tcW w:w="1424" w:type="dxa"/>
            <w:tcBorders>
              <w:top w:val="nil"/>
              <w:left w:val="nil"/>
              <w:bottom w:val="single" w:sz="6" w:space="0" w:color="000000"/>
              <w:right w:val="single" w:sz="6" w:space="0" w:color="000000"/>
            </w:tcBorders>
            <w:shd w:val="clear" w:color="auto" w:fill="auto"/>
            <w:tcMar>
              <w:top w:w="0" w:type="dxa"/>
              <w:left w:w="80" w:type="dxa"/>
              <w:bottom w:w="0" w:type="dxa"/>
              <w:right w:w="80" w:type="dxa"/>
            </w:tcMar>
          </w:tcPr>
          <w:p w14:paraId="364F5859" w14:textId="77777777" w:rsidR="00886415" w:rsidRPr="005F44EF" w:rsidRDefault="00886415" w:rsidP="0088641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 xml:space="preserve"> </w:t>
            </w:r>
          </w:p>
        </w:tc>
        <w:tc>
          <w:tcPr>
            <w:tcW w:w="719" w:type="dxa"/>
            <w:tcBorders>
              <w:top w:val="nil"/>
              <w:left w:val="nil"/>
              <w:bottom w:val="single" w:sz="6" w:space="0" w:color="000000"/>
              <w:right w:val="single" w:sz="6" w:space="0" w:color="000000"/>
            </w:tcBorders>
            <w:shd w:val="clear" w:color="auto" w:fill="auto"/>
            <w:tcMar>
              <w:top w:w="0" w:type="dxa"/>
              <w:left w:w="80" w:type="dxa"/>
              <w:bottom w:w="0" w:type="dxa"/>
              <w:right w:w="80" w:type="dxa"/>
            </w:tcMar>
          </w:tcPr>
          <w:p w14:paraId="1CFD2B05" w14:textId="77777777" w:rsidR="00886415" w:rsidRPr="005F44EF" w:rsidRDefault="00886415" w:rsidP="00886415">
            <w:pPr>
              <w:spacing w:before="240" w:after="0" w:line="276" w:lineRule="auto"/>
              <w:rPr>
                <w:rFonts w:ascii="Times New Roman" w:eastAsia="Times New Roman" w:hAnsi="Times New Roman" w:cs="Times New Roman"/>
                <w:sz w:val="16"/>
                <w:szCs w:val="16"/>
              </w:rPr>
            </w:pPr>
            <w:r w:rsidRPr="005F44EF">
              <w:rPr>
                <w:rFonts w:ascii="Times New Roman" w:eastAsia="Times New Roman" w:hAnsi="Times New Roman" w:cs="Times New Roman"/>
                <w:sz w:val="16"/>
                <w:szCs w:val="16"/>
              </w:rPr>
              <w:t xml:space="preserve"> </w:t>
            </w:r>
          </w:p>
        </w:tc>
        <w:tc>
          <w:tcPr>
            <w:tcW w:w="49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7682CBE" w14:textId="77777777" w:rsidR="00886415" w:rsidRPr="005F44EF" w:rsidRDefault="00886415" w:rsidP="00886415">
            <w:pPr>
              <w:spacing w:after="0" w:line="276" w:lineRule="auto"/>
              <w:jc w:val="both"/>
              <w:rPr>
                <w:rFonts w:ascii="Times New Roman" w:eastAsia="Times New Roman" w:hAnsi="Times New Roman" w:cs="Times New Roman"/>
                <w:b/>
                <w:sz w:val="24"/>
                <w:szCs w:val="24"/>
              </w:rPr>
            </w:pPr>
          </w:p>
        </w:tc>
        <w:tc>
          <w:tcPr>
            <w:tcW w:w="90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2894B44" w14:textId="77777777" w:rsidR="00886415" w:rsidRPr="005F44EF" w:rsidRDefault="00886415" w:rsidP="00886415">
            <w:pPr>
              <w:spacing w:after="0" w:line="276" w:lineRule="auto"/>
              <w:jc w:val="both"/>
              <w:rPr>
                <w:rFonts w:ascii="Times New Roman" w:eastAsia="Times New Roman" w:hAnsi="Times New Roman" w:cs="Times New Roman"/>
                <w:b/>
                <w:sz w:val="24"/>
                <w:szCs w:val="24"/>
              </w:rPr>
            </w:pPr>
          </w:p>
        </w:tc>
      </w:tr>
    </w:tbl>
    <w:p w14:paraId="5D8BC6A4" w14:textId="77777777" w:rsidR="00BB7AA9" w:rsidRPr="005F44EF" w:rsidRDefault="00BB7AA9">
      <w:pPr>
        <w:spacing w:after="0" w:line="276" w:lineRule="auto"/>
        <w:rPr>
          <w:rFonts w:ascii="Times New Roman" w:eastAsia="Times New Roman" w:hAnsi="Times New Roman" w:cs="Times New Roman"/>
        </w:rPr>
      </w:pPr>
      <w:bookmarkStart w:id="119" w:name="_cs4egga0x1ak" w:colFirst="0" w:colLast="0"/>
      <w:bookmarkEnd w:id="119"/>
    </w:p>
    <w:p w14:paraId="5650642F" w14:textId="77777777" w:rsidR="00BB7AA9" w:rsidRPr="005F44EF" w:rsidRDefault="00BB7AA9">
      <w:pPr>
        <w:spacing w:after="0" w:line="276" w:lineRule="auto"/>
        <w:jc w:val="both"/>
        <w:rPr>
          <w:rFonts w:ascii="Times New Roman" w:eastAsia="Times New Roman" w:hAnsi="Times New Roman" w:cs="Times New Roman"/>
          <w:sz w:val="24"/>
          <w:szCs w:val="24"/>
        </w:rPr>
        <w:sectPr w:rsidR="00BB7AA9" w:rsidRPr="005F44EF">
          <w:pgSz w:w="15840" w:h="12240" w:orient="landscape"/>
          <w:pgMar w:top="1417" w:right="1417" w:bottom="1417" w:left="1134" w:header="720" w:footer="720" w:gutter="0"/>
          <w:lnNumType w:countBy="1" w:restart="continuous"/>
          <w:cols w:space="720"/>
        </w:sectPr>
      </w:pPr>
    </w:p>
    <w:p w14:paraId="0C339E57" w14:textId="777F93F5" w:rsidR="00BB7AA9" w:rsidRPr="005F44EF" w:rsidRDefault="00B9564D" w:rsidP="00BE1102">
      <w:pPr>
        <w:pStyle w:val="Heading1"/>
        <w:rPr>
          <w:rFonts w:cs="Times New Roman"/>
        </w:rPr>
      </w:pPr>
      <w:bookmarkStart w:id="120" w:name="_Toc178429949"/>
      <w:r w:rsidRPr="005F44EF">
        <w:rPr>
          <w:rFonts w:cs="Times New Roman"/>
        </w:rPr>
        <w:lastRenderedPageBreak/>
        <w:t>References</w:t>
      </w:r>
      <w:bookmarkEnd w:id="120"/>
      <w:r w:rsidRPr="005F44EF">
        <w:rPr>
          <w:rFonts w:cs="Times New Roman"/>
        </w:rPr>
        <w:t xml:space="preserve"> </w:t>
      </w:r>
    </w:p>
    <w:p w14:paraId="22A0CD37" w14:textId="782E28F5" w:rsidR="00D57D89" w:rsidRPr="005F44EF" w:rsidRDefault="00D57D89">
      <w:pPr>
        <w:widowControl w:val="0"/>
        <w:pBdr>
          <w:top w:val="nil"/>
          <w:left w:val="nil"/>
          <w:bottom w:val="nil"/>
          <w:right w:val="nil"/>
          <w:between w:val="nil"/>
        </w:pBdr>
        <w:spacing w:after="0" w:line="240" w:lineRule="auto"/>
        <w:ind w:left="384" w:hanging="384"/>
        <w:rPr>
          <w:rFonts w:ascii="Times New Roman" w:eastAsia="Times New Roman" w:hAnsi="Times New Roman" w:cs="Times New Roman"/>
        </w:rPr>
      </w:pPr>
    </w:p>
    <w:p w14:paraId="75B7D2FF" w14:textId="148CA8DC" w:rsidR="00614E13" w:rsidRPr="00614E13" w:rsidRDefault="00D57D89"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5F44EF">
        <w:rPr>
          <w:rFonts w:ascii="Times New Roman" w:eastAsia="Times New Roman" w:hAnsi="Times New Roman" w:cs="Times New Roman"/>
        </w:rPr>
        <w:fldChar w:fldCharType="begin" w:fldLock="1"/>
      </w:r>
      <w:r w:rsidRPr="0036548B">
        <w:rPr>
          <w:rFonts w:ascii="Times New Roman" w:eastAsia="Times New Roman" w:hAnsi="Times New Roman" w:cs="Times New Roman"/>
          <w:lang w:val="fr-FR"/>
        </w:rPr>
        <w:instrText xml:space="preserve">ADDIN Mendeley Bibliography CSL_BIBLIOGRAPHY </w:instrText>
      </w:r>
      <w:r w:rsidRPr="005F44EF">
        <w:rPr>
          <w:rFonts w:ascii="Times New Roman" w:eastAsia="Times New Roman" w:hAnsi="Times New Roman" w:cs="Times New Roman"/>
        </w:rPr>
        <w:fldChar w:fldCharType="separate"/>
      </w:r>
      <w:r w:rsidR="00614E13" w:rsidRPr="00614E13">
        <w:rPr>
          <w:rFonts w:ascii="Times New Roman" w:hAnsi="Times New Roman" w:cs="Times New Roman"/>
          <w:noProof/>
          <w:szCs w:val="24"/>
        </w:rPr>
        <w:t>1.</w:t>
      </w:r>
      <w:r w:rsidR="00614E13" w:rsidRPr="00614E13">
        <w:rPr>
          <w:rFonts w:ascii="Times New Roman" w:hAnsi="Times New Roman" w:cs="Times New Roman"/>
          <w:noProof/>
          <w:szCs w:val="24"/>
        </w:rPr>
        <w:tab/>
        <w:t xml:space="preserve">Hublin, J.-J. </w:t>
      </w:r>
      <w:r w:rsidR="00614E13" w:rsidRPr="00614E13">
        <w:rPr>
          <w:rFonts w:ascii="Times New Roman" w:hAnsi="Times New Roman" w:cs="Times New Roman"/>
          <w:i/>
          <w:iCs/>
          <w:noProof/>
          <w:szCs w:val="24"/>
        </w:rPr>
        <w:t>et al.</w:t>
      </w:r>
      <w:r w:rsidR="00614E13" w:rsidRPr="00614E13">
        <w:rPr>
          <w:rFonts w:ascii="Times New Roman" w:hAnsi="Times New Roman" w:cs="Times New Roman"/>
          <w:noProof/>
          <w:szCs w:val="24"/>
        </w:rPr>
        <w:t xml:space="preserve"> New fossils from Jebel Irhoud, Morocco and the pan-African origin of Homo sapiens. </w:t>
      </w:r>
      <w:r w:rsidR="00614E13" w:rsidRPr="00614E13">
        <w:rPr>
          <w:rFonts w:ascii="Times New Roman" w:hAnsi="Times New Roman" w:cs="Times New Roman"/>
          <w:i/>
          <w:iCs/>
          <w:noProof/>
          <w:szCs w:val="24"/>
        </w:rPr>
        <w:t>Nature</w:t>
      </w:r>
      <w:r w:rsidR="00614E13" w:rsidRPr="00614E13">
        <w:rPr>
          <w:rFonts w:ascii="Times New Roman" w:hAnsi="Times New Roman" w:cs="Times New Roman"/>
          <w:noProof/>
          <w:szCs w:val="24"/>
        </w:rPr>
        <w:t xml:space="preserve"> </w:t>
      </w:r>
      <w:r w:rsidR="00614E13" w:rsidRPr="00614E13">
        <w:rPr>
          <w:rFonts w:ascii="Times New Roman" w:hAnsi="Times New Roman" w:cs="Times New Roman"/>
          <w:b/>
          <w:bCs/>
          <w:noProof/>
          <w:szCs w:val="24"/>
        </w:rPr>
        <w:t>546</w:t>
      </w:r>
      <w:r w:rsidR="00614E13" w:rsidRPr="00614E13">
        <w:rPr>
          <w:rFonts w:ascii="Times New Roman" w:hAnsi="Times New Roman" w:cs="Times New Roman"/>
          <w:noProof/>
          <w:szCs w:val="24"/>
        </w:rPr>
        <w:t>, 289–292 (2017).</w:t>
      </w:r>
    </w:p>
    <w:p w14:paraId="282678C0"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2.</w:t>
      </w:r>
      <w:r w:rsidRPr="00614E13">
        <w:rPr>
          <w:rFonts w:ascii="Times New Roman" w:hAnsi="Times New Roman" w:cs="Times New Roman"/>
          <w:noProof/>
          <w:szCs w:val="24"/>
        </w:rPr>
        <w:tab/>
        <w:t xml:space="preserve">Richter, D.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The age of the hominin fossils from Jebel Irhoud, Morocco, and the origins of the Middle Stone Age. </w:t>
      </w:r>
      <w:r w:rsidRPr="00614E13">
        <w:rPr>
          <w:rFonts w:ascii="Times New Roman" w:hAnsi="Times New Roman" w:cs="Times New Roman"/>
          <w:i/>
          <w:iCs/>
          <w:noProof/>
          <w:szCs w:val="24"/>
        </w:rPr>
        <w:t>Nature</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546</w:t>
      </w:r>
      <w:r w:rsidRPr="00614E13">
        <w:rPr>
          <w:rFonts w:ascii="Times New Roman" w:hAnsi="Times New Roman" w:cs="Times New Roman"/>
          <w:noProof/>
          <w:szCs w:val="24"/>
        </w:rPr>
        <w:t>, 293–296 (2017).</w:t>
      </w:r>
    </w:p>
    <w:p w14:paraId="66F317D1"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3.</w:t>
      </w:r>
      <w:r w:rsidRPr="00614E13">
        <w:rPr>
          <w:rFonts w:ascii="Times New Roman" w:hAnsi="Times New Roman" w:cs="Times New Roman"/>
          <w:noProof/>
          <w:szCs w:val="24"/>
        </w:rPr>
        <w:tab/>
        <w:t xml:space="preserve">Scerri, E. M. L.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Did our species evolve in subdivided populations across Africa, and why does it matter? </w:t>
      </w:r>
      <w:r w:rsidRPr="00614E13">
        <w:rPr>
          <w:rFonts w:ascii="Times New Roman" w:hAnsi="Times New Roman" w:cs="Times New Roman"/>
          <w:i/>
          <w:iCs/>
          <w:noProof/>
          <w:szCs w:val="24"/>
        </w:rPr>
        <w:t>Trends Ecol. Evol.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33</w:t>
      </w:r>
      <w:r w:rsidRPr="00614E13">
        <w:rPr>
          <w:rFonts w:ascii="Times New Roman" w:hAnsi="Times New Roman" w:cs="Times New Roman"/>
          <w:noProof/>
          <w:szCs w:val="24"/>
        </w:rPr>
        <w:t>, 582–594 (2018).</w:t>
      </w:r>
    </w:p>
    <w:p w14:paraId="16E5A45D"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4.</w:t>
      </w:r>
      <w:r w:rsidRPr="00614E13">
        <w:rPr>
          <w:rFonts w:ascii="Times New Roman" w:hAnsi="Times New Roman" w:cs="Times New Roman"/>
          <w:noProof/>
          <w:szCs w:val="24"/>
        </w:rPr>
        <w:tab/>
        <w:t xml:space="preserve">Scerri, E. M. L., Chikhi, L. &amp; Thomas, M. G. Beyond multiregional and simple out-of-Africa models of human evolution. </w:t>
      </w:r>
      <w:r w:rsidRPr="00614E13">
        <w:rPr>
          <w:rFonts w:ascii="Times New Roman" w:hAnsi="Times New Roman" w:cs="Times New Roman"/>
          <w:i/>
          <w:iCs/>
          <w:noProof/>
          <w:szCs w:val="24"/>
        </w:rPr>
        <w:t>Nature Ecology and Evolution</w:t>
      </w:r>
      <w:r w:rsidRPr="00614E13">
        <w:rPr>
          <w:rFonts w:ascii="Times New Roman" w:hAnsi="Times New Roman" w:cs="Times New Roman"/>
          <w:noProof/>
          <w:szCs w:val="24"/>
        </w:rPr>
        <w:t xml:space="preserve"> vol. 3 1370–1372 at https://doi.org/10.1038/s41559-019-0992-1 (2019).</w:t>
      </w:r>
    </w:p>
    <w:p w14:paraId="02DF4BCC"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5.</w:t>
      </w:r>
      <w:r w:rsidRPr="00614E13">
        <w:rPr>
          <w:rFonts w:ascii="Times New Roman" w:hAnsi="Times New Roman" w:cs="Times New Roman"/>
          <w:noProof/>
          <w:szCs w:val="24"/>
        </w:rPr>
        <w:tab/>
        <w:t xml:space="preserve">Ragsdale, A. P.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A weakly structured stem for human origins in Africa. </w:t>
      </w:r>
      <w:r w:rsidRPr="00614E13">
        <w:rPr>
          <w:rFonts w:ascii="Times New Roman" w:hAnsi="Times New Roman" w:cs="Times New Roman"/>
          <w:i/>
          <w:iCs/>
          <w:noProof/>
          <w:szCs w:val="24"/>
        </w:rPr>
        <w:t>Nat. 2023 6177962</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617</w:t>
      </w:r>
      <w:r w:rsidRPr="00614E13">
        <w:rPr>
          <w:rFonts w:ascii="Times New Roman" w:hAnsi="Times New Roman" w:cs="Times New Roman"/>
          <w:noProof/>
          <w:szCs w:val="24"/>
        </w:rPr>
        <w:t>, 755–763 (2023).</w:t>
      </w:r>
    </w:p>
    <w:p w14:paraId="4B6B7393"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6.</w:t>
      </w:r>
      <w:r w:rsidRPr="00614E13">
        <w:rPr>
          <w:rFonts w:ascii="Times New Roman" w:hAnsi="Times New Roman" w:cs="Times New Roman"/>
          <w:noProof/>
          <w:szCs w:val="24"/>
        </w:rPr>
        <w:tab/>
        <w:t xml:space="preserve">Bergström, A., Stringer, C., Hajdinjak, M., Scerri, E. M. L. &amp; Skoglund, P. Origins of modern human ancestry. </w:t>
      </w:r>
      <w:r w:rsidRPr="00614E13">
        <w:rPr>
          <w:rFonts w:ascii="Times New Roman" w:hAnsi="Times New Roman" w:cs="Times New Roman"/>
          <w:i/>
          <w:iCs/>
          <w:noProof/>
          <w:szCs w:val="24"/>
        </w:rPr>
        <w:t>Nature</w:t>
      </w:r>
      <w:r w:rsidRPr="00614E13">
        <w:rPr>
          <w:rFonts w:ascii="Times New Roman" w:hAnsi="Times New Roman" w:cs="Times New Roman"/>
          <w:noProof/>
          <w:szCs w:val="24"/>
        </w:rPr>
        <w:t xml:space="preserve"> vol. 590 229–237 at https://doi.org/10.1038/s41586-021-03244-5 (2021).</w:t>
      </w:r>
    </w:p>
    <w:p w14:paraId="743DBD85"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7.</w:t>
      </w:r>
      <w:r w:rsidRPr="00614E13">
        <w:rPr>
          <w:rFonts w:ascii="Times New Roman" w:hAnsi="Times New Roman" w:cs="Times New Roman"/>
          <w:noProof/>
          <w:szCs w:val="24"/>
        </w:rPr>
        <w:tab/>
        <w:t xml:space="preserve">Deino, A. L.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Chronology of the Acheulean to Middle Stone Age transition in eastern Africa. </w:t>
      </w:r>
      <w:r w:rsidRPr="00614E13">
        <w:rPr>
          <w:rFonts w:ascii="Times New Roman" w:hAnsi="Times New Roman" w:cs="Times New Roman"/>
          <w:i/>
          <w:iCs/>
          <w:noProof/>
          <w:szCs w:val="24"/>
        </w:rPr>
        <w:t>Science (80-. ).</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360</w:t>
      </w:r>
      <w:r w:rsidRPr="00614E13">
        <w:rPr>
          <w:rFonts w:ascii="Times New Roman" w:hAnsi="Times New Roman" w:cs="Times New Roman"/>
          <w:noProof/>
          <w:szCs w:val="24"/>
        </w:rPr>
        <w:t>, 95–98 (2018).</w:t>
      </w:r>
    </w:p>
    <w:p w14:paraId="7F9C9677"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8.</w:t>
      </w:r>
      <w:r w:rsidRPr="00614E13">
        <w:rPr>
          <w:rFonts w:ascii="Times New Roman" w:hAnsi="Times New Roman" w:cs="Times New Roman"/>
          <w:noProof/>
          <w:szCs w:val="24"/>
        </w:rPr>
        <w:tab/>
        <w:t xml:space="preserve">Scerri, E. M. L. &amp; Will, M. The revolution that still isn’t: The origins of behavioral complexity in Homo sapiens. </w:t>
      </w:r>
      <w:r w:rsidRPr="00614E13">
        <w:rPr>
          <w:rFonts w:ascii="Times New Roman" w:hAnsi="Times New Roman" w:cs="Times New Roman"/>
          <w:i/>
          <w:iCs/>
          <w:noProof/>
          <w:szCs w:val="24"/>
        </w:rPr>
        <w:t>J. Hum. Evol.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179</w:t>
      </w:r>
      <w:r w:rsidRPr="00614E13">
        <w:rPr>
          <w:rFonts w:ascii="Times New Roman" w:hAnsi="Times New Roman" w:cs="Times New Roman"/>
          <w:noProof/>
          <w:szCs w:val="24"/>
        </w:rPr>
        <w:t>, (2023).</w:t>
      </w:r>
    </w:p>
    <w:p w14:paraId="35455CE0"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9.</w:t>
      </w:r>
      <w:r w:rsidRPr="00614E13">
        <w:rPr>
          <w:rFonts w:ascii="Times New Roman" w:hAnsi="Times New Roman" w:cs="Times New Roman"/>
          <w:noProof/>
          <w:szCs w:val="24"/>
        </w:rPr>
        <w:tab/>
        <w:t xml:space="preserve">Hladik, A. &amp; Dounias, E. WILD YAMS OF THE AFRICAN FOREST AS POTENTIAL FOOD RESOURCES. </w:t>
      </w:r>
      <w:r w:rsidRPr="00614E13">
        <w:rPr>
          <w:rFonts w:ascii="Times New Roman" w:hAnsi="Times New Roman" w:cs="Times New Roman"/>
          <w:b/>
          <w:bCs/>
          <w:noProof/>
          <w:szCs w:val="24"/>
        </w:rPr>
        <w:t>13</w:t>
      </w:r>
      <w:r w:rsidRPr="00614E13">
        <w:rPr>
          <w:rFonts w:ascii="Times New Roman" w:hAnsi="Times New Roman" w:cs="Times New Roman"/>
          <w:noProof/>
          <w:szCs w:val="24"/>
        </w:rPr>
        <w:t>, 163–177 (1993).</w:t>
      </w:r>
    </w:p>
    <w:p w14:paraId="4108CAC7"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10.</w:t>
      </w:r>
      <w:r w:rsidRPr="00614E13">
        <w:rPr>
          <w:rFonts w:ascii="Times New Roman" w:hAnsi="Times New Roman" w:cs="Times New Roman"/>
          <w:noProof/>
          <w:szCs w:val="24"/>
        </w:rPr>
        <w:tab/>
        <w:t xml:space="preserve">Roberts, P. &amp; Petraglia, M. Pleistocene rainforests: barriers or attractive environments for early human foragers? </w:t>
      </w:r>
      <w:r w:rsidRPr="00614E13">
        <w:rPr>
          <w:rFonts w:ascii="Times New Roman" w:hAnsi="Times New Roman" w:cs="Times New Roman"/>
          <w:i/>
          <w:iCs/>
          <w:noProof/>
          <w:szCs w:val="24"/>
        </w:rPr>
        <w:t>World Archaeol.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47</w:t>
      </w:r>
      <w:r w:rsidRPr="00614E13">
        <w:rPr>
          <w:rFonts w:ascii="Times New Roman" w:hAnsi="Times New Roman" w:cs="Times New Roman"/>
          <w:noProof/>
          <w:szCs w:val="24"/>
        </w:rPr>
        <w:t>, 718–739 (2015).</w:t>
      </w:r>
    </w:p>
    <w:p w14:paraId="09580020"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11.</w:t>
      </w:r>
      <w:r w:rsidRPr="00614E13">
        <w:rPr>
          <w:rFonts w:ascii="Times New Roman" w:hAnsi="Times New Roman" w:cs="Times New Roman"/>
          <w:noProof/>
          <w:szCs w:val="24"/>
        </w:rPr>
        <w:tab/>
        <w:t xml:space="preserve">Mercader, J. Forest people: The role of African rainforests in human evolution and dispersal. </w:t>
      </w:r>
      <w:r w:rsidRPr="00614E13">
        <w:rPr>
          <w:rFonts w:ascii="Times New Roman" w:hAnsi="Times New Roman" w:cs="Times New Roman"/>
          <w:i/>
          <w:iCs/>
          <w:noProof/>
          <w:szCs w:val="24"/>
        </w:rPr>
        <w:t>Evol. Anthropol. Issues, News, Rev.</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11</w:t>
      </w:r>
      <w:r w:rsidRPr="00614E13">
        <w:rPr>
          <w:rFonts w:ascii="Times New Roman" w:hAnsi="Times New Roman" w:cs="Times New Roman"/>
          <w:noProof/>
          <w:szCs w:val="24"/>
        </w:rPr>
        <w:t>, 117–124 (2002).</w:t>
      </w:r>
    </w:p>
    <w:p w14:paraId="10097836"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12.</w:t>
      </w:r>
      <w:r w:rsidRPr="00614E13">
        <w:rPr>
          <w:rFonts w:ascii="Times New Roman" w:hAnsi="Times New Roman" w:cs="Times New Roman"/>
          <w:noProof/>
          <w:szCs w:val="24"/>
        </w:rPr>
        <w:tab/>
        <w:t xml:space="preserve">Yasuoka, H. Concentrated distribution of wild yam patches: Historical ecology and the subsistence of African rainforest hunter-gatherers. </w:t>
      </w:r>
      <w:r w:rsidRPr="00614E13">
        <w:rPr>
          <w:rFonts w:ascii="Times New Roman" w:hAnsi="Times New Roman" w:cs="Times New Roman"/>
          <w:i/>
          <w:iCs/>
          <w:noProof/>
          <w:szCs w:val="24"/>
        </w:rPr>
        <w:t>Hum. Ecol.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37</w:t>
      </w:r>
      <w:r w:rsidRPr="00614E13">
        <w:rPr>
          <w:rFonts w:ascii="Times New Roman" w:hAnsi="Times New Roman" w:cs="Times New Roman"/>
          <w:noProof/>
          <w:szCs w:val="24"/>
        </w:rPr>
        <w:t>, 577–587 (2009).</w:t>
      </w:r>
    </w:p>
    <w:p w14:paraId="56556604"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13.</w:t>
      </w:r>
      <w:r w:rsidRPr="00614E13">
        <w:rPr>
          <w:rFonts w:ascii="Times New Roman" w:hAnsi="Times New Roman" w:cs="Times New Roman"/>
          <w:noProof/>
          <w:szCs w:val="24"/>
        </w:rPr>
        <w:tab/>
        <w:t xml:space="preserve">Roberts, P. </w:t>
      </w:r>
      <w:r w:rsidRPr="00614E13">
        <w:rPr>
          <w:rFonts w:ascii="Times New Roman" w:hAnsi="Times New Roman" w:cs="Times New Roman"/>
          <w:i/>
          <w:iCs/>
          <w:noProof/>
          <w:szCs w:val="24"/>
        </w:rPr>
        <w:t>Tropical forests in prehistory, history, and modernity</w:t>
      </w:r>
      <w:r w:rsidRPr="00614E13">
        <w:rPr>
          <w:rFonts w:ascii="Times New Roman" w:hAnsi="Times New Roman" w:cs="Times New Roman"/>
          <w:noProof/>
          <w:szCs w:val="24"/>
        </w:rPr>
        <w:t>. (2019).</w:t>
      </w:r>
    </w:p>
    <w:p w14:paraId="25377C59"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14.</w:t>
      </w:r>
      <w:r w:rsidRPr="00614E13">
        <w:rPr>
          <w:rFonts w:ascii="Times New Roman" w:hAnsi="Times New Roman" w:cs="Times New Roman"/>
          <w:noProof/>
          <w:szCs w:val="24"/>
        </w:rPr>
        <w:tab/>
        <w:t xml:space="preserve">Roberts, P. </w:t>
      </w:r>
      <w:r w:rsidRPr="00614E13">
        <w:rPr>
          <w:rFonts w:ascii="Times New Roman" w:hAnsi="Times New Roman" w:cs="Times New Roman"/>
          <w:i/>
          <w:iCs/>
          <w:noProof/>
          <w:szCs w:val="24"/>
        </w:rPr>
        <w:t>Jungle: how tropical forests shaped the world - and us</w:t>
      </w:r>
      <w:r w:rsidRPr="00614E13">
        <w:rPr>
          <w:rFonts w:ascii="Times New Roman" w:hAnsi="Times New Roman" w:cs="Times New Roman"/>
          <w:noProof/>
          <w:szCs w:val="24"/>
        </w:rPr>
        <w:t>. (2021).</w:t>
      </w:r>
    </w:p>
    <w:p w14:paraId="5CAA3474"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15.</w:t>
      </w:r>
      <w:r w:rsidRPr="00614E13">
        <w:rPr>
          <w:rFonts w:ascii="Times New Roman" w:hAnsi="Times New Roman" w:cs="Times New Roman"/>
          <w:noProof/>
          <w:szCs w:val="24"/>
        </w:rPr>
        <w:tab/>
        <w:t xml:space="preserve">Scerri, E. M. L., Roberts, P., Maezumi, S. Y. &amp; Malhi, Y. Tropical forests in the deep human past. </w:t>
      </w:r>
      <w:r w:rsidRPr="00614E13">
        <w:rPr>
          <w:rFonts w:ascii="Times New Roman" w:hAnsi="Times New Roman" w:cs="Times New Roman"/>
          <w:i/>
          <w:iCs/>
          <w:noProof/>
          <w:szCs w:val="24"/>
        </w:rPr>
        <w:t>Philos. Trans. R. Soc. B Biol. Sci.</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377</w:t>
      </w:r>
      <w:r w:rsidRPr="00614E13">
        <w:rPr>
          <w:rFonts w:ascii="Times New Roman" w:hAnsi="Times New Roman" w:cs="Times New Roman"/>
          <w:noProof/>
          <w:szCs w:val="24"/>
        </w:rPr>
        <w:t>, (2022).</w:t>
      </w:r>
    </w:p>
    <w:p w14:paraId="08AB22FB"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16.</w:t>
      </w:r>
      <w:r w:rsidRPr="00614E13">
        <w:rPr>
          <w:rFonts w:ascii="Times New Roman" w:hAnsi="Times New Roman" w:cs="Times New Roman"/>
          <w:noProof/>
          <w:szCs w:val="24"/>
        </w:rPr>
        <w:tab/>
        <w:t xml:space="preserve">Sato, H. The potential of edible wild yams and yam-like plants as a staple food resource in the African tropical rain forest. </w:t>
      </w:r>
      <w:r w:rsidRPr="00614E13">
        <w:rPr>
          <w:rFonts w:ascii="Times New Roman" w:hAnsi="Times New Roman" w:cs="Times New Roman"/>
          <w:i/>
          <w:iCs/>
          <w:noProof/>
          <w:szCs w:val="24"/>
        </w:rPr>
        <w:t>Afr. Study Monogr.</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Suppl.26</w:t>
      </w:r>
      <w:r w:rsidRPr="00614E13">
        <w:rPr>
          <w:rFonts w:ascii="Times New Roman" w:hAnsi="Times New Roman" w:cs="Times New Roman"/>
          <w:noProof/>
          <w:szCs w:val="24"/>
        </w:rPr>
        <w:t>, 123–134 (2001).</w:t>
      </w:r>
    </w:p>
    <w:p w14:paraId="2869ACAF"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17.</w:t>
      </w:r>
      <w:r w:rsidRPr="00614E13">
        <w:rPr>
          <w:rFonts w:ascii="Times New Roman" w:hAnsi="Times New Roman" w:cs="Times New Roman"/>
          <w:noProof/>
          <w:szCs w:val="24"/>
        </w:rPr>
        <w:tab/>
        <w:t xml:space="preserve">Wedage, O.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Specialized rainforest hunting by Homo sapiens ~45,000 years ago. </w:t>
      </w:r>
      <w:r w:rsidRPr="00614E13">
        <w:rPr>
          <w:rFonts w:ascii="Times New Roman" w:hAnsi="Times New Roman" w:cs="Times New Roman"/>
          <w:i/>
          <w:iCs/>
          <w:noProof/>
          <w:szCs w:val="24"/>
        </w:rPr>
        <w:t>Nat. Commun.</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10</w:t>
      </w:r>
      <w:r w:rsidRPr="00614E13">
        <w:rPr>
          <w:rFonts w:ascii="Times New Roman" w:hAnsi="Times New Roman" w:cs="Times New Roman"/>
          <w:noProof/>
          <w:szCs w:val="24"/>
        </w:rPr>
        <w:t>, 1–8 (2019).</w:t>
      </w:r>
    </w:p>
    <w:p w14:paraId="79128392"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18.</w:t>
      </w:r>
      <w:r w:rsidRPr="00614E13">
        <w:rPr>
          <w:rFonts w:ascii="Times New Roman" w:hAnsi="Times New Roman" w:cs="Times New Roman"/>
          <w:noProof/>
          <w:szCs w:val="24"/>
        </w:rPr>
        <w:tab/>
        <w:t xml:space="preserve">Roberts, P.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Fruits of the forest: Human stable isotope ecology and rainforest adaptations in Late Pleistocene and Holocene (36 to 3 ka) Sri Lanka. </w:t>
      </w:r>
      <w:r w:rsidRPr="00614E13">
        <w:rPr>
          <w:rFonts w:ascii="Times New Roman" w:hAnsi="Times New Roman" w:cs="Times New Roman"/>
          <w:i/>
          <w:iCs/>
          <w:noProof/>
          <w:szCs w:val="24"/>
        </w:rPr>
        <w:t>J. Hum. Evol.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106</w:t>
      </w:r>
      <w:r w:rsidRPr="00614E13">
        <w:rPr>
          <w:rFonts w:ascii="Times New Roman" w:hAnsi="Times New Roman" w:cs="Times New Roman"/>
          <w:noProof/>
          <w:szCs w:val="24"/>
        </w:rPr>
        <w:t>, 102–118 (2017).</w:t>
      </w:r>
    </w:p>
    <w:p w14:paraId="564E7B9D"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19.</w:t>
      </w:r>
      <w:r w:rsidRPr="00614E13">
        <w:rPr>
          <w:rFonts w:ascii="Times New Roman" w:hAnsi="Times New Roman" w:cs="Times New Roman"/>
          <w:noProof/>
          <w:szCs w:val="24"/>
        </w:rPr>
        <w:tab/>
        <w:t xml:space="preserve">Westaway, K. E.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An early modern human presence in Sumatra 73,000-63,000 years ago. </w:t>
      </w:r>
      <w:r w:rsidRPr="00614E13">
        <w:rPr>
          <w:rFonts w:ascii="Times New Roman" w:hAnsi="Times New Roman" w:cs="Times New Roman"/>
          <w:i/>
          <w:iCs/>
          <w:noProof/>
          <w:szCs w:val="24"/>
        </w:rPr>
        <w:t>Nature</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548</w:t>
      </w:r>
      <w:r w:rsidRPr="00614E13">
        <w:rPr>
          <w:rFonts w:ascii="Times New Roman" w:hAnsi="Times New Roman" w:cs="Times New Roman"/>
          <w:noProof/>
          <w:szCs w:val="24"/>
        </w:rPr>
        <w:t>, 322–325 (2017).</w:t>
      </w:r>
    </w:p>
    <w:p w14:paraId="1BE90E61"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20.</w:t>
      </w:r>
      <w:r w:rsidRPr="00614E13">
        <w:rPr>
          <w:rFonts w:ascii="Times New Roman" w:hAnsi="Times New Roman" w:cs="Times New Roman"/>
          <w:noProof/>
          <w:szCs w:val="24"/>
        </w:rPr>
        <w:tab/>
        <w:t xml:space="preserve">Barker, G.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The ‘human revolution’ in lowland tropical Southeast Asia: the antiquity and behavior of anatomically modern humans at Niah Cave (Sarawak, Borneo). </w:t>
      </w:r>
      <w:r w:rsidRPr="00614E13">
        <w:rPr>
          <w:rFonts w:ascii="Times New Roman" w:hAnsi="Times New Roman" w:cs="Times New Roman"/>
          <w:i/>
          <w:iCs/>
          <w:noProof/>
          <w:szCs w:val="24"/>
        </w:rPr>
        <w:t>J. Hum. Evol.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52</w:t>
      </w:r>
      <w:r w:rsidRPr="00614E13">
        <w:rPr>
          <w:rFonts w:ascii="Times New Roman" w:hAnsi="Times New Roman" w:cs="Times New Roman"/>
          <w:noProof/>
          <w:szCs w:val="24"/>
        </w:rPr>
        <w:t>, 243–261 (2007).</w:t>
      </w:r>
    </w:p>
    <w:p w14:paraId="56D958A2"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21.</w:t>
      </w:r>
      <w:r w:rsidRPr="00614E13">
        <w:rPr>
          <w:rFonts w:ascii="Times New Roman" w:hAnsi="Times New Roman" w:cs="Times New Roman"/>
          <w:noProof/>
          <w:szCs w:val="24"/>
        </w:rPr>
        <w:tab/>
        <w:t xml:space="preserve">Summerhayes, G. R.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Human adaptation and plant use in Highland New Guinea 49,000 to 44,000 years ago. </w:t>
      </w:r>
      <w:r w:rsidRPr="00614E13">
        <w:rPr>
          <w:rFonts w:ascii="Times New Roman" w:hAnsi="Times New Roman" w:cs="Times New Roman"/>
          <w:i/>
          <w:iCs/>
          <w:noProof/>
          <w:szCs w:val="24"/>
        </w:rPr>
        <w:t>Science (80-. ).</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330</w:t>
      </w:r>
      <w:r w:rsidRPr="00614E13">
        <w:rPr>
          <w:rFonts w:ascii="Times New Roman" w:hAnsi="Times New Roman" w:cs="Times New Roman"/>
          <w:noProof/>
          <w:szCs w:val="24"/>
        </w:rPr>
        <w:t>, 78–81 (2010).</w:t>
      </w:r>
    </w:p>
    <w:p w14:paraId="6B2A1DEF"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22.</w:t>
      </w:r>
      <w:r w:rsidRPr="00614E13">
        <w:rPr>
          <w:rFonts w:ascii="Times New Roman" w:hAnsi="Times New Roman" w:cs="Times New Roman"/>
          <w:noProof/>
          <w:szCs w:val="24"/>
        </w:rPr>
        <w:tab/>
        <w:t xml:space="preserve">Roosevelt, A. C. The Rise and Fall of the Amazon Rubber Industry. </w:t>
      </w:r>
      <w:r w:rsidRPr="00614E13">
        <w:rPr>
          <w:rFonts w:ascii="Times New Roman" w:hAnsi="Times New Roman" w:cs="Times New Roman"/>
          <w:i/>
          <w:iCs/>
          <w:noProof/>
          <w:szCs w:val="24"/>
        </w:rPr>
        <w:t>L’Homme</w:t>
      </w:r>
      <w:r w:rsidRPr="00614E13">
        <w:rPr>
          <w:rFonts w:ascii="Times New Roman" w:hAnsi="Times New Roman" w:cs="Times New Roman"/>
          <w:noProof/>
          <w:szCs w:val="24"/>
        </w:rPr>
        <w:t xml:space="preserve"> 255–283 (1993) doi:10.4324/9781315179971.</w:t>
      </w:r>
    </w:p>
    <w:p w14:paraId="49CB46EB"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23.</w:t>
      </w:r>
      <w:r w:rsidRPr="00614E13">
        <w:rPr>
          <w:rFonts w:ascii="Times New Roman" w:hAnsi="Times New Roman" w:cs="Times New Roman"/>
          <w:noProof/>
          <w:szCs w:val="24"/>
        </w:rPr>
        <w:tab/>
        <w:t xml:space="preserve">Roberts, P. &amp; Stewart, B. A. Defining the ‘generalist specialist’ niche for Pleistocene Homo sapiens. </w:t>
      </w:r>
      <w:r w:rsidRPr="00614E13">
        <w:rPr>
          <w:rFonts w:ascii="Times New Roman" w:hAnsi="Times New Roman" w:cs="Times New Roman"/>
          <w:i/>
          <w:iCs/>
          <w:noProof/>
          <w:szCs w:val="24"/>
        </w:rPr>
        <w:t>Nat. Hum. Behav. 2018 28</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2</w:t>
      </w:r>
      <w:r w:rsidRPr="00614E13">
        <w:rPr>
          <w:rFonts w:ascii="Times New Roman" w:hAnsi="Times New Roman" w:cs="Times New Roman"/>
          <w:noProof/>
          <w:szCs w:val="24"/>
        </w:rPr>
        <w:t>, 542–550 (2018).</w:t>
      </w:r>
    </w:p>
    <w:p w14:paraId="166C9132"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24.</w:t>
      </w:r>
      <w:r w:rsidRPr="00614E13">
        <w:rPr>
          <w:rFonts w:ascii="Times New Roman" w:hAnsi="Times New Roman" w:cs="Times New Roman"/>
          <w:noProof/>
          <w:szCs w:val="24"/>
        </w:rPr>
        <w:tab/>
        <w:t xml:space="preserve">Cerasoni, J. N.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Late Pleistocene to Holocene palaeoenvironmental reconstruction and human </w:t>
      </w:r>
      <w:r w:rsidRPr="00614E13">
        <w:rPr>
          <w:rFonts w:ascii="Times New Roman" w:hAnsi="Times New Roman" w:cs="Times New Roman"/>
          <w:noProof/>
          <w:szCs w:val="24"/>
        </w:rPr>
        <w:lastRenderedPageBreak/>
        <w:t xml:space="preserve">behaviour at Iho Eleru rock shelter, Nigeria. in </w:t>
      </w:r>
      <w:r w:rsidRPr="00614E13">
        <w:rPr>
          <w:rFonts w:ascii="Times New Roman" w:hAnsi="Times New Roman" w:cs="Times New Roman"/>
          <w:i/>
          <w:iCs/>
          <w:noProof/>
          <w:szCs w:val="24"/>
        </w:rPr>
        <w:t>11th Annual meeting of the European Society for the Study of the Human Evolution</w:t>
      </w:r>
      <w:r w:rsidRPr="00614E13">
        <w:rPr>
          <w:rFonts w:ascii="Times New Roman" w:hAnsi="Times New Roman" w:cs="Times New Roman"/>
          <w:noProof/>
          <w:szCs w:val="24"/>
        </w:rPr>
        <w:t xml:space="preserve"> (2021).</w:t>
      </w:r>
    </w:p>
    <w:p w14:paraId="5E0AED40"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25.</w:t>
      </w:r>
      <w:r w:rsidRPr="00614E13">
        <w:rPr>
          <w:rFonts w:ascii="Times New Roman" w:hAnsi="Times New Roman" w:cs="Times New Roman"/>
          <w:noProof/>
          <w:szCs w:val="24"/>
        </w:rPr>
        <w:tab/>
        <w:t xml:space="preserve">Harvati, K.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The Later Stone Age Calvaria from Iwo Eleru, Nigeria: Morphology and Chronology. </w:t>
      </w:r>
      <w:r w:rsidRPr="00614E13">
        <w:rPr>
          <w:rFonts w:ascii="Times New Roman" w:hAnsi="Times New Roman" w:cs="Times New Roman"/>
          <w:i/>
          <w:iCs/>
          <w:noProof/>
          <w:szCs w:val="24"/>
        </w:rPr>
        <w:t>PLoS One</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6</w:t>
      </w:r>
      <w:r w:rsidRPr="00614E13">
        <w:rPr>
          <w:rFonts w:ascii="Times New Roman" w:hAnsi="Times New Roman" w:cs="Times New Roman"/>
          <w:noProof/>
          <w:szCs w:val="24"/>
        </w:rPr>
        <w:t>, e24024 (2011).</w:t>
      </w:r>
    </w:p>
    <w:p w14:paraId="643C9208"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26.</w:t>
      </w:r>
      <w:r w:rsidRPr="00614E13">
        <w:rPr>
          <w:rFonts w:ascii="Times New Roman" w:hAnsi="Times New Roman" w:cs="Times New Roman"/>
          <w:noProof/>
          <w:szCs w:val="24"/>
        </w:rPr>
        <w:tab/>
        <w:t xml:space="preserve">Cornelissen, E. The later Pleistocene in the Northeastern Central African rainforest. </w:t>
      </w:r>
      <w:r w:rsidRPr="00614E13">
        <w:rPr>
          <w:rFonts w:ascii="Times New Roman" w:hAnsi="Times New Roman" w:cs="Times New Roman"/>
          <w:i/>
          <w:iCs/>
          <w:noProof/>
          <w:szCs w:val="24"/>
        </w:rPr>
        <w:t>Vertebr. Paleobiol. Paleoanthropology</w:t>
      </w:r>
      <w:r w:rsidRPr="00614E13">
        <w:rPr>
          <w:rFonts w:ascii="Times New Roman" w:hAnsi="Times New Roman" w:cs="Times New Roman"/>
          <w:noProof/>
          <w:szCs w:val="24"/>
        </w:rPr>
        <w:t xml:space="preserve"> 301–319 (2016) doi:10.1007/978-94-017-7520-5_16/COVER.</w:t>
      </w:r>
    </w:p>
    <w:p w14:paraId="02BB1853"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27.</w:t>
      </w:r>
      <w:r w:rsidRPr="00614E13">
        <w:rPr>
          <w:rFonts w:ascii="Times New Roman" w:hAnsi="Times New Roman" w:cs="Times New Roman"/>
          <w:noProof/>
          <w:szCs w:val="24"/>
        </w:rPr>
        <w:tab/>
        <w:t xml:space="preserve">Shipton, C.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78,000-year-old record of Middle and Later stone age innovation in an East African tropical forest. </w:t>
      </w:r>
      <w:r w:rsidRPr="00614E13">
        <w:rPr>
          <w:rFonts w:ascii="Times New Roman" w:hAnsi="Times New Roman" w:cs="Times New Roman"/>
          <w:i/>
          <w:iCs/>
          <w:noProof/>
          <w:szCs w:val="24"/>
        </w:rPr>
        <w:t>Nat. Commun.</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9</w:t>
      </w:r>
      <w:r w:rsidRPr="00614E13">
        <w:rPr>
          <w:rFonts w:ascii="Times New Roman" w:hAnsi="Times New Roman" w:cs="Times New Roman"/>
          <w:noProof/>
          <w:szCs w:val="24"/>
        </w:rPr>
        <w:t>, 1832 (2018).</w:t>
      </w:r>
    </w:p>
    <w:p w14:paraId="5EA0CC57"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28.</w:t>
      </w:r>
      <w:r w:rsidRPr="00614E13">
        <w:rPr>
          <w:rFonts w:ascii="Times New Roman" w:hAnsi="Times New Roman" w:cs="Times New Roman"/>
          <w:noProof/>
          <w:szCs w:val="24"/>
        </w:rPr>
        <w:tab/>
        <w:t xml:space="preserve">Roberts, P.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Mapping our reliance on the tropics can reveal the roots of the Anthropocene. </w:t>
      </w:r>
      <w:r w:rsidRPr="00614E13">
        <w:rPr>
          <w:rFonts w:ascii="Times New Roman" w:hAnsi="Times New Roman" w:cs="Times New Roman"/>
          <w:i/>
          <w:iCs/>
          <w:noProof/>
          <w:szCs w:val="24"/>
        </w:rPr>
        <w:t>Nat. Ecol. Evol. 2023 75</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7</w:t>
      </w:r>
      <w:r w:rsidRPr="00614E13">
        <w:rPr>
          <w:rFonts w:ascii="Times New Roman" w:hAnsi="Times New Roman" w:cs="Times New Roman"/>
          <w:noProof/>
          <w:szCs w:val="24"/>
        </w:rPr>
        <w:t>, 632–636 (2023).</w:t>
      </w:r>
    </w:p>
    <w:p w14:paraId="59CC1B8B"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29.</w:t>
      </w:r>
      <w:r w:rsidRPr="00614E13">
        <w:rPr>
          <w:rFonts w:ascii="Times New Roman" w:hAnsi="Times New Roman" w:cs="Times New Roman"/>
          <w:noProof/>
          <w:szCs w:val="24"/>
        </w:rPr>
        <w:tab/>
        <w:t xml:space="preserve">Blome, M. W., Cohen, A. S., Tryon, C. A., Brooks, A. S. &amp; Russell, J. The environmental context for the origins of modern human diversity: A synthesis of regional variability in African climate 150,000-30,000 years ago. </w:t>
      </w:r>
      <w:r w:rsidRPr="00614E13">
        <w:rPr>
          <w:rFonts w:ascii="Times New Roman" w:hAnsi="Times New Roman" w:cs="Times New Roman"/>
          <w:i/>
          <w:iCs/>
          <w:noProof/>
          <w:szCs w:val="24"/>
        </w:rPr>
        <w:t>J. Hum. Evol.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62</w:t>
      </w:r>
      <w:r w:rsidRPr="00614E13">
        <w:rPr>
          <w:rFonts w:ascii="Times New Roman" w:hAnsi="Times New Roman" w:cs="Times New Roman"/>
          <w:noProof/>
          <w:szCs w:val="24"/>
        </w:rPr>
        <w:t>, 563–592 (2012).</w:t>
      </w:r>
    </w:p>
    <w:p w14:paraId="06499098"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30.</w:t>
      </w:r>
      <w:r w:rsidRPr="00614E13">
        <w:rPr>
          <w:rFonts w:ascii="Times New Roman" w:hAnsi="Times New Roman" w:cs="Times New Roman"/>
          <w:noProof/>
          <w:szCs w:val="24"/>
        </w:rPr>
        <w:tab/>
        <w:t xml:space="preserve">Taylor, N. Across Rainforests and Woodlands: a systematic re-appraisal of the Lupemban Middle Stone Age in central Africa. in </w:t>
      </w:r>
      <w:r w:rsidRPr="00614E13">
        <w:rPr>
          <w:rFonts w:ascii="Times New Roman" w:hAnsi="Times New Roman" w:cs="Times New Roman"/>
          <w:i/>
          <w:iCs/>
          <w:noProof/>
          <w:szCs w:val="24"/>
        </w:rPr>
        <w:t>Africa from MIS 6-2: Population Dynamics and Paleoenvironments</w:t>
      </w:r>
      <w:r w:rsidRPr="00614E13">
        <w:rPr>
          <w:rFonts w:ascii="Times New Roman" w:hAnsi="Times New Roman" w:cs="Times New Roman"/>
          <w:noProof/>
          <w:szCs w:val="24"/>
        </w:rPr>
        <w:t xml:space="preserve"> (eds. Jones, S. C. &amp; Stewart, B. A.) 273–299 (2016). doi:10.1007/978-94-017-7520-5.</w:t>
      </w:r>
    </w:p>
    <w:p w14:paraId="4F3CDCAD"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31.</w:t>
      </w:r>
      <w:r w:rsidRPr="00614E13">
        <w:rPr>
          <w:rFonts w:ascii="Times New Roman" w:hAnsi="Times New Roman" w:cs="Times New Roman"/>
          <w:noProof/>
          <w:szCs w:val="24"/>
        </w:rPr>
        <w:tab/>
        <w:t xml:space="preserve">Kaboth-Bahr, S.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Paleo-ENSO influence on African environments and early modern humans. </w:t>
      </w:r>
      <w:r w:rsidRPr="00614E13">
        <w:rPr>
          <w:rFonts w:ascii="Times New Roman" w:hAnsi="Times New Roman" w:cs="Times New Roman"/>
          <w:i/>
          <w:iCs/>
          <w:noProof/>
          <w:szCs w:val="24"/>
        </w:rPr>
        <w:t>Proc. Natl. Acad. Sci. U. S. A.</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118</w:t>
      </w:r>
      <w:r w:rsidRPr="00614E13">
        <w:rPr>
          <w:rFonts w:ascii="Times New Roman" w:hAnsi="Times New Roman" w:cs="Times New Roman"/>
          <w:noProof/>
          <w:szCs w:val="24"/>
        </w:rPr>
        <w:t>, (2021).</w:t>
      </w:r>
    </w:p>
    <w:p w14:paraId="6CEAC14C"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32.</w:t>
      </w:r>
      <w:r w:rsidRPr="00614E13">
        <w:rPr>
          <w:rFonts w:ascii="Times New Roman" w:hAnsi="Times New Roman" w:cs="Times New Roman"/>
          <w:noProof/>
          <w:szCs w:val="24"/>
        </w:rPr>
        <w:tab/>
        <w:t xml:space="preserve">Clark, J. D. </w:t>
      </w:r>
      <w:r w:rsidRPr="00614E13">
        <w:rPr>
          <w:rFonts w:ascii="Times New Roman" w:hAnsi="Times New Roman" w:cs="Times New Roman"/>
          <w:i/>
          <w:iCs/>
          <w:noProof/>
          <w:szCs w:val="24"/>
        </w:rPr>
        <w:t>The prehistory of southern Africa</w:t>
      </w:r>
      <w:r w:rsidRPr="00614E13">
        <w:rPr>
          <w:rFonts w:ascii="Times New Roman" w:hAnsi="Times New Roman" w:cs="Times New Roman"/>
          <w:noProof/>
          <w:szCs w:val="24"/>
        </w:rPr>
        <w:t>. (1959).</w:t>
      </w:r>
    </w:p>
    <w:p w14:paraId="05066265"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33.</w:t>
      </w:r>
      <w:r w:rsidRPr="00614E13">
        <w:rPr>
          <w:rFonts w:ascii="Times New Roman" w:hAnsi="Times New Roman" w:cs="Times New Roman"/>
          <w:noProof/>
          <w:szCs w:val="24"/>
        </w:rPr>
        <w:tab/>
        <w:t xml:space="preserve">McBrearty, S. The Sangoan‐Lupemban and middle stone age sequence at the Muguruk site, western Kenya. </w:t>
      </w:r>
      <w:r w:rsidRPr="00614E13">
        <w:rPr>
          <w:rFonts w:ascii="Times New Roman" w:hAnsi="Times New Roman" w:cs="Times New Roman"/>
          <w:i/>
          <w:iCs/>
          <w:noProof/>
          <w:szCs w:val="24"/>
        </w:rPr>
        <w:t>World Archaeol.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19</w:t>
      </w:r>
      <w:r w:rsidRPr="00614E13">
        <w:rPr>
          <w:rFonts w:ascii="Times New Roman" w:hAnsi="Times New Roman" w:cs="Times New Roman"/>
          <w:noProof/>
          <w:szCs w:val="24"/>
        </w:rPr>
        <w:t>, 388–420 (1988).</w:t>
      </w:r>
    </w:p>
    <w:p w14:paraId="60F971D0"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34.</w:t>
      </w:r>
      <w:r w:rsidRPr="00614E13">
        <w:rPr>
          <w:rFonts w:ascii="Times New Roman" w:hAnsi="Times New Roman" w:cs="Times New Roman"/>
          <w:noProof/>
          <w:szCs w:val="24"/>
        </w:rPr>
        <w:tab/>
        <w:t xml:space="preserve">Wayland, E. J. &amp; Smith, R. Some primitive stone tools from Uganda. </w:t>
      </w:r>
      <w:r w:rsidRPr="00614E13">
        <w:rPr>
          <w:rFonts w:ascii="Times New Roman" w:hAnsi="Times New Roman" w:cs="Times New Roman"/>
          <w:i/>
          <w:iCs/>
          <w:noProof/>
          <w:szCs w:val="24"/>
        </w:rPr>
        <w:t>Geol. Surv. Uganda Occas. Pap.</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w:t>
      </w:r>
      <w:r w:rsidRPr="00614E13">
        <w:rPr>
          <w:rFonts w:ascii="Times New Roman" w:hAnsi="Times New Roman" w:cs="Times New Roman"/>
          <w:noProof/>
          <w:szCs w:val="24"/>
        </w:rPr>
        <w:t>, (1923).</w:t>
      </w:r>
    </w:p>
    <w:p w14:paraId="5C903072"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35.</w:t>
      </w:r>
      <w:r w:rsidRPr="00614E13">
        <w:rPr>
          <w:rFonts w:ascii="Times New Roman" w:hAnsi="Times New Roman" w:cs="Times New Roman"/>
          <w:noProof/>
          <w:szCs w:val="24"/>
        </w:rPr>
        <w:tab/>
        <w:t xml:space="preserve">Davies, O. West Africa before the europeans: Archaeology &amp; prehistory. </w:t>
      </w:r>
      <w:r w:rsidRPr="00614E13">
        <w:rPr>
          <w:rFonts w:ascii="Times New Roman" w:hAnsi="Times New Roman" w:cs="Times New Roman"/>
          <w:i/>
          <w:iCs/>
          <w:noProof/>
          <w:szCs w:val="24"/>
        </w:rPr>
        <w:t>West Africa before Eur. Archaeol. Prehistory</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19</w:t>
      </w:r>
      <w:r w:rsidRPr="00614E13">
        <w:rPr>
          <w:rFonts w:ascii="Times New Roman" w:hAnsi="Times New Roman" w:cs="Times New Roman"/>
          <w:noProof/>
          <w:szCs w:val="24"/>
        </w:rPr>
        <w:t>, 1–367 (1967).</w:t>
      </w:r>
    </w:p>
    <w:p w14:paraId="229F773B"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36.</w:t>
      </w:r>
      <w:r w:rsidRPr="00614E13">
        <w:rPr>
          <w:rFonts w:ascii="Times New Roman" w:hAnsi="Times New Roman" w:cs="Times New Roman"/>
          <w:noProof/>
          <w:szCs w:val="24"/>
        </w:rPr>
        <w:tab/>
        <w:t xml:space="preserve">Taylor, N. Riddles wrapped inside an enigma. Lupemban MSA technology as a rainforest adaptation: Revisiting the lanceolate point. </w:t>
      </w:r>
      <w:r w:rsidRPr="00614E13">
        <w:rPr>
          <w:rFonts w:ascii="Times New Roman" w:hAnsi="Times New Roman" w:cs="Times New Roman"/>
          <w:i/>
          <w:iCs/>
          <w:noProof/>
          <w:szCs w:val="24"/>
        </w:rPr>
        <w:t>Philos. Trans. R. Soc. B Biol. Sci.</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377</w:t>
      </w:r>
      <w:r w:rsidRPr="00614E13">
        <w:rPr>
          <w:rFonts w:ascii="Times New Roman" w:hAnsi="Times New Roman" w:cs="Times New Roman"/>
          <w:noProof/>
          <w:szCs w:val="24"/>
        </w:rPr>
        <w:t>, (2022).</w:t>
      </w:r>
    </w:p>
    <w:p w14:paraId="5AADE8E6"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37.</w:t>
      </w:r>
      <w:r w:rsidRPr="00614E13">
        <w:rPr>
          <w:rFonts w:ascii="Times New Roman" w:hAnsi="Times New Roman" w:cs="Times New Roman"/>
          <w:noProof/>
          <w:szCs w:val="24"/>
        </w:rPr>
        <w:tab/>
        <w:t xml:space="preserve">Padilla-Iglesias, C., Grove, M. &amp; Blinkhorn, J. Ecological drivers of hunter-gatherer lithic technology from the Middle and Later Stone Age in Central Africa. </w:t>
      </w:r>
      <w:r w:rsidRPr="00614E13">
        <w:rPr>
          <w:rFonts w:ascii="Times New Roman" w:hAnsi="Times New Roman" w:cs="Times New Roman"/>
          <w:i/>
          <w:iCs/>
          <w:noProof/>
          <w:szCs w:val="24"/>
        </w:rPr>
        <w:t>Quat. Sci. Rev.</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322</w:t>
      </w:r>
      <w:r w:rsidRPr="00614E13">
        <w:rPr>
          <w:rFonts w:ascii="Times New Roman" w:hAnsi="Times New Roman" w:cs="Times New Roman"/>
          <w:noProof/>
          <w:szCs w:val="24"/>
        </w:rPr>
        <w:t>, 108390 (2023).</w:t>
      </w:r>
    </w:p>
    <w:p w14:paraId="5CCCB0EB"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38.</w:t>
      </w:r>
      <w:r w:rsidRPr="00614E13">
        <w:rPr>
          <w:rFonts w:ascii="Times New Roman" w:hAnsi="Times New Roman" w:cs="Times New Roman"/>
          <w:noProof/>
          <w:szCs w:val="24"/>
        </w:rPr>
        <w:tab/>
        <w:t xml:space="preserve">McBrearty, S. &amp; Brooks, A. S. The revolution that wasn’t: a new interpretation of the origin of modern human behavior. </w:t>
      </w:r>
      <w:r w:rsidRPr="00614E13">
        <w:rPr>
          <w:rFonts w:ascii="Times New Roman" w:hAnsi="Times New Roman" w:cs="Times New Roman"/>
          <w:i/>
          <w:iCs/>
          <w:noProof/>
          <w:szCs w:val="24"/>
        </w:rPr>
        <w:t>J. Hum. Evol.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39</w:t>
      </w:r>
      <w:r w:rsidRPr="00614E13">
        <w:rPr>
          <w:rFonts w:ascii="Times New Roman" w:hAnsi="Times New Roman" w:cs="Times New Roman"/>
          <w:noProof/>
          <w:szCs w:val="24"/>
        </w:rPr>
        <w:t>, 453–563 (2000).</w:t>
      </w:r>
    </w:p>
    <w:p w14:paraId="33AC20C2"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39.</w:t>
      </w:r>
      <w:r w:rsidRPr="00614E13">
        <w:rPr>
          <w:rFonts w:ascii="Times New Roman" w:hAnsi="Times New Roman" w:cs="Times New Roman"/>
          <w:noProof/>
          <w:szCs w:val="24"/>
        </w:rPr>
        <w:tab/>
        <w:t xml:space="preserve">Lioubin, V. P. &amp; Guédé, F. Y. </w:t>
      </w:r>
      <w:r w:rsidRPr="00614E13">
        <w:rPr>
          <w:rFonts w:ascii="Times New Roman" w:hAnsi="Times New Roman" w:cs="Times New Roman"/>
          <w:i/>
          <w:iCs/>
          <w:noProof/>
          <w:szCs w:val="24"/>
        </w:rPr>
        <w:t>Paleolit Respubliki Kot d’Ivvuar (Zapadnaya Afrika) [The Palaeolithic of the Republic of Cote d’Ivoire (West Africa)]</w:t>
      </w:r>
      <w:r w:rsidRPr="00614E13">
        <w:rPr>
          <w:rFonts w:ascii="Times New Roman" w:hAnsi="Times New Roman" w:cs="Times New Roman"/>
          <w:noProof/>
          <w:szCs w:val="24"/>
        </w:rPr>
        <w:t xml:space="preserve">. </w:t>
      </w:r>
      <w:r w:rsidRPr="00614E13">
        <w:rPr>
          <w:rFonts w:ascii="Times New Roman" w:hAnsi="Times New Roman" w:cs="Times New Roman"/>
          <w:i/>
          <w:iCs/>
          <w:noProof/>
          <w:szCs w:val="24"/>
        </w:rPr>
        <w:t>Russian Academy of Sciences, Institute of the History of Material Culture Proceedings, vol. 3</w:t>
      </w:r>
      <w:r w:rsidRPr="00614E13">
        <w:rPr>
          <w:rFonts w:ascii="Times New Roman" w:hAnsi="Times New Roman" w:cs="Times New Roman"/>
          <w:noProof/>
          <w:szCs w:val="24"/>
        </w:rPr>
        <w:t xml:space="preserve"> (2000).</w:t>
      </w:r>
    </w:p>
    <w:p w14:paraId="6D716FD7"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40.</w:t>
      </w:r>
      <w:r w:rsidRPr="00614E13">
        <w:rPr>
          <w:rFonts w:ascii="Times New Roman" w:hAnsi="Times New Roman" w:cs="Times New Roman"/>
          <w:noProof/>
          <w:szCs w:val="24"/>
        </w:rPr>
        <w:tab/>
        <w:t xml:space="preserve">Van Peer, P.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The Early to Middle Stone Age Transition and the emergence of modern human behaviour at site 8-B-11 Sai Island, Sudan. </w:t>
      </w:r>
      <w:r w:rsidRPr="00614E13">
        <w:rPr>
          <w:rFonts w:ascii="Times New Roman" w:hAnsi="Times New Roman" w:cs="Times New Roman"/>
          <w:i/>
          <w:iCs/>
          <w:noProof/>
          <w:szCs w:val="24"/>
        </w:rPr>
        <w:t>J. Hum. Evol.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45</w:t>
      </w:r>
      <w:r w:rsidRPr="00614E13">
        <w:rPr>
          <w:rFonts w:ascii="Times New Roman" w:hAnsi="Times New Roman" w:cs="Times New Roman"/>
          <w:noProof/>
          <w:szCs w:val="24"/>
        </w:rPr>
        <w:t>, 187–193 (2003).</w:t>
      </w:r>
    </w:p>
    <w:p w14:paraId="33DC823E"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41.</w:t>
      </w:r>
      <w:r w:rsidRPr="00614E13">
        <w:rPr>
          <w:rFonts w:ascii="Times New Roman" w:hAnsi="Times New Roman" w:cs="Times New Roman"/>
          <w:noProof/>
          <w:szCs w:val="24"/>
        </w:rPr>
        <w:tab/>
        <w:t xml:space="preserve">Van Peer, P. Sai Island (Site 8-B-11), Sudan. </w:t>
      </w:r>
      <w:r w:rsidRPr="00614E13">
        <w:rPr>
          <w:rFonts w:ascii="Times New Roman" w:hAnsi="Times New Roman" w:cs="Times New Roman"/>
          <w:i/>
          <w:iCs/>
          <w:noProof/>
          <w:szCs w:val="24"/>
        </w:rPr>
        <w:t>Handb. Pleistocene Archaeol. Africa</w:t>
      </w:r>
      <w:r w:rsidRPr="00614E13">
        <w:rPr>
          <w:rFonts w:ascii="Times New Roman" w:hAnsi="Times New Roman" w:cs="Times New Roman"/>
          <w:noProof/>
          <w:szCs w:val="24"/>
        </w:rPr>
        <w:t xml:space="preserve"> 1013–1025 (2023) doi:10.1007/978-3-031-20290-2_66.</w:t>
      </w:r>
    </w:p>
    <w:p w14:paraId="2D7D572C"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42.</w:t>
      </w:r>
      <w:r w:rsidRPr="00614E13">
        <w:rPr>
          <w:rFonts w:ascii="Times New Roman" w:hAnsi="Times New Roman" w:cs="Times New Roman"/>
          <w:noProof/>
          <w:szCs w:val="24"/>
        </w:rPr>
        <w:tab/>
        <w:t xml:space="preserve">Fisher, E. C.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Archaeological Reconnaissance for Middle Stone Age sites along the Pondoland coast, South Africa. </w:t>
      </w:r>
      <w:r w:rsidRPr="00614E13">
        <w:rPr>
          <w:rFonts w:ascii="Times New Roman" w:hAnsi="Times New Roman" w:cs="Times New Roman"/>
          <w:i/>
          <w:iCs/>
          <w:noProof/>
          <w:szCs w:val="24"/>
        </w:rPr>
        <w:t>PaleoAnthropology</w:t>
      </w:r>
      <w:r w:rsidRPr="00614E13">
        <w:rPr>
          <w:rFonts w:ascii="Times New Roman" w:hAnsi="Times New Roman" w:cs="Times New Roman"/>
          <w:noProof/>
          <w:szCs w:val="24"/>
        </w:rPr>
        <w:t xml:space="preserve"> 104–137 (2013) doi:10.4207/PA.2013.ART82.</w:t>
      </w:r>
    </w:p>
    <w:p w14:paraId="3C85F3DF"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43.</w:t>
      </w:r>
      <w:r w:rsidRPr="00614E13">
        <w:rPr>
          <w:rFonts w:ascii="Times New Roman" w:hAnsi="Times New Roman" w:cs="Times New Roman"/>
          <w:noProof/>
          <w:szCs w:val="24"/>
        </w:rPr>
        <w:tab/>
        <w:t xml:space="preserve">Kuman, K., Le Baron, J. C. &amp; Gibbon, R. J. Earlier stone age archaeology of the Vhembe-Dongola National Park (South Africa) and vicinity. </w:t>
      </w:r>
      <w:r w:rsidRPr="00614E13">
        <w:rPr>
          <w:rFonts w:ascii="Times New Roman" w:hAnsi="Times New Roman" w:cs="Times New Roman"/>
          <w:i/>
          <w:iCs/>
          <w:noProof/>
          <w:szCs w:val="24"/>
        </w:rPr>
        <w:t>Quat. Int.</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129</w:t>
      </w:r>
      <w:r w:rsidRPr="00614E13">
        <w:rPr>
          <w:rFonts w:ascii="Times New Roman" w:hAnsi="Times New Roman" w:cs="Times New Roman"/>
          <w:noProof/>
          <w:szCs w:val="24"/>
        </w:rPr>
        <w:t>, 23–32 (2005).</w:t>
      </w:r>
    </w:p>
    <w:p w14:paraId="79E99763"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44.</w:t>
      </w:r>
      <w:r w:rsidRPr="00614E13">
        <w:rPr>
          <w:rFonts w:ascii="Times New Roman" w:hAnsi="Times New Roman" w:cs="Times New Roman"/>
          <w:noProof/>
          <w:szCs w:val="24"/>
        </w:rPr>
        <w:tab/>
        <w:t xml:space="preserve">Wurz, S. The Early Middle Stone Age in South Africa. </w:t>
      </w:r>
      <w:r w:rsidRPr="00614E13">
        <w:rPr>
          <w:rFonts w:ascii="Times New Roman" w:hAnsi="Times New Roman" w:cs="Times New Roman"/>
          <w:i/>
          <w:iCs/>
          <w:noProof/>
          <w:szCs w:val="24"/>
        </w:rPr>
        <w:t>Oxford Res. Encycl. Anthropol.</w:t>
      </w:r>
      <w:r w:rsidRPr="00614E13">
        <w:rPr>
          <w:rFonts w:ascii="Times New Roman" w:hAnsi="Times New Roman" w:cs="Times New Roman"/>
          <w:noProof/>
          <w:szCs w:val="24"/>
        </w:rPr>
        <w:t xml:space="preserve"> (2020) doi:10.1093/ACREFORE/9780190854584.013.118.</w:t>
      </w:r>
    </w:p>
    <w:p w14:paraId="1161A7F4"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45.</w:t>
      </w:r>
      <w:r w:rsidRPr="00614E13">
        <w:rPr>
          <w:rFonts w:ascii="Times New Roman" w:hAnsi="Times New Roman" w:cs="Times New Roman"/>
          <w:noProof/>
          <w:szCs w:val="24"/>
        </w:rPr>
        <w:tab/>
        <w:t xml:space="preserve">Sheppard, P. J. &amp; Kleindienst, M. R. Technological change in the earlier and middle stone Age of Kalambo Falls (Zambia). </w:t>
      </w:r>
      <w:r w:rsidRPr="00614E13">
        <w:rPr>
          <w:rFonts w:ascii="Times New Roman" w:hAnsi="Times New Roman" w:cs="Times New Roman"/>
          <w:i/>
          <w:iCs/>
          <w:noProof/>
          <w:szCs w:val="24"/>
        </w:rPr>
        <w:t>African Archaeol. Rev.</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13</w:t>
      </w:r>
      <w:r w:rsidRPr="00614E13">
        <w:rPr>
          <w:rFonts w:ascii="Times New Roman" w:hAnsi="Times New Roman" w:cs="Times New Roman"/>
          <w:noProof/>
          <w:szCs w:val="24"/>
        </w:rPr>
        <w:t>, 171–196 (1996).</w:t>
      </w:r>
    </w:p>
    <w:p w14:paraId="6A750033"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46.</w:t>
      </w:r>
      <w:r w:rsidRPr="00614E13">
        <w:rPr>
          <w:rFonts w:ascii="Times New Roman" w:hAnsi="Times New Roman" w:cs="Times New Roman"/>
          <w:noProof/>
          <w:szCs w:val="24"/>
        </w:rPr>
        <w:tab/>
        <w:t xml:space="preserve">Clark, J. D. </w:t>
      </w:r>
      <w:r w:rsidRPr="00614E13">
        <w:rPr>
          <w:rFonts w:ascii="Times New Roman" w:hAnsi="Times New Roman" w:cs="Times New Roman"/>
          <w:i/>
          <w:iCs/>
          <w:noProof/>
          <w:szCs w:val="24"/>
        </w:rPr>
        <w:t>Kalambo Falls - Prehistoric Site - Volume 3: The Earlier Cultures: Middle and Earlier Stone Age</w:t>
      </w:r>
      <w:r w:rsidRPr="00614E13">
        <w:rPr>
          <w:rFonts w:ascii="Times New Roman" w:hAnsi="Times New Roman" w:cs="Times New Roman"/>
          <w:noProof/>
          <w:szCs w:val="24"/>
        </w:rPr>
        <w:t>. (University of California, 2001).</w:t>
      </w:r>
    </w:p>
    <w:p w14:paraId="25958616"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47.</w:t>
      </w:r>
      <w:r w:rsidRPr="00614E13">
        <w:rPr>
          <w:rFonts w:ascii="Times New Roman" w:hAnsi="Times New Roman" w:cs="Times New Roman"/>
          <w:noProof/>
          <w:szCs w:val="24"/>
        </w:rPr>
        <w:tab/>
        <w:t xml:space="preserve">Barham, L., Tooth, S., Duller, G. A. T., Plater, A. J. &amp; Turner, S. Excavations at Site C North, Kalambo Falls, Zambia: New insights into the mode 2/3 transition in South-Central Africa. </w:t>
      </w:r>
      <w:r w:rsidRPr="00614E13">
        <w:rPr>
          <w:rFonts w:ascii="Times New Roman" w:hAnsi="Times New Roman" w:cs="Times New Roman"/>
          <w:i/>
          <w:iCs/>
          <w:noProof/>
          <w:szCs w:val="24"/>
        </w:rPr>
        <w:t>J. African Archaeol.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13</w:t>
      </w:r>
      <w:r w:rsidRPr="00614E13">
        <w:rPr>
          <w:rFonts w:ascii="Times New Roman" w:hAnsi="Times New Roman" w:cs="Times New Roman"/>
          <w:noProof/>
          <w:szCs w:val="24"/>
        </w:rPr>
        <w:t>, 187–214 (2015).</w:t>
      </w:r>
    </w:p>
    <w:p w14:paraId="7445C07F"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lastRenderedPageBreak/>
        <w:t>48.</w:t>
      </w:r>
      <w:r w:rsidRPr="00614E13">
        <w:rPr>
          <w:rFonts w:ascii="Times New Roman" w:hAnsi="Times New Roman" w:cs="Times New Roman"/>
          <w:noProof/>
          <w:szCs w:val="24"/>
        </w:rPr>
        <w:tab/>
        <w:t xml:space="preserve">Duller, G. A. T., Tooth, S., Barham, L. &amp; Tsukamoto, S. New investigations at Kalambo Falls, Zambia: Luminescence chronology, site formation, and archaeological significance. </w:t>
      </w:r>
      <w:r w:rsidRPr="00614E13">
        <w:rPr>
          <w:rFonts w:ascii="Times New Roman" w:hAnsi="Times New Roman" w:cs="Times New Roman"/>
          <w:i/>
          <w:iCs/>
          <w:noProof/>
          <w:szCs w:val="24"/>
        </w:rPr>
        <w:t>J. Hum. Evol.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85</w:t>
      </w:r>
      <w:r w:rsidRPr="00614E13">
        <w:rPr>
          <w:rFonts w:ascii="Times New Roman" w:hAnsi="Times New Roman" w:cs="Times New Roman"/>
          <w:noProof/>
          <w:szCs w:val="24"/>
        </w:rPr>
        <w:t>, 111–125 (2015).</w:t>
      </w:r>
    </w:p>
    <w:p w14:paraId="32F6C56B"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49.</w:t>
      </w:r>
      <w:r w:rsidRPr="00614E13">
        <w:rPr>
          <w:rFonts w:ascii="Times New Roman" w:hAnsi="Times New Roman" w:cs="Times New Roman"/>
          <w:noProof/>
          <w:szCs w:val="24"/>
        </w:rPr>
        <w:tab/>
        <w:t xml:space="preserve">Mcbrearty, S. Sangoan technology and Habitat at Simbi. </w:t>
      </w:r>
      <w:r w:rsidRPr="00614E13">
        <w:rPr>
          <w:rFonts w:ascii="Times New Roman" w:hAnsi="Times New Roman" w:cs="Times New Roman"/>
          <w:i/>
          <w:iCs/>
          <w:noProof/>
          <w:szCs w:val="24"/>
        </w:rPr>
        <w:t>Nyame akuma</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39</w:t>
      </w:r>
      <w:r w:rsidRPr="00614E13">
        <w:rPr>
          <w:rFonts w:ascii="Times New Roman" w:hAnsi="Times New Roman" w:cs="Times New Roman"/>
          <w:noProof/>
          <w:szCs w:val="24"/>
        </w:rPr>
        <w:t>, 38–40 (1993).</w:t>
      </w:r>
    </w:p>
    <w:p w14:paraId="40006852"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50.</w:t>
      </w:r>
      <w:r w:rsidRPr="00614E13">
        <w:rPr>
          <w:rFonts w:ascii="Times New Roman" w:hAnsi="Times New Roman" w:cs="Times New Roman"/>
          <w:noProof/>
          <w:szCs w:val="24"/>
        </w:rPr>
        <w:tab/>
        <w:t xml:space="preserve">Kuman, K. The earlier Stone Age in South Africa: site context and the influence of 496 cave studies. in </w:t>
      </w:r>
      <w:r w:rsidRPr="00614E13">
        <w:rPr>
          <w:rFonts w:ascii="Times New Roman" w:hAnsi="Times New Roman" w:cs="Times New Roman"/>
          <w:i/>
          <w:iCs/>
          <w:noProof/>
          <w:szCs w:val="24"/>
        </w:rPr>
        <w:t>Breathing Life Into 497 Fossils: Taphonomic Studies in Honor of C. K. (Bob) Brain</w:t>
      </w:r>
      <w:r w:rsidRPr="00614E13">
        <w:rPr>
          <w:rFonts w:ascii="Times New Roman" w:hAnsi="Times New Roman" w:cs="Times New Roman"/>
          <w:noProof/>
          <w:szCs w:val="24"/>
        </w:rPr>
        <w:t xml:space="preserve"> (eds. Pickering, T. R., Schick, K. &amp; Toth, N.) 181–198 (Gosport, 2007).</w:t>
      </w:r>
    </w:p>
    <w:p w14:paraId="6AAEF272"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51.</w:t>
      </w:r>
      <w:r w:rsidRPr="00614E13">
        <w:rPr>
          <w:rFonts w:ascii="Times New Roman" w:hAnsi="Times New Roman" w:cs="Times New Roman"/>
          <w:noProof/>
          <w:szCs w:val="24"/>
        </w:rPr>
        <w:tab/>
        <w:t xml:space="preserve">Barham, L. </w:t>
      </w:r>
      <w:r w:rsidRPr="00614E13">
        <w:rPr>
          <w:rFonts w:ascii="Times New Roman" w:hAnsi="Times New Roman" w:cs="Times New Roman"/>
          <w:i/>
          <w:iCs/>
          <w:noProof/>
          <w:szCs w:val="24"/>
        </w:rPr>
        <w:t>The Middle Stone Age of Zambia, South-Central Africa</w:t>
      </w:r>
      <w:r w:rsidRPr="00614E13">
        <w:rPr>
          <w:rFonts w:ascii="Times New Roman" w:hAnsi="Times New Roman" w:cs="Times New Roman"/>
          <w:noProof/>
          <w:szCs w:val="24"/>
        </w:rPr>
        <w:t>. (2000).</w:t>
      </w:r>
    </w:p>
    <w:p w14:paraId="5497E564"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52.</w:t>
      </w:r>
      <w:r w:rsidRPr="00614E13">
        <w:rPr>
          <w:rFonts w:ascii="Times New Roman" w:hAnsi="Times New Roman" w:cs="Times New Roman"/>
          <w:noProof/>
          <w:szCs w:val="24"/>
        </w:rPr>
        <w:tab/>
        <w:t xml:space="preserve">Herries, A. I. R. A Chronological Perspective on the Acheulian and Its  Transition to the Middle Stone Age in Southern Africa:  The Question of the Fauresmith. </w:t>
      </w:r>
      <w:r w:rsidRPr="00614E13">
        <w:rPr>
          <w:rFonts w:ascii="Times New Roman" w:hAnsi="Times New Roman" w:cs="Times New Roman"/>
          <w:i/>
          <w:iCs/>
          <w:noProof/>
          <w:szCs w:val="24"/>
        </w:rPr>
        <w:t>Int. J. Evol. Biol.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2011</w:t>
      </w:r>
      <w:r w:rsidRPr="00614E13">
        <w:rPr>
          <w:rFonts w:ascii="Times New Roman" w:hAnsi="Times New Roman" w:cs="Times New Roman"/>
          <w:noProof/>
          <w:szCs w:val="24"/>
        </w:rPr>
        <w:t>, 961401 (2011).</w:t>
      </w:r>
    </w:p>
    <w:p w14:paraId="62480F55"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53.</w:t>
      </w:r>
      <w:r w:rsidRPr="00614E13">
        <w:rPr>
          <w:rFonts w:ascii="Times New Roman" w:hAnsi="Times New Roman" w:cs="Times New Roman"/>
          <w:noProof/>
          <w:szCs w:val="24"/>
        </w:rPr>
        <w:tab/>
        <w:t xml:space="preserve">Shea, J. J. Sink the Mousterian? Named stone tool industries (NASTIES) as obstacles to investigating hominin evolutionary relationships in the Later Middle Paleolithic Levant. </w:t>
      </w:r>
      <w:r w:rsidRPr="00614E13">
        <w:rPr>
          <w:rFonts w:ascii="Times New Roman" w:hAnsi="Times New Roman" w:cs="Times New Roman"/>
          <w:i/>
          <w:iCs/>
          <w:noProof/>
          <w:szCs w:val="24"/>
        </w:rPr>
        <w:t>Quat. Int.</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350</w:t>
      </w:r>
      <w:r w:rsidRPr="00614E13">
        <w:rPr>
          <w:rFonts w:ascii="Times New Roman" w:hAnsi="Times New Roman" w:cs="Times New Roman"/>
          <w:noProof/>
          <w:szCs w:val="24"/>
        </w:rPr>
        <w:t>, 169–179 (2014).</w:t>
      </w:r>
    </w:p>
    <w:p w14:paraId="01812033"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54.</w:t>
      </w:r>
      <w:r w:rsidRPr="00614E13">
        <w:rPr>
          <w:rFonts w:ascii="Times New Roman" w:hAnsi="Times New Roman" w:cs="Times New Roman"/>
          <w:noProof/>
          <w:szCs w:val="24"/>
        </w:rPr>
        <w:tab/>
        <w:t xml:space="preserve">Wilkins, J. Is it Time to Retire NASTIES in Southern Africa? Moving Beyond the Culture-Historical Framework for Middle Stone Age Lithic Assemblage Variability. </w:t>
      </w:r>
      <w:r w:rsidRPr="00614E13">
        <w:rPr>
          <w:rFonts w:ascii="Times New Roman" w:hAnsi="Times New Roman" w:cs="Times New Roman"/>
          <w:i/>
          <w:iCs/>
          <w:noProof/>
          <w:szCs w:val="24"/>
        </w:rPr>
        <w:t>Lithic Technol.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45</w:t>
      </w:r>
      <w:r w:rsidRPr="00614E13">
        <w:rPr>
          <w:rFonts w:ascii="Times New Roman" w:hAnsi="Times New Roman" w:cs="Times New Roman"/>
          <w:noProof/>
          <w:szCs w:val="24"/>
        </w:rPr>
        <w:t>, 295–307 (2020).</w:t>
      </w:r>
    </w:p>
    <w:p w14:paraId="51BD02B8"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55.</w:t>
      </w:r>
      <w:r w:rsidRPr="00614E13">
        <w:rPr>
          <w:rFonts w:ascii="Times New Roman" w:hAnsi="Times New Roman" w:cs="Times New Roman"/>
          <w:noProof/>
          <w:szCs w:val="24"/>
        </w:rPr>
        <w:tab/>
        <w:t xml:space="preserve">Andah, B. W. The Early Palaeolithic in West Africa: the case of Asokrochonacoastal region of Accra, Ghana in perspectives on West Africa’s past. </w:t>
      </w:r>
      <w:r w:rsidRPr="00614E13">
        <w:rPr>
          <w:rFonts w:ascii="Times New Roman" w:hAnsi="Times New Roman" w:cs="Times New Roman"/>
          <w:i/>
          <w:iCs/>
          <w:noProof/>
          <w:szCs w:val="24"/>
        </w:rPr>
        <w:t>West Afr. J.Archaeol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9</w:t>
      </w:r>
      <w:r w:rsidRPr="00614E13">
        <w:rPr>
          <w:rFonts w:ascii="Times New Roman" w:hAnsi="Times New Roman" w:cs="Times New Roman"/>
          <w:noProof/>
          <w:szCs w:val="24"/>
        </w:rPr>
        <w:t>, 47–85 (1979).</w:t>
      </w:r>
    </w:p>
    <w:p w14:paraId="5B1E1D8B"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56.</w:t>
      </w:r>
      <w:r w:rsidRPr="00614E13">
        <w:rPr>
          <w:rFonts w:ascii="Times New Roman" w:hAnsi="Times New Roman" w:cs="Times New Roman"/>
          <w:noProof/>
          <w:szCs w:val="24"/>
        </w:rPr>
        <w:tab/>
        <w:t xml:space="preserve">Nygaard, S. E. &amp; Talbot, M. R. Stone age archaeology and environment on the southern accra plains, ghana. </w:t>
      </w:r>
      <w:r w:rsidRPr="00614E13">
        <w:rPr>
          <w:rFonts w:ascii="Times New Roman" w:hAnsi="Times New Roman" w:cs="Times New Roman"/>
          <w:i/>
          <w:iCs/>
          <w:noProof/>
          <w:szCs w:val="24"/>
        </w:rPr>
        <w:t>Nor. Archaeol. Rev.</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17</w:t>
      </w:r>
      <w:r w:rsidRPr="00614E13">
        <w:rPr>
          <w:rFonts w:ascii="Times New Roman" w:hAnsi="Times New Roman" w:cs="Times New Roman"/>
          <w:noProof/>
          <w:szCs w:val="24"/>
        </w:rPr>
        <w:t>, 19–38 (1984).</w:t>
      </w:r>
    </w:p>
    <w:p w14:paraId="2D60347D"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57.</w:t>
      </w:r>
      <w:r w:rsidRPr="00614E13">
        <w:rPr>
          <w:rFonts w:ascii="Times New Roman" w:hAnsi="Times New Roman" w:cs="Times New Roman"/>
          <w:noProof/>
          <w:szCs w:val="24"/>
        </w:rPr>
        <w:tab/>
        <w:t xml:space="preserve">Soper, R. C. The Stone Age in Northern Nigeria. </w:t>
      </w:r>
      <w:r w:rsidRPr="00614E13">
        <w:rPr>
          <w:rFonts w:ascii="Times New Roman" w:hAnsi="Times New Roman" w:cs="Times New Roman"/>
          <w:i/>
          <w:iCs/>
          <w:noProof/>
          <w:szCs w:val="24"/>
        </w:rPr>
        <w:t>J. Hist. Soc. Niger</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w:t>
      </w:r>
      <w:r w:rsidRPr="00614E13">
        <w:rPr>
          <w:rFonts w:ascii="Times New Roman" w:hAnsi="Times New Roman" w:cs="Times New Roman"/>
          <w:noProof/>
          <w:szCs w:val="24"/>
        </w:rPr>
        <w:t>, 175–194 (1965).</w:t>
      </w:r>
    </w:p>
    <w:p w14:paraId="5ECA74D4"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58.</w:t>
      </w:r>
      <w:r w:rsidRPr="00614E13">
        <w:rPr>
          <w:rFonts w:ascii="Times New Roman" w:hAnsi="Times New Roman" w:cs="Times New Roman"/>
          <w:noProof/>
          <w:szCs w:val="24"/>
        </w:rPr>
        <w:tab/>
        <w:t xml:space="preserve">Clark, J. D. The Sangoan culture of Equatoria: the implications of its stone equipment. in </w:t>
      </w:r>
      <w:r w:rsidRPr="00614E13">
        <w:rPr>
          <w:rFonts w:ascii="Times New Roman" w:hAnsi="Times New Roman" w:cs="Times New Roman"/>
          <w:i/>
          <w:iCs/>
          <w:noProof/>
          <w:szCs w:val="24"/>
        </w:rPr>
        <w:t>Miscellanea en Homenaje al Abate Henri Breuil.Barcelona: Instituto de Prehistoria y Arcqueologia Monografias, 9: 30</w:t>
      </w:r>
      <w:r w:rsidRPr="00614E13">
        <w:rPr>
          <w:rFonts w:ascii="Times New Roman" w:hAnsi="Times New Roman" w:cs="Times New Roman"/>
          <w:noProof/>
          <w:szCs w:val="24"/>
        </w:rPr>
        <w:t xml:space="preserve"> (1964).</w:t>
      </w:r>
    </w:p>
    <w:p w14:paraId="17F0C58E"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59.</w:t>
      </w:r>
      <w:r w:rsidRPr="00614E13">
        <w:rPr>
          <w:rFonts w:ascii="Times New Roman" w:hAnsi="Times New Roman" w:cs="Times New Roman"/>
          <w:noProof/>
          <w:szCs w:val="24"/>
        </w:rPr>
        <w:tab/>
        <w:t xml:space="preserve">Clark, J. D. The later Pleistocene cultures of Africa. </w:t>
      </w:r>
      <w:r w:rsidRPr="00614E13">
        <w:rPr>
          <w:rFonts w:ascii="Times New Roman" w:hAnsi="Times New Roman" w:cs="Times New Roman"/>
          <w:i/>
          <w:iCs/>
          <w:noProof/>
          <w:szCs w:val="24"/>
        </w:rPr>
        <w:t>Science (80-. ).</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160</w:t>
      </w:r>
      <w:r w:rsidRPr="00614E13">
        <w:rPr>
          <w:rFonts w:ascii="Times New Roman" w:hAnsi="Times New Roman" w:cs="Times New Roman"/>
          <w:noProof/>
          <w:szCs w:val="24"/>
        </w:rPr>
        <w:t>, 833–847 (1965).</w:t>
      </w:r>
    </w:p>
    <w:p w14:paraId="0AD79894"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60.</w:t>
      </w:r>
      <w:r w:rsidRPr="00614E13">
        <w:rPr>
          <w:rFonts w:ascii="Times New Roman" w:hAnsi="Times New Roman" w:cs="Times New Roman"/>
          <w:noProof/>
          <w:szCs w:val="24"/>
        </w:rPr>
        <w:tab/>
        <w:t xml:space="preserve">Clark, J. D. </w:t>
      </w:r>
      <w:r w:rsidRPr="00614E13">
        <w:rPr>
          <w:rFonts w:ascii="Times New Roman" w:hAnsi="Times New Roman" w:cs="Times New Roman"/>
          <w:i/>
          <w:iCs/>
          <w:noProof/>
          <w:szCs w:val="24"/>
        </w:rPr>
        <w:t>The Prehistory of Africa</w:t>
      </w:r>
      <w:r w:rsidRPr="00614E13">
        <w:rPr>
          <w:rFonts w:ascii="Times New Roman" w:hAnsi="Times New Roman" w:cs="Times New Roman"/>
          <w:noProof/>
          <w:szCs w:val="24"/>
        </w:rPr>
        <w:t>. (1970).</w:t>
      </w:r>
    </w:p>
    <w:p w14:paraId="0C051DE4"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61.</w:t>
      </w:r>
      <w:r w:rsidRPr="00614E13">
        <w:rPr>
          <w:rFonts w:ascii="Times New Roman" w:hAnsi="Times New Roman" w:cs="Times New Roman"/>
          <w:noProof/>
          <w:szCs w:val="24"/>
        </w:rPr>
        <w:tab/>
        <w:t xml:space="preserve">Shea, J. J. Prehistoric Stone Tools of Eastern Africa: A Guide. </w:t>
      </w:r>
      <w:r w:rsidRPr="00614E13">
        <w:rPr>
          <w:rFonts w:ascii="Times New Roman" w:hAnsi="Times New Roman" w:cs="Times New Roman"/>
          <w:i/>
          <w:iCs/>
          <w:noProof/>
          <w:szCs w:val="24"/>
        </w:rPr>
        <w:t>Prehist. Stone Tools East. Africa</w:t>
      </w:r>
      <w:r w:rsidRPr="00614E13">
        <w:rPr>
          <w:rFonts w:ascii="Times New Roman" w:hAnsi="Times New Roman" w:cs="Times New Roman"/>
          <w:noProof/>
          <w:szCs w:val="24"/>
        </w:rPr>
        <w:t xml:space="preserve"> (2020) doi:10.1017/9781108334969.</w:t>
      </w:r>
    </w:p>
    <w:p w14:paraId="3B58692D"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62.</w:t>
      </w:r>
      <w:r w:rsidRPr="00614E13">
        <w:rPr>
          <w:rFonts w:ascii="Times New Roman" w:hAnsi="Times New Roman" w:cs="Times New Roman"/>
          <w:noProof/>
          <w:szCs w:val="24"/>
        </w:rPr>
        <w:tab/>
        <w:t xml:space="preserve">Terrazas-Mata, A.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Middle Stone Age at Equatorial Guinea: Technical and use-wear analysis of lithic bifacial points. </w:t>
      </w:r>
      <w:r w:rsidRPr="00614E13">
        <w:rPr>
          <w:rFonts w:ascii="Times New Roman" w:hAnsi="Times New Roman" w:cs="Times New Roman"/>
          <w:i/>
          <w:iCs/>
          <w:noProof/>
          <w:szCs w:val="24"/>
        </w:rPr>
        <w:t>Anthropol.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127</w:t>
      </w:r>
      <w:r w:rsidRPr="00614E13">
        <w:rPr>
          <w:rFonts w:ascii="Times New Roman" w:hAnsi="Times New Roman" w:cs="Times New Roman"/>
          <w:noProof/>
          <w:szCs w:val="24"/>
        </w:rPr>
        <w:t>, (2023).</w:t>
      </w:r>
    </w:p>
    <w:p w14:paraId="49C7C9C6"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63.</w:t>
      </w:r>
      <w:r w:rsidRPr="00614E13">
        <w:rPr>
          <w:rFonts w:ascii="Times New Roman" w:hAnsi="Times New Roman" w:cs="Times New Roman"/>
          <w:noProof/>
          <w:szCs w:val="24"/>
        </w:rPr>
        <w:tab/>
        <w:t xml:space="preserve">Rots, V. &amp; Van Peer, P. Early evidence of complexity in lithic economy: core-axe production, hafting and use at Late Middle Pleistocene site 8-B-11, Sai Island (Sudan). </w:t>
      </w:r>
      <w:r w:rsidRPr="00614E13">
        <w:rPr>
          <w:rFonts w:ascii="Times New Roman" w:hAnsi="Times New Roman" w:cs="Times New Roman"/>
          <w:i/>
          <w:iCs/>
          <w:noProof/>
          <w:szCs w:val="24"/>
        </w:rPr>
        <w:t>J. Archaeol. Sci.</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33</w:t>
      </w:r>
      <w:r w:rsidRPr="00614E13">
        <w:rPr>
          <w:rFonts w:ascii="Times New Roman" w:hAnsi="Times New Roman" w:cs="Times New Roman"/>
          <w:noProof/>
          <w:szCs w:val="24"/>
        </w:rPr>
        <w:t>, 360–371 (2006).</w:t>
      </w:r>
    </w:p>
    <w:p w14:paraId="10949663"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64.</w:t>
      </w:r>
      <w:r w:rsidRPr="00614E13">
        <w:rPr>
          <w:rFonts w:ascii="Times New Roman" w:hAnsi="Times New Roman" w:cs="Times New Roman"/>
          <w:noProof/>
          <w:szCs w:val="24"/>
        </w:rPr>
        <w:tab/>
        <w:t xml:space="preserve">Allsworth-Jones, P. </w:t>
      </w:r>
      <w:r w:rsidRPr="00614E13">
        <w:rPr>
          <w:rFonts w:ascii="Times New Roman" w:hAnsi="Times New Roman" w:cs="Times New Roman"/>
          <w:i/>
          <w:iCs/>
          <w:noProof/>
          <w:szCs w:val="24"/>
        </w:rPr>
        <w:t>The Middle Stone Age of Nigeria in its West African Context</w:t>
      </w:r>
      <w:r w:rsidRPr="00614E13">
        <w:rPr>
          <w:rFonts w:ascii="Times New Roman" w:hAnsi="Times New Roman" w:cs="Times New Roman"/>
          <w:noProof/>
          <w:szCs w:val="24"/>
        </w:rPr>
        <w:t>. (2019).</w:t>
      </w:r>
    </w:p>
    <w:p w14:paraId="2F5A0532"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65.</w:t>
      </w:r>
      <w:r w:rsidRPr="00614E13">
        <w:rPr>
          <w:rFonts w:ascii="Times New Roman" w:hAnsi="Times New Roman" w:cs="Times New Roman"/>
          <w:noProof/>
          <w:szCs w:val="24"/>
        </w:rPr>
        <w:tab/>
        <w:t xml:space="preserve">Chenorkian, R. &amp; Paradis, G. Une industrie paleolithique decouverte dans la ‘terre dc barre’ d’une terrasse proche d’Anyama (region d’Abidjan). in </w:t>
      </w:r>
      <w:r w:rsidRPr="00614E13">
        <w:rPr>
          <w:rFonts w:ascii="Times New Roman" w:hAnsi="Times New Roman" w:cs="Times New Roman"/>
          <w:i/>
          <w:iCs/>
          <w:noProof/>
          <w:szCs w:val="24"/>
        </w:rPr>
        <w:t>3rd Congress, West African Archaeological Association, Dakar.</w:t>
      </w:r>
      <w:r w:rsidRPr="00614E13">
        <w:rPr>
          <w:rFonts w:ascii="Times New Roman" w:hAnsi="Times New Roman" w:cs="Times New Roman"/>
          <w:noProof/>
          <w:szCs w:val="24"/>
        </w:rPr>
        <w:t xml:space="preserve"> (1981).</w:t>
      </w:r>
    </w:p>
    <w:p w14:paraId="2B860F9B"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66.</w:t>
      </w:r>
      <w:r w:rsidRPr="00614E13">
        <w:rPr>
          <w:rFonts w:ascii="Times New Roman" w:hAnsi="Times New Roman" w:cs="Times New Roman"/>
          <w:noProof/>
          <w:szCs w:val="24"/>
        </w:rPr>
        <w:tab/>
        <w:t xml:space="preserve">Chenorkian, R. &amp; Paradis, G. Une industrie paléolithique découverte dans la « Terre de Barre » d’une terrasse proche d’Anyama (région d’Abidjan). </w:t>
      </w:r>
      <w:r w:rsidRPr="00614E13">
        <w:rPr>
          <w:rFonts w:ascii="Times New Roman" w:hAnsi="Times New Roman" w:cs="Times New Roman"/>
          <w:i/>
          <w:iCs/>
          <w:noProof/>
          <w:szCs w:val="24"/>
        </w:rPr>
        <w:t>Nyame Akuma</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21</w:t>
      </w:r>
      <w:r w:rsidRPr="00614E13">
        <w:rPr>
          <w:rFonts w:ascii="Times New Roman" w:hAnsi="Times New Roman" w:cs="Times New Roman"/>
          <w:noProof/>
          <w:szCs w:val="24"/>
        </w:rPr>
        <w:t>, 18–27 (1982).</w:t>
      </w:r>
    </w:p>
    <w:p w14:paraId="511168E0"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67.</w:t>
      </w:r>
      <w:r w:rsidRPr="00614E13">
        <w:rPr>
          <w:rFonts w:ascii="Times New Roman" w:hAnsi="Times New Roman" w:cs="Times New Roman"/>
          <w:noProof/>
          <w:szCs w:val="24"/>
        </w:rPr>
        <w:tab/>
        <w:t xml:space="preserve">Fick, S. E. &amp; Hijmans, R. J. WorldClim 2: new 1-km spatial resolution climate surfaces for global land areas. </w:t>
      </w:r>
      <w:r w:rsidRPr="00614E13">
        <w:rPr>
          <w:rFonts w:ascii="Times New Roman" w:hAnsi="Times New Roman" w:cs="Times New Roman"/>
          <w:i/>
          <w:iCs/>
          <w:noProof/>
          <w:szCs w:val="24"/>
        </w:rPr>
        <w:t>Int. J. Climatol.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37</w:t>
      </w:r>
      <w:r w:rsidRPr="00614E13">
        <w:rPr>
          <w:rFonts w:ascii="Times New Roman" w:hAnsi="Times New Roman" w:cs="Times New Roman"/>
          <w:noProof/>
          <w:szCs w:val="24"/>
        </w:rPr>
        <w:t>, 4302–4315 (2017).</w:t>
      </w:r>
    </w:p>
    <w:p w14:paraId="23F142BA"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68.</w:t>
      </w:r>
      <w:r w:rsidRPr="00614E13">
        <w:rPr>
          <w:rFonts w:ascii="Times New Roman" w:hAnsi="Times New Roman" w:cs="Times New Roman"/>
          <w:noProof/>
          <w:szCs w:val="24"/>
        </w:rPr>
        <w:tab/>
        <w:t xml:space="preserve">Fick, S. E. &amp; Hijmans, R. J. WorldClim 2: new 1‐km spatial resolution climate surfaces for global land areas. </w:t>
      </w:r>
      <w:r w:rsidRPr="00614E13">
        <w:rPr>
          <w:rFonts w:ascii="Times New Roman" w:hAnsi="Times New Roman" w:cs="Times New Roman"/>
          <w:i/>
          <w:iCs/>
          <w:noProof/>
          <w:szCs w:val="24"/>
        </w:rPr>
        <w:t>Int. J. Climatol.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37</w:t>
      </w:r>
      <w:r w:rsidRPr="00614E13">
        <w:rPr>
          <w:rFonts w:ascii="Times New Roman" w:hAnsi="Times New Roman" w:cs="Times New Roman"/>
          <w:noProof/>
          <w:szCs w:val="24"/>
        </w:rPr>
        <w:t>, 4302–4315 (2017).</w:t>
      </w:r>
    </w:p>
    <w:p w14:paraId="79999BE1"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69.</w:t>
      </w:r>
      <w:r w:rsidRPr="00614E13">
        <w:rPr>
          <w:rFonts w:ascii="Times New Roman" w:hAnsi="Times New Roman" w:cs="Times New Roman"/>
          <w:noProof/>
          <w:szCs w:val="24"/>
        </w:rPr>
        <w:tab/>
        <w:t xml:space="preserve">N’Zi, D. C. &amp; Guédé, F. Y. Recherches prehistoriques en Cote d’Ivoire : non-developpements recents sur le site d’Anyama (district d’Abidjan). </w:t>
      </w:r>
      <w:r w:rsidRPr="00614E13">
        <w:rPr>
          <w:rFonts w:ascii="Times New Roman" w:hAnsi="Times New Roman" w:cs="Times New Roman"/>
          <w:i/>
          <w:iCs/>
          <w:noProof/>
          <w:szCs w:val="24"/>
        </w:rPr>
        <w:t>Anthropologie.</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127</w:t>
      </w:r>
      <w:r w:rsidRPr="00614E13">
        <w:rPr>
          <w:rFonts w:ascii="Times New Roman" w:hAnsi="Times New Roman" w:cs="Times New Roman"/>
          <w:noProof/>
          <w:szCs w:val="24"/>
        </w:rPr>
        <w:t>, (2023).</w:t>
      </w:r>
    </w:p>
    <w:p w14:paraId="14FDFD6D"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70.</w:t>
      </w:r>
      <w:r w:rsidRPr="00614E13">
        <w:rPr>
          <w:rFonts w:ascii="Times New Roman" w:hAnsi="Times New Roman" w:cs="Times New Roman"/>
          <w:noProof/>
          <w:szCs w:val="24"/>
        </w:rPr>
        <w:tab/>
        <w:t xml:space="preserve">Blott, S. J. &amp; Pye, K. Gradistat: A grain size distribution and statistics package for the analysis of unconsolidated sediments. </w:t>
      </w:r>
      <w:r w:rsidRPr="00614E13">
        <w:rPr>
          <w:rFonts w:ascii="Times New Roman" w:hAnsi="Times New Roman" w:cs="Times New Roman"/>
          <w:i/>
          <w:iCs/>
          <w:noProof/>
          <w:szCs w:val="24"/>
        </w:rPr>
        <w:t>Earth Surf. Process. Landforms</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26</w:t>
      </w:r>
      <w:r w:rsidRPr="00614E13">
        <w:rPr>
          <w:rFonts w:ascii="Times New Roman" w:hAnsi="Times New Roman" w:cs="Times New Roman"/>
          <w:noProof/>
          <w:szCs w:val="24"/>
        </w:rPr>
        <w:t>, 1237–1248 (2001).</w:t>
      </w:r>
    </w:p>
    <w:p w14:paraId="6EF00DA5"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71.</w:t>
      </w:r>
      <w:r w:rsidRPr="00614E13">
        <w:rPr>
          <w:rFonts w:ascii="Times New Roman" w:hAnsi="Times New Roman" w:cs="Times New Roman"/>
          <w:noProof/>
          <w:szCs w:val="24"/>
        </w:rPr>
        <w:tab/>
        <w:t xml:space="preserve">Buylaert, J. P., Murray, A. S., Thomsen, K. J. &amp; Jain, M. Testing the potential of an elevated temperature IRSL signal from K-feldspar. </w:t>
      </w:r>
      <w:r w:rsidRPr="00614E13">
        <w:rPr>
          <w:rFonts w:ascii="Times New Roman" w:hAnsi="Times New Roman" w:cs="Times New Roman"/>
          <w:i/>
          <w:iCs/>
          <w:noProof/>
          <w:szCs w:val="24"/>
        </w:rPr>
        <w:t>Radiat. Meas.</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44</w:t>
      </w:r>
      <w:r w:rsidRPr="00614E13">
        <w:rPr>
          <w:rFonts w:ascii="Times New Roman" w:hAnsi="Times New Roman" w:cs="Times New Roman"/>
          <w:noProof/>
          <w:szCs w:val="24"/>
        </w:rPr>
        <w:t>, 560–565 (2009).</w:t>
      </w:r>
    </w:p>
    <w:p w14:paraId="0A4864FC"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72.</w:t>
      </w:r>
      <w:r w:rsidRPr="00614E13">
        <w:rPr>
          <w:rFonts w:ascii="Times New Roman" w:hAnsi="Times New Roman" w:cs="Times New Roman"/>
          <w:noProof/>
          <w:szCs w:val="24"/>
        </w:rPr>
        <w:tab/>
        <w:t xml:space="preserve">BATEMAN, M. D. &amp; CATT, J. A. An absolute chronology for the raised beach and associated deposits at Sewerby, East Yorkshire, England. </w:t>
      </w:r>
      <w:r w:rsidRPr="00614E13">
        <w:rPr>
          <w:rFonts w:ascii="Times New Roman" w:hAnsi="Times New Roman" w:cs="Times New Roman"/>
          <w:i/>
          <w:iCs/>
          <w:noProof/>
          <w:szCs w:val="24"/>
        </w:rPr>
        <w:t>J. Quat. Sci.</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11</w:t>
      </w:r>
      <w:r w:rsidRPr="00614E13">
        <w:rPr>
          <w:rFonts w:ascii="Times New Roman" w:hAnsi="Times New Roman" w:cs="Times New Roman"/>
          <w:noProof/>
          <w:szCs w:val="24"/>
        </w:rPr>
        <w:t>, 389–395 (1996).</w:t>
      </w:r>
    </w:p>
    <w:p w14:paraId="1656DCB5"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lastRenderedPageBreak/>
        <w:t>73.</w:t>
      </w:r>
      <w:r w:rsidRPr="00614E13">
        <w:rPr>
          <w:rFonts w:ascii="Times New Roman" w:hAnsi="Times New Roman" w:cs="Times New Roman"/>
          <w:noProof/>
          <w:szCs w:val="24"/>
        </w:rPr>
        <w:tab/>
        <w:t xml:space="preserve">Bateman, M. D., Frederick, C. D., Jaiswal, M. K. &amp; Singhvi, A. K. Investigations into the potential effects of pedoturbation on luminescence dating. </w:t>
      </w:r>
      <w:r w:rsidRPr="00614E13">
        <w:rPr>
          <w:rFonts w:ascii="Times New Roman" w:hAnsi="Times New Roman" w:cs="Times New Roman"/>
          <w:i/>
          <w:iCs/>
          <w:noProof/>
          <w:szCs w:val="24"/>
        </w:rPr>
        <w:t>Quat. Sci. Rev.</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22</w:t>
      </w:r>
      <w:r w:rsidRPr="00614E13">
        <w:rPr>
          <w:rFonts w:ascii="Times New Roman" w:hAnsi="Times New Roman" w:cs="Times New Roman"/>
          <w:noProof/>
          <w:szCs w:val="24"/>
        </w:rPr>
        <w:t>, 1169–1176 (2003).</w:t>
      </w:r>
    </w:p>
    <w:p w14:paraId="1D5DD855"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74.</w:t>
      </w:r>
      <w:r w:rsidRPr="00614E13">
        <w:rPr>
          <w:rFonts w:ascii="Times New Roman" w:hAnsi="Times New Roman" w:cs="Times New Roman"/>
          <w:noProof/>
          <w:szCs w:val="24"/>
        </w:rPr>
        <w:tab/>
        <w:t xml:space="preserve">Duller, G. A. T. Single-grain optical dating of Quaternary sediments: why aliquot size matters in luminescence dating ? </w:t>
      </w:r>
      <w:r w:rsidRPr="00614E13">
        <w:rPr>
          <w:rFonts w:ascii="Times New Roman" w:hAnsi="Times New Roman" w:cs="Times New Roman"/>
          <w:i/>
          <w:iCs/>
          <w:noProof/>
          <w:szCs w:val="24"/>
        </w:rPr>
        <w:t>Boreas</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37</w:t>
      </w:r>
      <w:r w:rsidRPr="00614E13">
        <w:rPr>
          <w:rFonts w:ascii="Times New Roman" w:hAnsi="Times New Roman" w:cs="Times New Roman"/>
          <w:noProof/>
          <w:szCs w:val="24"/>
        </w:rPr>
        <w:t>, 589–612 (2008).</w:t>
      </w:r>
    </w:p>
    <w:p w14:paraId="344100C8"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75.</w:t>
      </w:r>
      <w:r w:rsidRPr="00614E13">
        <w:rPr>
          <w:rFonts w:ascii="Times New Roman" w:hAnsi="Times New Roman" w:cs="Times New Roman"/>
          <w:noProof/>
          <w:szCs w:val="24"/>
        </w:rPr>
        <w:tab/>
        <w:t xml:space="preserve">Murray, A. S. &amp; Wintle, A. G. The single aliquot regenerative dose protocol: Potential for improvements in reliability. </w:t>
      </w:r>
      <w:r w:rsidRPr="00614E13">
        <w:rPr>
          <w:rFonts w:ascii="Times New Roman" w:hAnsi="Times New Roman" w:cs="Times New Roman"/>
          <w:i/>
          <w:iCs/>
          <w:noProof/>
          <w:szCs w:val="24"/>
        </w:rPr>
        <w:t>Radiat. Meas.</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37</w:t>
      </w:r>
      <w:r w:rsidRPr="00614E13">
        <w:rPr>
          <w:rFonts w:ascii="Times New Roman" w:hAnsi="Times New Roman" w:cs="Times New Roman"/>
          <w:noProof/>
          <w:szCs w:val="24"/>
        </w:rPr>
        <w:t>, 377–381 (2003).</w:t>
      </w:r>
    </w:p>
    <w:p w14:paraId="3CC7D292"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76.</w:t>
      </w:r>
      <w:r w:rsidRPr="00614E13">
        <w:rPr>
          <w:rFonts w:ascii="Times New Roman" w:hAnsi="Times New Roman" w:cs="Times New Roman"/>
          <w:noProof/>
          <w:szCs w:val="24"/>
        </w:rPr>
        <w:tab/>
        <w:t xml:space="preserve">Murray, A. S. &amp; Wintle, A. G. Luminescence dating of quartz using an improved single-aliquot regenerative-dose protocol. </w:t>
      </w:r>
      <w:r w:rsidRPr="00614E13">
        <w:rPr>
          <w:rFonts w:ascii="Times New Roman" w:hAnsi="Times New Roman" w:cs="Times New Roman"/>
          <w:i/>
          <w:iCs/>
          <w:noProof/>
          <w:szCs w:val="24"/>
        </w:rPr>
        <w:t>Radiat. Meas.</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32</w:t>
      </w:r>
      <w:r w:rsidRPr="00614E13">
        <w:rPr>
          <w:rFonts w:ascii="Times New Roman" w:hAnsi="Times New Roman" w:cs="Times New Roman"/>
          <w:noProof/>
          <w:szCs w:val="24"/>
        </w:rPr>
        <w:t>, 57–73 (2000).</w:t>
      </w:r>
    </w:p>
    <w:p w14:paraId="58E603AE"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77.</w:t>
      </w:r>
      <w:r w:rsidRPr="00614E13">
        <w:rPr>
          <w:rFonts w:ascii="Times New Roman" w:hAnsi="Times New Roman" w:cs="Times New Roman"/>
          <w:noProof/>
          <w:szCs w:val="24"/>
        </w:rPr>
        <w:tab/>
        <w:t xml:space="preserve">Murray, A., Buylaert, J. P., Henriksen, M., Svendsen, J. I. &amp; Mangerud, J. Testing the reliability of quartz OSL ages beyond the Eemian. </w:t>
      </w:r>
      <w:r w:rsidRPr="00614E13">
        <w:rPr>
          <w:rFonts w:ascii="Times New Roman" w:hAnsi="Times New Roman" w:cs="Times New Roman"/>
          <w:i/>
          <w:iCs/>
          <w:noProof/>
          <w:szCs w:val="24"/>
        </w:rPr>
        <w:t>Radiat. Meas.</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43</w:t>
      </w:r>
      <w:r w:rsidRPr="00614E13">
        <w:rPr>
          <w:rFonts w:ascii="Times New Roman" w:hAnsi="Times New Roman" w:cs="Times New Roman"/>
          <w:noProof/>
          <w:szCs w:val="24"/>
        </w:rPr>
        <w:t>, 776–780 (2008).</w:t>
      </w:r>
    </w:p>
    <w:p w14:paraId="0B27FF7C"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78.</w:t>
      </w:r>
      <w:r w:rsidRPr="00614E13">
        <w:rPr>
          <w:rFonts w:ascii="Times New Roman" w:hAnsi="Times New Roman" w:cs="Times New Roman"/>
          <w:noProof/>
          <w:szCs w:val="24"/>
        </w:rPr>
        <w:tab/>
        <w:t xml:space="preserve">Duller, G. A. T. Distinguishing quartz and feldspar in single grain luminescence measurements. </w:t>
      </w:r>
      <w:r w:rsidRPr="00614E13">
        <w:rPr>
          <w:rFonts w:ascii="Times New Roman" w:hAnsi="Times New Roman" w:cs="Times New Roman"/>
          <w:i/>
          <w:iCs/>
          <w:noProof/>
          <w:szCs w:val="24"/>
        </w:rPr>
        <w:t>Radiat. Meas.</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37</w:t>
      </w:r>
      <w:r w:rsidRPr="00614E13">
        <w:rPr>
          <w:rFonts w:ascii="Times New Roman" w:hAnsi="Times New Roman" w:cs="Times New Roman"/>
          <w:noProof/>
          <w:szCs w:val="24"/>
        </w:rPr>
        <w:t>, 161–165 (2003).</w:t>
      </w:r>
    </w:p>
    <w:p w14:paraId="1880E049"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79.</w:t>
      </w:r>
      <w:r w:rsidRPr="00614E13">
        <w:rPr>
          <w:rFonts w:ascii="Times New Roman" w:hAnsi="Times New Roman" w:cs="Times New Roman"/>
          <w:noProof/>
          <w:szCs w:val="24"/>
        </w:rPr>
        <w:tab/>
        <w:t xml:space="preserve">Duller, G. The Analyst software package for luminescence data: overview and recent improvements. </w:t>
      </w:r>
      <w:r w:rsidRPr="00614E13">
        <w:rPr>
          <w:rFonts w:ascii="Times New Roman" w:hAnsi="Times New Roman" w:cs="Times New Roman"/>
          <w:i/>
          <w:iCs/>
          <w:noProof/>
          <w:szCs w:val="24"/>
        </w:rPr>
        <w:t>Anc. TL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33</w:t>
      </w:r>
      <w:r w:rsidRPr="00614E13">
        <w:rPr>
          <w:rFonts w:ascii="Times New Roman" w:hAnsi="Times New Roman" w:cs="Times New Roman"/>
          <w:noProof/>
          <w:szCs w:val="24"/>
        </w:rPr>
        <w:t>, 35–42 (2015).</w:t>
      </w:r>
    </w:p>
    <w:p w14:paraId="232918C1"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80.</w:t>
      </w:r>
      <w:r w:rsidRPr="00614E13">
        <w:rPr>
          <w:rFonts w:ascii="Times New Roman" w:hAnsi="Times New Roman" w:cs="Times New Roman"/>
          <w:noProof/>
          <w:szCs w:val="24"/>
        </w:rPr>
        <w:tab/>
        <w:t>Duller, G. A. T. Analyst User Manual. (2017).</w:t>
      </w:r>
    </w:p>
    <w:p w14:paraId="7AA75B7B"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81.</w:t>
      </w:r>
      <w:r w:rsidRPr="00614E13">
        <w:rPr>
          <w:rFonts w:ascii="Times New Roman" w:hAnsi="Times New Roman" w:cs="Times New Roman"/>
          <w:noProof/>
          <w:szCs w:val="24"/>
        </w:rPr>
        <w:tab/>
        <w:t xml:space="preserve">Burow, C.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RLumShiny - A graphical user interface for the R Package ‘Luminescence’. </w:t>
      </w:r>
      <w:r w:rsidRPr="00614E13">
        <w:rPr>
          <w:rFonts w:ascii="Times New Roman" w:hAnsi="Times New Roman" w:cs="Times New Roman"/>
          <w:i/>
          <w:iCs/>
          <w:noProof/>
          <w:szCs w:val="24"/>
        </w:rPr>
        <w:t>Anc. TL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34</w:t>
      </w:r>
      <w:r w:rsidRPr="00614E13">
        <w:rPr>
          <w:rFonts w:ascii="Times New Roman" w:hAnsi="Times New Roman" w:cs="Times New Roman"/>
          <w:noProof/>
          <w:szCs w:val="24"/>
        </w:rPr>
        <w:t>, 22–32 (2016).</w:t>
      </w:r>
    </w:p>
    <w:p w14:paraId="016D86CE"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82.</w:t>
      </w:r>
      <w:r w:rsidRPr="00614E13">
        <w:rPr>
          <w:rFonts w:ascii="Times New Roman" w:hAnsi="Times New Roman" w:cs="Times New Roman"/>
          <w:noProof/>
          <w:szCs w:val="24"/>
        </w:rPr>
        <w:tab/>
        <w:t xml:space="preserve">Kreutzer, S.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Comprehensive Luminescence Dating Data Analysis [R package Luminescence version 0.9.26]. </w:t>
      </w:r>
      <w:r w:rsidRPr="00614E13">
        <w:rPr>
          <w:rFonts w:ascii="Times New Roman" w:hAnsi="Times New Roman" w:cs="Times New Roman"/>
          <w:i/>
          <w:iCs/>
          <w:noProof/>
          <w:szCs w:val="24"/>
        </w:rPr>
        <w:t>CRAN Contrib. Packag.</w:t>
      </w:r>
      <w:r w:rsidRPr="00614E13">
        <w:rPr>
          <w:rFonts w:ascii="Times New Roman" w:hAnsi="Times New Roman" w:cs="Times New Roman"/>
          <w:noProof/>
          <w:szCs w:val="24"/>
        </w:rPr>
        <w:t xml:space="preserve"> (2024) doi:10.32614/CRAN.PACKAGE.LUMINESCENCE.</w:t>
      </w:r>
    </w:p>
    <w:p w14:paraId="61D94FE5"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83.</w:t>
      </w:r>
      <w:r w:rsidRPr="00614E13">
        <w:rPr>
          <w:rFonts w:ascii="Times New Roman" w:hAnsi="Times New Roman" w:cs="Times New Roman"/>
          <w:noProof/>
          <w:szCs w:val="24"/>
        </w:rPr>
        <w:tab/>
        <w:t xml:space="preserve">Duller, G. A. T., Bøtter-Jensen, L., Murray, A. S. &amp; Truscott, A. J. Single grain laser luminescence (SGLL) measurements using a novel automated reader. </w:t>
      </w:r>
      <w:r w:rsidRPr="00614E13">
        <w:rPr>
          <w:rFonts w:ascii="Times New Roman" w:hAnsi="Times New Roman" w:cs="Times New Roman"/>
          <w:i/>
          <w:iCs/>
          <w:noProof/>
          <w:szCs w:val="24"/>
        </w:rPr>
        <w:t>Nucl. Instruments Methods Phys. Res. Sect. B Beam Interact. with Mater. Atoms</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155</w:t>
      </w:r>
      <w:r w:rsidRPr="00614E13">
        <w:rPr>
          <w:rFonts w:ascii="Times New Roman" w:hAnsi="Times New Roman" w:cs="Times New Roman"/>
          <w:noProof/>
          <w:szCs w:val="24"/>
        </w:rPr>
        <w:t>, 506–514 (1999).</w:t>
      </w:r>
    </w:p>
    <w:p w14:paraId="68DAF3D5"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84.</w:t>
      </w:r>
      <w:r w:rsidRPr="00614E13">
        <w:rPr>
          <w:rFonts w:ascii="Times New Roman" w:hAnsi="Times New Roman" w:cs="Times New Roman"/>
          <w:noProof/>
          <w:szCs w:val="24"/>
        </w:rPr>
        <w:tab/>
        <w:t xml:space="preserve">Toyoda, S., Voinchet, P., Falgueres, C., Dolo, J.-M. &amp; Laurent, M. Bleaching of ESR signals by the sunlight : a laboratory experiment for establishing the ESR dating of sediments. </w:t>
      </w:r>
      <w:r w:rsidRPr="00614E13">
        <w:rPr>
          <w:rFonts w:ascii="Times New Roman" w:hAnsi="Times New Roman" w:cs="Times New Roman"/>
          <w:i/>
          <w:iCs/>
          <w:noProof/>
          <w:szCs w:val="24"/>
        </w:rPr>
        <w:t>Appl. Radiat. Isot.</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52</w:t>
      </w:r>
      <w:r w:rsidRPr="00614E13">
        <w:rPr>
          <w:rFonts w:ascii="Times New Roman" w:hAnsi="Times New Roman" w:cs="Times New Roman"/>
          <w:noProof/>
          <w:szCs w:val="24"/>
        </w:rPr>
        <w:t>, 1357–1362 (2000).</w:t>
      </w:r>
    </w:p>
    <w:p w14:paraId="32C93069"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85.</w:t>
      </w:r>
      <w:r w:rsidRPr="00614E13">
        <w:rPr>
          <w:rFonts w:ascii="Times New Roman" w:hAnsi="Times New Roman" w:cs="Times New Roman"/>
          <w:noProof/>
          <w:szCs w:val="24"/>
        </w:rPr>
        <w:tab/>
        <w:t xml:space="preserve">Duval, M. Dose response curve of the ESR signal of Aluminum center in quartz grains extracted from sediment Dose response curve of the ESR signal of the Aluminum center in quartz grains extracted from sediment. </w:t>
      </w:r>
      <w:r w:rsidRPr="00614E13">
        <w:rPr>
          <w:rFonts w:ascii="Times New Roman" w:hAnsi="Times New Roman" w:cs="Times New Roman"/>
          <w:i/>
          <w:iCs/>
          <w:noProof/>
          <w:szCs w:val="24"/>
        </w:rPr>
        <w:t>Anc. TL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2</w:t>
      </w:r>
      <w:r w:rsidRPr="00614E13">
        <w:rPr>
          <w:rFonts w:ascii="Times New Roman" w:hAnsi="Times New Roman" w:cs="Times New Roman"/>
          <w:noProof/>
          <w:szCs w:val="24"/>
        </w:rPr>
        <w:t>, 1–10 (2012).</w:t>
      </w:r>
    </w:p>
    <w:p w14:paraId="6B52F38D"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86.</w:t>
      </w:r>
      <w:r w:rsidRPr="00614E13">
        <w:rPr>
          <w:rFonts w:ascii="Times New Roman" w:hAnsi="Times New Roman" w:cs="Times New Roman"/>
          <w:noProof/>
          <w:szCs w:val="24"/>
        </w:rPr>
        <w:tab/>
        <w:t xml:space="preserve">Guilarte, V. &amp; Duval, M. ESR dating of optically bleached quartz grains: Assessing the impact of different experimental setups on dose evaluations. </w:t>
      </w:r>
      <w:r w:rsidRPr="00614E13">
        <w:rPr>
          <w:rFonts w:ascii="Times New Roman" w:hAnsi="Times New Roman" w:cs="Times New Roman"/>
          <w:i/>
          <w:iCs/>
          <w:noProof/>
          <w:szCs w:val="24"/>
        </w:rPr>
        <w:t>Geochronometria</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1695</w:t>
      </w:r>
      <w:r w:rsidRPr="00614E13">
        <w:rPr>
          <w:rFonts w:ascii="Times New Roman" w:hAnsi="Times New Roman" w:cs="Times New Roman"/>
          <w:noProof/>
          <w:szCs w:val="24"/>
        </w:rPr>
        <w:t>, 0–6 (2020).</w:t>
      </w:r>
    </w:p>
    <w:p w14:paraId="68564608"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87.</w:t>
      </w:r>
      <w:r w:rsidRPr="00614E13">
        <w:rPr>
          <w:rFonts w:ascii="Times New Roman" w:hAnsi="Times New Roman" w:cs="Times New Roman"/>
          <w:noProof/>
          <w:szCs w:val="24"/>
        </w:rPr>
        <w:tab/>
        <w:t xml:space="preserve">Toyoda, S. &amp; Falguères, C. The method to represent the ESR signal intensity of the aluminium hole center in quartz for the purpose of dating. </w:t>
      </w:r>
      <w:r w:rsidRPr="00614E13">
        <w:rPr>
          <w:rFonts w:ascii="Times New Roman" w:hAnsi="Times New Roman" w:cs="Times New Roman"/>
          <w:i/>
          <w:iCs/>
          <w:noProof/>
          <w:szCs w:val="24"/>
        </w:rPr>
        <w:t>Adv. ESR Appl.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20</w:t>
      </w:r>
      <w:r w:rsidRPr="00614E13">
        <w:rPr>
          <w:rFonts w:ascii="Times New Roman" w:hAnsi="Times New Roman" w:cs="Times New Roman"/>
          <w:noProof/>
          <w:szCs w:val="24"/>
        </w:rPr>
        <w:t>, 7–10 (2003).</w:t>
      </w:r>
    </w:p>
    <w:p w14:paraId="50C98AA1"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88.</w:t>
      </w:r>
      <w:r w:rsidRPr="00614E13">
        <w:rPr>
          <w:rFonts w:ascii="Times New Roman" w:hAnsi="Times New Roman" w:cs="Times New Roman"/>
          <w:noProof/>
          <w:szCs w:val="24"/>
        </w:rPr>
        <w:tab/>
        <w:t xml:space="preserve">Ben Arous, E., Duval, M. &amp; Bateman, M. D. ESR dating of optically bleached quartz grains from Plio-Pleistocene to Holocene coastal dune deposits (Wilderness-Knysna area, South Africa): a comparison with luminescence. </w:t>
      </w:r>
      <w:r w:rsidRPr="00614E13">
        <w:rPr>
          <w:rFonts w:ascii="Times New Roman" w:hAnsi="Times New Roman" w:cs="Times New Roman"/>
          <w:i/>
          <w:iCs/>
          <w:noProof/>
          <w:szCs w:val="24"/>
        </w:rPr>
        <w:t>Quat. Geochronol.</w:t>
      </w:r>
      <w:r w:rsidRPr="00614E13">
        <w:rPr>
          <w:rFonts w:ascii="Times New Roman" w:hAnsi="Times New Roman" w:cs="Times New Roman"/>
          <w:noProof/>
          <w:szCs w:val="24"/>
        </w:rPr>
        <w:t xml:space="preserve"> 101293 (2022) doi:10.1016/j.quageo.2022.101293.</w:t>
      </w:r>
    </w:p>
    <w:p w14:paraId="5ED827A4"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89.</w:t>
      </w:r>
      <w:r w:rsidRPr="00614E13">
        <w:rPr>
          <w:rFonts w:ascii="Times New Roman" w:hAnsi="Times New Roman" w:cs="Times New Roman"/>
          <w:noProof/>
          <w:szCs w:val="24"/>
        </w:rPr>
        <w:tab/>
        <w:t xml:space="preserve">Duval, M. Evaluating the accuracy of ESR dose determination of pseudo-Early Pleistocene fossil tooth enamel samples using dose recovery tests. </w:t>
      </w:r>
      <w:r w:rsidRPr="00614E13">
        <w:rPr>
          <w:rFonts w:ascii="Times New Roman" w:hAnsi="Times New Roman" w:cs="Times New Roman"/>
          <w:i/>
          <w:iCs/>
          <w:noProof/>
          <w:szCs w:val="24"/>
        </w:rPr>
        <w:t>Radiat. Meas.</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79</w:t>
      </w:r>
      <w:r w:rsidRPr="00614E13">
        <w:rPr>
          <w:rFonts w:ascii="Times New Roman" w:hAnsi="Times New Roman" w:cs="Times New Roman"/>
          <w:noProof/>
          <w:szCs w:val="24"/>
        </w:rPr>
        <w:t>, 24–32 (2015).</w:t>
      </w:r>
    </w:p>
    <w:p w14:paraId="2575A0A9"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90.</w:t>
      </w:r>
      <w:r w:rsidRPr="00614E13">
        <w:rPr>
          <w:rFonts w:ascii="Times New Roman" w:hAnsi="Times New Roman" w:cs="Times New Roman"/>
          <w:noProof/>
          <w:szCs w:val="24"/>
        </w:rPr>
        <w:tab/>
        <w:t xml:space="preserve">Duval, M. &amp; Guilarte Moreno, V. Assessing the influence of the cavity temperature on the ESR signal of the Aluminum center in quartz grains extracted from sediment. </w:t>
      </w:r>
      <w:r w:rsidRPr="00614E13">
        <w:rPr>
          <w:rFonts w:ascii="Times New Roman" w:hAnsi="Times New Roman" w:cs="Times New Roman"/>
          <w:i/>
          <w:iCs/>
          <w:noProof/>
          <w:szCs w:val="24"/>
        </w:rPr>
        <w:t>Anc. TL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30</w:t>
      </w:r>
      <w:r w:rsidRPr="00614E13">
        <w:rPr>
          <w:rFonts w:ascii="Times New Roman" w:hAnsi="Times New Roman" w:cs="Times New Roman"/>
          <w:noProof/>
          <w:szCs w:val="24"/>
        </w:rPr>
        <w:t>, 11–16 (2012).</w:t>
      </w:r>
    </w:p>
    <w:p w14:paraId="2CA14452"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91.</w:t>
      </w:r>
      <w:r w:rsidRPr="00614E13">
        <w:rPr>
          <w:rFonts w:ascii="Times New Roman" w:hAnsi="Times New Roman" w:cs="Times New Roman"/>
          <w:noProof/>
          <w:szCs w:val="24"/>
        </w:rPr>
        <w:tab/>
        <w:t xml:space="preserve">Woda, C. &amp; Wagner, G. A. Non-monotonic dose dependence of the Ge- and Ti-centres in quartz. </w:t>
      </w:r>
      <w:r w:rsidRPr="00614E13">
        <w:rPr>
          <w:rFonts w:ascii="Times New Roman" w:hAnsi="Times New Roman" w:cs="Times New Roman"/>
          <w:i/>
          <w:iCs/>
          <w:noProof/>
          <w:szCs w:val="24"/>
        </w:rPr>
        <w:t>Radiat. Meas.</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42</w:t>
      </w:r>
      <w:r w:rsidRPr="00614E13">
        <w:rPr>
          <w:rFonts w:ascii="Times New Roman" w:hAnsi="Times New Roman" w:cs="Times New Roman"/>
          <w:noProof/>
          <w:szCs w:val="24"/>
        </w:rPr>
        <w:t>, 1441–1452 (2007).</w:t>
      </w:r>
    </w:p>
    <w:p w14:paraId="41C6B7DC"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92.</w:t>
      </w:r>
      <w:r w:rsidRPr="00614E13">
        <w:rPr>
          <w:rFonts w:ascii="Times New Roman" w:hAnsi="Times New Roman" w:cs="Times New Roman"/>
          <w:noProof/>
          <w:szCs w:val="24"/>
        </w:rPr>
        <w:tab/>
        <w:t xml:space="preserve">Yokoyama, Y., Falguères, C. &amp; Quaegebeur, J. P. ESR dating of quartz from Quaternary sediments : first attempts. </w:t>
      </w:r>
      <w:r w:rsidRPr="00614E13">
        <w:rPr>
          <w:rFonts w:ascii="Times New Roman" w:hAnsi="Times New Roman" w:cs="Times New Roman"/>
          <w:i/>
          <w:iCs/>
          <w:noProof/>
          <w:szCs w:val="24"/>
        </w:rPr>
        <w:t>Nucl. Tracks</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10</w:t>
      </w:r>
      <w:r w:rsidRPr="00614E13">
        <w:rPr>
          <w:rFonts w:ascii="Times New Roman" w:hAnsi="Times New Roman" w:cs="Times New Roman"/>
          <w:noProof/>
          <w:szCs w:val="24"/>
        </w:rPr>
        <w:t>, 921–928 (1985).</w:t>
      </w:r>
    </w:p>
    <w:p w14:paraId="7F8843FE"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93.</w:t>
      </w:r>
      <w:r w:rsidRPr="00614E13">
        <w:rPr>
          <w:rFonts w:ascii="Times New Roman" w:hAnsi="Times New Roman" w:cs="Times New Roman"/>
          <w:noProof/>
          <w:szCs w:val="24"/>
        </w:rPr>
        <w:tab/>
        <w:t xml:space="preserve">Guérin, G., Mercier, N. &amp; Adamiec, G. Dose-rate conversion factor: update. </w:t>
      </w:r>
      <w:r w:rsidRPr="00614E13">
        <w:rPr>
          <w:rFonts w:ascii="Times New Roman" w:hAnsi="Times New Roman" w:cs="Times New Roman"/>
          <w:i/>
          <w:iCs/>
          <w:noProof/>
          <w:szCs w:val="24"/>
        </w:rPr>
        <w:t>Anc. TL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29</w:t>
      </w:r>
      <w:r w:rsidRPr="00614E13">
        <w:rPr>
          <w:rFonts w:ascii="Times New Roman" w:hAnsi="Times New Roman" w:cs="Times New Roman"/>
          <w:noProof/>
          <w:szCs w:val="24"/>
        </w:rPr>
        <w:t>, 5–8 (2011).</w:t>
      </w:r>
    </w:p>
    <w:p w14:paraId="29A555A5"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94.</w:t>
      </w:r>
      <w:r w:rsidRPr="00614E13">
        <w:rPr>
          <w:rFonts w:ascii="Times New Roman" w:hAnsi="Times New Roman" w:cs="Times New Roman"/>
          <w:noProof/>
          <w:szCs w:val="24"/>
        </w:rPr>
        <w:tab/>
        <w:t xml:space="preserve">Duval, M.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Quantifying hydrofluoric acid etching of quartz and feldspar coarse grains based on weight loss estimates: implication for ESR and luminescence dating studies. </w:t>
      </w:r>
      <w:r w:rsidRPr="00614E13">
        <w:rPr>
          <w:rFonts w:ascii="Times New Roman" w:hAnsi="Times New Roman" w:cs="Times New Roman"/>
          <w:i/>
          <w:iCs/>
          <w:noProof/>
          <w:szCs w:val="24"/>
        </w:rPr>
        <w:t>Anc. TL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36</w:t>
      </w:r>
      <w:r w:rsidRPr="00614E13">
        <w:rPr>
          <w:rFonts w:ascii="Times New Roman" w:hAnsi="Times New Roman" w:cs="Times New Roman"/>
          <w:noProof/>
          <w:szCs w:val="24"/>
        </w:rPr>
        <w:t>, (2018).</w:t>
      </w:r>
    </w:p>
    <w:p w14:paraId="46D363D9"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95.</w:t>
      </w:r>
      <w:r w:rsidRPr="00614E13">
        <w:rPr>
          <w:rFonts w:ascii="Times New Roman" w:hAnsi="Times New Roman" w:cs="Times New Roman"/>
          <w:noProof/>
          <w:szCs w:val="24"/>
        </w:rPr>
        <w:tab/>
        <w:t xml:space="preserve">Brennan, B. J. Beta doses to spherical grains. </w:t>
      </w:r>
      <w:r w:rsidRPr="00614E13">
        <w:rPr>
          <w:rFonts w:ascii="Times New Roman" w:hAnsi="Times New Roman" w:cs="Times New Roman"/>
          <w:i/>
          <w:iCs/>
          <w:noProof/>
          <w:szCs w:val="24"/>
        </w:rPr>
        <w:t>Radiat. Meas.</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37</w:t>
      </w:r>
      <w:r w:rsidRPr="00614E13">
        <w:rPr>
          <w:rFonts w:ascii="Times New Roman" w:hAnsi="Times New Roman" w:cs="Times New Roman"/>
          <w:noProof/>
          <w:szCs w:val="24"/>
        </w:rPr>
        <w:t>, 299–303 (2003).</w:t>
      </w:r>
    </w:p>
    <w:p w14:paraId="36AA4B8E"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96.</w:t>
      </w:r>
      <w:r w:rsidRPr="00614E13">
        <w:rPr>
          <w:rFonts w:ascii="Times New Roman" w:hAnsi="Times New Roman" w:cs="Times New Roman"/>
          <w:noProof/>
          <w:szCs w:val="24"/>
        </w:rPr>
        <w:tab/>
        <w:t xml:space="preserve">Brennan, B. J., Lyons, R. G. &amp; Phillips, S. W. Attenuation of alpha particle track dose for spherical grains. </w:t>
      </w:r>
      <w:r w:rsidRPr="00614E13">
        <w:rPr>
          <w:rFonts w:ascii="Times New Roman" w:hAnsi="Times New Roman" w:cs="Times New Roman"/>
          <w:i/>
          <w:iCs/>
          <w:noProof/>
          <w:szCs w:val="24"/>
        </w:rPr>
        <w:t>Int. J. Radiat. Appl. Instrumentation. Part D. Nucl. Tracks Radiat. Meas.</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18</w:t>
      </w:r>
      <w:r w:rsidRPr="00614E13">
        <w:rPr>
          <w:rFonts w:ascii="Times New Roman" w:hAnsi="Times New Roman" w:cs="Times New Roman"/>
          <w:noProof/>
          <w:szCs w:val="24"/>
        </w:rPr>
        <w:t xml:space="preserve">, 249–253 </w:t>
      </w:r>
      <w:r w:rsidRPr="00614E13">
        <w:rPr>
          <w:rFonts w:ascii="Times New Roman" w:hAnsi="Times New Roman" w:cs="Times New Roman"/>
          <w:noProof/>
          <w:szCs w:val="24"/>
        </w:rPr>
        <w:lastRenderedPageBreak/>
        <w:t>(1991).</w:t>
      </w:r>
    </w:p>
    <w:p w14:paraId="3E216A9E"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97.</w:t>
      </w:r>
      <w:r w:rsidRPr="00614E13">
        <w:rPr>
          <w:rFonts w:ascii="Times New Roman" w:hAnsi="Times New Roman" w:cs="Times New Roman"/>
          <w:noProof/>
          <w:szCs w:val="24"/>
        </w:rPr>
        <w:tab/>
        <w:t xml:space="preserve">Duval, M.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Re-examining the earliest evidence of human presence in western Europe: New dating results from Pirro Nord (Italy). </w:t>
      </w:r>
      <w:r w:rsidRPr="00614E13">
        <w:rPr>
          <w:rFonts w:ascii="Times New Roman" w:hAnsi="Times New Roman" w:cs="Times New Roman"/>
          <w:i/>
          <w:iCs/>
          <w:noProof/>
          <w:szCs w:val="24"/>
        </w:rPr>
        <w:t>Quat. Geochronol.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82</w:t>
      </w:r>
      <w:r w:rsidRPr="00614E13">
        <w:rPr>
          <w:rFonts w:ascii="Times New Roman" w:hAnsi="Times New Roman" w:cs="Times New Roman"/>
          <w:noProof/>
          <w:szCs w:val="24"/>
        </w:rPr>
        <w:t>, (2024).</w:t>
      </w:r>
    </w:p>
    <w:p w14:paraId="2303F5AF"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98.</w:t>
      </w:r>
      <w:r w:rsidRPr="00614E13">
        <w:rPr>
          <w:rFonts w:ascii="Times New Roman" w:hAnsi="Times New Roman" w:cs="Times New Roman"/>
          <w:noProof/>
          <w:szCs w:val="24"/>
        </w:rPr>
        <w:tab/>
        <w:t xml:space="preserve">Bartz, M.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First experimental evaluation of the alpha efficiency in coarse-grained quartz for ESR dating purposes: implications for dose rate evaluation. </w:t>
      </w:r>
      <w:r w:rsidRPr="00614E13">
        <w:rPr>
          <w:rFonts w:ascii="Times New Roman" w:hAnsi="Times New Roman" w:cs="Times New Roman"/>
          <w:i/>
          <w:iCs/>
          <w:noProof/>
          <w:szCs w:val="24"/>
        </w:rPr>
        <w:t>Sci. Rep.</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9</w:t>
      </w:r>
      <w:r w:rsidRPr="00614E13">
        <w:rPr>
          <w:rFonts w:ascii="Times New Roman" w:hAnsi="Times New Roman" w:cs="Times New Roman"/>
          <w:noProof/>
          <w:szCs w:val="24"/>
        </w:rPr>
        <w:t>, (2019).</w:t>
      </w:r>
    </w:p>
    <w:p w14:paraId="69F4FC95"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99.</w:t>
      </w:r>
      <w:r w:rsidRPr="00614E13">
        <w:rPr>
          <w:rFonts w:ascii="Times New Roman" w:hAnsi="Times New Roman" w:cs="Times New Roman"/>
          <w:noProof/>
          <w:szCs w:val="24"/>
        </w:rPr>
        <w:tab/>
        <w:t xml:space="preserve">Durcan, J. A., King, G. E. &amp; Duller, G. A. T. DRAC: Dose Rate and Age Calculator for trapped charge dating. </w:t>
      </w:r>
      <w:r w:rsidRPr="00614E13">
        <w:rPr>
          <w:rFonts w:ascii="Times New Roman" w:hAnsi="Times New Roman" w:cs="Times New Roman"/>
          <w:i/>
          <w:iCs/>
          <w:noProof/>
          <w:szCs w:val="24"/>
        </w:rPr>
        <w:t>Quat. Geochronol.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28</w:t>
      </w:r>
      <w:r w:rsidRPr="00614E13">
        <w:rPr>
          <w:rFonts w:ascii="Times New Roman" w:hAnsi="Times New Roman" w:cs="Times New Roman"/>
          <w:noProof/>
          <w:szCs w:val="24"/>
        </w:rPr>
        <w:t>, 54–61 (2015).</w:t>
      </w:r>
    </w:p>
    <w:p w14:paraId="768AE14D"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100.</w:t>
      </w:r>
      <w:r w:rsidRPr="00614E13">
        <w:rPr>
          <w:rFonts w:ascii="Times New Roman" w:hAnsi="Times New Roman" w:cs="Times New Roman"/>
          <w:noProof/>
          <w:szCs w:val="24"/>
        </w:rPr>
        <w:tab/>
        <w:t xml:space="preserve">Prescott, J. R. &amp; Hutton, J. T. Cosmic ray and gamma ray dosimetry for TL and ESR. </w:t>
      </w:r>
      <w:r w:rsidRPr="00614E13">
        <w:rPr>
          <w:rFonts w:ascii="Times New Roman" w:hAnsi="Times New Roman" w:cs="Times New Roman"/>
          <w:i/>
          <w:iCs/>
          <w:noProof/>
          <w:szCs w:val="24"/>
        </w:rPr>
        <w:t>Int. J. Radiat. Appl. Instrumentation. Part D. Nucl. Tracks Radiat. Meas.</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14</w:t>
      </w:r>
      <w:r w:rsidRPr="00614E13">
        <w:rPr>
          <w:rFonts w:ascii="Times New Roman" w:hAnsi="Times New Roman" w:cs="Times New Roman"/>
          <w:noProof/>
          <w:szCs w:val="24"/>
        </w:rPr>
        <w:t>, 223–227 (1988).</w:t>
      </w:r>
    </w:p>
    <w:p w14:paraId="48F24CDF"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101.</w:t>
      </w:r>
      <w:r w:rsidRPr="00614E13">
        <w:rPr>
          <w:rFonts w:ascii="Times New Roman" w:hAnsi="Times New Roman" w:cs="Times New Roman"/>
          <w:noProof/>
          <w:szCs w:val="24"/>
        </w:rPr>
        <w:tab/>
        <w:t xml:space="preserve">Prescott, J. R. &amp; Hutton, J. T. Cosmic ray contributions to dose rates for luminescence and ESR dating: Large depths and long-term time variations. </w:t>
      </w:r>
      <w:r w:rsidRPr="00614E13">
        <w:rPr>
          <w:rFonts w:ascii="Times New Roman" w:hAnsi="Times New Roman" w:cs="Times New Roman"/>
          <w:i/>
          <w:iCs/>
          <w:noProof/>
          <w:szCs w:val="24"/>
        </w:rPr>
        <w:t>Radiat. Meas.</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23</w:t>
      </w:r>
      <w:r w:rsidRPr="00614E13">
        <w:rPr>
          <w:rFonts w:ascii="Times New Roman" w:hAnsi="Times New Roman" w:cs="Times New Roman"/>
          <w:noProof/>
          <w:szCs w:val="24"/>
        </w:rPr>
        <w:t>, 497–500 (1994).</w:t>
      </w:r>
    </w:p>
    <w:p w14:paraId="127BD145"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102.</w:t>
      </w:r>
      <w:r w:rsidRPr="00614E13">
        <w:rPr>
          <w:rFonts w:ascii="Times New Roman" w:hAnsi="Times New Roman" w:cs="Times New Roman"/>
          <w:noProof/>
          <w:szCs w:val="24"/>
        </w:rPr>
        <w:tab/>
        <w:t xml:space="preserve">Duval, M.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ESR dating of optically-bleached quartz grains: Evaluating measurement repeatability and reproducibility. </w:t>
      </w:r>
      <w:r w:rsidRPr="00614E13">
        <w:rPr>
          <w:rFonts w:ascii="Times New Roman" w:hAnsi="Times New Roman" w:cs="Times New Roman"/>
          <w:i/>
          <w:iCs/>
          <w:noProof/>
          <w:szCs w:val="24"/>
        </w:rPr>
        <w:t>Radiat. Phys. Chem.</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215</w:t>
      </w:r>
      <w:r w:rsidRPr="00614E13">
        <w:rPr>
          <w:rFonts w:ascii="Times New Roman" w:hAnsi="Times New Roman" w:cs="Times New Roman"/>
          <w:noProof/>
          <w:szCs w:val="24"/>
        </w:rPr>
        <w:t>, (2024).</w:t>
      </w:r>
    </w:p>
    <w:p w14:paraId="3317F7C5"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103.</w:t>
      </w:r>
      <w:r w:rsidRPr="00614E13">
        <w:rPr>
          <w:rFonts w:ascii="Times New Roman" w:hAnsi="Times New Roman" w:cs="Times New Roman"/>
          <w:noProof/>
          <w:szCs w:val="24"/>
        </w:rPr>
        <w:tab/>
        <w:t xml:space="preserve">Duval, M. &amp; Guilarte, V. ESR dosimetry of optically bleached quartz grains extracted from Plio-Quaternary sediment: Evaluating some key aspects of the ESR signals associated to the Ti-centers. </w:t>
      </w:r>
      <w:r w:rsidRPr="00614E13">
        <w:rPr>
          <w:rFonts w:ascii="Times New Roman" w:hAnsi="Times New Roman" w:cs="Times New Roman"/>
          <w:i/>
          <w:iCs/>
          <w:noProof/>
          <w:szCs w:val="24"/>
        </w:rPr>
        <w:t>Radiat. Meas.</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78</w:t>
      </w:r>
      <w:r w:rsidRPr="00614E13">
        <w:rPr>
          <w:rFonts w:ascii="Times New Roman" w:hAnsi="Times New Roman" w:cs="Times New Roman"/>
          <w:noProof/>
          <w:szCs w:val="24"/>
        </w:rPr>
        <w:t>, 28–41 (2015).</w:t>
      </w:r>
    </w:p>
    <w:p w14:paraId="398900C8"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104.</w:t>
      </w:r>
      <w:r w:rsidRPr="00614E13">
        <w:rPr>
          <w:rFonts w:ascii="Times New Roman" w:hAnsi="Times New Roman" w:cs="Times New Roman"/>
          <w:noProof/>
          <w:szCs w:val="24"/>
        </w:rPr>
        <w:tab/>
        <w:t xml:space="preserve">Duval, M., Arnold, L. J. &amp; Rixhon, G. Electron spin resonance (ESR) dating in Quaternary studies: evolution, recent advances and applications. </w:t>
      </w:r>
      <w:r w:rsidRPr="00614E13">
        <w:rPr>
          <w:rFonts w:ascii="Times New Roman" w:hAnsi="Times New Roman" w:cs="Times New Roman"/>
          <w:i/>
          <w:iCs/>
          <w:noProof/>
          <w:szCs w:val="24"/>
        </w:rPr>
        <w:t>Quaternary International</w:t>
      </w:r>
      <w:r w:rsidRPr="00614E13">
        <w:rPr>
          <w:rFonts w:ascii="Times New Roman" w:hAnsi="Times New Roman" w:cs="Times New Roman"/>
          <w:noProof/>
          <w:szCs w:val="24"/>
        </w:rPr>
        <w:t xml:space="preserve"> vol. 556 1–10 at https://doi.org/10.1016/j.quaint.2020.07.044 (2020).</w:t>
      </w:r>
    </w:p>
    <w:p w14:paraId="57EFC5AE"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105.</w:t>
      </w:r>
      <w:r w:rsidRPr="00614E13">
        <w:rPr>
          <w:rFonts w:ascii="Times New Roman" w:hAnsi="Times New Roman" w:cs="Times New Roman"/>
          <w:noProof/>
          <w:szCs w:val="24"/>
        </w:rPr>
        <w:tab/>
        <w:t xml:space="preserve">Bartz, M.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Successful combination of electron spin resonance, luminescence and palaeomagnetic dating methods allows reconstruction of the Pleistocene evolution of the lower Moulouya river (NE Morocco). </w:t>
      </w:r>
      <w:r w:rsidRPr="00614E13">
        <w:rPr>
          <w:rFonts w:ascii="Times New Roman" w:hAnsi="Times New Roman" w:cs="Times New Roman"/>
          <w:i/>
          <w:iCs/>
          <w:noProof/>
          <w:szCs w:val="24"/>
        </w:rPr>
        <w:t>Quat. Sci. Rev.</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185</w:t>
      </w:r>
      <w:r w:rsidRPr="00614E13">
        <w:rPr>
          <w:rFonts w:ascii="Times New Roman" w:hAnsi="Times New Roman" w:cs="Times New Roman"/>
          <w:noProof/>
          <w:szCs w:val="24"/>
        </w:rPr>
        <w:t>, 153–171 (2018).</w:t>
      </w:r>
    </w:p>
    <w:p w14:paraId="247F99ED"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106.</w:t>
      </w:r>
      <w:r w:rsidRPr="00614E13">
        <w:rPr>
          <w:rFonts w:ascii="Times New Roman" w:hAnsi="Times New Roman" w:cs="Times New Roman"/>
          <w:noProof/>
          <w:szCs w:val="24"/>
        </w:rPr>
        <w:tab/>
        <w:t xml:space="preserve">Méndez-Quintas, E.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First evidence of an extensive Acheulean large cutting tool accumulation in Europe from Porto Maior (Galicia, Spain). </w:t>
      </w:r>
      <w:r w:rsidRPr="00614E13">
        <w:rPr>
          <w:rFonts w:ascii="Times New Roman" w:hAnsi="Times New Roman" w:cs="Times New Roman"/>
          <w:i/>
          <w:iCs/>
          <w:noProof/>
          <w:szCs w:val="24"/>
        </w:rPr>
        <w:t>Sci. Rep.</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8</w:t>
      </w:r>
      <w:r w:rsidRPr="00614E13">
        <w:rPr>
          <w:rFonts w:ascii="Times New Roman" w:hAnsi="Times New Roman" w:cs="Times New Roman"/>
          <w:noProof/>
          <w:szCs w:val="24"/>
        </w:rPr>
        <w:t>, (2018).</w:t>
      </w:r>
    </w:p>
    <w:p w14:paraId="4E40DA49"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107.</w:t>
      </w:r>
      <w:r w:rsidRPr="00614E13">
        <w:rPr>
          <w:rFonts w:ascii="Times New Roman" w:hAnsi="Times New Roman" w:cs="Times New Roman"/>
          <w:noProof/>
          <w:szCs w:val="24"/>
        </w:rPr>
        <w:tab/>
        <w:t xml:space="preserve">Ben Arous, E., Bateman, M. D. &amp; Duval, M. Extending the ESR and OSL dating comparison on coastal dune deposits from the Wilderness-Knysna area (South Africa). </w:t>
      </w:r>
      <w:r w:rsidRPr="00614E13">
        <w:rPr>
          <w:rFonts w:ascii="Times New Roman" w:hAnsi="Times New Roman" w:cs="Times New Roman"/>
          <w:i/>
          <w:iCs/>
          <w:noProof/>
          <w:szCs w:val="24"/>
        </w:rPr>
        <w:t>Quat. Geochronol.</w:t>
      </w:r>
      <w:r w:rsidRPr="00614E13">
        <w:rPr>
          <w:rFonts w:ascii="Times New Roman" w:hAnsi="Times New Roman" w:cs="Times New Roman"/>
          <w:noProof/>
          <w:szCs w:val="24"/>
        </w:rPr>
        <w:t xml:space="preserve"> 101580 (2024) doi:10.1016/J.QUAGEO.2024.101580.</w:t>
      </w:r>
    </w:p>
    <w:p w14:paraId="2902FD69"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108.</w:t>
      </w:r>
      <w:r w:rsidRPr="00614E13">
        <w:rPr>
          <w:rFonts w:ascii="Times New Roman" w:hAnsi="Times New Roman" w:cs="Times New Roman"/>
          <w:noProof/>
          <w:szCs w:val="24"/>
        </w:rPr>
        <w:tab/>
        <w:t xml:space="preserve">Duval, M.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Electron spin resonance dating of optically bleached quartz grains from the Middle Palaeolithic site of Cuesta de la Bajada (Spain) using the multiple centres approach. </w:t>
      </w:r>
      <w:r w:rsidRPr="00614E13">
        <w:rPr>
          <w:rFonts w:ascii="Times New Roman" w:hAnsi="Times New Roman" w:cs="Times New Roman"/>
          <w:i/>
          <w:iCs/>
          <w:noProof/>
          <w:szCs w:val="24"/>
        </w:rPr>
        <w:t>Quat. Geochronol.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37</w:t>
      </w:r>
      <w:r w:rsidRPr="00614E13">
        <w:rPr>
          <w:rFonts w:ascii="Times New Roman" w:hAnsi="Times New Roman" w:cs="Times New Roman"/>
          <w:noProof/>
          <w:szCs w:val="24"/>
        </w:rPr>
        <w:t>, 82–96 (2017).</w:t>
      </w:r>
    </w:p>
    <w:p w14:paraId="72C06548"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109.</w:t>
      </w:r>
      <w:r w:rsidRPr="00614E13">
        <w:rPr>
          <w:rFonts w:ascii="Times New Roman" w:hAnsi="Times New Roman" w:cs="Times New Roman"/>
          <w:noProof/>
          <w:szCs w:val="24"/>
        </w:rPr>
        <w:tab/>
        <w:t xml:space="preserve">Bartz, M.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Testing the potential of K-feldspar pIR-IRSL and quartz ESR for dating coastal alluvial fan complexes in arid environments. </w:t>
      </w:r>
      <w:r w:rsidRPr="00614E13">
        <w:rPr>
          <w:rFonts w:ascii="Times New Roman" w:hAnsi="Times New Roman" w:cs="Times New Roman"/>
          <w:i/>
          <w:iCs/>
          <w:noProof/>
          <w:szCs w:val="24"/>
        </w:rPr>
        <w:t>Quat. Int.</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556</w:t>
      </w:r>
      <w:r w:rsidRPr="00614E13">
        <w:rPr>
          <w:rFonts w:ascii="Times New Roman" w:hAnsi="Times New Roman" w:cs="Times New Roman"/>
          <w:noProof/>
          <w:szCs w:val="24"/>
        </w:rPr>
        <w:t>, 124–143 (2020).</w:t>
      </w:r>
    </w:p>
    <w:p w14:paraId="59FA6794"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110.</w:t>
      </w:r>
      <w:r w:rsidRPr="00614E13">
        <w:rPr>
          <w:rFonts w:ascii="Times New Roman" w:hAnsi="Times New Roman" w:cs="Times New Roman"/>
          <w:noProof/>
          <w:szCs w:val="24"/>
        </w:rPr>
        <w:tab/>
        <w:t xml:space="preserve">Hoaglin, D. C., Mosteller, F. &amp; Tukey, J. W. </w:t>
      </w:r>
      <w:r w:rsidRPr="00614E13">
        <w:rPr>
          <w:rFonts w:ascii="Times New Roman" w:hAnsi="Times New Roman" w:cs="Times New Roman"/>
          <w:i/>
          <w:iCs/>
          <w:noProof/>
          <w:szCs w:val="24"/>
        </w:rPr>
        <w:t>Understanding robust and exploratory data analysis</w:t>
      </w:r>
      <w:r w:rsidRPr="00614E13">
        <w:rPr>
          <w:rFonts w:ascii="Times New Roman" w:hAnsi="Times New Roman" w:cs="Times New Roman"/>
          <w:noProof/>
          <w:szCs w:val="24"/>
        </w:rPr>
        <w:t>. (Wiley, 1983).</w:t>
      </w:r>
    </w:p>
    <w:p w14:paraId="76646C4F"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111.</w:t>
      </w:r>
      <w:r w:rsidRPr="00614E13">
        <w:rPr>
          <w:rFonts w:ascii="Times New Roman" w:hAnsi="Times New Roman" w:cs="Times New Roman"/>
          <w:noProof/>
          <w:szCs w:val="24"/>
        </w:rPr>
        <w:tab/>
        <w:t xml:space="preserve">Boulter, C., Bateman, M. D. &amp; Frederick, C. D. Understanding geomorphic responses to environmental change: a 19 000-year case study from semi-arid central Texas, USA. </w:t>
      </w:r>
      <w:r w:rsidRPr="00614E13">
        <w:rPr>
          <w:rFonts w:ascii="Times New Roman" w:hAnsi="Times New Roman" w:cs="Times New Roman"/>
          <w:i/>
          <w:iCs/>
          <w:noProof/>
          <w:szCs w:val="24"/>
        </w:rPr>
        <w:t>J. Quat. Sci.</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25</w:t>
      </w:r>
      <w:r w:rsidRPr="00614E13">
        <w:rPr>
          <w:rFonts w:ascii="Times New Roman" w:hAnsi="Times New Roman" w:cs="Times New Roman"/>
          <w:noProof/>
          <w:szCs w:val="24"/>
        </w:rPr>
        <w:t>, 889–902 (2010).</w:t>
      </w:r>
    </w:p>
    <w:p w14:paraId="059C00D9"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112.</w:t>
      </w:r>
      <w:r w:rsidRPr="00614E13">
        <w:rPr>
          <w:rFonts w:ascii="Times New Roman" w:hAnsi="Times New Roman" w:cs="Times New Roman"/>
          <w:noProof/>
          <w:szCs w:val="24"/>
        </w:rPr>
        <w:tab/>
        <w:t xml:space="preserve">Galbraith, R. F., Roberts, R. G., Laslett, G. M., Yoshida, H. &amp; Olley, J. M. Optical dating of single and multiple grains of quartz from Jinmuim rockshelter, northern Australia : Part I, experimental design and statistical models. </w:t>
      </w:r>
      <w:r w:rsidRPr="00614E13">
        <w:rPr>
          <w:rFonts w:ascii="Times New Roman" w:hAnsi="Times New Roman" w:cs="Times New Roman"/>
          <w:i/>
          <w:iCs/>
          <w:noProof/>
          <w:szCs w:val="24"/>
        </w:rPr>
        <w:t>Archaeometry</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41</w:t>
      </w:r>
      <w:r w:rsidRPr="00614E13">
        <w:rPr>
          <w:rFonts w:ascii="Times New Roman" w:hAnsi="Times New Roman" w:cs="Times New Roman"/>
          <w:noProof/>
          <w:szCs w:val="24"/>
        </w:rPr>
        <w:t>, 339–364 (1999).</w:t>
      </w:r>
    </w:p>
    <w:p w14:paraId="4CD938E8"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113.</w:t>
      </w:r>
      <w:r w:rsidRPr="00614E13">
        <w:rPr>
          <w:rFonts w:ascii="Times New Roman" w:hAnsi="Times New Roman" w:cs="Times New Roman"/>
          <w:noProof/>
          <w:szCs w:val="24"/>
        </w:rPr>
        <w:tab/>
        <w:t xml:space="preserve">Roberts, R. G., Galbraith, R. F., Yoshida, H., Laslett, G. M. &amp; Olley, J. M. Distinguishing dose populations in sediment mixtures: A test of single-grain optical dating procedures using mixtures of laboratory-dosed quartz. </w:t>
      </w:r>
      <w:r w:rsidRPr="00614E13">
        <w:rPr>
          <w:rFonts w:ascii="Times New Roman" w:hAnsi="Times New Roman" w:cs="Times New Roman"/>
          <w:i/>
          <w:iCs/>
          <w:noProof/>
          <w:szCs w:val="24"/>
        </w:rPr>
        <w:t>Radiat. Meas.</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32</w:t>
      </w:r>
      <w:r w:rsidRPr="00614E13">
        <w:rPr>
          <w:rFonts w:ascii="Times New Roman" w:hAnsi="Times New Roman" w:cs="Times New Roman"/>
          <w:noProof/>
          <w:szCs w:val="24"/>
        </w:rPr>
        <w:t>, 459–465 (2000).</w:t>
      </w:r>
    </w:p>
    <w:p w14:paraId="4468FF56"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114.</w:t>
      </w:r>
      <w:r w:rsidRPr="00614E13">
        <w:rPr>
          <w:rFonts w:ascii="Times New Roman" w:hAnsi="Times New Roman" w:cs="Times New Roman"/>
          <w:noProof/>
          <w:szCs w:val="24"/>
        </w:rPr>
        <w:tab/>
        <w:t>Boulter, C. H. Reconstructing the palaeoenvironmental dynamics of East Central Texas since the Last Glacial Maximum. Unpublished PhD Thesis. (University of Sheffield, 2007).</w:t>
      </w:r>
    </w:p>
    <w:p w14:paraId="0B186508"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115.</w:t>
      </w:r>
      <w:r w:rsidRPr="00614E13">
        <w:rPr>
          <w:rFonts w:ascii="Times New Roman" w:hAnsi="Times New Roman" w:cs="Times New Roman"/>
          <w:noProof/>
          <w:szCs w:val="24"/>
        </w:rPr>
        <w:tab/>
        <w:t xml:space="preserve">Arnold, L. J.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OSL dating of individual quartz ‘supergrains’ from the Ancient Middle Palaeolithic site of Cuesta de la Bajada, Spain. </w:t>
      </w:r>
      <w:r w:rsidRPr="00614E13">
        <w:rPr>
          <w:rFonts w:ascii="Times New Roman" w:hAnsi="Times New Roman" w:cs="Times New Roman"/>
          <w:i/>
          <w:iCs/>
          <w:noProof/>
          <w:szCs w:val="24"/>
        </w:rPr>
        <w:t>Quat. Geochronol.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36</w:t>
      </w:r>
      <w:r w:rsidRPr="00614E13">
        <w:rPr>
          <w:rFonts w:ascii="Times New Roman" w:hAnsi="Times New Roman" w:cs="Times New Roman"/>
          <w:noProof/>
          <w:szCs w:val="24"/>
        </w:rPr>
        <w:t>, 78–101 (2016).</w:t>
      </w:r>
    </w:p>
    <w:p w14:paraId="41E88EC4"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116.</w:t>
      </w:r>
      <w:r w:rsidRPr="00614E13">
        <w:rPr>
          <w:rFonts w:ascii="Times New Roman" w:hAnsi="Times New Roman" w:cs="Times New Roman"/>
          <w:noProof/>
          <w:szCs w:val="24"/>
        </w:rPr>
        <w:tab/>
        <w:t xml:space="preserve">Galbraith, R. F. &amp; Roberts, R. G. Statistical aspects of equivalent dose and error calculation and display in OSL dating: An overview and some recommendations. </w:t>
      </w:r>
      <w:r w:rsidRPr="00614E13">
        <w:rPr>
          <w:rFonts w:ascii="Times New Roman" w:hAnsi="Times New Roman" w:cs="Times New Roman"/>
          <w:i/>
          <w:iCs/>
          <w:noProof/>
          <w:szCs w:val="24"/>
        </w:rPr>
        <w:t>Quat. Geochronol.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11</w:t>
      </w:r>
      <w:r w:rsidRPr="00614E13">
        <w:rPr>
          <w:rFonts w:ascii="Times New Roman" w:hAnsi="Times New Roman" w:cs="Times New Roman"/>
          <w:noProof/>
          <w:szCs w:val="24"/>
        </w:rPr>
        <w:t>, 1–27 (2012).</w:t>
      </w:r>
    </w:p>
    <w:p w14:paraId="11B9CB26"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117.</w:t>
      </w:r>
      <w:r w:rsidRPr="00614E13">
        <w:rPr>
          <w:rFonts w:ascii="Times New Roman" w:hAnsi="Times New Roman" w:cs="Times New Roman"/>
          <w:noProof/>
          <w:szCs w:val="24"/>
        </w:rPr>
        <w:tab/>
        <w:t xml:space="preserve">Rommerskirchen, F., Plader, A., Eglinton, G., Chikaraishi, Y. &amp; Rullkötter, J. Chemotaxonomic significance of distribution and stable carbon isotopic composition of long-chain alkanes and </w:t>
      </w:r>
      <w:r w:rsidRPr="00614E13">
        <w:rPr>
          <w:rFonts w:ascii="Times New Roman" w:hAnsi="Times New Roman" w:cs="Times New Roman"/>
          <w:noProof/>
          <w:szCs w:val="24"/>
        </w:rPr>
        <w:lastRenderedPageBreak/>
        <w:t xml:space="preserve">alkan-1-ols in C4 grass waxes. </w:t>
      </w:r>
      <w:r w:rsidRPr="00614E13">
        <w:rPr>
          <w:rFonts w:ascii="Times New Roman" w:hAnsi="Times New Roman" w:cs="Times New Roman"/>
          <w:i/>
          <w:iCs/>
          <w:noProof/>
          <w:szCs w:val="24"/>
        </w:rPr>
        <w:t>Org. Geochem.</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37</w:t>
      </w:r>
      <w:r w:rsidRPr="00614E13">
        <w:rPr>
          <w:rFonts w:ascii="Times New Roman" w:hAnsi="Times New Roman" w:cs="Times New Roman"/>
          <w:noProof/>
          <w:szCs w:val="24"/>
        </w:rPr>
        <w:t>, 1303–1332 (2006).</w:t>
      </w:r>
    </w:p>
    <w:p w14:paraId="1FB33165"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118.</w:t>
      </w:r>
      <w:r w:rsidRPr="00614E13">
        <w:rPr>
          <w:rFonts w:ascii="Times New Roman" w:hAnsi="Times New Roman" w:cs="Times New Roman"/>
          <w:noProof/>
          <w:szCs w:val="24"/>
        </w:rPr>
        <w:tab/>
        <w:t xml:space="preserve">Dodd, R. S. &amp; Poveda, M. M. Environmental gradients and population divergence contribute to variation in cuticular wax composition in Juniperus communis. </w:t>
      </w:r>
      <w:r w:rsidRPr="00614E13">
        <w:rPr>
          <w:rFonts w:ascii="Times New Roman" w:hAnsi="Times New Roman" w:cs="Times New Roman"/>
          <w:i/>
          <w:iCs/>
          <w:noProof/>
          <w:szCs w:val="24"/>
        </w:rPr>
        <w:t>Biochem. Syst. Ecol.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11</w:t>
      </w:r>
      <w:r w:rsidRPr="00614E13">
        <w:rPr>
          <w:rFonts w:ascii="Times New Roman" w:hAnsi="Times New Roman" w:cs="Times New Roman"/>
          <w:noProof/>
          <w:szCs w:val="24"/>
        </w:rPr>
        <w:t>, 1257–1270 (2003).</w:t>
      </w:r>
    </w:p>
    <w:p w14:paraId="387AB932"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119.</w:t>
      </w:r>
      <w:r w:rsidRPr="00614E13">
        <w:rPr>
          <w:rFonts w:ascii="Times New Roman" w:hAnsi="Times New Roman" w:cs="Times New Roman"/>
          <w:noProof/>
          <w:szCs w:val="24"/>
        </w:rPr>
        <w:tab/>
        <w:t xml:space="preserve">Bush, R. T. &amp; McInerney, F. A. Influence of temperature and C4 abundance on n-alkane chain length distributions across the central USA. </w:t>
      </w:r>
      <w:r w:rsidRPr="00614E13">
        <w:rPr>
          <w:rFonts w:ascii="Times New Roman" w:hAnsi="Times New Roman" w:cs="Times New Roman"/>
          <w:i/>
          <w:iCs/>
          <w:noProof/>
          <w:szCs w:val="24"/>
        </w:rPr>
        <w:t>Org. Geochem.</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79</w:t>
      </w:r>
      <w:r w:rsidRPr="00614E13">
        <w:rPr>
          <w:rFonts w:ascii="Times New Roman" w:hAnsi="Times New Roman" w:cs="Times New Roman"/>
          <w:noProof/>
          <w:szCs w:val="24"/>
        </w:rPr>
        <w:t>, 65–73 (2015).</w:t>
      </w:r>
    </w:p>
    <w:p w14:paraId="571F9445"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120.</w:t>
      </w:r>
      <w:r w:rsidRPr="00614E13">
        <w:rPr>
          <w:rFonts w:ascii="Times New Roman" w:hAnsi="Times New Roman" w:cs="Times New Roman"/>
          <w:noProof/>
          <w:szCs w:val="24"/>
        </w:rPr>
        <w:tab/>
        <w:t xml:space="preserve">Tipple, B. J. &amp; Pagani, M. Environmental control on eastern broadleaf forest species’ leaf wax distributions and d/h ratios. </w:t>
      </w:r>
      <w:r w:rsidRPr="00614E13">
        <w:rPr>
          <w:rFonts w:ascii="Times New Roman" w:hAnsi="Times New Roman" w:cs="Times New Roman"/>
          <w:i/>
          <w:iCs/>
          <w:noProof/>
          <w:szCs w:val="24"/>
        </w:rPr>
        <w:t>Geochim. Cosmochim. Acta</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111</w:t>
      </w:r>
      <w:r w:rsidRPr="00614E13">
        <w:rPr>
          <w:rFonts w:ascii="Times New Roman" w:hAnsi="Times New Roman" w:cs="Times New Roman"/>
          <w:noProof/>
          <w:szCs w:val="24"/>
        </w:rPr>
        <w:t>, 64–77 (2013).</w:t>
      </w:r>
    </w:p>
    <w:p w14:paraId="7188047D"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121.</w:t>
      </w:r>
      <w:r w:rsidRPr="00614E13">
        <w:rPr>
          <w:rFonts w:ascii="Times New Roman" w:hAnsi="Times New Roman" w:cs="Times New Roman"/>
          <w:noProof/>
          <w:szCs w:val="24"/>
        </w:rPr>
        <w:tab/>
        <w:t xml:space="preserve">Bush, R. T. &amp; McInerney, F. A. Leaf wax n-alkane distributions in and across modern plants: Implications for paleoecology and chemotaxonomy. </w:t>
      </w:r>
      <w:r w:rsidRPr="00614E13">
        <w:rPr>
          <w:rFonts w:ascii="Times New Roman" w:hAnsi="Times New Roman" w:cs="Times New Roman"/>
          <w:i/>
          <w:iCs/>
          <w:noProof/>
          <w:szCs w:val="24"/>
        </w:rPr>
        <w:t>Geochim. Cosmochim. Acta</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117</w:t>
      </w:r>
      <w:r w:rsidRPr="00614E13">
        <w:rPr>
          <w:rFonts w:ascii="Times New Roman" w:hAnsi="Times New Roman" w:cs="Times New Roman"/>
          <w:noProof/>
          <w:szCs w:val="24"/>
        </w:rPr>
        <w:t>, 161–179 (2013).</w:t>
      </w:r>
    </w:p>
    <w:p w14:paraId="0A211F0F"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122.</w:t>
      </w:r>
      <w:r w:rsidRPr="00614E13">
        <w:rPr>
          <w:rFonts w:ascii="Times New Roman" w:hAnsi="Times New Roman" w:cs="Times New Roman"/>
          <w:noProof/>
          <w:szCs w:val="24"/>
        </w:rPr>
        <w:tab/>
        <w:t xml:space="preserve">Diefendorf, A. F., Freeman, K. H., Wing, S. L. &amp; Graham, H. V. Production of n-alkyl lipids in living plants and implications for the geologic past. </w:t>
      </w:r>
      <w:r w:rsidRPr="00614E13">
        <w:rPr>
          <w:rFonts w:ascii="Times New Roman" w:hAnsi="Times New Roman" w:cs="Times New Roman"/>
          <w:i/>
          <w:iCs/>
          <w:noProof/>
          <w:szCs w:val="24"/>
        </w:rPr>
        <w:t>Geochim. Cosmochim. Acta</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75</w:t>
      </w:r>
      <w:r w:rsidRPr="00614E13">
        <w:rPr>
          <w:rFonts w:ascii="Times New Roman" w:hAnsi="Times New Roman" w:cs="Times New Roman"/>
          <w:noProof/>
          <w:szCs w:val="24"/>
        </w:rPr>
        <w:t>, 7472–7485 (2011).</w:t>
      </w:r>
    </w:p>
    <w:p w14:paraId="33B12870"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123.</w:t>
      </w:r>
      <w:r w:rsidRPr="00614E13">
        <w:rPr>
          <w:rFonts w:ascii="Times New Roman" w:hAnsi="Times New Roman" w:cs="Times New Roman"/>
          <w:noProof/>
          <w:szCs w:val="24"/>
        </w:rPr>
        <w:tab/>
        <w:t xml:space="preserve">Jaeschke, A.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Influence of land use on distribution of soil n-alkane δD and brGDGTs along an altitudinal transect in Ethiopia: Implications for (paleo)environmental studies. </w:t>
      </w:r>
      <w:r w:rsidRPr="00614E13">
        <w:rPr>
          <w:rFonts w:ascii="Times New Roman" w:hAnsi="Times New Roman" w:cs="Times New Roman"/>
          <w:i/>
          <w:iCs/>
          <w:noProof/>
          <w:szCs w:val="24"/>
        </w:rPr>
        <w:t>Org. Geochem.</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124</w:t>
      </w:r>
      <w:r w:rsidRPr="00614E13">
        <w:rPr>
          <w:rFonts w:ascii="Times New Roman" w:hAnsi="Times New Roman" w:cs="Times New Roman"/>
          <w:noProof/>
          <w:szCs w:val="24"/>
        </w:rPr>
        <w:t>, 77–87 (2018).</w:t>
      </w:r>
    </w:p>
    <w:p w14:paraId="2E692E0D"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124.</w:t>
      </w:r>
      <w:r w:rsidRPr="00614E13">
        <w:rPr>
          <w:rFonts w:ascii="Times New Roman" w:hAnsi="Times New Roman" w:cs="Times New Roman"/>
          <w:noProof/>
          <w:szCs w:val="24"/>
        </w:rPr>
        <w:tab/>
        <w:t xml:space="preserve">Castañeda, I. S. &amp; Schouten, S. A review of molecular organic proxies for examining modern and ancient lacustrine environments. </w:t>
      </w:r>
      <w:r w:rsidRPr="00614E13">
        <w:rPr>
          <w:rFonts w:ascii="Times New Roman" w:hAnsi="Times New Roman" w:cs="Times New Roman"/>
          <w:i/>
          <w:iCs/>
          <w:noProof/>
          <w:szCs w:val="24"/>
        </w:rPr>
        <w:t>QSRv</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30</w:t>
      </w:r>
      <w:r w:rsidRPr="00614E13">
        <w:rPr>
          <w:rFonts w:ascii="Times New Roman" w:hAnsi="Times New Roman" w:cs="Times New Roman"/>
          <w:noProof/>
          <w:szCs w:val="24"/>
        </w:rPr>
        <w:t>, 2851–2891 (2011).</w:t>
      </w:r>
    </w:p>
    <w:p w14:paraId="141868A4"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125.</w:t>
      </w:r>
      <w:r w:rsidRPr="00614E13">
        <w:rPr>
          <w:rFonts w:ascii="Times New Roman" w:hAnsi="Times New Roman" w:cs="Times New Roman"/>
          <w:noProof/>
          <w:szCs w:val="24"/>
        </w:rPr>
        <w:tab/>
        <w:t xml:space="preserve">Bray, E. E. &amp; Evans, E. D. Distribution of n -paraffins as a clue to recognition of source beds. </w:t>
      </w:r>
      <w:r w:rsidRPr="00614E13">
        <w:rPr>
          <w:rFonts w:ascii="Times New Roman" w:hAnsi="Times New Roman" w:cs="Times New Roman"/>
          <w:i/>
          <w:iCs/>
          <w:noProof/>
          <w:szCs w:val="24"/>
        </w:rPr>
        <w:t>GeCoA</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22</w:t>
      </w:r>
      <w:r w:rsidRPr="00614E13">
        <w:rPr>
          <w:rFonts w:ascii="Times New Roman" w:hAnsi="Times New Roman" w:cs="Times New Roman"/>
          <w:noProof/>
          <w:szCs w:val="24"/>
        </w:rPr>
        <w:t>, 2–15 (1961).</w:t>
      </w:r>
    </w:p>
    <w:p w14:paraId="07730CBC"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126.</w:t>
      </w:r>
      <w:r w:rsidRPr="00614E13">
        <w:rPr>
          <w:rFonts w:ascii="Times New Roman" w:hAnsi="Times New Roman" w:cs="Times New Roman"/>
          <w:noProof/>
          <w:szCs w:val="24"/>
        </w:rPr>
        <w:tab/>
        <w:t xml:space="preserve">Duan, Y. &amp; He, J. Distribution and isotopic composition of n-alkanes from grass, reed and tree leaves along a latitudinal gradient in China. </w:t>
      </w:r>
      <w:r w:rsidRPr="00614E13">
        <w:rPr>
          <w:rFonts w:ascii="Times New Roman" w:hAnsi="Times New Roman" w:cs="Times New Roman"/>
          <w:i/>
          <w:iCs/>
          <w:noProof/>
          <w:szCs w:val="24"/>
        </w:rPr>
        <w:t>Geochem. J.</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45</w:t>
      </w:r>
      <w:r w:rsidRPr="00614E13">
        <w:rPr>
          <w:rFonts w:ascii="Times New Roman" w:hAnsi="Times New Roman" w:cs="Times New Roman"/>
          <w:noProof/>
          <w:szCs w:val="24"/>
        </w:rPr>
        <w:t>, 199–207 (2011).</w:t>
      </w:r>
    </w:p>
    <w:p w14:paraId="63BC41C4"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127.</w:t>
      </w:r>
      <w:r w:rsidRPr="00614E13">
        <w:rPr>
          <w:rFonts w:ascii="Times New Roman" w:hAnsi="Times New Roman" w:cs="Times New Roman"/>
          <w:noProof/>
          <w:szCs w:val="24"/>
        </w:rPr>
        <w:tab/>
        <w:t xml:space="preserve">Ficken, K. J., Li, B., Swain, D. L. &amp; Eglinton, G. An n-alkane proxy for the sedimentary input of submerged/floating freshwater aquatic macrophytes. </w:t>
      </w:r>
      <w:r w:rsidRPr="00614E13">
        <w:rPr>
          <w:rFonts w:ascii="Times New Roman" w:hAnsi="Times New Roman" w:cs="Times New Roman"/>
          <w:i/>
          <w:iCs/>
          <w:noProof/>
          <w:szCs w:val="24"/>
        </w:rPr>
        <w:t>Org. Geochem.</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31</w:t>
      </w:r>
      <w:r w:rsidRPr="00614E13">
        <w:rPr>
          <w:rFonts w:ascii="Times New Roman" w:hAnsi="Times New Roman" w:cs="Times New Roman"/>
          <w:noProof/>
          <w:szCs w:val="24"/>
        </w:rPr>
        <w:t>, 745–749 (2000).</w:t>
      </w:r>
    </w:p>
    <w:p w14:paraId="4833E241"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128.</w:t>
      </w:r>
      <w:r w:rsidRPr="00614E13">
        <w:rPr>
          <w:rFonts w:ascii="Times New Roman" w:hAnsi="Times New Roman" w:cs="Times New Roman"/>
          <w:noProof/>
          <w:szCs w:val="24"/>
        </w:rPr>
        <w:tab/>
        <w:t xml:space="preserve">Liu, H. &amp; Liu, W. Concentration and distributions of fatty acids in algae, submerged plants and terrestrial plants from the northeastern Tibetan Plateau. </w:t>
      </w:r>
      <w:r w:rsidRPr="00614E13">
        <w:rPr>
          <w:rFonts w:ascii="Times New Roman" w:hAnsi="Times New Roman" w:cs="Times New Roman"/>
          <w:i/>
          <w:iCs/>
          <w:noProof/>
          <w:szCs w:val="24"/>
        </w:rPr>
        <w:t>Org. Geochem.</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113</w:t>
      </w:r>
      <w:r w:rsidRPr="00614E13">
        <w:rPr>
          <w:rFonts w:ascii="Times New Roman" w:hAnsi="Times New Roman" w:cs="Times New Roman"/>
          <w:noProof/>
          <w:szCs w:val="24"/>
        </w:rPr>
        <w:t>, 17–26 (2017).</w:t>
      </w:r>
    </w:p>
    <w:p w14:paraId="097BC097"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129.</w:t>
      </w:r>
      <w:r w:rsidRPr="00614E13">
        <w:rPr>
          <w:rFonts w:ascii="Times New Roman" w:hAnsi="Times New Roman" w:cs="Times New Roman"/>
          <w:noProof/>
          <w:szCs w:val="24"/>
        </w:rPr>
        <w:tab/>
        <w:t xml:space="preserve">Patalano, R., Roberts, P., Boivin, N., Petraglia, M. D. &amp; Mercader, J. Plant wax biomarkers in human evolutionary studies. </w:t>
      </w:r>
      <w:r w:rsidRPr="00614E13">
        <w:rPr>
          <w:rFonts w:ascii="Times New Roman" w:hAnsi="Times New Roman" w:cs="Times New Roman"/>
          <w:i/>
          <w:iCs/>
          <w:noProof/>
          <w:szCs w:val="24"/>
        </w:rPr>
        <w:t>Evol. Anthropol. Issues, News, Rev.</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30</w:t>
      </w:r>
      <w:r w:rsidRPr="00614E13">
        <w:rPr>
          <w:rFonts w:ascii="Times New Roman" w:hAnsi="Times New Roman" w:cs="Times New Roman"/>
          <w:noProof/>
          <w:szCs w:val="24"/>
        </w:rPr>
        <w:t>, 385–398 (2021).</w:t>
      </w:r>
    </w:p>
    <w:p w14:paraId="6B9826B0"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130.</w:t>
      </w:r>
      <w:r w:rsidRPr="00614E13">
        <w:rPr>
          <w:rFonts w:ascii="Times New Roman" w:hAnsi="Times New Roman" w:cs="Times New Roman"/>
          <w:noProof/>
          <w:szCs w:val="24"/>
        </w:rPr>
        <w:tab/>
        <w:t xml:space="preserve">Caratini, C. &amp; Guinet, P. Pollen et Spores d ’ Afrique tropicale. </w:t>
      </w:r>
      <w:r w:rsidRPr="00614E13">
        <w:rPr>
          <w:rFonts w:ascii="Times New Roman" w:hAnsi="Times New Roman" w:cs="Times New Roman"/>
          <w:i/>
          <w:iCs/>
          <w:noProof/>
          <w:szCs w:val="24"/>
        </w:rPr>
        <w:t>Assoc. des Palynol. Lang. Fr.</w:t>
      </w:r>
      <w:r w:rsidRPr="00614E13">
        <w:rPr>
          <w:rFonts w:ascii="Times New Roman" w:hAnsi="Times New Roman" w:cs="Times New Roman"/>
          <w:noProof/>
          <w:szCs w:val="24"/>
        </w:rPr>
        <w:t xml:space="preserve"> (1974).</w:t>
      </w:r>
    </w:p>
    <w:p w14:paraId="471112DE"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131.</w:t>
      </w:r>
      <w:r w:rsidRPr="00614E13">
        <w:rPr>
          <w:rFonts w:ascii="Times New Roman" w:hAnsi="Times New Roman" w:cs="Times New Roman"/>
          <w:noProof/>
          <w:szCs w:val="24"/>
        </w:rPr>
        <w:tab/>
        <w:t xml:space="preserve">Ybert, J. . </w:t>
      </w:r>
      <w:r w:rsidRPr="00614E13">
        <w:rPr>
          <w:rFonts w:ascii="Times New Roman" w:hAnsi="Times New Roman" w:cs="Times New Roman"/>
          <w:i/>
          <w:iCs/>
          <w:noProof/>
          <w:szCs w:val="24"/>
        </w:rPr>
        <w:t>Atlas de pollens de cote d’Ivoire</w:t>
      </w:r>
      <w:r w:rsidRPr="00614E13">
        <w:rPr>
          <w:rFonts w:ascii="Times New Roman" w:hAnsi="Times New Roman" w:cs="Times New Roman"/>
          <w:noProof/>
          <w:szCs w:val="24"/>
        </w:rPr>
        <w:t>. (1979).</w:t>
      </w:r>
    </w:p>
    <w:p w14:paraId="750D9BE6"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132.</w:t>
      </w:r>
      <w:r w:rsidRPr="00614E13">
        <w:rPr>
          <w:rFonts w:ascii="Times New Roman" w:hAnsi="Times New Roman" w:cs="Times New Roman"/>
          <w:noProof/>
          <w:szCs w:val="24"/>
        </w:rPr>
        <w:tab/>
        <w:t xml:space="preserve">Gosling, W. D., Miller, C. S. &amp; Livingstone, D. A. Atlas of the tropical West African pollen flora. </w:t>
      </w:r>
      <w:r w:rsidRPr="00614E13">
        <w:rPr>
          <w:rFonts w:ascii="Times New Roman" w:hAnsi="Times New Roman" w:cs="Times New Roman"/>
          <w:i/>
          <w:iCs/>
          <w:noProof/>
          <w:szCs w:val="24"/>
        </w:rPr>
        <w:t>Rev. Palaeobot. Palynol.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199</w:t>
      </w:r>
      <w:r w:rsidRPr="00614E13">
        <w:rPr>
          <w:rFonts w:ascii="Times New Roman" w:hAnsi="Times New Roman" w:cs="Times New Roman"/>
          <w:noProof/>
          <w:szCs w:val="24"/>
        </w:rPr>
        <w:t>, 1–135 (2013).</w:t>
      </w:r>
    </w:p>
    <w:p w14:paraId="2622AAD0"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133.</w:t>
      </w:r>
      <w:r w:rsidRPr="00614E13">
        <w:rPr>
          <w:rFonts w:ascii="Times New Roman" w:hAnsi="Times New Roman" w:cs="Times New Roman"/>
          <w:noProof/>
          <w:szCs w:val="24"/>
        </w:rPr>
        <w:tab/>
        <w:t xml:space="preserve">Ram, K. &amp; Wickham, H. A Wes Anderson Palette Generator [R package wesanderson version 0.3.7]. </w:t>
      </w:r>
      <w:r w:rsidRPr="00614E13">
        <w:rPr>
          <w:rFonts w:ascii="Times New Roman" w:hAnsi="Times New Roman" w:cs="Times New Roman"/>
          <w:i/>
          <w:iCs/>
          <w:noProof/>
          <w:szCs w:val="24"/>
        </w:rPr>
        <w:t>CRAN Contrib. Packag.</w:t>
      </w:r>
      <w:r w:rsidRPr="00614E13">
        <w:rPr>
          <w:rFonts w:ascii="Times New Roman" w:hAnsi="Times New Roman" w:cs="Times New Roman"/>
          <w:noProof/>
          <w:szCs w:val="24"/>
        </w:rPr>
        <w:t xml:space="preserve"> (2023) doi:10.32614/CRAN.PACKAGE.WESANDERSON.</w:t>
      </w:r>
    </w:p>
    <w:p w14:paraId="1AFFA28A"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134.</w:t>
      </w:r>
      <w:r w:rsidRPr="00614E13">
        <w:rPr>
          <w:rFonts w:ascii="Times New Roman" w:hAnsi="Times New Roman" w:cs="Times New Roman"/>
          <w:noProof/>
          <w:szCs w:val="24"/>
        </w:rPr>
        <w:tab/>
        <w:t xml:space="preserve">DIMBLEBY, G. W. Pollen Analysis of Terrestrial Soils. </w:t>
      </w:r>
      <w:r w:rsidRPr="00614E13">
        <w:rPr>
          <w:rFonts w:ascii="Times New Roman" w:hAnsi="Times New Roman" w:cs="Times New Roman"/>
          <w:i/>
          <w:iCs/>
          <w:noProof/>
          <w:szCs w:val="24"/>
        </w:rPr>
        <w:t>New Phytol.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56</w:t>
      </w:r>
      <w:r w:rsidRPr="00614E13">
        <w:rPr>
          <w:rFonts w:ascii="Times New Roman" w:hAnsi="Times New Roman" w:cs="Times New Roman"/>
          <w:noProof/>
          <w:szCs w:val="24"/>
        </w:rPr>
        <w:t>, 12–28 (1957).</w:t>
      </w:r>
    </w:p>
    <w:p w14:paraId="5C0B4BB7"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135.</w:t>
      </w:r>
      <w:r w:rsidRPr="00614E13">
        <w:rPr>
          <w:rFonts w:ascii="Times New Roman" w:hAnsi="Times New Roman" w:cs="Times New Roman"/>
          <w:noProof/>
          <w:szCs w:val="24"/>
        </w:rPr>
        <w:tab/>
        <w:t xml:space="preserve">Bush, M. B. On the interpretation of fossil Poaceae pollen in the lowland humid neotropics. </w:t>
      </w:r>
      <w:r w:rsidRPr="00614E13">
        <w:rPr>
          <w:rFonts w:ascii="Times New Roman" w:hAnsi="Times New Roman" w:cs="Times New Roman"/>
          <w:i/>
          <w:iCs/>
          <w:noProof/>
          <w:szCs w:val="24"/>
        </w:rPr>
        <w:t>Palaeogeogr. Palaeoclimatol. Palaeoecol.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177</w:t>
      </w:r>
      <w:r w:rsidRPr="00614E13">
        <w:rPr>
          <w:rFonts w:ascii="Times New Roman" w:hAnsi="Times New Roman" w:cs="Times New Roman"/>
          <w:noProof/>
          <w:szCs w:val="24"/>
        </w:rPr>
        <w:t>, 5–17 (2002).</w:t>
      </w:r>
    </w:p>
    <w:p w14:paraId="3864A58A"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136.</w:t>
      </w:r>
      <w:r w:rsidRPr="00614E13">
        <w:rPr>
          <w:rFonts w:ascii="Times New Roman" w:hAnsi="Times New Roman" w:cs="Times New Roman"/>
          <w:noProof/>
          <w:szCs w:val="24"/>
        </w:rPr>
        <w:tab/>
        <w:t xml:space="preserve">Onyekwelu, J. C., Mosandl, R. &amp; Stimm, B. No Title. </w:t>
      </w:r>
      <w:r w:rsidRPr="00614E13">
        <w:rPr>
          <w:rFonts w:ascii="Times New Roman" w:hAnsi="Times New Roman" w:cs="Times New Roman"/>
          <w:i/>
          <w:iCs/>
          <w:noProof/>
          <w:szCs w:val="24"/>
        </w:rPr>
        <w:t>J. Trop. For. Sci.</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20</w:t>
      </w:r>
      <w:r w:rsidRPr="00614E13">
        <w:rPr>
          <w:rFonts w:ascii="Times New Roman" w:hAnsi="Times New Roman" w:cs="Times New Roman"/>
          <w:noProof/>
          <w:szCs w:val="24"/>
        </w:rPr>
        <w:t>, 193–204 (2008).</w:t>
      </w:r>
    </w:p>
    <w:p w14:paraId="082F74DB"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137.</w:t>
      </w:r>
      <w:r w:rsidRPr="00614E13">
        <w:rPr>
          <w:rFonts w:ascii="Times New Roman" w:hAnsi="Times New Roman" w:cs="Times New Roman"/>
          <w:noProof/>
          <w:szCs w:val="24"/>
        </w:rPr>
        <w:tab/>
        <w:t xml:space="preserve">Owusu, G., Anning, A. K., Belford, E. J. D. &amp; Acquah, E. Plant species diversity, abundance and conservation status of the Ankasa Resource Reserve, Ghana. </w:t>
      </w:r>
      <w:r w:rsidRPr="00614E13">
        <w:rPr>
          <w:rFonts w:ascii="Times New Roman" w:hAnsi="Times New Roman" w:cs="Times New Roman"/>
          <w:i/>
          <w:iCs/>
          <w:noProof/>
          <w:szCs w:val="24"/>
        </w:rPr>
        <w:t>Trees, For. People</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8</w:t>
      </w:r>
      <w:r w:rsidRPr="00614E13">
        <w:rPr>
          <w:rFonts w:ascii="Times New Roman" w:hAnsi="Times New Roman" w:cs="Times New Roman"/>
          <w:noProof/>
          <w:szCs w:val="24"/>
        </w:rPr>
        <w:t>, 100264 (2022).</w:t>
      </w:r>
    </w:p>
    <w:p w14:paraId="1FA2A13E"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138.</w:t>
      </w:r>
      <w:r w:rsidRPr="00614E13">
        <w:rPr>
          <w:rFonts w:ascii="Times New Roman" w:hAnsi="Times New Roman" w:cs="Times New Roman"/>
          <w:noProof/>
          <w:szCs w:val="24"/>
        </w:rPr>
        <w:tab/>
        <w:t xml:space="preserve">Sehasseh, E. M.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Early middle stone age personal ornaments from Bizmoune Cave, Essaouira, Morocco. </w:t>
      </w:r>
      <w:r w:rsidRPr="00614E13">
        <w:rPr>
          <w:rFonts w:ascii="Times New Roman" w:hAnsi="Times New Roman" w:cs="Times New Roman"/>
          <w:i/>
          <w:iCs/>
          <w:noProof/>
          <w:szCs w:val="24"/>
        </w:rPr>
        <w:t>Sci. Adv.</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7</w:t>
      </w:r>
      <w:r w:rsidRPr="00614E13">
        <w:rPr>
          <w:rFonts w:ascii="Times New Roman" w:hAnsi="Times New Roman" w:cs="Times New Roman"/>
          <w:noProof/>
          <w:szCs w:val="24"/>
        </w:rPr>
        <w:t>, 8620–8642 (2021).</w:t>
      </w:r>
    </w:p>
    <w:p w14:paraId="3D109D64"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139.</w:t>
      </w:r>
      <w:r w:rsidRPr="00614E13">
        <w:rPr>
          <w:rFonts w:ascii="Times New Roman" w:hAnsi="Times New Roman" w:cs="Times New Roman"/>
          <w:noProof/>
          <w:szCs w:val="24"/>
        </w:rPr>
        <w:tab/>
        <w:t xml:space="preserve">Richter, D., Moser, J., Nami, M., Eiwanger, J. &amp; Mikdad, A. New chronometric data from Ifri n’Ammar (Morocco) and the chronostratigraphy of the Middle Palaeolithic in the Western Maghreb. </w:t>
      </w:r>
      <w:r w:rsidRPr="00614E13">
        <w:rPr>
          <w:rFonts w:ascii="Times New Roman" w:hAnsi="Times New Roman" w:cs="Times New Roman"/>
          <w:i/>
          <w:iCs/>
          <w:noProof/>
          <w:szCs w:val="24"/>
        </w:rPr>
        <w:t>J. Hum. Evol.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59</w:t>
      </w:r>
      <w:r w:rsidRPr="00614E13">
        <w:rPr>
          <w:rFonts w:ascii="Times New Roman" w:hAnsi="Times New Roman" w:cs="Times New Roman"/>
          <w:noProof/>
          <w:szCs w:val="24"/>
        </w:rPr>
        <w:t>, 672–679 (2010).</w:t>
      </w:r>
    </w:p>
    <w:p w14:paraId="4172E550"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140.</w:t>
      </w:r>
      <w:r w:rsidRPr="00614E13">
        <w:rPr>
          <w:rFonts w:ascii="Times New Roman" w:hAnsi="Times New Roman" w:cs="Times New Roman"/>
          <w:noProof/>
          <w:szCs w:val="24"/>
        </w:rPr>
        <w:tab/>
        <w:t xml:space="preserve">Cancellieri, E.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A late Middle Pleistocene Middle Stone Age sequence identified at Wadi Lazalim in southern Tunisia. </w:t>
      </w:r>
      <w:r w:rsidRPr="00614E13">
        <w:rPr>
          <w:rFonts w:ascii="Times New Roman" w:hAnsi="Times New Roman" w:cs="Times New Roman"/>
          <w:i/>
          <w:iCs/>
          <w:noProof/>
          <w:szCs w:val="24"/>
        </w:rPr>
        <w:t>Sci. Rep.</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12</w:t>
      </w:r>
      <w:r w:rsidRPr="00614E13">
        <w:rPr>
          <w:rFonts w:ascii="Times New Roman" w:hAnsi="Times New Roman" w:cs="Times New Roman"/>
          <w:noProof/>
          <w:szCs w:val="24"/>
        </w:rPr>
        <w:t>, 3996 (2022).</w:t>
      </w:r>
    </w:p>
    <w:p w14:paraId="6FD3FBB0"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141.</w:t>
      </w:r>
      <w:r w:rsidRPr="00614E13">
        <w:rPr>
          <w:rFonts w:ascii="Times New Roman" w:hAnsi="Times New Roman" w:cs="Times New Roman"/>
          <w:noProof/>
          <w:szCs w:val="24"/>
        </w:rPr>
        <w:tab/>
        <w:t xml:space="preserve">Van Peer, P., Vermeersch, P. M. &amp; Paulissen, E. Chert Quarrying, Lithic Technology and a Modern Human Burial at the Palaeolithic Site of Taramsa 1, Upper Egypt . Philip Van Peer , Pierre M. Vermeersch , Etienne Paulissen. </w:t>
      </w:r>
      <w:r w:rsidRPr="00614E13">
        <w:rPr>
          <w:rFonts w:ascii="Times New Roman" w:hAnsi="Times New Roman" w:cs="Times New Roman"/>
          <w:i/>
          <w:iCs/>
          <w:noProof/>
          <w:szCs w:val="24"/>
        </w:rPr>
        <w:t>Leuven Univ. Press</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67</w:t>
      </w:r>
      <w:r w:rsidRPr="00614E13">
        <w:rPr>
          <w:rFonts w:ascii="Times New Roman" w:hAnsi="Times New Roman" w:cs="Times New Roman"/>
          <w:noProof/>
          <w:szCs w:val="24"/>
        </w:rPr>
        <w:t>, 288–289 (2010).</w:t>
      </w:r>
    </w:p>
    <w:p w14:paraId="326B6FAC"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lastRenderedPageBreak/>
        <w:t>142.</w:t>
      </w:r>
      <w:r w:rsidRPr="00614E13">
        <w:rPr>
          <w:rFonts w:ascii="Times New Roman" w:hAnsi="Times New Roman" w:cs="Times New Roman"/>
          <w:noProof/>
          <w:szCs w:val="24"/>
        </w:rPr>
        <w:tab/>
        <w:t xml:space="preserve">Nicoll, K. A revised chronology for Pleistocene paleolakes and Middle Stone Age – Middle Paleolithic cultural activity at Bîr Tirfawi – Bîr Sahara in the Egyptian Sahara. </w:t>
      </w:r>
      <w:r w:rsidRPr="00614E13">
        <w:rPr>
          <w:rFonts w:ascii="Times New Roman" w:hAnsi="Times New Roman" w:cs="Times New Roman"/>
          <w:i/>
          <w:iCs/>
          <w:noProof/>
          <w:szCs w:val="24"/>
        </w:rPr>
        <w:t>Quat. Int.</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463</w:t>
      </w:r>
      <w:r w:rsidRPr="00614E13">
        <w:rPr>
          <w:rFonts w:ascii="Times New Roman" w:hAnsi="Times New Roman" w:cs="Times New Roman"/>
          <w:noProof/>
          <w:szCs w:val="24"/>
        </w:rPr>
        <w:t>, 18–28 (2018).</w:t>
      </w:r>
    </w:p>
    <w:p w14:paraId="5EA7E024"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143.</w:t>
      </w:r>
      <w:r w:rsidRPr="00614E13">
        <w:rPr>
          <w:rFonts w:ascii="Times New Roman" w:hAnsi="Times New Roman" w:cs="Times New Roman"/>
          <w:noProof/>
          <w:szCs w:val="24"/>
        </w:rPr>
        <w:tab/>
        <w:t xml:space="preserve">Michalec, G.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A Window into the Early–Middle Stone Age Transition in Northeastern Africa—A Marine Isotope Stage 7a/6 Late Acheulean Horizon from the EDAR 135 Site, Eastern Sahara (Sudan). </w:t>
      </w:r>
      <w:r w:rsidRPr="00614E13">
        <w:rPr>
          <w:rFonts w:ascii="Times New Roman" w:hAnsi="Times New Roman" w:cs="Times New Roman"/>
          <w:i/>
          <w:iCs/>
          <w:noProof/>
          <w:szCs w:val="24"/>
        </w:rPr>
        <w:t>https://doi.org/10.1080/00934690.2021.1993618</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46</w:t>
      </w:r>
      <w:r w:rsidRPr="00614E13">
        <w:rPr>
          <w:rFonts w:ascii="Times New Roman" w:hAnsi="Times New Roman" w:cs="Times New Roman"/>
          <w:noProof/>
          <w:szCs w:val="24"/>
        </w:rPr>
        <w:t>, 513–533 (2021).</w:t>
      </w:r>
    </w:p>
    <w:p w14:paraId="694EA9EE"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144.</w:t>
      </w:r>
      <w:r w:rsidRPr="00614E13">
        <w:rPr>
          <w:rFonts w:ascii="Times New Roman" w:hAnsi="Times New Roman" w:cs="Times New Roman"/>
          <w:noProof/>
          <w:szCs w:val="24"/>
        </w:rPr>
        <w:tab/>
        <w:t xml:space="preserve">Walter, R. C.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Early human occupation of the Red Sea coast of Eritrea during the last interglacial. </w:t>
      </w:r>
      <w:r w:rsidRPr="00614E13">
        <w:rPr>
          <w:rFonts w:ascii="Times New Roman" w:hAnsi="Times New Roman" w:cs="Times New Roman"/>
          <w:i/>
          <w:iCs/>
          <w:noProof/>
          <w:szCs w:val="24"/>
        </w:rPr>
        <w:t>Nature</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405</w:t>
      </w:r>
      <w:r w:rsidRPr="00614E13">
        <w:rPr>
          <w:rFonts w:ascii="Times New Roman" w:hAnsi="Times New Roman" w:cs="Times New Roman"/>
          <w:noProof/>
          <w:szCs w:val="24"/>
        </w:rPr>
        <w:t>, 65–69 (2000).</w:t>
      </w:r>
    </w:p>
    <w:p w14:paraId="09D9FC09"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145.</w:t>
      </w:r>
      <w:r w:rsidRPr="00614E13">
        <w:rPr>
          <w:rFonts w:ascii="Times New Roman" w:hAnsi="Times New Roman" w:cs="Times New Roman"/>
          <w:noProof/>
          <w:szCs w:val="24"/>
        </w:rPr>
        <w:tab/>
        <w:t xml:space="preserve">Herries, A. I. R.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w:t>
      </w:r>
      <w:r w:rsidRPr="00614E13">
        <w:rPr>
          <w:rFonts w:ascii="Times New Roman" w:hAnsi="Times New Roman" w:cs="Times New Roman"/>
          <w:i/>
          <w:iCs/>
          <w:noProof/>
          <w:szCs w:val="24"/>
        </w:rPr>
        <w:t>A marine isotope stage 11 coastal Acheulian workshop with associated wood at Amanzi Springs Area 1, South Africa</w:t>
      </w:r>
      <w:r w:rsidRPr="00614E13">
        <w:rPr>
          <w:rFonts w:ascii="Times New Roman" w:hAnsi="Times New Roman" w:cs="Times New Roman"/>
          <w:noProof/>
          <w:szCs w:val="24"/>
        </w:rPr>
        <w:t xml:space="preserve">. </w:t>
      </w:r>
      <w:r w:rsidRPr="00614E13">
        <w:rPr>
          <w:rFonts w:ascii="Times New Roman" w:hAnsi="Times New Roman" w:cs="Times New Roman"/>
          <w:i/>
          <w:iCs/>
          <w:noProof/>
          <w:szCs w:val="24"/>
        </w:rPr>
        <w:t>PLoS ONE</w:t>
      </w:r>
      <w:r w:rsidRPr="00614E13">
        <w:rPr>
          <w:rFonts w:ascii="Times New Roman" w:hAnsi="Times New Roman" w:cs="Times New Roman"/>
          <w:noProof/>
          <w:szCs w:val="24"/>
        </w:rPr>
        <w:t xml:space="preserve"> vol. 17 (2022).</w:t>
      </w:r>
    </w:p>
    <w:p w14:paraId="0AA6A051"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146.</w:t>
      </w:r>
      <w:r w:rsidRPr="00614E13">
        <w:rPr>
          <w:rFonts w:ascii="Times New Roman" w:hAnsi="Times New Roman" w:cs="Times New Roman"/>
          <w:noProof/>
          <w:szCs w:val="24"/>
        </w:rPr>
        <w:tab/>
        <w:t xml:space="preserve">Grun, R. Direct dating of Florisbad hominid. </w:t>
      </w:r>
      <w:r w:rsidRPr="00614E13">
        <w:rPr>
          <w:rFonts w:ascii="Times New Roman" w:hAnsi="Times New Roman" w:cs="Times New Roman"/>
          <w:i/>
          <w:iCs/>
          <w:noProof/>
          <w:szCs w:val="24"/>
        </w:rPr>
        <w:t>Science</w:t>
      </w:r>
      <w:r w:rsidRPr="00614E13">
        <w:rPr>
          <w:rFonts w:ascii="Times New Roman" w:hAnsi="Times New Roman" w:cs="Times New Roman"/>
          <w:noProof/>
          <w:szCs w:val="24"/>
        </w:rPr>
        <w:t xml:space="preserve"> vol. 382 500–5001 at (1996).</w:t>
      </w:r>
    </w:p>
    <w:p w14:paraId="3560FBFF"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147.</w:t>
      </w:r>
      <w:r w:rsidRPr="00614E13">
        <w:rPr>
          <w:rFonts w:ascii="Times New Roman" w:hAnsi="Times New Roman" w:cs="Times New Roman"/>
          <w:noProof/>
          <w:szCs w:val="24"/>
        </w:rPr>
        <w:tab/>
        <w:t xml:space="preserve">Marean, C. W. Pinnacle Point Cave 13B (Western Cape Province, South Africa) in context: The Cape Floral kingdom, shellfish, and modern human origins. </w:t>
      </w:r>
      <w:r w:rsidRPr="00614E13">
        <w:rPr>
          <w:rFonts w:ascii="Times New Roman" w:hAnsi="Times New Roman" w:cs="Times New Roman"/>
          <w:i/>
          <w:iCs/>
          <w:noProof/>
          <w:szCs w:val="24"/>
        </w:rPr>
        <w:t>J. Hum. Evol.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59</w:t>
      </w:r>
      <w:r w:rsidRPr="00614E13">
        <w:rPr>
          <w:rFonts w:ascii="Times New Roman" w:hAnsi="Times New Roman" w:cs="Times New Roman"/>
          <w:noProof/>
          <w:szCs w:val="24"/>
        </w:rPr>
        <w:t>, 425–443 (2010).</w:t>
      </w:r>
    </w:p>
    <w:p w14:paraId="64B044CB"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148.</w:t>
      </w:r>
      <w:r w:rsidRPr="00614E13">
        <w:rPr>
          <w:rFonts w:ascii="Times New Roman" w:hAnsi="Times New Roman" w:cs="Times New Roman"/>
          <w:noProof/>
          <w:szCs w:val="24"/>
        </w:rPr>
        <w:tab/>
        <w:t xml:space="preserve">Beaumont, P. B. &amp; Vogel, J. C. On a timescale for the past million years of human history in central South Africa. </w:t>
      </w:r>
      <w:r w:rsidRPr="00614E13">
        <w:rPr>
          <w:rFonts w:ascii="Times New Roman" w:hAnsi="Times New Roman" w:cs="Times New Roman"/>
          <w:i/>
          <w:iCs/>
          <w:noProof/>
          <w:szCs w:val="24"/>
        </w:rPr>
        <w:t>S. Afr. J. Sci.</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102</w:t>
      </w:r>
      <w:r w:rsidRPr="00614E13">
        <w:rPr>
          <w:rFonts w:ascii="Times New Roman" w:hAnsi="Times New Roman" w:cs="Times New Roman"/>
          <w:noProof/>
          <w:szCs w:val="24"/>
        </w:rPr>
        <w:t>, 217–228 (2006).</w:t>
      </w:r>
    </w:p>
    <w:p w14:paraId="594C13CF"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149.</w:t>
      </w:r>
      <w:r w:rsidRPr="00614E13">
        <w:rPr>
          <w:rFonts w:ascii="Times New Roman" w:hAnsi="Times New Roman" w:cs="Times New Roman"/>
          <w:noProof/>
          <w:szCs w:val="24"/>
        </w:rPr>
        <w:tab/>
        <w:t xml:space="preserve">Wadley, L.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Fire and grass-bedding construction 200 thousand years ago at Border Cave, South Africa. </w:t>
      </w:r>
      <w:r w:rsidRPr="00614E13">
        <w:rPr>
          <w:rFonts w:ascii="Times New Roman" w:hAnsi="Times New Roman" w:cs="Times New Roman"/>
          <w:i/>
          <w:iCs/>
          <w:noProof/>
          <w:szCs w:val="24"/>
        </w:rPr>
        <w:t>Science (80-. ).</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369</w:t>
      </w:r>
      <w:r w:rsidRPr="00614E13">
        <w:rPr>
          <w:rFonts w:ascii="Times New Roman" w:hAnsi="Times New Roman" w:cs="Times New Roman"/>
          <w:noProof/>
          <w:szCs w:val="24"/>
        </w:rPr>
        <w:t>, 863–866 (2020).</w:t>
      </w:r>
    </w:p>
    <w:p w14:paraId="56A0D3E6"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150.</w:t>
      </w:r>
      <w:r w:rsidRPr="00614E13">
        <w:rPr>
          <w:rFonts w:ascii="Times New Roman" w:hAnsi="Times New Roman" w:cs="Times New Roman"/>
          <w:noProof/>
          <w:szCs w:val="24"/>
        </w:rPr>
        <w:tab/>
        <w:t xml:space="preserve">Kiberd, P. Bundu Farm: A Report on Archaeological and Palaeoenvironmental Assemblages from a Pan Site in Bushmanland, Northern Cape, South Africa. </w:t>
      </w:r>
      <w:r w:rsidRPr="00614E13">
        <w:rPr>
          <w:rFonts w:ascii="Times New Roman" w:hAnsi="Times New Roman" w:cs="Times New Roman"/>
          <w:i/>
          <w:iCs/>
          <w:noProof/>
          <w:szCs w:val="24"/>
        </w:rPr>
        <w:t>South African Archaeol. Bull.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61</w:t>
      </w:r>
      <w:r w:rsidRPr="00614E13">
        <w:rPr>
          <w:rFonts w:ascii="Times New Roman" w:hAnsi="Times New Roman" w:cs="Times New Roman"/>
          <w:noProof/>
          <w:szCs w:val="24"/>
        </w:rPr>
        <w:t>, 189–201 (2006).</w:t>
      </w:r>
    </w:p>
    <w:p w14:paraId="72EE0760"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151.</w:t>
      </w:r>
      <w:r w:rsidRPr="00614E13">
        <w:rPr>
          <w:rFonts w:ascii="Times New Roman" w:hAnsi="Times New Roman" w:cs="Times New Roman"/>
          <w:noProof/>
          <w:szCs w:val="24"/>
        </w:rPr>
        <w:tab/>
        <w:t xml:space="preserve">Douze, K.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A West African Middle Stone Age site dated to the beginning of MIS 5: Archaeology, chronology, and paleoenvironment of the Ravin Blanc I (eastern Senegal). </w:t>
      </w:r>
      <w:r w:rsidRPr="00614E13">
        <w:rPr>
          <w:rFonts w:ascii="Times New Roman" w:hAnsi="Times New Roman" w:cs="Times New Roman"/>
          <w:i/>
          <w:iCs/>
          <w:noProof/>
          <w:szCs w:val="24"/>
        </w:rPr>
        <w:t>J. Hum. Evol.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154</w:t>
      </w:r>
      <w:r w:rsidRPr="00614E13">
        <w:rPr>
          <w:rFonts w:ascii="Times New Roman" w:hAnsi="Times New Roman" w:cs="Times New Roman"/>
          <w:noProof/>
          <w:szCs w:val="24"/>
        </w:rPr>
        <w:t>, 102952 (2021).</w:t>
      </w:r>
    </w:p>
    <w:p w14:paraId="309DF280"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152.</w:t>
      </w:r>
      <w:r w:rsidRPr="00614E13">
        <w:rPr>
          <w:rFonts w:ascii="Times New Roman" w:hAnsi="Times New Roman" w:cs="Times New Roman"/>
          <w:noProof/>
          <w:szCs w:val="24"/>
        </w:rPr>
        <w:tab/>
        <w:t xml:space="preserve">Soriano, S., Rasse, M., Tribolo, C. &amp; Huysecom, E. Ounjougou: A long Middle Stone Age sequence in the Dogon country (Mali). in </w:t>
      </w:r>
      <w:r w:rsidRPr="00614E13">
        <w:rPr>
          <w:rFonts w:ascii="Times New Roman" w:hAnsi="Times New Roman" w:cs="Times New Roman"/>
          <w:i/>
          <w:iCs/>
          <w:noProof/>
          <w:szCs w:val="24"/>
        </w:rPr>
        <w:t>West African Archaeology. New Developments, New Perspectives</w:t>
      </w:r>
      <w:r w:rsidRPr="00614E13">
        <w:rPr>
          <w:rFonts w:ascii="Times New Roman" w:hAnsi="Times New Roman" w:cs="Times New Roman"/>
          <w:noProof/>
          <w:szCs w:val="24"/>
        </w:rPr>
        <w:t xml:space="preserve"> (ed. Allsworth-Jones, P.) 1–14 (Archaeopress, 2010).</w:t>
      </w:r>
    </w:p>
    <w:p w14:paraId="366CDF75"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153.</w:t>
      </w:r>
      <w:r w:rsidRPr="00614E13">
        <w:rPr>
          <w:rFonts w:ascii="Times New Roman" w:hAnsi="Times New Roman" w:cs="Times New Roman"/>
          <w:noProof/>
          <w:szCs w:val="24"/>
        </w:rPr>
        <w:tab/>
        <w:t xml:space="preserve">Tribolo, C., Rasse, M., Soriano, S. &amp; Huysecom, E. Defining a chronological framework for the Middle Stone Age in West Africa: Comparison of methods and models for OSL ages at Ounjougou (Mali). </w:t>
      </w:r>
      <w:r w:rsidRPr="00614E13">
        <w:rPr>
          <w:rFonts w:ascii="Times New Roman" w:hAnsi="Times New Roman" w:cs="Times New Roman"/>
          <w:i/>
          <w:iCs/>
          <w:noProof/>
          <w:szCs w:val="24"/>
        </w:rPr>
        <w:t>Quat. Geochronol.</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29</w:t>
      </w:r>
      <w:r w:rsidRPr="00614E13">
        <w:rPr>
          <w:rFonts w:ascii="Times New Roman" w:hAnsi="Times New Roman" w:cs="Times New Roman"/>
          <w:noProof/>
          <w:szCs w:val="24"/>
        </w:rPr>
        <w:t>, 80–96 (2015).</w:t>
      </w:r>
    </w:p>
    <w:p w14:paraId="09C565DF"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154.</w:t>
      </w:r>
      <w:r w:rsidRPr="00614E13">
        <w:rPr>
          <w:rFonts w:ascii="Times New Roman" w:hAnsi="Times New Roman" w:cs="Times New Roman"/>
          <w:noProof/>
          <w:szCs w:val="24"/>
        </w:rPr>
        <w:tab/>
        <w:t xml:space="preserve">Chevrier, B.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Between continuity and discontinuity: An overview of the West African Paleolithic over the last 200,000 years. </w:t>
      </w:r>
      <w:r w:rsidRPr="00614E13">
        <w:rPr>
          <w:rFonts w:ascii="Times New Roman" w:hAnsi="Times New Roman" w:cs="Times New Roman"/>
          <w:i/>
          <w:iCs/>
          <w:noProof/>
          <w:szCs w:val="24"/>
        </w:rPr>
        <w:t>Quat. Int.</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466</w:t>
      </w:r>
      <w:r w:rsidRPr="00614E13">
        <w:rPr>
          <w:rFonts w:ascii="Times New Roman" w:hAnsi="Times New Roman" w:cs="Times New Roman"/>
          <w:noProof/>
          <w:szCs w:val="24"/>
        </w:rPr>
        <w:t>, 3–22 (2018).</w:t>
      </w:r>
    </w:p>
    <w:p w14:paraId="74E1D1BB"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155.</w:t>
      </w:r>
      <w:r w:rsidRPr="00614E13">
        <w:rPr>
          <w:rFonts w:ascii="Times New Roman" w:hAnsi="Times New Roman" w:cs="Times New Roman"/>
          <w:noProof/>
          <w:szCs w:val="24"/>
        </w:rPr>
        <w:tab/>
        <w:t xml:space="preserve">Rasse, M., Tribolo, C., Soriano, S. &amp; Huysecom, E. Premières données chronostratigraphiques sur les formations du Pléistocène supérieur de la « falaise » de Bandiagara (Mali, Afrique de l’Ouest). </w:t>
      </w:r>
      <w:r w:rsidRPr="00614E13">
        <w:rPr>
          <w:rFonts w:ascii="Times New Roman" w:hAnsi="Times New Roman" w:cs="Times New Roman"/>
          <w:i/>
          <w:iCs/>
          <w:noProof/>
          <w:szCs w:val="24"/>
        </w:rPr>
        <w:t>http://journals.openedition.org/quaternaire</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23</w:t>
      </w:r>
      <w:r w:rsidRPr="00614E13">
        <w:rPr>
          <w:rFonts w:ascii="Times New Roman" w:hAnsi="Times New Roman" w:cs="Times New Roman"/>
          <w:noProof/>
          <w:szCs w:val="24"/>
        </w:rPr>
        <w:t>, 5–23 (2012).</w:t>
      </w:r>
    </w:p>
    <w:p w14:paraId="1637FC35"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156.</w:t>
      </w:r>
      <w:r w:rsidRPr="00614E13">
        <w:rPr>
          <w:rFonts w:ascii="Times New Roman" w:hAnsi="Times New Roman" w:cs="Times New Roman"/>
          <w:noProof/>
          <w:szCs w:val="24"/>
        </w:rPr>
        <w:tab/>
        <w:t xml:space="preserve">Niang, K., Blinkhorn, J. &amp; Ndiaye, M. The oldest Stone Age occupation of coastal West Africa and its implications for modern human dispersals: New insight from Tiémassas. </w:t>
      </w:r>
      <w:r w:rsidRPr="00614E13">
        <w:rPr>
          <w:rFonts w:ascii="Times New Roman" w:hAnsi="Times New Roman" w:cs="Times New Roman"/>
          <w:i/>
          <w:iCs/>
          <w:noProof/>
          <w:szCs w:val="24"/>
        </w:rPr>
        <w:t>Quat. Sci. Rev.</w:t>
      </w:r>
      <w:r w:rsidRPr="00614E13">
        <w:rPr>
          <w:rFonts w:ascii="Times New Roman" w:hAnsi="Times New Roman" w:cs="Times New Roman"/>
          <w:noProof/>
          <w:szCs w:val="24"/>
        </w:rPr>
        <w:t xml:space="preserve"> (2018) doi:10.1016/j.quascirev.2018.03.022.</w:t>
      </w:r>
    </w:p>
    <w:p w14:paraId="7CD327BC"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157.</w:t>
      </w:r>
      <w:r w:rsidRPr="00614E13">
        <w:rPr>
          <w:rFonts w:ascii="Times New Roman" w:hAnsi="Times New Roman" w:cs="Times New Roman"/>
          <w:noProof/>
          <w:szCs w:val="24"/>
        </w:rPr>
        <w:tab/>
        <w:t xml:space="preserve">Niang, K.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The Middle Stone Age occupations of Tiémassas, coastal West Africa, between 62 and 25 thousand years ago. </w:t>
      </w:r>
      <w:r w:rsidRPr="00614E13">
        <w:rPr>
          <w:rFonts w:ascii="Times New Roman" w:hAnsi="Times New Roman" w:cs="Times New Roman"/>
          <w:i/>
          <w:iCs/>
          <w:noProof/>
          <w:szCs w:val="24"/>
        </w:rPr>
        <w:t>J. Archaeol. Sci. Reports</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34</w:t>
      </w:r>
      <w:r w:rsidRPr="00614E13">
        <w:rPr>
          <w:rFonts w:ascii="Times New Roman" w:hAnsi="Times New Roman" w:cs="Times New Roman"/>
          <w:noProof/>
          <w:szCs w:val="24"/>
        </w:rPr>
        <w:t>, 102658 (2020).</w:t>
      </w:r>
    </w:p>
    <w:p w14:paraId="4BA85720"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158.</w:t>
      </w:r>
      <w:r w:rsidRPr="00614E13">
        <w:rPr>
          <w:rFonts w:ascii="Times New Roman" w:hAnsi="Times New Roman" w:cs="Times New Roman"/>
          <w:noProof/>
          <w:szCs w:val="24"/>
        </w:rPr>
        <w:tab/>
        <w:t xml:space="preserve">Niang, K., Blinkhorn, J., Bateman, M. D. &amp; Kiahtipes, C. A. Longstanding behavioural stability in West Africa extends to the Middle Pleistocene at Bargny, coastal Senegal. </w:t>
      </w:r>
      <w:r w:rsidRPr="00614E13">
        <w:rPr>
          <w:rFonts w:ascii="Times New Roman" w:hAnsi="Times New Roman" w:cs="Times New Roman"/>
          <w:i/>
          <w:iCs/>
          <w:noProof/>
          <w:szCs w:val="24"/>
        </w:rPr>
        <w:t>Nat. Ecol. Evol. 2023</w:t>
      </w:r>
      <w:r w:rsidRPr="00614E13">
        <w:rPr>
          <w:rFonts w:ascii="Times New Roman" w:hAnsi="Times New Roman" w:cs="Times New Roman"/>
          <w:noProof/>
          <w:szCs w:val="24"/>
        </w:rPr>
        <w:t xml:space="preserve"> 1–11 (2023) doi:10.1038/s41559-023-02046-4.</w:t>
      </w:r>
    </w:p>
    <w:p w14:paraId="14233BF9"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159.</w:t>
      </w:r>
      <w:r w:rsidRPr="00614E13">
        <w:rPr>
          <w:rFonts w:ascii="Times New Roman" w:hAnsi="Times New Roman" w:cs="Times New Roman"/>
          <w:noProof/>
          <w:szCs w:val="24"/>
        </w:rPr>
        <w:tab/>
        <w:t xml:space="preserve">Ben Arous, E.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Constraining the age of the Middle Stone Age locality of Bargny sites (Senegal) through a combined OSL-ESR dating approach. </w:t>
      </w:r>
      <w:r w:rsidRPr="00614E13">
        <w:rPr>
          <w:rFonts w:ascii="Times New Roman" w:hAnsi="Times New Roman" w:cs="Times New Roman"/>
          <w:i/>
          <w:iCs/>
          <w:noProof/>
          <w:szCs w:val="24"/>
        </w:rPr>
        <w:t>Quat. Environ. Humans</w:t>
      </w:r>
      <w:r w:rsidRPr="00614E13">
        <w:rPr>
          <w:rFonts w:ascii="Times New Roman" w:hAnsi="Times New Roman" w:cs="Times New Roman"/>
          <w:noProof/>
          <w:szCs w:val="24"/>
        </w:rPr>
        <w:t xml:space="preserve"> (2024) doi:doi.org/10.1016/j.qeh.2024.100044.</w:t>
      </w:r>
    </w:p>
    <w:p w14:paraId="26C06EAA"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160.</w:t>
      </w:r>
      <w:r w:rsidRPr="00614E13">
        <w:rPr>
          <w:rFonts w:ascii="Times New Roman" w:hAnsi="Times New Roman" w:cs="Times New Roman"/>
          <w:noProof/>
          <w:szCs w:val="24"/>
        </w:rPr>
        <w:tab/>
        <w:t xml:space="preserve">Lebrun, B.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Establishing a West African chrono-cultural framework: First luminescence dating of sedimentary formations from the Falémé Valley, Eastern Senegal. </w:t>
      </w:r>
      <w:r w:rsidRPr="00614E13">
        <w:rPr>
          <w:rFonts w:ascii="Times New Roman" w:hAnsi="Times New Roman" w:cs="Times New Roman"/>
          <w:i/>
          <w:iCs/>
          <w:noProof/>
          <w:szCs w:val="24"/>
        </w:rPr>
        <w:t>J. Archaeol. Sci. Reports</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7</w:t>
      </w:r>
      <w:r w:rsidRPr="00614E13">
        <w:rPr>
          <w:rFonts w:ascii="Times New Roman" w:hAnsi="Times New Roman" w:cs="Times New Roman"/>
          <w:noProof/>
          <w:szCs w:val="24"/>
        </w:rPr>
        <w:t>, 379–388 (2016).</w:t>
      </w:r>
    </w:p>
    <w:p w14:paraId="3F6233DE"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161.</w:t>
      </w:r>
      <w:r w:rsidRPr="00614E13">
        <w:rPr>
          <w:rFonts w:ascii="Times New Roman" w:hAnsi="Times New Roman" w:cs="Times New Roman"/>
          <w:noProof/>
          <w:szCs w:val="24"/>
        </w:rPr>
        <w:tab/>
        <w:t xml:space="preserve">Chevrier, B.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West African Palaeolithic history: New archaeological and chronostratigraphic data from the Falémé valley, eastern Senegal. </w:t>
      </w:r>
      <w:r w:rsidRPr="00614E13">
        <w:rPr>
          <w:rFonts w:ascii="Times New Roman" w:hAnsi="Times New Roman" w:cs="Times New Roman"/>
          <w:i/>
          <w:iCs/>
          <w:noProof/>
          <w:szCs w:val="24"/>
        </w:rPr>
        <w:t>Quat. Int.</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408</w:t>
      </w:r>
      <w:r w:rsidRPr="00614E13">
        <w:rPr>
          <w:rFonts w:ascii="Times New Roman" w:hAnsi="Times New Roman" w:cs="Times New Roman"/>
          <w:noProof/>
          <w:szCs w:val="24"/>
        </w:rPr>
        <w:t>, 33–52 (2016).</w:t>
      </w:r>
    </w:p>
    <w:p w14:paraId="356CA9C2"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162.</w:t>
      </w:r>
      <w:r w:rsidRPr="00614E13">
        <w:rPr>
          <w:rFonts w:ascii="Times New Roman" w:hAnsi="Times New Roman" w:cs="Times New Roman"/>
          <w:noProof/>
          <w:szCs w:val="24"/>
        </w:rPr>
        <w:tab/>
        <w:t xml:space="preserve">Hawkins, A., Casey, J. L., Godfrey-smith, D. &amp; D’Andrea, A. C. A Middle Stone Age Component at the Birimi Site, Northern Region, Ghana. </w:t>
      </w:r>
      <w:r w:rsidRPr="00614E13">
        <w:rPr>
          <w:rFonts w:ascii="Times New Roman" w:hAnsi="Times New Roman" w:cs="Times New Roman"/>
          <w:i/>
          <w:iCs/>
          <w:noProof/>
          <w:szCs w:val="24"/>
        </w:rPr>
        <w:t>Nyame akuma</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46</w:t>
      </w:r>
      <w:r w:rsidRPr="00614E13">
        <w:rPr>
          <w:rFonts w:ascii="Times New Roman" w:hAnsi="Times New Roman" w:cs="Times New Roman"/>
          <w:noProof/>
          <w:szCs w:val="24"/>
        </w:rPr>
        <w:t>, 1–3 (1996).</w:t>
      </w:r>
    </w:p>
    <w:p w14:paraId="24B956B6"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lastRenderedPageBreak/>
        <w:t>163.</w:t>
      </w:r>
      <w:r w:rsidRPr="00614E13">
        <w:rPr>
          <w:rFonts w:ascii="Times New Roman" w:hAnsi="Times New Roman" w:cs="Times New Roman"/>
          <w:noProof/>
          <w:szCs w:val="24"/>
        </w:rPr>
        <w:tab/>
        <w:t xml:space="preserve">Casey, J.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Report of investigations at the Birimi Site in Northern Ghana. </w:t>
      </w:r>
      <w:r w:rsidRPr="00614E13">
        <w:rPr>
          <w:rFonts w:ascii="Times New Roman" w:hAnsi="Times New Roman" w:cs="Times New Roman"/>
          <w:i/>
          <w:iCs/>
          <w:noProof/>
          <w:szCs w:val="24"/>
        </w:rPr>
        <w:t>Nyame akuma</w:t>
      </w:r>
      <w:r w:rsidRPr="00614E13">
        <w:rPr>
          <w:rFonts w:ascii="Times New Roman" w:hAnsi="Times New Roman" w:cs="Times New Roman"/>
          <w:noProof/>
          <w:szCs w:val="24"/>
        </w:rPr>
        <w:t xml:space="preserve"> 32–38 (1997).</w:t>
      </w:r>
    </w:p>
    <w:p w14:paraId="754058C9"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szCs w:val="24"/>
        </w:rPr>
      </w:pPr>
      <w:r w:rsidRPr="00614E13">
        <w:rPr>
          <w:rFonts w:ascii="Times New Roman" w:hAnsi="Times New Roman" w:cs="Times New Roman"/>
          <w:noProof/>
          <w:szCs w:val="24"/>
        </w:rPr>
        <w:t>164.</w:t>
      </w:r>
      <w:r w:rsidRPr="00614E13">
        <w:rPr>
          <w:rFonts w:ascii="Times New Roman" w:hAnsi="Times New Roman" w:cs="Times New Roman"/>
          <w:noProof/>
          <w:szCs w:val="24"/>
        </w:rPr>
        <w:tab/>
        <w:t xml:space="preserve">Quickert, N. A., Godfrey-Smith, D. I. &amp; Casey, J. L. Optical and thermoluminescence dating of Middle Stone Age and Kintampo bearing sediments at Birimi, a multi-component archaeological site in Ghana. in </w:t>
      </w:r>
      <w:r w:rsidRPr="00614E13">
        <w:rPr>
          <w:rFonts w:ascii="Times New Roman" w:hAnsi="Times New Roman" w:cs="Times New Roman"/>
          <w:i/>
          <w:iCs/>
          <w:noProof/>
          <w:szCs w:val="24"/>
        </w:rPr>
        <w:t>Quaternary Science Reviews</w:t>
      </w:r>
      <w:r w:rsidRPr="00614E13">
        <w:rPr>
          <w:rFonts w:ascii="Times New Roman" w:hAnsi="Times New Roman" w:cs="Times New Roman"/>
          <w:noProof/>
          <w:szCs w:val="24"/>
        </w:rPr>
        <w:t xml:space="preserve"> vol. 22 1291–1297 (Elsevier Ltd, 2003).</w:t>
      </w:r>
    </w:p>
    <w:p w14:paraId="409AFA99" w14:textId="77777777" w:rsidR="00614E13" w:rsidRPr="00614E13" w:rsidRDefault="00614E13" w:rsidP="00614E13">
      <w:pPr>
        <w:widowControl w:val="0"/>
        <w:autoSpaceDE w:val="0"/>
        <w:autoSpaceDN w:val="0"/>
        <w:adjustRightInd w:val="0"/>
        <w:spacing w:after="0" w:line="240" w:lineRule="auto"/>
        <w:ind w:left="640" w:hanging="640"/>
        <w:rPr>
          <w:rFonts w:ascii="Times New Roman" w:hAnsi="Times New Roman" w:cs="Times New Roman"/>
          <w:noProof/>
        </w:rPr>
      </w:pPr>
      <w:r w:rsidRPr="00614E13">
        <w:rPr>
          <w:rFonts w:ascii="Times New Roman" w:hAnsi="Times New Roman" w:cs="Times New Roman"/>
          <w:noProof/>
          <w:szCs w:val="24"/>
        </w:rPr>
        <w:t>165.</w:t>
      </w:r>
      <w:r w:rsidRPr="00614E13">
        <w:rPr>
          <w:rFonts w:ascii="Times New Roman" w:hAnsi="Times New Roman" w:cs="Times New Roman"/>
          <w:noProof/>
          <w:szCs w:val="24"/>
        </w:rPr>
        <w:tab/>
        <w:t xml:space="preserve">Scerri, E. M. L. </w:t>
      </w:r>
      <w:r w:rsidRPr="00614E13">
        <w:rPr>
          <w:rFonts w:ascii="Times New Roman" w:hAnsi="Times New Roman" w:cs="Times New Roman"/>
          <w:i/>
          <w:iCs/>
          <w:noProof/>
          <w:szCs w:val="24"/>
        </w:rPr>
        <w:t>et al.</w:t>
      </w:r>
      <w:r w:rsidRPr="00614E13">
        <w:rPr>
          <w:rFonts w:ascii="Times New Roman" w:hAnsi="Times New Roman" w:cs="Times New Roman"/>
          <w:noProof/>
          <w:szCs w:val="24"/>
        </w:rPr>
        <w:t xml:space="preserve"> Continuity of the Middle Stone Age into the Holocene. </w:t>
      </w:r>
      <w:r w:rsidRPr="00614E13">
        <w:rPr>
          <w:rFonts w:ascii="Times New Roman" w:hAnsi="Times New Roman" w:cs="Times New Roman"/>
          <w:i/>
          <w:iCs/>
          <w:noProof/>
          <w:szCs w:val="24"/>
        </w:rPr>
        <w:t>Sci. Rep.</w:t>
      </w:r>
      <w:r w:rsidRPr="00614E13">
        <w:rPr>
          <w:rFonts w:ascii="Times New Roman" w:hAnsi="Times New Roman" w:cs="Times New Roman"/>
          <w:noProof/>
          <w:szCs w:val="24"/>
        </w:rPr>
        <w:t xml:space="preserve"> </w:t>
      </w:r>
      <w:r w:rsidRPr="00614E13">
        <w:rPr>
          <w:rFonts w:ascii="Times New Roman" w:hAnsi="Times New Roman" w:cs="Times New Roman"/>
          <w:b/>
          <w:bCs/>
          <w:noProof/>
          <w:szCs w:val="24"/>
        </w:rPr>
        <w:t>11</w:t>
      </w:r>
      <w:r w:rsidRPr="00614E13">
        <w:rPr>
          <w:rFonts w:ascii="Times New Roman" w:hAnsi="Times New Roman" w:cs="Times New Roman"/>
          <w:noProof/>
          <w:szCs w:val="24"/>
        </w:rPr>
        <w:t>, 70 (2021).</w:t>
      </w:r>
    </w:p>
    <w:p w14:paraId="65DDF122" w14:textId="3C59E997" w:rsidR="00D57D89" w:rsidRPr="005F44EF" w:rsidRDefault="00D57D89" w:rsidP="00736F96">
      <w:pPr>
        <w:widowControl w:val="0"/>
        <w:autoSpaceDE w:val="0"/>
        <w:autoSpaceDN w:val="0"/>
        <w:adjustRightInd w:val="0"/>
        <w:spacing w:after="0" w:line="240" w:lineRule="auto"/>
        <w:ind w:left="640" w:hanging="640"/>
        <w:rPr>
          <w:rFonts w:ascii="Times New Roman" w:eastAsia="Times New Roman" w:hAnsi="Times New Roman" w:cs="Times New Roman"/>
        </w:rPr>
      </w:pPr>
      <w:r w:rsidRPr="005F44EF">
        <w:rPr>
          <w:rFonts w:ascii="Times New Roman" w:eastAsia="Times New Roman" w:hAnsi="Times New Roman" w:cs="Times New Roman"/>
        </w:rPr>
        <w:fldChar w:fldCharType="end"/>
      </w:r>
    </w:p>
    <w:sectPr w:rsidR="00D57D89" w:rsidRPr="005F44EF">
      <w:pgSz w:w="12240" w:h="15840"/>
      <w:pgMar w:top="1417" w:right="1417" w:bottom="1134" w:left="1417" w:header="720" w:footer="72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C6F141" w14:textId="77777777" w:rsidR="00782780" w:rsidRDefault="00782780">
      <w:pPr>
        <w:spacing w:after="0" w:line="240" w:lineRule="auto"/>
      </w:pPr>
      <w:r>
        <w:separator/>
      </w:r>
    </w:p>
  </w:endnote>
  <w:endnote w:type="continuationSeparator" w:id="0">
    <w:p w14:paraId="317829CF" w14:textId="77777777" w:rsidR="00782780" w:rsidRDefault="00782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21845" w14:textId="77777777" w:rsidR="003319E5" w:rsidRDefault="003319E5">
    <w:pPr>
      <w:pBdr>
        <w:top w:val="nil"/>
        <w:left w:val="nil"/>
        <w:bottom w:val="nil"/>
        <w:right w:val="nil"/>
        <w:between w:val="nil"/>
      </w:pBdr>
      <w:tabs>
        <w:tab w:val="center" w:pos="4703"/>
        <w:tab w:val="right" w:pos="9406"/>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10B9E5D6" w14:textId="77777777" w:rsidR="003319E5" w:rsidRDefault="003319E5">
    <w:pPr>
      <w:pBdr>
        <w:top w:val="nil"/>
        <w:left w:val="nil"/>
        <w:bottom w:val="nil"/>
        <w:right w:val="nil"/>
        <w:between w:val="nil"/>
      </w:pBdr>
      <w:tabs>
        <w:tab w:val="center" w:pos="4703"/>
        <w:tab w:val="right" w:pos="9406"/>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32FD2" w14:textId="77777777" w:rsidR="003319E5" w:rsidRDefault="003319E5" w:rsidP="008F6F59">
    <w:pPr>
      <w:pBdr>
        <w:top w:val="nil"/>
        <w:left w:val="nil"/>
        <w:bottom w:val="nil"/>
        <w:right w:val="nil"/>
        <w:between w:val="nil"/>
      </w:pBdr>
      <w:tabs>
        <w:tab w:val="center" w:pos="4703"/>
        <w:tab w:val="right" w:pos="9406"/>
      </w:tabs>
      <w:spacing w:after="0" w:line="240" w:lineRule="auto"/>
      <w:ind w:right="360"/>
      <w:rPr>
        <w:color w:val="000000"/>
      </w:rPr>
    </w:pPr>
  </w:p>
  <w:p w14:paraId="560E4DF9" w14:textId="77777777" w:rsidR="003319E5" w:rsidRDefault="003319E5">
    <w:pPr>
      <w:pBdr>
        <w:top w:val="nil"/>
        <w:left w:val="nil"/>
        <w:bottom w:val="nil"/>
        <w:right w:val="nil"/>
        <w:between w:val="nil"/>
      </w:pBdr>
      <w:tabs>
        <w:tab w:val="center" w:pos="4703"/>
        <w:tab w:val="right" w:pos="94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9B159" w14:textId="77777777" w:rsidR="00782780" w:rsidRDefault="00782780">
      <w:pPr>
        <w:spacing w:after="0" w:line="240" w:lineRule="auto"/>
      </w:pPr>
      <w:r>
        <w:separator/>
      </w:r>
    </w:p>
  </w:footnote>
  <w:footnote w:type="continuationSeparator" w:id="0">
    <w:p w14:paraId="1F73B797" w14:textId="77777777" w:rsidR="00782780" w:rsidRDefault="007827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23314"/>
    <w:multiLevelType w:val="multilevel"/>
    <w:tmpl w:val="8746EEF0"/>
    <w:lvl w:ilvl="0">
      <w:start w:val="3"/>
      <w:numFmt w:val="decimal"/>
      <w:lvlText w:val="%1."/>
      <w:lvlJc w:val="left"/>
      <w:pPr>
        <w:ind w:left="571" w:hanging="571"/>
      </w:pPr>
      <w:rPr>
        <w:rFonts w:hint="default"/>
      </w:rPr>
    </w:lvl>
    <w:lvl w:ilvl="1">
      <w:start w:val="5"/>
      <w:numFmt w:val="decimal"/>
      <w:lvlText w:val="%1.%2."/>
      <w:lvlJc w:val="left"/>
      <w:pPr>
        <w:ind w:left="571" w:hanging="571"/>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A34837"/>
    <w:multiLevelType w:val="hybridMultilevel"/>
    <w:tmpl w:val="2C18E8BC"/>
    <w:lvl w:ilvl="0" w:tplc="05CA70CE">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737345"/>
    <w:multiLevelType w:val="multilevel"/>
    <w:tmpl w:val="E7DA2E54"/>
    <w:lvl w:ilvl="0">
      <w:start w:val="3"/>
      <w:numFmt w:val="decimal"/>
      <w:lvlText w:val="%1."/>
      <w:lvlJc w:val="left"/>
      <w:pPr>
        <w:ind w:left="571" w:hanging="571"/>
      </w:pPr>
      <w:rPr>
        <w:rFonts w:hint="default"/>
      </w:rPr>
    </w:lvl>
    <w:lvl w:ilvl="1">
      <w:start w:val="5"/>
      <w:numFmt w:val="decimal"/>
      <w:lvlText w:val="%1.%2."/>
      <w:lvlJc w:val="left"/>
      <w:pPr>
        <w:ind w:left="571" w:hanging="571"/>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30322B"/>
    <w:multiLevelType w:val="hybridMultilevel"/>
    <w:tmpl w:val="E372452C"/>
    <w:lvl w:ilvl="0" w:tplc="1C707CEC">
      <w:start w:val="2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440412F"/>
    <w:multiLevelType w:val="multilevel"/>
    <w:tmpl w:val="B5BCA546"/>
    <w:lvl w:ilvl="0">
      <w:start w:val="3"/>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B9E6980"/>
    <w:multiLevelType w:val="multilevel"/>
    <w:tmpl w:val="4FEEB822"/>
    <w:lvl w:ilvl="0">
      <w:start w:val="3"/>
      <w:numFmt w:val="decimal"/>
      <w:lvlText w:val="%1"/>
      <w:lvlJc w:val="left"/>
      <w:pPr>
        <w:ind w:left="480" w:hanging="480"/>
      </w:pPr>
    </w:lvl>
    <w:lvl w:ilvl="1">
      <w:start w:val="5"/>
      <w:numFmt w:val="decimal"/>
      <w:lvlText w:val="%1.%2"/>
      <w:lvlJc w:val="left"/>
      <w:pPr>
        <w:ind w:left="480" w:hanging="48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6E62DDC"/>
    <w:multiLevelType w:val="multilevel"/>
    <w:tmpl w:val="10E21814"/>
    <w:lvl w:ilvl="0">
      <w:start w:val="3"/>
      <w:numFmt w:val="decimal"/>
      <w:lvlText w:val="%1."/>
      <w:lvlJc w:val="left"/>
      <w:pPr>
        <w:ind w:left="571" w:hanging="571"/>
      </w:pPr>
      <w:rPr>
        <w:rFonts w:hint="default"/>
      </w:rPr>
    </w:lvl>
    <w:lvl w:ilvl="1">
      <w:start w:val="5"/>
      <w:numFmt w:val="decimal"/>
      <w:lvlText w:val="%1.%2."/>
      <w:lvlJc w:val="left"/>
      <w:pPr>
        <w:ind w:left="571" w:hanging="571"/>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1B56552"/>
    <w:multiLevelType w:val="hybridMultilevel"/>
    <w:tmpl w:val="D62602AC"/>
    <w:lvl w:ilvl="0" w:tplc="8AB22F02">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8F54864"/>
    <w:multiLevelType w:val="hybridMultilevel"/>
    <w:tmpl w:val="D9BEFA60"/>
    <w:lvl w:ilvl="0" w:tplc="3D368AD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59A773F"/>
    <w:multiLevelType w:val="multilevel"/>
    <w:tmpl w:val="F2E848F6"/>
    <w:lvl w:ilvl="0">
      <w:start w:val="3"/>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9"/>
  </w:num>
  <w:num w:numId="2">
    <w:abstractNumId w:val="5"/>
  </w:num>
  <w:num w:numId="3">
    <w:abstractNumId w:val="4"/>
  </w:num>
  <w:num w:numId="4">
    <w:abstractNumId w:val="1"/>
  </w:num>
  <w:num w:numId="5">
    <w:abstractNumId w:val="7"/>
  </w:num>
  <w:num w:numId="6">
    <w:abstractNumId w:val="8"/>
  </w:num>
  <w:num w:numId="7">
    <w:abstractNumId w:val="6"/>
  </w:num>
  <w:num w:numId="8">
    <w:abstractNumId w:val="3"/>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AA9"/>
    <w:rsid w:val="000017BF"/>
    <w:rsid w:val="00002038"/>
    <w:rsid w:val="0000239D"/>
    <w:rsid w:val="00002E78"/>
    <w:rsid w:val="0000360A"/>
    <w:rsid w:val="000073D6"/>
    <w:rsid w:val="0001379A"/>
    <w:rsid w:val="0001411D"/>
    <w:rsid w:val="0001571A"/>
    <w:rsid w:val="00016296"/>
    <w:rsid w:val="0001712E"/>
    <w:rsid w:val="00022E03"/>
    <w:rsid w:val="00025952"/>
    <w:rsid w:val="00031563"/>
    <w:rsid w:val="00031EDA"/>
    <w:rsid w:val="0003413F"/>
    <w:rsid w:val="00034172"/>
    <w:rsid w:val="00036BDE"/>
    <w:rsid w:val="00042FC9"/>
    <w:rsid w:val="000441B1"/>
    <w:rsid w:val="00045483"/>
    <w:rsid w:val="00047642"/>
    <w:rsid w:val="00047A17"/>
    <w:rsid w:val="00054031"/>
    <w:rsid w:val="000574B5"/>
    <w:rsid w:val="000575B1"/>
    <w:rsid w:val="000637DC"/>
    <w:rsid w:val="00074FE5"/>
    <w:rsid w:val="00075491"/>
    <w:rsid w:val="000761ED"/>
    <w:rsid w:val="0007680D"/>
    <w:rsid w:val="00076CB4"/>
    <w:rsid w:val="00082F5A"/>
    <w:rsid w:val="000831E9"/>
    <w:rsid w:val="00083AC2"/>
    <w:rsid w:val="000849E3"/>
    <w:rsid w:val="00084F43"/>
    <w:rsid w:val="00086973"/>
    <w:rsid w:val="00087B13"/>
    <w:rsid w:val="00095AFC"/>
    <w:rsid w:val="00096630"/>
    <w:rsid w:val="000A1617"/>
    <w:rsid w:val="000A36EA"/>
    <w:rsid w:val="000B08EA"/>
    <w:rsid w:val="000B0DFB"/>
    <w:rsid w:val="000B15C7"/>
    <w:rsid w:val="000B6E33"/>
    <w:rsid w:val="000B7E5D"/>
    <w:rsid w:val="000C3E6E"/>
    <w:rsid w:val="000C6E21"/>
    <w:rsid w:val="000C74E2"/>
    <w:rsid w:val="000C7D61"/>
    <w:rsid w:val="000D149F"/>
    <w:rsid w:val="000D62DC"/>
    <w:rsid w:val="000D62E8"/>
    <w:rsid w:val="000E08BB"/>
    <w:rsid w:val="000E7DDE"/>
    <w:rsid w:val="000F1B5E"/>
    <w:rsid w:val="000F35B5"/>
    <w:rsid w:val="000F3A2D"/>
    <w:rsid w:val="000F3C8B"/>
    <w:rsid w:val="000F5983"/>
    <w:rsid w:val="000F630D"/>
    <w:rsid w:val="000F6DCE"/>
    <w:rsid w:val="000F7EE1"/>
    <w:rsid w:val="0010186A"/>
    <w:rsid w:val="001019C1"/>
    <w:rsid w:val="00104E9F"/>
    <w:rsid w:val="00105C13"/>
    <w:rsid w:val="00105E4B"/>
    <w:rsid w:val="001068B9"/>
    <w:rsid w:val="00106C04"/>
    <w:rsid w:val="001119C5"/>
    <w:rsid w:val="001128B7"/>
    <w:rsid w:val="00114D22"/>
    <w:rsid w:val="001177C3"/>
    <w:rsid w:val="00124B1A"/>
    <w:rsid w:val="00127622"/>
    <w:rsid w:val="00136753"/>
    <w:rsid w:val="00141144"/>
    <w:rsid w:val="00145263"/>
    <w:rsid w:val="00146277"/>
    <w:rsid w:val="0014790E"/>
    <w:rsid w:val="00150291"/>
    <w:rsid w:val="00150CAD"/>
    <w:rsid w:val="001512B7"/>
    <w:rsid w:val="00155807"/>
    <w:rsid w:val="00162674"/>
    <w:rsid w:val="00162F83"/>
    <w:rsid w:val="001668D7"/>
    <w:rsid w:val="00167772"/>
    <w:rsid w:val="00173F02"/>
    <w:rsid w:val="00180FF4"/>
    <w:rsid w:val="001877A5"/>
    <w:rsid w:val="00195DAD"/>
    <w:rsid w:val="001963F7"/>
    <w:rsid w:val="00197A52"/>
    <w:rsid w:val="001A0A3B"/>
    <w:rsid w:val="001A1B1C"/>
    <w:rsid w:val="001A2980"/>
    <w:rsid w:val="001A400E"/>
    <w:rsid w:val="001A5424"/>
    <w:rsid w:val="001A6BF0"/>
    <w:rsid w:val="001A7FF1"/>
    <w:rsid w:val="001B2E7F"/>
    <w:rsid w:val="001B49E9"/>
    <w:rsid w:val="001B77AE"/>
    <w:rsid w:val="001C2DCF"/>
    <w:rsid w:val="001C2E13"/>
    <w:rsid w:val="001C5791"/>
    <w:rsid w:val="001C7C6D"/>
    <w:rsid w:val="001D37CA"/>
    <w:rsid w:val="001D4F73"/>
    <w:rsid w:val="001D704E"/>
    <w:rsid w:val="001E1594"/>
    <w:rsid w:val="001E295F"/>
    <w:rsid w:val="001E5D57"/>
    <w:rsid w:val="001E6F3D"/>
    <w:rsid w:val="001F1529"/>
    <w:rsid w:val="001F3D29"/>
    <w:rsid w:val="001F4B77"/>
    <w:rsid w:val="001F5973"/>
    <w:rsid w:val="001F6AFE"/>
    <w:rsid w:val="002025E6"/>
    <w:rsid w:val="002028B4"/>
    <w:rsid w:val="002069B4"/>
    <w:rsid w:val="00206C6A"/>
    <w:rsid w:val="00206D9D"/>
    <w:rsid w:val="00210F51"/>
    <w:rsid w:val="00212DF5"/>
    <w:rsid w:val="002135A3"/>
    <w:rsid w:val="00213C3A"/>
    <w:rsid w:val="00215091"/>
    <w:rsid w:val="00217793"/>
    <w:rsid w:val="0021783D"/>
    <w:rsid w:val="00217F21"/>
    <w:rsid w:val="0022065D"/>
    <w:rsid w:val="00220A95"/>
    <w:rsid w:val="00220F7B"/>
    <w:rsid w:val="00241470"/>
    <w:rsid w:val="00246E1A"/>
    <w:rsid w:val="00247283"/>
    <w:rsid w:val="0024748D"/>
    <w:rsid w:val="00250518"/>
    <w:rsid w:val="00250DE1"/>
    <w:rsid w:val="00251D38"/>
    <w:rsid w:val="00254071"/>
    <w:rsid w:val="00255246"/>
    <w:rsid w:val="0025733F"/>
    <w:rsid w:val="002574C4"/>
    <w:rsid w:val="002609F3"/>
    <w:rsid w:val="00263666"/>
    <w:rsid w:val="00264AF1"/>
    <w:rsid w:val="0026651E"/>
    <w:rsid w:val="00267335"/>
    <w:rsid w:val="002717A3"/>
    <w:rsid w:val="00271D81"/>
    <w:rsid w:val="002730A6"/>
    <w:rsid w:val="00273459"/>
    <w:rsid w:val="002742CD"/>
    <w:rsid w:val="0027617D"/>
    <w:rsid w:val="00276EF3"/>
    <w:rsid w:val="00277AB3"/>
    <w:rsid w:val="0028264A"/>
    <w:rsid w:val="00285E6F"/>
    <w:rsid w:val="00290638"/>
    <w:rsid w:val="00291CF1"/>
    <w:rsid w:val="002940C2"/>
    <w:rsid w:val="002942B7"/>
    <w:rsid w:val="002944F0"/>
    <w:rsid w:val="0029788E"/>
    <w:rsid w:val="002A214B"/>
    <w:rsid w:val="002A519D"/>
    <w:rsid w:val="002B011E"/>
    <w:rsid w:val="002B2D01"/>
    <w:rsid w:val="002B2F2A"/>
    <w:rsid w:val="002B38D3"/>
    <w:rsid w:val="002B4151"/>
    <w:rsid w:val="002B572A"/>
    <w:rsid w:val="002B5A84"/>
    <w:rsid w:val="002B61CA"/>
    <w:rsid w:val="002B66DA"/>
    <w:rsid w:val="002B785A"/>
    <w:rsid w:val="002B7B4A"/>
    <w:rsid w:val="002C1347"/>
    <w:rsid w:val="002C1DDE"/>
    <w:rsid w:val="002C491E"/>
    <w:rsid w:val="002C6610"/>
    <w:rsid w:val="002C732D"/>
    <w:rsid w:val="002D026B"/>
    <w:rsid w:val="002D22C3"/>
    <w:rsid w:val="002D5ECA"/>
    <w:rsid w:val="002D6655"/>
    <w:rsid w:val="002E11E4"/>
    <w:rsid w:val="002E1AC5"/>
    <w:rsid w:val="002E4228"/>
    <w:rsid w:val="002E6245"/>
    <w:rsid w:val="002E6AB5"/>
    <w:rsid w:val="002F35EC"/>
    <w:rsid w:val="002F3DA3"/>
    <w:rsid w:val="002F40EE"/>
    <w:rsid w:val="002F5F4D"/>
    <w:rsid w:val="00302AD4"/>
    <w:rsid w:val="0030704E"/>
    <w:rsid w:val="0030746B"/>
    <w:rsid w:val="00311971"/>
    <w:rsid w:val="00317275"/>
    <w:rsid w:val="003175CB"/>
    <w:rsid w:val="0031797A"/>
    <w:rsid w:val="00323128"/>
    <w:rsid w:val="00324C1A"/>
    <w:rsid w:val="00326094"/>
    <w:rsid w:val="0033082C"/>
    <w:rsid w:val="00330AA1"/>
    <w:rsid w:val="00331018"/>
    <w:rsid w:val="0033130D"/>
    <w:rsid w:val="003319E5"/>
    <w:rsid w:val="003319F3"/>
    <w:rsid w:val="00334080"/>
    <w:rsid w:val="00334A7E"/>
    <w:rsid w:val="00341384"/>
    <w:rsid w:val="0034594F"/>
    <w:rsid w:val="00346C2D"/>
    <w:rsid w:val="00347052"/>
    <w:rsid w:val="003479BD"/>
    <w:rsid w:val="00350003"/>
    <w:rsid w:val="003522EC"/>
    <w:rsid w:val="00354678"/>
    <w:rsid w:val="003573D7"/>
    <w:rsid w:val="003610B4"/>
    <w:rsid w:val="00361E12"/>
    <w:rsid w:val="0036210A"/>
    <w:rsid w:val="00365465"/>
    <w:rsid w:val="0036548B"/>
    <w:rsid w:val="00366B72"/>
    <w:rsid w:val="00367BED"/>
    <w:rsid w:val="00370EBB"/>
    <w:rsid w:val="003726C8"/>
    <w:rsid w:val="00372D4D"/>
    <w:rsid w:val="00372DE5"/>
    <w:rsid w:val="0037407C"/>
    <w:rsid w:val="00374563"/>
    <w:rsid w:val="00374989"/>
    <w:rsid w:val="00375CA8"/>
    <w:rsid w:val="003773EA"/>
    <w:rsid w:val="0038254D"/>
    <w:rsid w:val="003843F4"/>
    <w:rsid w:val="003877F1"/>
    <w:rsid w:val="00390883"/>
    <w:rsid w:val="00390C38"/>
    <w:rsid w:val="0039197A"/>
    <w:rsid w:val="0039235D"/>
    <w:rsid w:val="003945F7"/>
    <w:rsid w:val="0039668B"/>
    <w:rsid w:val="003A03DB"/>
    <w:rsid w:val="003A08D0"/>
    <w:rsid w:val="003A3ED4"/>
    <w:rsid w:val="003A436E"/>
    <w:rsid w:val="003A55AE"/>
    <w:rsid w:val="003A5EA2"/>
    <w:rsid w:val="003B1116"/>
    <w:rsid w:val="003B1308"/>
    <w:rsid w:val="003B2ADB"/>
    <w:rsid w:val="003B3BB1"/>
    <w:rsid w:val="003B3DED"/>
    <w:rsid w:val="003C1739"/>
    <w:rsid w:val="003C2349"/>
    <w:rsid w:val="003C2D1D"/>
    <w:rsid w:val="003C4DD5"/>
    <w:rsid w:val="003C5C4B"/>
    <w:rsid w:val="003C6386"/>
    <w:rsid w:val="003C6FBD"/>
    <w:rsid w:val="003D62CD"/>
    <w:rsid w:val="003D6807"/>
    <w:rsid w:val="003D71E4"/>
    <w:rsid w:val="003E0D2B"/>
    <w:rsid w:val="003E17F1"/>
    <w:rsid w:val="003E4D26"/>
    <w:rsid w:val="003E5B9A"/>
    <w:rsid w:val="003E7CAC"/>
    <w:rsid w:val="003F0F4A"/>
    <w:rsid w:val="003F49ED"/>
    <w:rsid w:val="00401C13"/>
    <w:rsid w:val="00402DCB"/>
    <w:rsid w:val="00403FC6"/>
    <w:rsid w:val="00407A22"/>
    <w:rsid w:val="00407DC0"/>
    <w:rsid w:val="004100F8"/>
    <w:rsid w:val="004130D1"/>
    <w:rsid w:val="00415909"/>
    <w:rsid w:val="00420FC1"/>
    <w:rsid w:val="004262FA"/>
    <w:rsid w:val="0042755A"/>
    <w:rsid w:val="0043054A"/>
    <w:rsid w:val="00431137"/>
    <w:rsid w:val="004371FA"/>
    <w:rsid w:val="00443B16"/>
    <w:rsid w:val="00445AE2"/>
    <w:rsid w:val="0045331B"/>
    <w:rsid w:val="00460983"/>
    <w:rsid w:val="00460A14"/>
    <w:rsid w:val="004636A2"/>
    <w:rsid w:val="00464F25"/>
    <w:rsid w:val="004708C5"/>
    <w:rsid w:val="00470B65"/>
    <w:rsid w:val="00473B19"/>
    <w:rsid w:val="0048425D"/>
    <w:rsid w:val="004848B9"/>
    <w:rsid w:val="00484D2B"/>
    <w:rsid w:val="00491219"/>
    <w:rsid w:val="00495147"/>
    <w:rsid w:val="00495A40"/>
    <w:rsid w:val="00495A79"/>
    <w:rsid w:val="00496C39"/>
    <w:rsid w:val="004A3B12"/>
    <w:rsid w:val="004A715A"/>
    <w:rsid w:val="004A7445"/>
    <w:rsid w:val="004B08F6"/>
    <w:rsid w:val="004B1823"/>
    <w:rsid w:val="004B1828"/>
    <w:rsid w:val="004B2CD3"/>
    <w:rsid w:val="004B3A14"/>
    <w:rsid w:val="004B4C8B"/>
    <w:rsid w:val="004C1F91"/>
    <w:rsid w:val="004C22C6"/>
    <w:rsid w:val="004C70CD"/>
    <w:rsid w:val="004D0691"/>
    <w:rsid w:val="004D1B40"/>
    <w:rsid w:val="004D347A"/>
    <w:rsid w:val="004D7F57"/>
    <w:rsid w:val="004E0666"/>
    <w:rsid w:val="004E13D6"/>
    <w:rsid w:val="004E18A5"/>
    <w:rsid w:val="004E25D3"/>
    <w:rsid w:val="004E61D1"/>
    <w:rsid w:val="004E7598"/>
    <w:rsid w:val="004F0E9A"/>
    <w:rsid w:val="004F39C0"/>
    <w:rsid w:val="004F4F58"/>
    <w:rsid w:val="004F4FEB"/>
    <w:rsid w:val="004F6178"/>
    <w:rsid w:val="004F74A5"/>
    <w:rsid w:val="00502BE8"/>
    <w:rsid w:val="00504D2F"/>
    <w:rsid w:val="0050538D"/>
    <w:rsid w:val="00505DB5"/>
    <w:rsid w:val="005069C7"/>
    <w:rsid w:val="00510BE9"/>
    <w:rsid w:val="00513546"/>
    <w:rsid w:val="00515DFD"/>
    <w:rsid w:val="00517C5A"/>
    <w:rsid w:val="00520789"/>
    <w:rsid w:val="005229AF"/>
    <w:rsid w:val="00523D13"/>
    <w:rsid w:val="0052462D"/>
    <w:rsid w:val="0053236B"/>
    <w:rsid w:val="00533FE0"/>
    <w:rsid w:val="005342FC"/>
    <w:rsid w:val="00537C4D"/>
    <w:rsid w:val="00543398"/>
    <w:rsid w:val="005449CD"/>
    <w:rsid w:val="00544B7A"/>
    <w:rsid w:val="00546ED8"/>
    <w:rsid w:val="00551016"/>
    <w:rsid w:val="00555222"/>
    <w:rsid w:val="00556BAD"/>
    <w:rsid w:val="0055744E"/>
    <w:rsid w:val="0056119E"/>
    <w:rsid w:val="0056120E"/>
    <w:rsid w:val="00561E9D"/>
    <w:rsid w:val="00563270"/>
    <w:rsid w:val="005633B1"/>
    <w:rsid w:val="00565C8A"/>
    <w:rsid w:val="00566EDB"/>
    <w:rsid w:val="00570CF7"/>
    <w:rsid w:val="00570D14"/>
    <w:rsid w:val="00571417"/>
    <w:rsid w:val="00574131"/>
    <w:rsid w:val="00587F54"/>
    <w:rsid w:val="00596F89"/>
    <w:rsid w:val="005A0A55"/>
    <w:rsid w:val="005A3495"/>
    <w:rsid w:val="005A3F3E"/>
    <w:rsid w:val="005A4077"/>
    <w:rsid w:val="005B0BEA"/>
    <w:rsid w:val="005B1511"/>
    <w:rsid w:val="005B623B"/>
    <w:rsid w:val="005B65E9"/>
    <w:rsid w:val="005B6892"/>
    <w:rsid w:val="005C051F"/>
    <w:rsid w:val="005C170E"/>
    <w:rsid w:val="005C4579"/>
    <w:rsid w:val="005C4F00"/>
    <w:rsid w:val="005D2CA1"/>
    <w:rsid w:val="005D3EE7"/>
    <w:rsid w:val="005D7339"/>
    <w:rsid w:val="005E0213"/>
    <w:rsid w:val="005E2CE3"/>
    <w:rsid w:val="005E3618"/>
    <w:rsid w:val="005E3735"/>
    <w:rsid w:val="005E73CA"/>
    <w:rsid w:val="005E7A48"/>
    <w:rsid w:val="005F13F4"/>
    <w:rsid w:val="005F303F"/>
    <w:rsid w:val="005F3FA0"/>
    <w:rsid w:val="005F3FED"/>
    <w:rsid w:val="005F44EF"/>
    <w:rsid w:val="005F4B5A"/>
    <w:rsid w:val="005F5612"/>
    <w:rsid w:val="00600B3D"/>
    <w:rsid w:val="0060131F"/>
    <w:rsid w:val="00602009"/>
    <w:rsid w:val="00602505"/>
    <w:rsid w:val="00603481"/>
    <w:rsid w:val="00603D33"/>
    <w:rsid w:val="00604531"/>
    <w:rsid w:val="006056A6"/>
    <w:rsid w:val="0060751A"/>
    <w:rsid w:val="00607CF1"/>
    <w:rsid w:val="00613272"/>
    <w:rsid w:val="00614E13"/>
    <w:rsid w:val="0061516D"/>
    <w:rsid w:val="0061650F"/>
    <w:rsid w:val="00617ABC"/>
    <w:rsid w:val="006216C4"/>
    <w:rsid w:val="00621D17"/>
    <w:rsid w:val="00625F2E"/>
    <w:rsid w:val="0063523A"/>
    <w:rsid w:val="00636614"/>
    <w:rsid w:val="00642443"/>
    <w:rsid w:val="00644199"/>
    <w:rsid w:val="00644996"/>
    <w:rsid w:val="00645C9C"/>
    <w:rsid w:val="00645D0B"/>
    <w:rsid w:val="00646343"/>
    <w:rsid w:val="0064681B"/>
    <w:rsid w:val="00647202"/>
    <w:rsid w:val="006477AB"/>
    <w:rsid w:val="00651103"/>
    <w:rsid w:val="00651581"/>
    <w:rsid w:val="006530D8"/>
    <w:rsid w:val="00653CDD"/>
    <w:rsid w:val="006568D7"/>
    <w:rsid w:val="00657539"/>
    <w:rsid w:val="00660415"/>
    <w:rsid w:val="00661938"/>
    <w:rsid w:val="00664AF1"/>
    <w:rsid w:val="006703AD"/>
    <w:rsid w:val="0067067B"/>
    <w:rsid w:val="00672826"/>
    <w:rsid w:val="00674E5B"/>
    <w:rsid w:val="006752E6"/>
    <w:rsid w:val="006771D2"/>
    <w:rsid w:val="0068235E"/>
    <w:rsid w:val="00682EEA"/>
    <w:rsid w:val="0068626D"/>
    <w:rsid w:val="00694103"/>
    <w:rsid w:val="006A08AE"/>
    <w:rsid w:val="006A44E6"/>
    <w:rsid w:val="006B2AF7"/>
    <w:rsid w:val="006B3508"/>
    <w:rsid w:val="006B429C"/>
    <w:rsid w:val="006B42C2"/>
    <w:rsid w:val="006B5451"/>
    <w:rsid w:val="006C2040"/>
    <w:rsid w:val="006C2F8E"/>
    <w:rsid w:val="006D29A6"/>
    <w:rsid w:val="006D7FEF"/>
    <w:rsid w:val="006E00AE"/>
    <w:rsid w:val="006E0943"/>
    <w:rsid w:val="006E0DF8"/>
    <w:rsid w:val="006E30EE"/>
    <w:rsid w:val="006E765C"/>
    <w:rsid w:val="006F481F"/>
    <w:rsid w:val="00701948"/>
    <w:rsid w:val="00704D22"/>
    <w:rsid w:val="00706A96"/>
    <w:rsid w:val="007072AD"/>
    <w:rsid w:val="00707B36"/>
    <w:rsid w:val="00711262"/>
    <w:rsid w:val="007116BD"/>
    <w:rsid w:val="00711B3C"/>
    <w:rsid w:val="00713BFC"/>
    <w:rsid w:val="007254A5"/>
    <w:rsid w:val="0073264C"/>
    <w:rsid w:val="00732AD6"/>
    <w:rsid w:val="00734D8F"/>
    <w:rsid w:val="00736F96"/>
    <w:rsid w:val="00737399"/>
    <w:rsid w:val="00741806"/>
    <w:rsid w:val="00741D39"/>
    <w:rsid w:val="0074452A"/>
    <w:rsid w:val="00745473"/>
    <w:rsid w:val="00747353"/>
    <w:rsid w:val="0074735A"/>
    <w:rsid w:val="007536F9"/>
    <w:rsid w:val="007544F1"/>
    <w:rsid w:val="0075776A"/>
    <w:rsid w:val="00757DFF"/>
    <w:rsid w:val="00762FE2"/>
    <w:rsid w:val="00763663"/>
    <w:rsid w:val="007655BB"/>
    <w:rsid w:val="00765D22"/>
    <w:rsid w:val="00771185"/>
    <w:rsid w:val="00771C04"/>
    <w:rsid w:val="00772A78"/>
    <w:rsid w:val="00772A8A"/>
    <w:rsid w:val="007745EF"/>
    <w:rsid w:val="00776206"/>
    <w:rsid w:val="007776DE"/>
    <w:rsid w:val="00777D8B"/>
    <w:rsid w:val="00782780"/>
    <w:rsid w:val="00783DEA"/>
    <w:rsid w:val="00785943"/>
    <w:rsid w:val="007864F0"/>
    <w:rsid w:val="007903DF"/>
    <w:rsid w:val="0079343C"/>
    <w:rsid w:val="007A15F1"/>
    <w:rsid w:val="007A213D"/>
    <w:rsid w:val="007A2C99"/>
    <w:rsid w:val="007A3D17"/>
    <w:rsid w:val="007A5BE1"/>
    <w:rsid w:val="007A5E8E"/>
    <w:rsid w:val="007A627F"/>
    <w:rsid w:val="007A6FB8"/>
    <w:rsid w:val="007A7009"/>
    <w:rsid w:val="007B3A2C"/>
    <w:rsid w:val="007B3B05"/>
    <w:rsid w:val="007B3E5D"/>
    <w:rsid w:val="007B6A69"/>
    <w:rsid w:val="007C349B"/>
    <w:rsid w:val="007C375F"/>
    <w:rsid w:val="007D6104"/>
    <w:rsid w:val="007D67BD"/>
    <w:rsid w:val="007D6F47"/>
    <w:rsid w:val="007E2142"/>
    <w:rsid w:val="007E37CA"/>
    <w:rsid w:val="007E425F"/>
    <w:rsid w:val="007E6D70"/>
    <w:rsid w:val="007E7D7F"/>
    <w:rsid w:val="007F0807"/>
    <w:rsid w:val="007F5A29"/>
    <w:rsid w:val="007F6D24"/>
    <w:rsid w:val="007F7E25"/>
    <w:rsid w:val="0080060F"/>
    <w:rsid w:val="008010EE"/>
    <w:rsid w:val="008017BE"/>
    <w:rsid w:val="00802679"/>
    <w:rsid w:val="00805551"/>
    <w:rsid w:val="00807648"/>
    <w:rsid w:val="008113FE"/>
    <w:rsid w:val="008114CC"/>
    <w:rsid w:val="00811824"/>
    <w:rsid w:val="00811AA6"/>
    <w:rsid w:val="0081461D"/>
    <w:rsid w:val="00815421"/>
    <w:rsid w:val="008155D5"/>
    <w:rsid w:val="00816456"/>
    <w:rsid w:val="0082100D"/>
    <w:rsid w:val="00825344"/>
    <w:rsid w:val="00831C3D"/>
    <w:rsid w:val="008333F7"/>
    <w:rsid w:val="008341C5"/>
    <w:rsid w:val="00842EBC"/>
    <w:rsid w:val="00846292"/>
    <w:rsid w:val="00846DB0"/>
    <w:rsid w:val="0085057A"/>
    <w:rsid w:val="00850762"/>
    <w:rsid w:val="008519C4"/>
    <w:rsid w:val="008524E9"/>
    <w:rsid w:val="00856A64"/>
    <w:rsid w:val="00857F32"/>
    <w:rsid w:val="00860B03"/>
    <w:rsid w:val="0087094D"/>
    <w:rsid w:val="00870959"/>
    <w:rsid w:val="008758D5"/>
    <w:rsid w:val="00875B83"/>
    <w:rsid w:val="00876CCF"/>
    <w:rsid w:val="0087729B"/>
    <w:rsid w:val="00880686"/>
    <w:rsid w:val="0088187B"/>
    <w:rsid w:val="00882F0D"/>
    <w:rsid w:val="00886415"/>
    <w:rsid w:val="00886B67"/>
    <w:rsid w:val="008911DC"/>
    <w:rsid w:val="00894540"/>
    <w:rsid w:val="008963E0"/>
    <w:rsid w:val="00897561"/>
    <w:rsid w:val="00897F95"/>
    <w:rsid w:val="008A0602"/>
    <w:rsid w:val="008A30EE"/>
    <w:rsid w:val="008A3CD1"/>
    <w:rsid w:val="008A5857"/>
    <w:rsid w:val="008A78A0"/>
    <w:rsid w:val="008B185B"/>
    <w:rsid w:val="008B2808"/>
    <w:rsid w:val="008B310D"/>
    <w:rsid w:val="008B460F"/>
    <w:rsid w:val="008B6C9C"/>
    <w:rsid w:val="008B70A1"/>
    <w:rsid w:val="008B7162"/>
    <w:rsid w:val="008C42FC"/>
    <w:rsid w:val="008C5BE9"/>
    <w:rsid w:val="008C6812"/>
    <w:rsid w:val="008C68AA"/>
    <w:rsid w:val="008C6A23"/>
    <w:rsid w:val="008D165A"/>
    <w:rsid w:val="008D23FC"/>
    <w:rsid w:val="008D523D"/>
    <w:rsid w:val="008D5C34"/>
    <w:rsid w:val="008E116B"/>
    <w:rsid w:val="008E501B"/>
    <w:rsid w:val="008F02B5"/>
    <w:rsid w:val="008F0B86"/>
    <w:rsid w:val="008F1244"/>
    <w:rsid w:val="008F43C2"/>
    <w:rsid w:val="008F5AA5"/>
    <w:rsid w:val="008F6F59"/>
    <w:rsid w:val="008F7669"/>
    <w:rsid w:val="00900096"/>
    <w:rsid w:val="009112EF"/>
    <w:rsid w:val="009135E9"/>
    <w:rsid w:val="0091370A"/>
    <w:rsid w:val="00917096"/>
    <w:rsid w:val="009174BE"/>
    <w:rsid w:val="0092162B"/>
    <w:rsid w:val="00923CFA"/>
    <w:rsid w:val="0092772C"/>
    <w:rsid w:val="009309B7"/>
    <w:rsid w:val="00930DC8"/>
    <w:rsid w:val="009314E8"/>
    <w:rsid w:val="009342E5"/>
    <w:rsid w:val="0093510E"/>
    <w:rsid w:val="00943A0A"/>
    <w:rsid w:val="009451C8"/>
    <w:rsid w:val="009472AE"/>
    <w:rsid w:val="009475CD"/>
    <w:rsid w:val="00950AA2"/>
    <w:rsid w:val="00954E30"/>
    <w:rsid w:val="009619A0"/>
    <w:rsid w:val="00961C7A"/>
    <w:rsid w:val="00963DB6"/>
    <w:rsid w:val="009667BC"/>
    <w:rsid w:val="00970EBD"/>
    <w:rsid w:val="0097324F"/>
    <w:rsid w:val="009779A8"/>
    <w:rsid w:val="00982A45"/>
    <w:rsid w:val="009871D5"/>
    <w:rsid w:val="00987710"/>
    <w:rsid w:val="009906C0"/>
    <w:rsid w:val="00990E40"/>
    <w:rsid w:val="00990F02"/>
    <w:rsid w:val="009917B8"/>
    <w:rsid w:val="00991AC7"/>
    <w:rsid w:val="009A20F9"/>
    <w:rsid w:val="009B1756"/>
    <w:rsid w:val="009B2710"/>
    <w:rsid w:val="009B4154"/>
    <w:rsid w:val="009B5F2A"/>
    <w:rsid w:val="009B6D1B"/>
    <w:rsid w:val="009C21D2"/>
    <w:rsid w:val="009C56E0"/>
    <w:rsid w:val="009C60DE"/>
    <w:rsid w:val="009D3E4D"/>
    <w:rsid w:val="009D6159"/>
    <w:rsid w:val="009D76FF"/>
    <w:rsid w:val="009D7C26"/>
    <w:rsid w:val="009E049D"/>
    <w:rsid w:val="009E1166"/>
    <w:rsid w:val="009E5BD2"/>
    <w:rsid w:val="009E6E03"/>
    <w:rsid w:val="009F0C7A"/>
    <w:rsid w:val="009F11A0"/>
    <w:rsid w:val="009F1D18"/>
    <w:rsid w:val="009F2035"/>
    <w:rsid w:val="009F3427"/>
    <w:rsid w:val="009F3ADB"/>
    <w:rsid w:val="00A008EC"/>
    <w:rsid w:val="00A02371"/>
    <w:rsid w:val="00A02C5C"/>
    <w:rsid w:val="00A05186"/>
    <w:rsid w:val="00A05337"/>
    <w:rsid w:val="00A10788"/>
    <w:rsid w:val="00A10F89"/>
    <w:rsid w:val="00A11994"/>
    <w:rsid w:val="00A1268C"/>
    <w:rsid w:val="00A1325D"/>
    <w:rsid w:val="00A133EB"/>
    <w:rsid w:val="00A15859"/>
    <w:rsid w:val="00A15A18"/>
    <w:rsid w:val="00A15AA9"/>
    <w:rsid w:val="00A2264E"/>
    <w:rsid w:val="00A27602"/>
    <w:rsid w:val="00A27F73"/>
    <w:rsid w:val="00A31995"/>
    <w:rsid w:val="00A32E30"/>
    <w:rsid w:val="00A35D5E"/>
    <w:rsid w:val="00A40B11"/>
    <w:rsid w:val="00A41EBD"/>
    <w:rsid w:val="00A42247"/>
    <w:rsid w:val="00A47024"/>
    <w:rsid w:val="00A535D8"/>
    <w:rsid w:val="00A544A6"/>
    <w:rsid w:val="00A5668F"/>
    <w:rsid w:val="00A604F8"/>
    <w:rsid w:val="00A6342D"/>
    <w:rsid w:val="00A63DE1"/>
    <w:rsid w:val="00A64435"/>
    <w:rsid w:val="00A67CD4"/>
    <w:rsid w:val="00A70491"/>
    <w:rsid w:val="00A73BB5"/>
    <w:rsid w:val="00A77C7C"/>
    <w:rsid w:val="00A80286"/>
    <w:rsid w:val="00A81C27"/>
    <w:rsid w:val="00A83B91"/>
    <w:rsid w:val="00A90219"/>
    <w:rsid w:val="00A9219C"/>
    <w:rsid w:val="00A92222"/>
    <w:rsid w:val="00A933FC"/>
    <w:rsid w:val="00A93A07"/>
    <w:rsid w:val="00A94EB9"/>
    <w:rsid w:val="00AA182D"/>
    <w:rsid w:val="00AA1BE0"/>
    <w:rsid w:val="00AA23B2"/>
    <w:rsid w:val="00AA402B"/>
    <w:rsid w:val="00AA748A"/>
    <w:rsid w:val="00AB053E"/>
    <w:rsid w:val="00AB1017"/>
    <w:rsid w:val="00AB11B5"/>
    <w:rsid w:val="00AB33A2"/>
    <w:rsid w:val="00AB3DB5"/>
    <w:rsid w:val="00AB47F3"/>
    <w:rsid w:val="00AB52CF"/>
    <w:rsid w:val="00AC0D73"/>
    <w:rsid w:val="00AC2608"/>
    <w:rsid w:val="00AC4DCB"/>
    <w:rsid w:val="00AD20AD"/>
    <w:rsid w:val="00AD2AC2"/>
    <w:rsid w:val="00AD42F1"/>
    <w:rsid w:val="00AD4DFB"/>
    <w:rsid w:val="00AD7162"/>
    <w:rsid w:val="00AE2EEB"/>
    <w:rsid w:val="00AE5434"/>
    <w:rsid w:val="00AE7301"/>
    <w:rsid w:val="00AF090F"/>
    <w:rsid w:val="00AF1185"/>
    <w:rsid w:val="00AF1DFA"/>
    <w:rsid w:val="00AF21DC"/>
    <w:rsid w:val="00AF461A"/>
    <w:rsid w:val="00AF7753"/>
    <w:rsid w:val="00B00D87"/>
    <w:rsid w:val="00B01080"/>
    <w:rsid w:val="00B03D6C"/>
    <w:rsid w:val="00B05E00"/>
    <w:rsid w:val="00B07D3A"/>
    <w:rsid w:val="00B07F2D"/>
    <w:rsid w:val="00B1314F"/>
    <w:rsid w:val="00B1320E"/>
    <w:rsid w:val="00B137BE"/>
    <w:rsid w:val="00B152E1"/>
    <w:rsid w:val="00B166FC"/>
    <w:rsid w:val="00B2318D"/>
    <w:rsid w:val="00B2549C"/>
    <w:rsid w:val="00B33676"/>
    <w:rsid w:val="00B3404D"/>
    <w:rsid w:val="00B34067"/>
    <w:rsid w:val="00B37205"/>
    <w:rsid w:val="00B37ACE"/>
    <w:rsid w:val="00B42236"/>
    <w:rsid w:val="00B46F2E"/>
    <w:rsid w:val="00B55289"/>
    <w:rsid w:val="00B57872"/>
    <w:rsid w:val="00B60802"/>
    <w:rsid w:val="00B61059"/>
    <w:rsid w:val="00B636E2"/>
    <w:rsid w:val="00B64F0F"/>
    <w:rsid w:val="00B6715C"/>
    <w:rsid w:val="00B7012C"/>
    <w:rsid w:val="00B7417E"/>
    <w:rsid w:val="00B77A7E"/>
    <w:rsid w:val="00B84567"/>
    <w:rsid w:val="00B8469E"/>
    <w:rsid w:val="00B87103"/>
    <w:rsid w:val="00B87550"/>
    <w:rsid w:val="00B87D5E"/>
    <w:rsid w:val="00B9394E"/>
    <w:rsid w:val="00B94D26"/>
    <w:rsid w:val="00B9564D"/>
    <w:rsid w:val="00B957CB"/>
    <w:rsid w:val="00B9659E"/>
    <w:rsid w:val="00B97655"/>
    <w:rsid w:val="00B97BB4"/>
    <w:rsid w:val="00BA2CE1"/>
    <w:rsid w:val="00BA329B"/>
    <w:rsid w:val="00BB249D"/>
    <w:rsid w:val="00BB2C8B"/>
    <w:rsid w:val="00BB4761"/>
    <w:rsid w:val="00BB633B"/>
    <w:rsid w:val="00BB7AA9"/>
    <w:rsid w:val="00BC02D4"/>
    <w:rsid w:val="00BC252B"/>
    <w:rsid w:val="00BC4460"/>
    <w:rsid w:val="00BC4574"/>
    <w:rsid w:val="00BD0045"/>
    <w:rsid w:val="00BD046D"/>
    <w:rsid w:val="00BD3AAD"/>
    <w:rsid w:val="00BD6490"/>
    <w:rsid w:val="00BD6771"/>
    <w:rsid w:val="00BD755B"/>
    <w:rsid w:val="00BE1102"/>
    <w:rsid w:val="00BE146F"/>
    <w:rsid w:val="00BE1951"/>
    <w:rsid w:val="00BE3553"/>
    <w:rsid w:val="00BE3FE3"/>
    <w:rsid w:val="00BE42E9"/>
    <w:rsid w:val="00BE6219"/>
    <w:rsid w:val="00BF0B94"/>
    <w:rsid w:val="00BF27F5"/>
    <w:rsid w:val="00BF6B77"/>
    <w:rsid w:val="00C015CF"/>
    <w:rsid w:val="00C02C57"/>
    <w:rsid w:val="00C033E8"/>
    <w:rsid w:val="00C04450"/>
    <w:rsid w:val="00C0647C"/>
    <w:rsid w:val="00C07089"/>
    <w:rsid w:val="00C11592"/>
    <w:rsid w:val="00C15011"/>
    <w:rsid w:val="00C1534D"/>
    <w:rsid w:val="00C212A1"/>
    <w:rsid w:val="00C22F48"/>
    <w:rsid w:val="00C2376D"/>
    <w:rsid w:val="00C25F0A"/>
    <w:rsid w:val="00C25F50"/>
    <w:rsid w:val="00C26F34"/>
    <w:rsid w:val="00C30D40"/>
    <w:rsid w:val="00C321AC"/>
    <w:rsid w:val="00C336C7"/>
    <w:rsid w:val="00C35492"/>
    <w:rsid w:val="00C35946"/>
    <w:rsid w:val="00C372EF"/>
    <w:rsid w:val="00C4187F"/>
    <w:rsid w:val="00C41FAA"/>
    <w:rsid w:val="00C44CE8"/>
    <w:rsid w:val="00C44E6F"/>
    <w:rsid w:val="00C455A8"/>
    <w:rsid w:val="00C45D9E"/>
    <w:rsid w:val="00C51FA6"/>
    <w:rsid w:val="00C5308F"/>
    <w:rsid w:val="00C559B3"/>
    <w:rsid w:val="00C55D17"/>
    <w:rsid w:val="00C6027F"/>
    <w:rsid w:val="00C615E9"/>
    <w:rsid w:val="00C64AB6"/>
    <w:rsid w:val="00C66EC6"/>
    <w:rsid w:val="00C71E12"/>
    <w:rsid w:val="00C71EE9"/>
    <w:rsid w:val="00C7471C"/>
    <w:rsid w:val="00C753AF"/>
    <w:rsid w:val="00C765FE"/>
    <w:rsid w:val="00C76993"/>
    <w:rsid w:val="00C76999"/>
    <w:rsid w:val="00C818A3"/>
    <w:rsid w:val="00C8703F"/>
    <w:rsid w:val="00C93919"/>
    <w:rsid w:val="00C95A07"/>
    <w:rsid w:val="00C95FA3"/>
    <w:rsid w:val="00CA49CB"/>
    <w:rsid w:val="00CA540E"/>
    <w:rsid w:val="00CA5B5B"/>
    <w:rsid w:val="00CA66CE"/>
    <w:rsid w:val="00CB318F"/>
    <w:rsid w:val="00CB463B"/>
    <w:rsid w:val="00CB46BD"/>
    <w:rsid w:val="00CB5B13"/>
    <w:rsid w:val="00CC40E1"/>
    <w:rsid w:val="00CC6ECE"/>
    <w:rsid w:val="00CC7D24"/>
    <w:rsid w:val="00CD0FB0"/>
    <w:rsid w:val="00CD55A4"/>
    <w:rsid w:val="00CD6CCC"/>
    <w:rsid w:val="00CE003E"/>
    <w:rsid w:val="00CE02D5"/>
    <w:rsid w:val="00CE38DA"/>
    <w:rsid w:val="00CE3B42"/>
    <w:rsid w:val="00CE471A"/>
    <w:rsid w:val="00CE5E1A"/>
    <w:rsid w:val="00CE69F2"/>
    <w:rsid w:val="00CF57E7"/>
    <w:rsid w:val="00D02B54"/>
    <w:rsid w:val="00D1111E"/>
    <w:rsid w:val="00D1135F"/>
    <w:rsid w:val="00D11F7B"/>
    <w:rsid w:val="00D12463"/>
    <w:rsid w:val="00D14897"/>
    <w:rsid w:val="00D17B35"/>
    <w:rsid w:val="00D17D74"/>
    <w:rsid w:val="00D20599"/>
    <w:rsid w:val="00D21070"/>
    <w:rsid w:val="00D217EA"/>
    <w:rsid w:val="00D23247"/>
    <w:rsid w:val="00D23B72"/>
    <w:rsid w:val="00D24A2F"/>
    <w:rsid w:val="00D24AFC"/>
    <w:rsid w:val="00D251EA"/>
    <w:rsid w:val="00D27227"/>
    <w:rsid w:val="00D27B94"/>
    <w:rsid w:val="00D330E7"/>
    <w:rsid w:val="00D33135"/>
    <w:rsid w:val="00D35BC4"/>
    <w:rsid w:val="00D41A78"/>
    <w:rsid w:val="00D463D4"/>
    <w:rsid w:val="00D467C1"/>
    <w:rsid w:val="00D47A71"/>
    <w:rsid w:val="00D50146"/>
    <w:rsid w:val="00D50B75"/>
    <w:rsid w:val="00D517BB"/>
    <w:rsid w:val="00D51C78"/>
    <w:rsid w:val="00D526BF"/>
    <w:rsid w:val="00D528C8"/>
    <w:rsid w:val="00D54CFE"/>
    <w:rsid w:val="00D561E9"/>
    <w:rsid w:val="00D57D89"/>
    <w:rsid w:val="00D60275"/>
    <w:rsid w:val="00D6482F"/>
    <w:rsid w:val="00D66E6D"/>
    <w:rsid w:val="00D671C9"/>
    <w:rsid w:val="00D70601"/>
    <w:rsid w:val="00D74AA3"/>
    <w:rsid w:val="00D74C32"/>
    <w:rsid w:val="00D74FD4"/>
    <w:rsid w:val="00D823A1"/>
    <w:rsid w:val="00D82428"/>
    <w:rsid w:val="00D828DE"/>
    <w:rsid w:val="00D846BE"/>
    <w:rsid w:val="00D84935"/>
    <w:rsid w:val="00D84C3C"/>
    <w:rsid w:val="00D85234"/>
    <w:rsid w:val="00D856C4"/>
    <w:rsid w:val="00D864B4"/>
    <w:rsid w:val="00D90ABB"/>
    <w:rsid w:val="00D92234"/>
    <w:rsid w:val="00D94656"/>
    <w:rsid w:val="00D97A25"/>
    <w:rsid w:val="00DA1527"/>
    <w:rsid w:val="00DA269D"/>
    <w:rsid w:val="00DA2D5C"/>
    <w:rsid w:val="00DA3139"/>
    <w:rsid w:val="00DA3B85"/>
    <w:rsid w:val="00DA4F44"/>
    <w:rsid w:val="00DA5998"/>
    <w:rsid w:val="00DA6648"/>
    <w:rsid w:val="00DA6B80"/>
    <w:rsid w:val="00DB0EE1"/>
    <w:rsid w:val="00DB2FDE"/>
    <w:rsid w:val="00DB58A1"/>
    <w:rsid w:val="00DB6F70"/>
    <w:rsid w:val="00DC0E00"/>
    <w:rsid w:val="00DD025D"/>
    <w:rsid w:val="00DD1592"/>
    <w:rsid w:val="00DD348B"/>
    <w:rsid w:val="00DD7B3C"/>
    <w:rsid w:val="00DE2562"/>
    <w:rsid w:val="00DE5CD9"/>
    <w:rsid w:val="00DF185A"/>
    <w:rsid w:val="00DF3BF3"/>
    <w:rsid w:val="00DF40BA"/>
    <w:rsid w:val="00DF5849"/>
    <w:rsid w:val="00DF5D07"/>
    <w:rsid w:val="00DF6D8F"/>
    <w:rsid w:val="00DF7731"/>
    <w:rsid w:val="00E03909"/>
    <w:rsid w:val="00E045E0"/>
    <w:rsid w:val="00E0764B"/>
    <w:rsid w:val="00E07D9C"/>
    <w:rsid w:val="00E10C67"/>
    <w:rsid w:val="00E13080"/>
    <w:rsid w:val="00E1382C"/>
    <w:rsid w:val="00E13B37"/>
    <w:rsid w:val="00E1553B"/>
    <w:rsid w:val="00E158D8"/>
    <w:rsid w:val="00E21E58"/>
    <w:rsid w:val="00E22CE6"/>
    <w:rsid w:val="00E23828"/>
    <w:rsid w:val="00E24E44"/>
    <w:rsid w:val="00E25116"/>
    <w:rsid w:val="00E26999"/>
    <w:rsid w:val="00E35732"/>
    <w:rsid w:val="00E377C3"/>
    <w:rsid w:val="00E41089"/>
    <w:rsid w:val="00E42B33"/>
    <w:rsid w:val="00E42DAF"/>
    <w:rsid w:val="00E44EED"/>
    <w:rsid w:val="00E45EF4"/>
    <w:rsid w:val="00E50631"/>
    <w:rsid w:val="00E5097C"/>
    <w:rsid w:val="00E511EC"/>
    <w:rsid w:val="00E52B9A"/>
    <w:rsid w:val="00E55F30"/>
    <w:rsid w:val="00E62CD5"/>
    <w:rsid w:val="00E63A3F"/>
    <w:rsid w:val="00E66F3E"/>
    <w:rsid w:val="00E7043F"/>
    <w:rsid w:val="00E70D3E"/>
    <w:rsid w:val="00E70FC0"/>
    <w:rsid w:val="00E7153B"/>
    <w:rsid w:val="00E76AF9"/>
    <w:rsid w:val="00E8010C"/>
    <w:rsid w:val="00E84150"/>
    <w:rsid w:val="00E94E7E"/>
    <w:rsid w:val="00E95C4A"/>
    <w:rsid w:val="00EA0F52"/>
    <w:rsid w:val="00EA1693"/>
    <w:rsid w:val="00EA550D"/>
    <w:rsid w:val="00EA58DA"/>
    <w:rsid w:val="00EA630E"/>
    <w:rsid w:val="00EA6E3A"/>
    <w:rsid w:val="00EA7668"/>
    <w:rsid w:val="00EB125D"/>
    <w:rsid w:val="00EB2B4D"/>
    <w:rsid w:val="00EB2BF1"/>
    <w:rsid w:val="00EB5A19"/>
    <w:rsid w:val="00EC0165"/>
    <w:rsid w:val="00EC0422"/>
    <w:rsid w:val="00EC1F11"/>
    <w:rsid w:val="00EC4212"/>
    <w:rsid w:val="00EC4219"/>
    <w:rsid w:val="00EC4BBB"/>
    <w:rsid w:val="00ED2A75"/>
    <w:rsid w:val="00ED4A32"/>
    <w:rsid w:val="00EE0D28"/>
    <w:rsid w:val="00EE2CB9"/>
    <w:rsid w:val="00EE2D22"/>
    <w:rsid w:val="00EE3F7F"/>
    <w:rsid w:val="00EE4116"/>
    <w:rsid w:val="00EF1457"/>
    <w:rsid w:val="00EF7D74"/>
    <w:rsid w:val="00F01195"/>
    <w:rsid w:val="00F015E1"/>
    <w:rsid w:val="00F02162"/>
    <w:rsid w:val="00F0403D"/>
    <w:rsid w:val="00F04C62"/>
    <w:rsid w:val="00F05891"/>
    <w:rsid w:val="00F11968"/>
    <w:rsid w:val="00F134CE"/>
    <w:rsid w:val="00F13DB5"/>
    <w:rsid w:val="00F150F6"/>
    <w:rsid w:val="00F174E2"/>
    <w:rsid w:val="00F216A3"/>
    <w:rsid w:val="00F21DE9"/>
    <w:rsid w:val="00F22A2D"/>
    <w:rsid w:val="00F235C3"/>
    <w:rsid w:val="00F24010"/>
    <w:rsid w:val="00F2540C"/>
    <w:rsid w:val="00F2574A"/>
    <w:rsid w:val="00F25965"/>
    <w:rsid w:val="00F2722A"/>
    <w:rsid w:val="00F32530"/>
    <w:rsid w:val="00F325DB"/>
    <w:rsid w:val="00F3290A"/>
    <w:rsid w:val="00F32C1D"/>
    <w:rsid w:val="00F33DD0"/>
    <w:rsid w:val="00F34588"/>
    <w:rsid w:val="00F36296"/>
    <w:rsid w:val="00F36420"/>
    <w:rsid w:val="00F36671"/>
    <w:rsid w:val="00F36F94"/>
    <w:rsid w:val="00F44DB6"/>
    <w:rsid w:val="00F525FD"/>
    <w:rsid w:val="00F603BE"/>
    <w:rsid w:val="00F60DB1"/>
    <w:rsid w:val="00F61132"/>
    <w:rsid w:val="00F6122F"/>
    <w:rsid w:val="00F62B9F"/>
    <w:rsid w:val="00F652C7"/>
    <w:rsid w:val="00F65468"/>
    <w:rsid w:val="00F65CF1"/>
    <w:rsid w:val="00F66788"/>
    <w:rsid w:val="00F7414D"/>
    <w:rsid w:val="00F771BF"/>
    <w:rsid w:val="00F8509B"/>
    <w:rsid w:val="00F86940"/>
    <w:rsid w:val="00F93D2A"/>
    <w:rsid w:val="00F94B7D"/>
    <w:rsid w:val="00F950FA"/>
    <w:rsid w:val="00F95AFC"/>
    <w:rsid w:val="00F96D24"/>
    <w:rsid w:val="00FA0B04"/>
    <w:rsid w:val="00FA1E3A"/>
    <w:rsid w:val="00FA2221"/>
    <w:rsid w:val="00FA236C"/>
    <w:rsid w:val="00FA246F"/>
    <w:rsid w:val="00FA4F05"/>
    <w:rsid w:val="00FA5330"/>
    <w:rsid w:val="00FB3C9A"/>
    <w:rsid w:val="00FB7430"/>
    <w:rsid w:val="00FC0650"/>
    <w:rsid w:val="00FC19BD"/>
    <w:rsid w:val="00FC2846"/>
    <w:rsid w:val="00FC38C6"/>
    <w:rsid w:val="00FC5CC3"/>
    <w:rsid w:val="00FC645C"/>
    <w:rsid w:val="00FC7287"/>
    <w:rsid w:val="00FC79AC"/>
    <w:rsid w:val="00FC7E9A"/>
    <w:rsid w:val="00FD08AF"/>
    <w:rsid w:val="00FD119E"/>
    <w:rsid w:val="00FD26FD"/>
    <w:rsid w:val="00FD51C0"/>
    <w:rsid w:val="00FD54E8"/>
    <w:rsid w:val="00FD5C63"/>
    <w:rsid w:val="00FD7A29"/>
    <w:rsid w:val="00FE007D"/>
    <w:rsid w:val="00FE0B91"/>
    <w:rsid w:val="00FE2780"/>
    <w:rsid w:val="00FE4D30"/>
    <w:rsid w:val="00FE5E12"/>
    <w:rsid w:val="00FE67B3"/>
    <w:rsid w:val="00FE6DAC"/>
    <w:rsid w:val="00FE7B5A"/>
    <w:rsid w:val="00FF39B0"/>
    <w:rsid w:val="00FF3F62"/>
    <w:rsid w:val="00FF65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30E77"/>
  <w15:docId w15:val="{2B2D4A11-DD25-493B-B636-D864A3E55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rsid w:val="00B00D87"/>
    <w:pPr>
      <w:keepNext/>
      <w:keepLines/>
      <w:spacing w:before="480" w:after="120"/>
      <w:outlineLvl w:val="0"/>
    </w:pPr>
    <w:rPr>
      <w:rFonts w:ascii="Times New Roman" w:hAnsi="Times New Roman"/>
      <w:b/>
      <w:sz w:val="24"/>
      <w:szCs w:val="48"/>
    </w:rPr>
  </w:style>
  <w:style w:type="paragraph" w:styleId="Heading2">
    <w:name w:val="heading 2"/>
    <w:basedOn w:val="Normal"/>
    <w:next w:val="Normal"/>
    <w:uiPriority w:val="9"/>
    <w:unhideWhenUsed/>
    <w:qFormat/>
    <w:rsid w:val="00B00D87"/>
    <w:pPr>
      <w:keepNext/>
      <w:keepLines/>
      <w:spacing w:before="360" w:after="80"/>
      <w:outlineLvl w:val="1"/>
    </w:pPr>
    <w:rPr>
      <w:rFonts w:ascii="Times New Roman" w:hAnsi="Times New Roman"/>
      <w:b/>
      <w:i/>
      <w:sz w:val="24"/>
      <w:szCs w:val="36"/>
    </w:rPr>
  </w:style>
  <w:style w:type="paragraph" w:styleId="Heading3">
    <w:name w:val="heading 3"/>
    <w:basedOn w:val="Normal"/>
    <w:next w:val="Normal"/>
    <w:uiPriority w:val="9"/>
    <w:unhideWhenUsed/>
    <w:qFormat/>
    <w:rsid w:val="00B00D87"/>
    <w:pPr>
      <w:keepNext/>
      <w:keepLines/>
      <w:spacing w:before="280" w:after="80"/>
      <w:outlineLvl w:val="2"/>
    </w:pPr>
    <w:rPr>
      <w:rFonts w:ascii="Times New Roman" w:hAnsi="Times New Roman"/>
      <w:sz w:val="24"/>
      <w:szCs w:val="28"/>
    </w:rPr>
  </w:style>
  <w:style w:type="paragraph" w:styleId="Heading4">
    <w:name w:val="heading 4"/>
    <w:basedOn w:val="Normal"/>
    <w:next w:val="Normal"/>
    <w:uiPriority w:val="9"/>
    <w:unhideWhenUsed/>
    <w:qFormat/>
    <w:rsid w:val="00B00D87"/>
    <w:pPr>
      <w:keepNext/>
      <w:keepLines/>
      <w:spacing w:before="240" w:after="40"/>
      <w:outlineLvl w:val="3"/>
    </w:pPr>
    <w:rPr>
      <w:rFonts w:ascii="Times New Roman" w:hAnsi="Times New Roman"/>
      <w:i/>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473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7353"/>
    <w:rPr>
      <w:rFonts w:ascii="Segoe UI" w:hAnsi="Segoe UI" w:cs="Segoe UI"/>
      <w:sz w:val="18"/>
      <w:szCs w:val="18"/>
    </w:rPr>
  </w:style>
  <w:style w:type="character" w:styleId="LineNumber">
    <w:name w:val="line number"/>
    <w:basedOn w:val="DefaultParagraphFont"/>
    <w:uiPriority w:val="99"/>
    <w:semiHidden/>
    <w:unhideWhenUsed/>
    <w:rsid w:val="00747353"/>
  </w:style>
  <w:style w:type="paragraph" w:styleId="CommentSubject">
    <w:name w:val="annotation subject"/>
    <w:basedOn w:val="CommentText"/>
    <w:next w:val="CommentText"/>
    <w:link w:val="CommentSubjectChar"/>
    <w:uiPriority w:val="99"/>
    <w:semiHidden/>
    <w:unhideWhenUsed/>
    <w:rsid w:val="00BD6490"/>
    <w:rPr>
      <w:b/>
      <w:bCs/>
    </w:rPr>
  </w:style>
  <w:style w:type="character" w:customStyle="1" w:styleId="CommentSubjectChar">
    <w:name w:val="Comment Subject Char"/>
    <w:basedOn w:val="CommentTextChar"/>
    <w:link w:val="CommentSubject"/>
    <w:uiPriority w:val="99"/>
    <w:semiHidden/>
    <w:rsid w:val="00BD6490"/>
    <w:rPr>
      <w:b/>
      <w:bCs/>
      <w:sz w:val="20"/>
      <w:szCs w:val="20"/>
    </w:rPr>
  </w:style>
  <w:style w:type="paragraph" w:styleId="Revision">
    <w:name w:val="Revision"/>
    <w:hidden/>
    <w:uiPriority w:val="99"/>
    <w:semiHidden/>
    <w:rsid w:val="001D37CA"/>
    <w:pPr>
      <w:spacing w:after="0" w:line="240" w:lineRule="auto"/>
    </w:pPr>
  </w:style>
  <w:style w:type="character" w:customStyle="1" w:styleId="anchor-text">
    <w:name w:val="anchor-text"/>
    <w:basedOn w:val="DefaultParagraphFont"/>
    <w:rsid w:val="00D23B72"/>
  </w:style>
  <w:style w:type="paragraph" w:styleId="ListParagraph">
    <w:name w:val="List Paragraph"/>
    <w:basedOn w:val="Normal"/>
    <w:uiPriority w:val="34"/>
    <w:qFormat/>
    <w:rsid w:val="00AF21DC"/>
    <w:pPr>
      <w:ind w:left="720"/>
      <w:contextualSpacing/>
    </w:pPr>
  </w:style>
  <w:style w:type="paragraph" w:customStyle="1" w:styleId="NormalDoubleSpaced">
    <w:name w:val="NormalDoubleSpaced"/>
    <w:basedOn w:val="Normal"/>
    <w:rsid w:val="0003413F"/>
    <w:pPr>
      <w:spacing w:after="220" w:line="480" w:lineRule="auto"/>
      <w:jc w:val="both"/>
    </w:pPr>
    <w:rPr>
      <w:rFonts w:ascii="Times New Roman" w:eastAsia="Times New Roman" w:hAnsi="Times New Roman" w:cs="Times New Roman"/>
      <w:sz w:val="23"/>
      <w:szCs w:val="20"/>
      <w:lang w:eastAsia="en-US"/>
    </w:rPr>
  </w:style>
  <w:style w:type="character" w:styleId="Hyperlink">
    <w:name w:val="Hyperlink"/>
    <w:basedOn w:val="DefaultParagraphFont"/>
    <w:uiPriority w:val="99"/>
    <w:unhideWhenUsed/>
    <w:rsid w:val="0003413F"/>
    <w:rPr>
      <w:color w:val="0000FF"/>
      <w:u w:val="single"/>
    </w:rPr>
  </w:style>
  <w:style w:type="paragraph" w:styleId="TOCHeading">
    <w:name w:val="TOC Heading"/>
    <w:basedOn w:val="Heading1"/>
    <w:next w:val="Normal"/>
    <w:uiPriority w:val="39"/>
    <w:unhideWhenUsed/>
    <w:qFormat/>
    <w:rsid w:val="00B00D87"/>
    <w:pPr>
      <w:spacing w:before="240" w:after="0"/>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1">
    <w:name w:val="toc 1"/>
    <w:basedOn w:val="Normal"/>
    <w:next w:val="Normal"/>
    <w:autoRedefine/>
    <w:uiPriority w:val="39"/>
    <w:unhideWhenUsed/>
    <w:rsid w:val="00B00D87"/>
    <w:pPr>
      <w:spacing w:after="100"/>
    </w:pPr>
  </w:style>
  <w:style w:type="paragraph" w:styleId="TOC2">
    <w:name w:val="toc 2"/>
    <w:basedOn w:val="Normal"/>
    <w:next w:val="Normal"/>
    <w:autoRedefine/>
    <w:uiPriority w:val="39"/>
    <w:unhideWhenUsed/>
    <w:rsid w:val="00B00D87"/>
    <w:pPr>
      <w:spacing w:after="100"/>
      <w:ind w:left="220"/>
    </w:pPr>
  </w:style>
  <w:style w:type="paragraph" w:styleId="TOC3">
    <w:name w:val="toc 3"/>
    <w:basedOn w:val="Normal"/>
    <w:next w:val="Normal"/>
    <w:autoRedefine/>
    <w:uiPriority w:val="39"/>
    <w:unhideWhenUsed/>
    <w:rsid w:val="00B00D87"/>
    <w:pPr>
      <w:spacing w:after="100"/>
      <w:ind w:left="440"/>
    </w:pPr>
  </w:style>
  <w:style w:type="paragraph" w:styleId="Header">
    <w:name w:val="header"/>
    <w:basedOn w:val="Normal"/>
    <w:link w:val="HeaderChar"/>
    <w:uiPriority w:val="99"/>
    <w:unhideWhenUsed/>
    <w:rsid w:val="008F6F59"/>
    <w:pPr>
      <w:tabs>
        <w:tab w:val="center" w:pos="4536"/>
        <w:tab w:val="right" w:pos="9072"/>
      </w:tabs>
      <w:spacing w:after="0" w:line="240" w:lineRule="auto"/>
    </w:pPr>
  </w:style>
  <w:style w:type="character" w:customStyle="1" w:styleId="HeaderChar">
    <w:name w:val="Header Char"/>
    <w:basedOn w:val="DefaultParagraphFont"/>
    <w:link w:val="Header"/>
    <w:uiPriority w:val="99"/>
    <w:rsid w:val="008F6F59"/>
  </w:style>
  <w:style w:type="paragraph" w:styleId="Footer">
    <w:name w:val="footer"/>
    <w:basedOn w:val="Normal"/>
    <w:link w:val="FooterChar"/>
    <w:uiPriority w:val="99"/>
    <w:unhideWhenUsed/>
    <w:rsid w:val="008F6F59"/>
    <w:pPr>
      <w:tabs>
        <w:tab w:val="center" w:pos="4536"/>
        <w:tab w:val="right" w:pos="9072"/>
      </w:tabs>
      <w:spacing w:after="0" w:line="240" w:lineRule="auto"/>
    </w:pPr>
  </w:style>
  <w:style w:type="character" w:customStyle="1" w:styleId="FooterChar">
    <w:name w:val="Footer Char"/>
    <w:basedOn w:val="DefaultParagraphFont"/>
    <w:link w:val="Footer"/>
    <w:uiPriority w:val="99"/>
    <w:rsid w:val="008F6F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706732">
      <w:bodyDiv w:val="1"/>
      <w:marLeft w:val="0"/>
      <w:marRight w:val="0"/>
      <w:marTop w:val="0"/>
      <w:marBottom w:val="0"/>
      <w:divBdr>
        <w:top w:val="none" w:sz="0" w:space="0" w:color="auto"/>
        <w:left w:val="none" w:sz="0" w:space="0" w:color="auto"/>
        <w:bottom w:val="none" w:sz="0" w:space="0" w:color="auto"/>
        <w:right w:val="none" w:sz="0" w:space="0" w:color="auto"/>
      </w:divBdr>
    </w:div>
    <w:div w:id="179702325">
      <w:bodyDiv w:val="1"/>
      <w:marLeft w:val="0"/>
      <w:marRight w:val="0"/>
      <w:marTop w:val="0"/>
      <w:marBottom w:val="0"/>
      <w:divBdr>
        <w:top w:val="none" w:sz="0" w:space="0" w:color="auto"/>
        <w:left w:val="none" w:sz="0" w:space="0" w:color="auto"/>
        <w:bottom w:val="none" w:sz="0" w:space="0" w:color="auto"/>
        <w:right w:val="none" w:sz="0" w:space="0" w:color="auto"/>
      </w:divBdr>
    </w:div>
    <w:div w:id="294021112">
      <w:bodyDiv w:val="1"/>
      <w:marLeft w:val="0"/>
      <w:marRight w:val="0"/>
      <w:marTop w:val="0"/>
      <w:marBottom w:val="0"/>
      <w:divBdr>
        <w:top w:val="none" w:sz="0" w:space="0" w:color="auto"/>
        <w:left w:val="none" w:sz="0" w:space="0" w:color="auto"/>
        <w:bottom w:val="none" w:sz="0" w:space="0" w:color="auto"/>
        <w:right w:val="none" w:sz="0" w:space="0" w:color="auto"/>
      </w:divBdr>
    </w:div>
    <w:div w:id="427892987">
      <w:bodyDiv w:val="1"/>
      <w:marLeft w:val="0"/>
      <w:marRight w:val="0"/>
      <w:marTop w:val="0"/>
      <w:marBottom w:val="0"/>
      <w:divBdr>
        <w:top w:val="none" w:sz="0" w:space="0" w:color="auto"/>
        <w:left w:val="none" w:sz="0" w:space="0" w:color="auto"/>
        <w:bottom w:val="none" w:sz="0" w:space="0" w:color="auto"/>
        <w:right w:val="none" w:sz="0" w:space="0" w:color="auto"/>
      </w:divBdr>
    </w:div>
    <w:div w:id="516890508">
      <w:bodyDiv w:val="1"/>
      <w:marLeft w:val="0"/>
      <w:marRight w:val="0"/>
      <w:marTop w:val="0"/>
      <w:marBottom w:val="0"/>
      <w:divBdr>
        <w:top w:val="none" w:sz="0" w:space="0" w:color="auto"/>
        <w:left w:val="none" w:sz="0" w:space="0" w:color="auto"/>
        <w:bottom w:val="none" w:sz="0" w:space="0" w:color="auto"/>
        <w:right w:val="none" w:sz="0" w:space="0" w:color="auto"/>
      </w:divBdr>
    </w:div>
    <w:div w:id="532114341">
      <w:bodyDiv w:val="1"/>
      <w:marLeft w:val="0"/>
      <w:marRight w:val="0"/>
      <w:marTop w:val="0"/>
      <w:marBottom w:val="0"/>
      <w:divBdr>
        <w:top w:val="none" w:sz="0" w:space="0" w:color="auto"/>
        <w:left w:val="none" w:sz="0" w:space="0" w:color="auto"/>
        <w:bottom w:val="none" w:sz="0" w:space="0" w:color="auto"/>
        <w:right w:val="none" w:sz="0" w:space="0" w:color="auto"/>
      </w:divBdr>
    </w:div>
    <w:div w:id="621378370">
      <w:bodyDiv w:val="1"/>
      <w:marLeft w:val="0"/>
      <w:marRight w:val="0"/>
      <w:marTop w:val="0"/>
      <w:marBottom w:val="0"/>
      <w:divBdr>
        <w:top w:val="none" w:sz="0" w:space="0" w:color="auto"/>
        <w:left w:val="none" w:sz="0" w:space="0" w:color="auto"/>
        <w:bottom w:val="none" w:sz="0" w:space="0" w:color="auto"/>
        <w:right w:val="none" w:sz="0" w:space="0" w:color="auto"/>
      </w:divBdr>
    </w:div>
    <w:div w:id="691801610">
      <w:bodyDiv w:val="1"/>
      <w:marLeft w:val="0"/>
      <w:marRight w:val="0"/>
      <w:marTop w:val="0"/>
      <w:marBottom w:val="0"/>
      <w:divBdr>
        <w:top w:val="none" w:sz="0" w:space="0" w:color="auto"/>
        <w:left w:val="none" w:sz="0" w:space="0" w:color="auto"/>
        <w:bottom w:val="none" w:sz="0" w:space="0" w:color="auto"/>
        <w:right w:val="none" w:sz="0" w:space="0" w:color="auto"/>
      </w:divBdr>
    </w:div>
    <w:div w:id="746614308">
      <w:bodyDiv w:val="1"/>
      <w:marLeft w:val="0"/>
      <w:marRight w:val="0"/>
      <w:marTop w:val="0"/>
      <w:marBottom w:val="0"/>
      <w:divBdr>
        <w:top w:val="none" w:sz="0" w:space="0" w:color="auto"/>
        <w:left w:val="none" w:sz="0" w:space="0" w:color="auto"/>
        <w:bottom w:val="none" w:sz="0" w:space="0" w:color="auto"/>
        <w:right w:val="none" w:sz="0" w:space="0" w:color="auto"/>
      </w:divBdr>
    </w:div>
    <w:div w:id="748691891">
      <w:bodyDiv w:val="1"/>
      <w:marLeft w:val="0"/>
      <w:marRight w:val="0"/>
      <w:marTop w:val="0"/>
      <w:marBottom w:val="0"/>
      <w:divBdr>
        <w:top w:val="none" w:sz="0" w:space="0" w:color="auto"/>
        <w:left w:val="none" w:sz="0" w:space="0" w:color="auto"/>
        <w:bottom w:val="none" w:sz="0" w:space="0" w:color="auto"/>
        <w:right w:val="none" w:sz="0" w:space="0" w:color="auto"/>
      </w:divBdr>
    </w:div>
    <w:div w:id="847401196">
      <w:bodyDiv w:val="1"/>
      <w:marLeft w:val="0"/>
      <w:marRight w:val="0"/>
      <w:marTop w:val="0"/>
      <w:marBottom w:val="0"/>
      <w:divBdr>
        <w:top w:val="none" w:sz="0" w:space="0" w:color="auto"/>
        <w:left w:val="none" w:sz="0" w:space="0" w:color="auto"/>
        <w:bottom w:val="none" w:sz="0" w:space="0" w:color="auto"/>
        <w:right w:val="none" w:sz="0" w:space="0" w:color="auto"/>
      </w:divBdr>
    </w:div>
    <w:div w:id="893538834">
      <w:bodyDiv w:val="1"/>
      <w:marLeft w:val="0"/>
      <w:marRight w:val="0"/>
      <w:marTop w:val="0"/>
      <w:marBottom w:val="0"/>
      <w:divBdr>
        <w:top w:val="none" w:sz="0" w:space="0" w:color="auto"/>
        <w:left w:val="none" w:sz="0" w:space="0" w:color="auto"/>
        <w:bottom w:val="none" w:sz="0" w:space="0" w:color="auto"/>
        <w:right w:val="none" w:sz="0" w:space="0" w:color="auto"/>
      </w:divBdr>
    </w:div>
    <w:div w:id="938178308">
      <w:bodyDiv w:val="1"/>
      <w:marLeft w:val="0"/>
      <w:marRight w:val="0"/>
      <w:marTop w:val="0"/>
      <w:marBottom w:val="0"/>
      <w:divBdr>
        <w:top w:val="none" w:sz="0" w:space="0" w:color="auto"/>
        <w:left w:val="none" w:sz="0" w:space="0" w:color="auto"/>
        <w:bottom w:val="none" w:sz="0" w:space="0" w:color="auto"/>
        <w:right w:val="none" w:sz="0" w:space="0" w:color="auto"/>
      </w:divBdr>
    </w:div>
    <w:div w:id="941915559">
      <w:bodyDiv w:val="1"/>
      <w:marLeft w:val="0"/>
      <w:marRight w:val="0"/>
      <w:marTop w:val="0"/>
      <w:marBottom w:val="0"/>
      <w:divBdr>
        <w:top w:val="none" w:sz="0" w:space="0" w:color="auto"/>
        <w:left w:val="none" w:sz="0" w:space="0" w:color="auto"/>
        <w:bottom w:val="none" w:sz="0" w:space="0" w:color="auto"/>
        <w:right w:val="none" w:sz="0" w:space="0" w:color="auto"/>
      </w:divBdr>
    </w:div>
    <w:div w:id="943806794">
      <w:bodyDiv w:val="1"/>
      <w:marLeft w:val="0"/>
      <w:marRight w:val="0"/>
      <w:marTop w:val="0"/>
      <w:marBottom w:val="0"/>
      <w:divBdr>
        <w:top w:val="none" w:sz="0" w:space="0" w:color="auto"/>
        <w:left w:val="none" w:sz="0" w:space="0" w:color="auto"/>
        <w:bottom w:val="none" w:sz="0" w:space="0" w:color="auto"/>
        <w:right w:val="none" w:sz="0" w:space="0" w:color="auto"/>
      </w:divBdr>
    </w:div>
    <w:div w:id="1042708376">
      <w:bodyDiv w:val="1"/>
      <w:marLeft w:val="0"/>
      <w:marRight w:val="0"/>
      <w:marTop w:val="0"/>
      <w:marBottom w:val="0"/>
      <w:divBdr>
        <w:top w:val="none" w:sz="0" w:space="0" w:color="auto"/>
        <w:left w:val="none" w:sz="0" w:space="0" w:color="auto"/>
        <w:bottom w:val="none" w:sz="0" w:space="0" w:color="auto"/>
        <w:right w:val="none" w:sz="0" w:space="0" w:color="auto"/>
      </w:divBdr>
    </w:div>
    <w:div w:id="1113135235">
      <w:bodyDiv w:val="1"/>
      <w:marLeft w:val="0"/>
      <w:marRight w:val="0"/>
      <w:marTop w:val="0"/>
      <w:marBottom w:val="0"/>
      <w:divBdr>
        <w:top w:val="none" w:sz="0" w:space="0" w:color="auto"/>
        <w:left w:val="none" w:sz="0" w:space="0" w:color="auto"/>
        <w:bottom w:val="none" w:sz="0" w:space="0" w:color="auto"/>
        <w:right w:val="none" w:sz="0" w:space="0" w:color="auto"/>
      </w:divBdr>
    </w:div>
    <w:div w:id="1118454597">
      <w:bodyDiv w:val="1"/>
      <w:marLeft w:val="0"/>
      <w:marRight w:val="0"/>
      <w:marTop w:val="0"/>
      <w:marBottom w:val="0"/>
      <w:divBdr>
        <w:top w:val="none" w:sz="0" w:space="0" w:color="auto"/>
        <w:left w:val="none" w:sz="0" w:space="0" w:color="auto"/>
        <w:bottom w:val="none" w:sz="0" w:space="0" w:color="auto"/>
        <w:right w:val="none" w:sz="0" w:space="0" w:color="auto"/>
      </w:divBdr>
    </w:div>
    <w:div w:id="1142698121">
      <w:bodyDiv w:val="1"/>
      <w:marLeft w:val="0"/>
      <w:marRight w:val="0"/>
      <w:marTop w:val="0"/>
      <w:marBottom w:val="0"/>
      <w:divBdr>
        <w:top w:val="none" w:sz="0" w:space="0" w:color="auto"/>
        <w:left w:val="none" w:sz="0" w:space="0" w:color="auto"/>
        <w:bottom w:val="none" w:sz="0" w:space="0" w:color="auto"/>
        <w:right w:val="none" w:sz="0" w:space="0" w:color="auto"/>
      </w:divBdr>
    </w:div>
    <w:div w:id="1218203630">
      <w:bodyDiv w:val="1"/>
      <w:marLeft w:val="0"/>
      <w:marRight w:val="0"/>
      <w:marTop w:val="0"/>
      <w:marBottom w:val="0"/>
      <w:divBdr>
        <w:top w:val="none" w:sz="0" w:space="0" w:color="auto"/>
        <w:left w:val="none" w:sz="0" w:space="0" w:color="auto"/>
        <w:bottom w:val="none" w:sz="0" w:space="0" w:color="auto"/>
        <w:right w:val="none" w:sz="0" w:space="0" w:color="auto"/>
      </w:divBdr>
    </w:div>
    <w:div w:id="1240022798">
      <w:bodyDiv w:val="1"/>
      <w:marLeft w:val="0"/>
      <w:marRight w:val="0"/>
      <w:marTop w:val="0"/>
      <w:marBottom w:val="0"/>
      <w:divBdr>
        <w:top w:val="none" w:sz="0" w:space="0" w:color="auto"/>
        <w:left w:val="none" w:sz="0" w:space="0" w:color="auto"/>
        <w:bottom w:val="none" w:sz="0" w:space="0" w:color="auto"/>
        <w:right w:val="none" w:sz="0" w:space="0" w:color="auto"/>
      </w:divBdr>
    </w:div>
    <w:div w:id="1252472076">
      <w:bodyDiv w:val="1"/>
      <w:marLeft w:val="0"/>
      <w:marRight w:val="0"/>
      <w:marTop w:val="0"/>
      <w:marBottom w:val="0"/>
      <w:divBdr>
        <w:top w:val="none" w:sz="0" w:space="0" w:color="auto"/>
        <w:left w:val="none" w:sz="0" w:space="0" w:color="auto"/>
        <w:bottom w:val="none" w:sz="0" w:space="0" w:color="auto"/>
        <w:right w:val="none" w:sz="0" w:space="0" w:color="auto"/>
      </w:divBdr>
    </w:div>
    <w:div w:id="1433667752">
      <w:bodyDiv w:val="1"/>
      <w:marLeft w:val="0"/>
      <w:marRight w:val="0"/>
      <w:marTop w:val="0"/>
      <w:marBottom w:val="0"/>
      <w:divBdr>
        <w:top w:val="none" w:sz="0" w:space="0" w:color="auto"/>
        <w:left w:val="none" w:sz="0" w:space="0" w:color="auto"/>
        <w:bottom w:val="none" w:sz="0" w:space="0" w:color="auto"/>
        <w:right w:val="none" w:sz="0" w:space="0" w:color="auto"/>
      </w:divBdr>
    </w:div>
    <w:div w:id="1602253109">
      <w:bodyDiv w:val="1"/>
      <w:marLeft w:val="0"/>
      <w:marRight w:val="0"/>
      <w:marTop w:val="0"/>
      <w:marBottom w:val="0"/>
      <w:divBdr>
        <w:top w:val="none" w:sz="0" w:space="0" w:color="auto"/>
        <w:left w:val="none" w:sz="0" w:space="0" w:color="auto"/>
        <w:bottom w:val="none" w:sz="0" w:space="0" w:color="auto"/>
        <w:right w:val="none" w:sz="0" w:space="0" w:color="auto"/>
      </w:divBdr>
    </w:div>
    <w:div w:id="1681353437">
      <w:bodyDiv w:val="1"/>
      <w:marLeft w:val="0"/>
      <w:marRight w:val="0"/>
      <w:marTop w:val="0"/>
      <w:marBottom w:val="0"/>
      <w:divBdr>
        <w:top w:val="none" w:sz="0" w:space="0" w:color="auto"/>
        <w:left w:val="none" w:sz="0" w:space="0" w:color="auto"/>
        <w:bottom w:val="none" w:sz="0" w:space="0" w:color="auto"/>
        <w:right w:val="none" w:sz="0" w:space="0" w:color="auto"/>
      </w:divBdr>
    </w:div>
    <w:div w:id="1707024289">
      <w:bodyDiv w:val="1"/>
      <w:marLeft w:val="0"/>
      <w:marRight w:val="0"/>
      <w:marTop w:val="0"/>
      <w:marBottom w:val="0"/>
      <w:divBdr>
        <w:top w:val="none" w:sz="0" w:space="0" w:color="auto"/>
        <w:left w:val="none" w:sz="0" w:space="0" w:color="auto"/>
        <w:bottom w:val="none" w:sz="0" w:space="0" w:color="auto"/>
        <w:right w:val="none" w:sz="0" w:space="0" w:color="auto"/>
      </w:divBdr>
    </w:div>
    <w:div w:id="1829127623">
      <w:bodyDiv w:val="1"/>
      <w:marLeft w:val="0"/>
      <w:marRight w:val="0"/>
      <w:marTop w:val="0"/>
      <w:marBottom w:val="0"/>
      <w:divBdr>
        <w:top w:val="none" w:sz="0" w:space="0" w:color="auto"/>
        <w:left w:val="none" w:sz="0" w:space="0" w:color="auto"/>
        <w:bottom w:val="none" w:sz="0" w:space="0" w:color="auto"/>
        <w:right w:val="none" w:sz="0" w:space="0" w:color="auto"/>
      </w:divBdr>
      <w:divsChild>
        <w:div w:id="418840824">
          <w:marLeft w:val="0"/>
          <w:marRight w:val="0"/>
          <w:marTop w:val="0"/>
          <w:marBottom w:val="0"/>
          <w:divBdr>
            <w:top w:val="none" w:sz="0" w:space="0" w:color="auto"/>
            <w:left w:val="none" w:sz="0" w:space="0" w:color="auto"/>
            <w:bottom w:val="none" w:sz="0" w:space="0" w:color="auto"/>
            <w:right w:val="none" w:sz="0" w:space="0" w:color="auto"/>
          </w:divBdr>
        </w:div>
        <w:div w:id="870263406">
          <w:marLeft w:val="0"/>
          <w:marRight w:val="0"/>
          <w:marTop w:val="0"/>
          <w:marBottom w:val="0"/>
          <w:divBdr>
            <w:top w:val="none" w:sz="0" w:space="0" w:color="auto"/>
            <w:left w:val="none" w:sz="0" w:space="0" w:color="auto"/>
            <w:bottom w:val="none" w:sz="0" w:space="0" w:color="auto"/>
            <w:right w:val="none" w:sz="0" w:space="0" w:color="auto"/>
          </w:divBdr>
        </w:div>
        <w:div w:id="1424447293">
          <w:marLeft w:val="0"/>
          <w:marRight w:val="0"/>
          <w:marTop w:val="0"/>
          <w:marBottom w:val="0"/>
          <w:divBdr>
            <w:top w:val="none" w:sz="0" w:space="0" w:color="auto"/>
            <w:left w:val="none" w:sz="0" w:space="0" w:color="auto"/>
            <w:bottom w:val="none" w:sz="0" w:space="0" w:color="auto"/>
            <w:right w:val="none" w:sz="0" w:space="0" w:color="auto"/>
          </w:divBdr>
        </w:div>
      </w:divsChild>
    </w:div>
    <w:div w:id="1907569538">
      <w:bodyDiv w:val="1"/>
      <w:marLeft w:val="0"/>
      <w:marRight w:val="0"/>
      <w:marTop w:val="0"/>
      <w:marBottom w:val="0"/>
      <w:divBdr>
        <w:top w:val="none" w:sz="0" w:space="0" w:color="auto"/>
        <w:left w:val="none" w:sz="0" w:space="0" w:color="auto"/>
        <w:bottom w:val="none" w:sz="0" w:space="0" w:color="auto"/>
        <w:right w:val="none" w:sz="0" w:space="0" w:color="auto"/>
      </w:divBdr>
    </w:div>
    <w:div w:id="1910847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1.xml"/><Relationship Id="rId26" Type="http://schemas.openxmlformats.org/officeDocument/2006/relationships/image" Target="media/image8.png"/><Relationship Id="rId39" Type="http://schemas.openxmlformats.org/officeDocument/2006/relationships/image" Target="media/image20.png"/><Relationship Id="rId21" Type="http://schemas.openxmlformats.org/officeDocument/2006/relationships/footer" Target="footer1.xml"/><Relationship Id="rId34" Type="http://schemas.openxmlformats.org/officeDocument/2006/relationships/image" Target="media/image15.emf"/><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1.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zotero.org/google-docs/?QIm94X" TargetMode="External"/><Relationship Id="rId29" Type="http://schemas.openxmlformats.org/officeDocument/2006/relationships/image" Target="media/image11.png"/><Relationship Id="rId11" Type="http://schemas.openxmlformats.org/officeDocument/2006/relationships/image" Target="media/image1.jpeg"/><Relationship Id="rId24" Type="http://schemas.openxmlformats.org/officeDocument/2006/relationships/hyperlink" Target="https://www.zotero.org/google-docs/?xW5UFS" TargetMode="External"/><Relationship Id="rId32" Type="http://schemas.openxmlformats.org/officeDocument/2006/relationships/image" Target="media/image14.emf"/><Relationship Id="rId37" Type="http://schemas.openxmlformats.org/officeDocument/2006/relationships/image" Target="media/image18.emf"/><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zotero.org/google-docs/?t0jS77" TargetMode="External"/><Relationship Id="rId19" Type="http://schemas.openxmlformats.org/officeDocument/2006/relationships/hyperlink" Target="https://www.zotero.org/google-docs/?oVjwWE" TargetMode="External"/><Relationship Id="rId31" Type="http://schemas.openxmlformats.org/officeDocument/2006/relationships/image" Target="media/image13.png"/><Relationship Id="rId44" Type="http://schemas.openxmlformats.org/officeDocument/2006/relationships/image" Target="media/image25.png"/><Relationship Id="rId52"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hyperlink" Target="https://www.zotero.org/google-docs/?31X0Yw" TargetMode="External"/><Relationship Id="rId14" Type="http://schemas.openxmlformats.org/officeDocument/2006/relationships/hyperlink" Target="https://www.zotero.org/google-docs/?UW6avi" TargetMode="External"/><Relationship Id="rId22" Type="http://schemas.openxmlformats.org/officeDocument/2006/relationships/footer" Target="footer2.xm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6.emf"/><Relationship Id="rId43" Type="http://schemas.openxmlformats.org/officeDocument/2006/relationships/image" Target="media/image24.jpg"/><Relationship Id="rId48" Type="http://schemas.openxmlformats.org/officeDocument/2006/relationships/image" Target="media/image29.png"/><Relationship Id="rId8" Type="http://schemas.openxmlformats.org/officeDocument/2006/relationships/hyperlink" Target="https://www.zotero.org/google-docs/?UrYGtz" TargetMode="External"/><Relationship Id="rId51" Type="http://schemas.openxmlformats.org/officeDocument/2006/relationships/hyperlink" Target="https://www.zotero.org/google-docs/?KH06Ph"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hyperlink" Target="https://www.zotero.org/google-docs/?J5nvRI" TargetMode="External"/><Relationship Id="rId33" Type="http://schemas.openxmlformats.org/officeDocument/2006/relationships/hyperlink" Target="https://www.zotero.org/google-docs/?B0JFsD" TargetMode="External"/><Relationship Id="rId38" Type="http://schemas.openxmlformats.org/officeDocument/2006/relationships/image" Target="media/image19.emf"/><Relationship Id="rId46" Type="http://schemas.openxmlformats.org/officeDocument/2006/relationships/image" Target="media/image27.png"/><Relationship Id="rId20" Type="http://schemas.openxmlformats.org/officeDocument/2006/relationships/image" Target="media/image6.png"/><Relationship Id="rId41" Type="http://schemas.openxmlformats.org/officeDocument/2006/relationships/image" Target="media/image22.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7.png"/><Relationship Id="rId28" Type="http://schemas.openxmlformats.org/officeDocument/2006/relationships/image" Target="media/image10.png"/><Relationship Id="rId36" Type="http://schemas.openxmlformats.org/officeDocument/2006/relationships/image" Target="media/image17.emf"/><Relationship Id="rId49" Type="http://schemas.openxmlformats.org/officeDocument/2006/relationships/image" Target="media/image30.jpg"/></Relationships>
</file>

<file path=word/charts/_rels/chart1.xml.rels><?xml version="1.0" encoding="UTF-8" standalone="yes"?>
<Relationships xmlns="http://schemas.openxmlformats.org/package/2006/relationships"><Relationship Id="rId3" Type="http://schemas.openxmlformats.org/officeDocument/2006/relationships/oleObject" Target="file:///G:\My%20Drive\RESEARCH\Africa\Ivory%20Coast%20-%20Jimbob\Anyama%202020\anyama%202021%20shinedown%20data%20sg.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03937007874015"/>
          <c:y val="0.10127369495479732"/>
          <c:w val="0.85229396325459317"/>
          <c:h val="0.73614173228346458"/>
        </c:manualLayout>
      </c:layout>
      <c:scatterChart>
        <c:scatterStyle val="lineMarker"/>
        <c:varyColors val="0"/>
        <c:ser>
          <c:idx val="0"/>
          <c:order val="0"/>
          <c:tx>
            <c:strRef>
              <c:f>Sheet1!$C$4</c:f>
              <c:strCache>
                <c:ptCount val="1"/>
                <c:pt idx="0">
                  <c:v>aliquot 1</c:v>
                </c:pt>
              </c:strCache>
            </c:strRef>
          </c:tx>
          <c:spPr>
            <a:ln w="19050" cap="rnd">
              <a:solidFill>
                <a:schemeClr val="accent1"/>
              </a:solidFill>
              <a:round/>
            </a:ln>
            <a:effectLst/>
          </c:spPr>
          <c:marker>
            <c:symbol val="none"/>
          </c:marker>
          <c:xVal>
            <c:numRef>
              <c:f>Sheet1!$B$6:$B$105</c:f>
              <c:numCache>
                <c:formatCode>General</c:formatCode>
                <c:ptCount val="1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numCache>
            </c:numRef>
          </c:xVal>
          <c:yVal>
            <c:numRef>
              <c:f>Sheet1!$E$6:$E$105</c:f>
              <c:numCache>
                <c:formatCode>0.00%</c:formatCode>
                <c:ptCount val="100"/>
                <c:pt idx="0">
                  <c:v>9.5373178127751163E-4</c:v>
                </c:pt>
                <c:pt idx="1">
                  <c:v>2.0052822067886142E-3</c:v>
                </c:pt>
                <c:pt idx="2">
                  <c:v>3.1301966154749098E-3</c:v>
                </c:pt>
                <c:pt idx="3">
                  <c:v>4.3529296683947963E-3</c:v>
                </c:pt>
                <c:pt idx="4">
                  <c:v>5.6001173823730811E-3</c:v>
                </c:pt>
                <c:pt idx="5">
                  <c:v>6.8717597574097632E-3</c:v>
                </c:pt>
                <c:pt idx="6">
                  <c:v>8.2901300987968315E-3</c:v>
                </c:pt>
                <c:pt idx="7">
                  <c:v>9.7329551012422973E-3</c:v>
                </c:pt>
                <c:pt idx="8">
                  <c:v>1.1249144086862957E-2</c:v>
                </c:pt>
                <c:pt idx="9">
                  <c:v>1.2789787733542014E-2</c:v>
                </c:pt>
                <c:pt idx="10">
                  <c:v>1.4354886041279468E-2</c:v>
                </c:pt>
                <c:pt idx="11">
                  <c:v>1.594443901007532E-2</c:v>
                </c:pt>
                <c:pt idx="12">
                  <c:v>1.755844663992957E-2</c:v>
                </c:pt>
                <c:pt idx="13">
                  <c:v>1.9221363591900617E-2</c:v>
                </c:pt>
                <c:pt idx="14">
                  <c:v>2.0933189865988459E-2</c:v>
                </c:pt>
                <c:pt idx="15">
                  <c:v>2.2693925462193097E-2</c:v>
                </c:pt>
                <c:pt idx="16">
                  <c:v>2.4454661058397734E-2</c:v>
                </c:pt>
                <c:pt idx="17">
                  <c:v>2.6288760637777565E-2</c:v>
                </c:pt>
                <c:pt idx="18">
                  <c:v>2.8171769539274191E-2</c:v>
                </c:pt>
                <c:pt idx="19">
                  <c:v>3.0079233101829216E-2</c:v>
                </c:pt>
                <c:pt idx="20">
                  <c:v>3.201115132544264E-2</c:v>
                </c:pt>
                <c:pt idx="21">
                  <c:v>3.3991978871172855E-2</c:v>
                </c:pt>
                <c:pt idx="22">
                  <c:v>3.5972806416903071E-2</c:v>
                </c:pt>
                <c:pt idx="23">
                  <c:v>3.7978088623691682E-2</c:v>
                </c:pt>
                <c:pt idx="24">
                  <c:v>3.9983370830480293E-2</c:v>
                </c:pt>
                <c:pt idx="25">
                  <c:v>4.1988653037268904E-2</c:v>
                </c:pt>
                <c:pt idx="26">
                  <c:v>4.4018389905115918E-2</c:v>
                </c:pt>
                <c:pt idx="27">
                  <c:v>4.6072581434021327E-2</c:v>
                </c:pt>
                <c:pt idx="28">
                  <c:v>4.8126772962926737E-2</c:v>
                </c:pt>
                <c:pt idx="29">
                  <c:v>5.0180964491832146E-2</c:v>
                </c:pt>
                <c:pt idx="30">
                  <c:v>5.2284065342854354E-2</c:v>
                </c:pt>
                <c:pt idx="31">
                  <c:v>5.4387166193876561E-2</c:v>
                </c:pt>
                <c:pt idx="32">
                  <c:v>5.653917636701556E-2</c:v>
                </c:pt>
                <c:pt idx="33">
                  <c:v>5.8715641201212962E-2</c:v>
                </c:pt>
                <c:pt idx="34">
                  <c:v>6.0892106035410364E-2</c:v>
                </c:pt>
                <c:pt idx="35">
                  <c:v>6.3141934852782952E-2</c:v>
                </c:pt>
                <c:pt idx="36">
                  <c:v>6.5391763670155548E-2</c:v>
                </c:pt>
                <c:pt idx="37">
                  <c:v>6.7690501809644935E-2</c:v>
                </c:pt>
                <c:pt idx="38">
                  <c:v>6.9989239949134321E-2</c:v>
                </c:pt>
                <c:pt idx="39">
                  <c:v>7.2312432749682104E-2</c:v>
                </c:pt>
                <c:pt idx="40">
                  <c:v>7.4660080211288282E-2</c:v>
                </c:pt>
                <c:pt idx="41">
                  <c:v>7.7032182333952856E-2</c:v>
                </c:pt>
                <c:pt idx="42">
                  <c:v>7.940428445661743E-2</c:v>
                </c:pt>
                <c:pt idx="43">
                  <c:v>8.1923114545632392E-2</c:v>
                </c:pt>
                <c:pt idx="44">
                  <c:v>8.4515308617822554E-2</c:v>
                </c:pt>
                <c:pt idx="45">
                  <c:v>8.7131957351071113E-2</c:v>
                </c:pt>
                <c:pt idx="46">
                  <c:v>8.9797515406436462E-2</c:v>
                </c:pt>
                <c:pt idx="47">
                  <c:v>9.2487528122860208E-2</c:v>
                </c:pt>
                <c:pt idx="48">
                  <c:v>9.5201995500342362E-2</c:v>
                </c:pt>
                <c:pt idx="49">
                  <c:v>9.7965372199941309E-2</c:v>
                </c:pt>
                <c:pt idx="50">
                  <c:v>0.10077765822165705</c:v>
                </c:pt>
                <c:pt idx="51">
                  <c:v>0.10361439890443118</c:v>
                </c:pt>
                <c:pt idx="52">
                  <c:v>0.10650004890932212</c:v>
                </c:pt>
                <c:pt idx="53">
                  <c:v>0.10948351755844664</c:v>
                </c:pt>
                <c:pt idx="54">
                  <c:v>0.11249144086862956</c:v>
                </c:pt>
                <c:pt idx="55">
                  <c:v>0.11554827350092928</c:v>
                </c:pt>
                <c:pt idx="56">
                  <c:v>0.11865401545534579</c:v>
                </c:pt>
                <c:pt idx="57">
                  <c:v>0.1217842120708207</c:v>
                </c:pt>
                <c:pt idx="58">
                  <c:v>0.12501222733052919</c:v>
                </c:pt>
                <c:pt idx="59">
                  <c:v>0.12828915191235449</c:v>
                </c:pt>
                <c:pt idx="60">
                  <c:v>0.13159053115523819</c:v>
                </c:pt>
                <c:pt idx="61">
                  <c:v>0.1348919103981219</c:v>
                </c:pt>
                <c:pt idx="62">
                  <c:v>0.1382421989631224</c:v>
                </c:pt>
                <c:pt idx="63">
                  <c:v>0.14164139685023969</c:v>
                </c:pt>
                <c:pt idx="64">
                  <c:v>0.14511395872053218</c:v>
                </c:pt>
                <c:pt idx="65">
                  <c:v>0.14861097525188305</c:v>
                </c:pt>
                <c:pt idx="66">
                  <c:v>0.15249926636016828</c:v>
                </c:pt>
                <c:pt idx="67">
                  <c:v>0.15677883204538789</c:v>
                </c:pt>
                <c:pt idx="68">
                  <c:v>0.16108285239166589</c:v>
                </c:pt>
                <c:pt idx="69">
                  <c:v>0.16550914604323588</c:v>
                </c:pt>
                <c:pt idx="70">
                  <c:v>0.16993543969480587</c:v>
                </c:pt>
                <c:pt idx="71">
                  <c:v>0.17438618800743427</c:v>
                </c:pt>
                <c:pt idx="72">
                  <c:v>0.17886139098112105</c:v>
                </c:pt>
                <c:pt idx="73">
                  <c:v>0.18340995793798304</c:v>
                </c:pt>
                <c:pt idx="74">
                  <c:v>0.18795852489484502</c:v>
                </c:pt>
                <c:pt idx="75">
                  <c:v>0.19262936515699899</c:v>
                </c:pt>
                <c:pt idx="76">
                  <c:v>0.19796048126772969</c:v>
                </c:pt>
                <c:pt idx="77">
                  <c:v>0.20346278000586918</c:v>
                </c:pt>
                <c:pt idx="78">
                  <c:v>0.20918517069353423</c:v>
                </c:pt>
                <c:pt idx="79">
                  <c:v>0.21544556392448405</c:v>
                </c:pt>
                <c:pt idx="80">
                  <c:v>0.22219505037660184</c:v>
                </c:pt>
                <c:pt idx="81">
                  <c:v>0.22997163259317233</c:v>
                </c:pt>
                <c:pt idx="82">
                  <c:v>0.23794385209820998</c:v>
                </c:pt>
                <c:pt idx="83">
                  <c:v>0.24616061821383162</c:v>
                </c:pt>
                <c:pt idx="84">
                  <c:v>0.2548664775506212</c:v>
                </c:pt>
                <c:pt idx="85">
                  <c:v>0.26547980044996583</c:v>
                </c:pt>
                <c:pt idx="86">
                  <c:v>0.2799325051354789</c:v>
                </c:pt>
                <c:pt idx="87">
                  <c:v>0.29445857380416718</c:v>
                </c:pt>
                <c:pt idx="88">
                  <c:v>0.31196811112197997</c:v>
                </c:pt>
                <c:pt idx="89">
                  <c:v>0.33395285141347952</c:v>
                </c:pt>
                <c:pt idx="90">
                  <c:v>0.35919006162574596</c:v>
                </c:pt>
                <c:pt idx="91">
                  <c:v>0.38645700870585942</c:v>
                </c:pt>
                <c:pt idx="92">
                  <c:v>0.4149466888388928</c:v>
                </c:pt>
                <c:pt idx="93">
                  <c:v>0.45018585542404393</c:v>
                </c:pt>
                <c:pt idx="94">
                  <c:v>0.48762594150445088</c:v>
                </c:pt>
                <c:pt idx="95">
                  <c:v>0.52844077081091667</c:v>
                </c:pt>
                <c:pt idx="96">
                  <c:v>0.57363298444683564</c:v>
                </c:pt>
                <c:pt idx="97">
                  <c:v>0.62205321334246311</c:v>
                </c:pt>
                <c:pt idx="98">
                  <c:v>0.67707620072385799</c:v>
                </c:pt>
                <c:pt idx="99">
                  <c:v>1</c:v>
                </c:pt>
              </c:numCache>
            </c:numRef>
          </c:yVal>
          <c:smooth val="0"/>
          <c:extLst>
            <c:ext xmlns:c16="http://schemas.microsoft.com/office/drawing/2014/chart" uri="{C3380CC4-5D6E-409C-BE32-E72D297353CC}">
              <c16:uniqueId val="{00000000-3FB0-4648-9DF6-BAFAB1C6EFE0}"/>
            </c:ext>
          </c:extLst>
        </c:ser>
        <c:ser>
          <c:idx val="1"/>
          <c:order val="1"/>
          <c:tx>
            <c:strRef>
              <c:f>Sheet1!$H$4</c:f>
              <c:strCache>
                <c:ptCount val="1"/>
                <c:pt idx="0">
                  <c:v>aliquot 2</c:v>
                </c:pt>
              </c:strCache>
            </c:strRef>
          </c:tx>
          <c:spPr>
            <a:ln w="19050" cap="rnd">
              <a:solidFill>
                <a:schemeClr val="accent2"/>
              </a:solidFill>
              <a:round/>
            </a:ln>
            <a:effectLst/>
          </c:spPr>
          <c:marker>
            <c:symbol val="none"/>
          </c:marker>
          <c:xVal>
            <c:numRef>
              <c:f>Sheet1!$B$6:$B$105</c:f>
              <c:numCache>
                <c:formatCode>General</c:formatCode>
                <c:ptCount val="1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numCache>
            </c:numRef>
          </c:xVal>
          <c:yVal>
            <c:numRef>
              <c:f>Sheet1!$J$6:$J$105</c:f>
              <c:numCache>
                <c:formatCode>0.00%</c:formatCode>
                <c:ptCount val="100"/>
                <c:pt idx="0">
                  <c:v>5.9523809523809529E-4</c:v>
                </c:pt>
                <c:pt idx="1">
                  <c:v>1.2411347517730497E-3</c:v>
                </c:pt>
                <c:pt idx="2">
                  <c:v>1.8870314083080041E-3</c:v>
                </c:pt>
                <c:pt idx="3">
                  <c:v>2.5455927051671731E-3</c:v>
                </c:pt>
                <c:pt idx="4">
                  <c:v>3.2294832826747721E-3</c:v>
                </c:pt>
                <c:pt idx="5">
                  <c:v>3.9766970618034447E-3</c:v>
                </c:pt>
                <c:pt idx="6">
                  <c:v>4.7745694022289769E-3</c:v>
                </c:pt>
                <c:pt idx="7">
                  <c:v>5.6104356636271528E-3</c:v>
                </c:pt>
                <c:pt idx="8">
                  <c:v>6.4716312056737587E-3</c:v>
                </c:pt>
                <c:pt idx="9">
                  <c:v>7.3454913880445791E-3</c:v>
                </c:pt>
                <c:pt idx="10">
                  <c:v>8.232016210739615E-3</c:v>
                </c:pt>
                <c:pt idx="11">
                  <c:v>9.11854103343465E-3</c:v>
                </c:pt>
                <c:pt idx="12">
                  <c:v>1.00177304964539E-2</c:v>
                </c:pt>
                <c:pt idx="13">
                  <c:v>1.094224924012158E-2</c:v>
                </c:pt>
                <c:pt idx="14">
                  <c:v>1.1879432624113475E-2</c:v>
                </c:pt>
                <c:pt idx="15">
                  <c:v>1.2829280648429585E-2</c:v>
                </c:pt>
                <c:pt idx="16">
                  <c:v>1.3804457953394123E-2</c:v>
                </c:pt>
                <c:pt idx="17">
                  <c:v>1.4804964539007093E-2</c:v>
                </c:pt>
                <c:pt idx="18">
                  <c:v>1.5818135764944275E-2</c:v>
                </c:pt>
                <c:pt idx="19">
                  <c:v>1.6843971631205674E-2</c:v>
                </c:pt>
                <c:pt idx="20">
                  <c:v>1.7882472137791285E-2</c:v>
                </c:pt>
                <c:pt idx="21">
                  <c:v>1.8920972644376897E-2</c:v>
                </c:pt>
                <c:pt idx="22">
                  <c:v>1.9959473150962508E-2</c:v>
                </c:pt>
                <c:pt idx="23">
                  <c:v>2.1010638297872336E-2</c:v>
                </c:pt>
                <c:pt idx="24">
                  <c:v>2.207446808510638E-2</c:v>
                </c:pt>
                <c:pt idx="25">
                  <c:v>2.3150962512664637E-2</c:v>
                </c:pt>
                <c:pt idx="26">
                  <c:v>2.4227456940222894E-2</c:v>
                </c:pt>
                <c:pt idx="27">
                  <c:v>2.5316616008105367E-2</c:v>
                </c:pt>
                <c:pt idx="28">
                  <c:v>2.6443768996960482E-2</c:v>
                </c:pt>
                <c:pt idx="29">
                  <c:v>2.7583586626139814E-2</c:v>
                </c:pt>
                <c:pt idx="30">
                  <c:v>2.8723404255319145E-2</c:v>
                </c:pt>
                <c:pt idx="31">
                  <c:v>2.9888551165146906E-2</c:v>
                </c:pt>
                <c:pt idx="32">
                  <c:v>3.1053698074974666E-2</c:v>
                </c:pt>
                <c:pt idx="33">
                  <c:v>3.2218844984802431E-2</c:v>
                </c:pt>
                <c:pt idx="34">
                  <c:v>3.3421985815602837E-2</c:v>
                </c:pt>
                <c:pt idx="35">
                  <c:v>3.4637791286727455E-2</c:v>
                </c:pt>
                <c:pt idx="36">
                  <c:v>3.5853596757852074E-2</c:v>
                </c:pt>
                <c:pt idx="37">
                  <c:v>3.7120060790273551E-2</c:v>
                </c:pt>
                <c:pt idx="38">
                  <c:v>3.8386524822695028E-2</c:v>
                </c:pt>
                <c:pt idx="39">
                  <c:v>3.9716312056737584E-2</c:v>
                </c:pt>
                <c:pt idx="40">
                  <c:v>4.1084093211752784E-2</c:v>
                </c:pt>
                <c:pt idx="41">
                  <c:v>4.2464539007092197E-2</c:v>
                </c:pt>
                <c:pt idx="42">
                  <c:v>4.3844984802431611E-2</c:v>
                </c:pt>
                <c:pt idx="43">
                  <c:v>4.5238095238095237E-2</c:v>
                </c:pt>
                <c:pt idx="44">
                  <c:v>4.6643870314083076E-2</c:v>
                </c:pt>
                <c:pt idx="45">
                  <c:v>4.8049645390070915E-2</c:v>
                </c:pt>
                <c:pt idx="46">
                  <c:v>4.9493414387031399E-2</c:v>
                </c:pt>
                <c:pt idx="47">
                  <c:v>5.0962512664640316E-2</c:v>
                </c:pt>
                <c:pt idx="48">
                  <c:v>5.2444275582573446E-2</c:v>
                </c:pt>
                <c:pt idx="49">
                  <c:v>5.3951367781155009E-2</c:v>
                </c:pt>
                <c:pt idx="50">
                  <c:v>5.5458459979736571E-2</c:v>
                </c:pt>
                <c:pt idx="51">
                  <c:v>5.6978216818642347E-2</c:v>
                </c:pt>
                <c:pt idx="52">
                  <c:v>5.8535967578520767E-2</c:v>
                </c:pt>
                <c:pt idx="53">
                  <c:v>6.0093718338399188E-2</c:v>
                </c:pt>
                <c:pt idx="54">
                  <c:v>6.1689463019250254E-2</c:v>
                </c:pt>
                <c:pt idx="55">
                  <c:v>6.3335866261398172E-2</c:v>
                </c:pt>
                <c:pt idx="56">
                  <c:v>6.5032928064842954E-2</c:v>
                </c:pt>
                <c:pt idx="57">
                  <c:v>6.6755319148936162E-2</c:v>
                </c:pt>
                <c:pt idx="58">
                  <c:v>6.850303951367781E-2</c:v>
                </c:pt>
                <c:pt idx="59">
                  <c:v>7.0250759878419458E-2</c:v>
                </c:pt>
                <c:pt idx="60">
                  <c:v>7.1998480243161106E-2</c:v>
                </c:pt>
                <c:pt idx="61">
                  <c:v>7.3784194528875385E-2</c:v>
                </c:pt>
                <c:pt idx="62">
                  <c:v>7.563323201621075E-2</c:v>
                </c:pt>
                <c:pt idx="63">
                  <c:v>7.749493414387032E-2</c:v>
                </c:pt>
                <c:pt idx="64">
                  <c:v>7.9407294832826755E-2</c:v>
                </c:pt>
                <c:pt idx="65">
                  <c:v>8.1332320162107397E-2</c:v>
                </c:pt>
                <c:pt idx="66">
                  <c:v>8.3320668693009123E-2</c:v>
                </c:pt>
                <c:pt idx="67">
                  <c:v>8.5524316109422502E-2</c:v>
                </c:pt>
                <c:pt idx="68">
                  <c:v>8.7854609929078023E-2</c:v>
                </c:pt>
                <c:pt idx="69">
                  <c:v>9.021023302938197E-2</c:v>
                </c:pt>
                <c:pt idx="70">
                  <c:v>9.2743161094224924E-2</c:v>
                </c:pt>
                <c:pt idx="71">
                  <c:v>9.5314083080040524E-2</c:v>
                </c:pt>
                <c:pt idx="72">
                  <c:v>9.7922998986828769E-2</c:v>
                </c:pt>
                <c:pt idx="73">
                  <c:v>0.10056990881458966</c:v>
                </c:pt>
                <c:pt idx="74">
                  <c:v>0.10322948328267477</c:v>
                </c:pt>
                <c:pt idx="75">
                  <c:v>0.10591438703140831</c:v>
                </c:pt>
                <c:pt idx="76">
                  <c:v>0.10864994934143871</c:v>
                </c:pt>
                <c:pt idx="77">
                  <c:v>0.11138551165146911</c:v>
                </c:pt>
                <c:pt idx="78">
                  <c:v>0.11413373860182371</c:v>
                </c:pt>
                <c:pt idx="79">
                  <c:v>0.11688196555217832</c:v>
                </c:pt>
                <c:pt idx="80">
                  <c:v>0.11964285714285715</c:v>
                </c:pt>
                <c:pt idx="81">
                  <c:v>0.12258105369807498</c:v>
                </c:pt>
                <c:pt idx="82">
                  <c:v>0.12555724417426545</c:v>
                </c:pt>
                <c:pt idx="83">
                  <c:v>0.12885005065856128</c:v>
                </c:pt>
                <c:pt idx="84">
                  <c:v>0.13225683890577505</c:v>
                </c:pt>
                <c:pt idx="85">
                  <c:v>0.13601823708206684</c:v>
                </c:pt>
                <c:pt idx="86">
                  <c:v>0.14005825734549135</c:v>
                </c:pt>
                <c:pt idx="87">
                  <c:v>0.14589665653495437</c:v>
                </c:pt>
                <c:pt idx="88">
                  <c:v>0.15179837892603848</c:v>
                </c:pt>
                <c:pt idx="89">
                  <c:v>0.15791540020263423</c:v>
                </c:pt>
                <c:pt idx="90">
                  <c:v>0.16580547112462005</c:v>
                </c:pt>
                <c:pt idx="91">
                  <c:v>0.17424012158054711</c:v>
                </c:pt>
                <c:pt idx="92">
                  <c:v>0.19435157041540019</c:v>
                </c:pt>
                <c:pt idx="93">
                  <c:v>0.23363728470111447</c:v>
                </c:pt>
                <c:pt idx="94">
                  <c:v>0.27298632218844981</c:v>
                </c:pt>
                <c:pt idx="95">
                  <c:v>0.31414640324214788</c:v>
                </c:pt>
                <c:pt idx="96">
                  <c:v>0.37650709219858153</c:v>
                </c:pt>
                <c:pt idx="97">
                  <c:v>0.48946301925025326</c:v>
                </c:pt>
                <c:pt idx="98">
                  <c:v>0.66917426545086123</c:v>
                </c:pt>
                <c:pt idx="99">
                  <c:v>1</c:v>
                </c:pt>
              </c:numCache>
            </c:numRef>
          </c:yVal>
          <c:smooth val="0"/>
          <c:extLst>
            <c:ext xmlns:c16="http://schemas.microsoft.com/office/drawing/2014/chart" uri="{C3380CC4-5D6E-409C-BE32-E72D297353CC}">
              <c16:uniqueId val="{00000001-3FB0-4648-9DF6-BAFAB1C6EFE0}"/>
            </c:ext>
          </c:extLst>
        </c:ser>
        <c:ser>
          <c:idx val="2"/>
          <c:order val="2"/>
          <c:tx>
            <c:strRef>
              <c:f>Sheet1!$M$4</c:f>
              <c:strCache>
                <c:ptCount val="1"/>
                <c:pt idx="0">
                  <c:v>aliquot 3</c:v>
                </c:pt>
              </c:strCache>
            </c:strRef>
          </c:tx>
          <c:spPr>
            <a:ln w="19050" cap="rnd">
              <a:solidFill>
                <a:schemeClr val="accent3"/>
              </a:solidFill>
              <a:round/>
            </a:ln>
            <a:effectLst/>
          </c:spPr>
          <c:marker>
            <c:symbol val="none"/>
          </c:marker>
          <c:xVal>
            <c:numRef>
              <c:f>Sheet1!$B$6:$B$105</c:f>
              <c:numCache>
                <c:formatCode>General</c:formatCode>
                <c:ptCount val="1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numCache>
            </c:numRef>
          </c:xVal>
          <c:yVal>
            <c:numRef>
              <c:f>Sheet1!$P$6:$P$105</c:f>
              <c:numCache>
                <c:formatCode>0.00%</c:formatCode>
                <c:ptCount val="100"/>
                <c:pt idx="0">
                  <c:v>2.4886455546568783E-4</c:v>
                </c:pt>
                <c:pt idx="1">
                  <c:v>5.3229363252383223E-4</c:v>
                </c:pt>
                <c:pt idx="2">
                  <c:v>8.3646142253745071E-4</c:v>
                </c:pt>
                <c:pt idx="3">
                  <c:v>1.1751937341435259E-3</c:v>
                </c:pt>
                <c:pt idx="4">
                  <c:v>1.5277518543865836E-3</c:v>
                </c:pt>
                <c:pt idx="5">
                  <c:v>1.8872228789481326E-3</c:v>
                </c:pt>
                <c:pt idx="6">
                  <c:v>2.2466939035096817E-3</c:v>
                </c:pt>
                <c:pt idx="7">
                  <c:v>2.6130778323897219E-3</c:v>
                </c:pt>
                <c:pt idx="8">
                  <c:v>2.9932875699067449E-3</c:v>
                </c:pt>
                <c:pt idx="9">
                  <c:v>3.3734973074237679E-3</c:v>
                </c:pt>
                <c:pt idx="10">
                  <c:v>3.7744457578962648E-3</c:v>
                </c:pt>
                <c:pt idx="11">
                  <c:v>4.1753942083687622E-3</c:v>
                </c:pt>
                <c:pt idx="12">
                  <c:v>4.5832555631597502E-3</c:v>
                </c:pt>
                <c:pt idx="13">
                  <c:v>4.9911169179507383E-3</c:v>
                </c:pt>
                <c:pt idx="14">
                  <c:v>5.4058911770602184E-3</c:v>
                </c:pt>
                <c:pt idx="15">
                  <c:v>5.8206654361696985E-3</c:v>
                </c:pt>
                <c:pt idx="16">
                  <c:v>6.2354396952791786E-3</c:v>
                </c:pt>
                <c:pt idx="17">
                  <c:v>6.664039763025641E-3</c:v>
                </c:pt>
                <c:pt idx="18">
                  <c:v>7.0926398307721034E-3</c:v>
                </c:pt>
                <c:pt idx="19">
                  <c:v>7.5212398985185659E-3</c:v>
                </c:pt>
                <c:pt idx="20">
                  <c:v>7.9498399662650283E-3</c:v>
                </c:pt>
                <c:pt idx="21">
                  <c:v>8.3784400340114907E-3</c:v>
                </c:pt>
                <c:pt idx="22">
                  <c:v>8.8139530060764443E-3</c:v>
                </c:pt>
                <c:pt idx="23">
                  <c:v>9.256378882459889E-3</c:v>
                </c:pt>
                <c:pt idx="24">
                  <c:v>9.7057176631618249E-3</c:v>
                </c:pt>
                <c:pt idx="25">
                  <c:v>1.0155056443863761E-2</c:v>
                </c:pt>
                <c:pt idx="26">
                  <c:v>1.0611308128884188E-2</c:v>
                </c:pt>
                <c:pt idx="27">
                  <c:v>1.1067559813904615E-2</c:v>
                </c:pt>
                <c:pt idx="28">
                  <c:v>1.1537637307562026E-2</c:v>
                </c:pt>
                <c:pt idx="29">
                  <c:v>1.2007714801219437E-2</c:v>
                </c:pt>
                <c:pt idx="30">
                  <c:v>1.2484705199195339E-2</c:v>
                </c:pt>
                <c:pt idx="31">
                  <c:v>1.2968608501489733E-2</c:v>
                </c:pt>
                <c:pt idx="32">
                  <c:v>1.3459424708102618E-2</c:v>
                </c:pt>
                <c:pt idx="33">
                  <c:v>1.3950240914715502E-2</c:v>
                </c:pt>
                <c:pt idx="34">
                  <c:v>1.4447970025646878E-2</c:v>
                </c:pt>
                <c:pt idx="35">
                  <c:v>1.4945699136578254E-2</c:v>
                </c:pt>
                <c:pt idx="36">
                  <c:v>1.5464166960465103E-2</c:v>
                </c:pt>
                <c:pt idx="37">
                  <c:v>1.5982634784351954E-2</c:v>
                </c:pt>
                <c:pt idx="38">
                  <c:v>1.6514928416875786E-2</c:v>
                </c:pt>
                <c:pt idx="39">
                  <c:v>1.705413495371811E-2</c:v>
                </c:pt>
                <c:pt idx="40">
                  <c:v>1.7607167299197417E-2</c:v>
                </c:pt>
                <c:pt idx="41">
                  <c:v>1.8160199644676724E-2</c:v>
                </c:pt>
                <c:pt idx="42">
                  <c:v>1.871323199015603E-2</c:v>
                </c:pt>
                <c:pt idx="43">
                  <c:v>1.928009014427232E-2</c:v>
                </c:pt>
                <c:pt idx="44">
                  <c:v>1.9846948298388609E-2</c:v>
                </c:pt>
                <c:pt idx="45">
                  <c:v>2.0420719356823387E-2</c:v>
                </c:pt>
                <c:pt idx="46">
                  <c:v>2.1001403319576659E-2</c:v>
                </c:pt>
                <c:pt idx="47">
                  <c:v>2.1595913090966912E-2</c:v>
                </c:pt>
                <c:pt idx="48">
                  <c:v>2.2204248670994148E-2</c:v>
                </c:pt>
                <c:pt idx="49">
                  <c:v>2.2819497155339877E-2</c:v>
                </c:pt>
                <c:pt idx="50">
                  <c:v>2.3434745639685606E-2</c:v>
                </c:pt>
                <c:pt idx="51">
                  <c:v>2.4049994124031335E-2</c:v>
                </c:pt>
                <c:pt idx="52">
                  <c:v>2.4672155512695554E-2</c:v>
                </c:pt>
                <c:pt idx="53">
                  <c:v>2.5308142709996755E-2</c:v>
                </c:pt>
                <c:pt idx="54">
                  <c:v>2.5957955715934941E-2</c:v>
                </c:pt>
                <c:pt idx="55">
                  <c:v>2.6614681626191617E-2</c:v>
                </c:pt>
                <c:pt idx="56">
                  <c:v>2.7271407536448293E-2</c:v>
                </c:pt>
                <c:pt idx="57">
                  <c:v>2.7935046351023462E-2</c:v>
                </c:pt>
                <c:pt idx="58">
                  <c:v>2.860559806991712E-2</c:v>
                </c:pt>
                <c:pt idx="59">
                  <c:v>2.9283062693129271E-2</c:v>
                </c:pt>
                <c:pt idx="60">
                  <c:v>2.9967440220659912E-2</c:v>
                </c:pt>
                <c:pt idx="61">
                  <c:v>3.0658730652509045E-2</c:v>
                </c:pt>
                <c:pt idx="62">
                  <c:v>3.1356933988676672E-2</c:v>
                </c:pt>
                <c:pt idx="63">
                  <c:v>3.2082788942118259E-2</c:v>
                </c:pt>
                <c:pt idx="64">
                  <c:v>3.2843208417152304E-2</c:v>
                </c:pt>
                <c:pt idx="65">
                  <c:v>3.360362789218635E-2</c:v>
                </c:pt>
                <c:pt idx="66">
                  <c:v>3.4377873175857381E-2</c:v>
                </c:pt>
                <c:pt idx="67">
                  <c:v>3.5179770076802376E-2</c:v>
                </c:pt>
                <c:pt idx="68">
                  <c:v>3.6057708925250773E-2</c:v>
                </c:pt>
                <c:pt idx="69">
                  <c:v>3.6970212295291627E-2</c:v>
                </c:pt>
                <c:pt idx="70">
                  <c:v>3.7910367282606446E-2</c:v>
                </c:pt>
                <c:pt idx="71">
                  <c:v>3.8940390026061651E-2</c:v>
                </c:pt>
                <c:pt idx="72">
                  <c:v>3.997732567383535E-2</c:v>
                </c:pt>
                <c:pt idx="73">
                  <c:v>4.1214735546845301E-2</c:v>
                </c:pt>
                <c:pt idx="74">
                  <c:v>4.2507448654403181E-2</c:v>
                </c:pt>
                <c:pt idx="75">
                  <c:v>4.3848552092190497E-2</c:v>
                </c:pt>
                <c:pt idx="76">
                  <c:v>4.52034813386148E-2</c:v>
                </c:pt>
                <c:pt idx="77">
                  <c:v>4.6696668671408925E-2</c:v>
                </c:pt>
                <c:pt idx="78">
                  <c:v>4.8653020593541971E-2</c:v>
                </c:pt>
                <c:pt idx="79">
                  <c:v>5.0858237071140705E-2</c:v>
                </c:pt>
                <c:pt idx="80">
                  <c:v>5.3319231008523621E-2</c:v>
                </c:pt>
                <c:pt idx="81">
                  <c:v>5.5870092702046924E-2</c:v>
                </c:pt>
                <c:pt idx="82">
                  <c:v>5.8821902846042724E-2</c:v>
                </c:pt>
                <c:pt idx="83">
                  <c:v>6.1898145267771362E-2</c:v>
                </c:pt>
                <c:pt idx="84">
                  <c:v>6.5389161948609484E-2</c:v>
                </c:pt>
                <c:pt idx="85">
                  <c:v>6.9343343218786518E-2</c:v>
                </c:pt>
                <c:pt idx="86">
                  <c:v>7.348417290556282E-2</c:v>
                </c:pt>
                <c:pt idx="87">
                  <c:v>7.8592809196927918E-2</c:v>
                </c:pt>
                <c:pt idx="88">
                  <c:v>8.4136958460357958E-2</c:v>
                </c:pt>
                <c:pt idx="89">
                  <c:v>8.9929972279253687E-2</c:v>
                </c:pt>
                <c:pt idx="90">
                  <c:v>9.5826679662926795E-2</c:v>
                </c:pt>
                <c:pt idx="91">
                  <c:v>0.10199990321933955</c:v>
                </c:pt>
                <c:pt idx="92">
                  <c:v>0.10952114311785811</c:v>
                </c:pt>
                <c:pt idx="93">
                  <c:v>0.11740876694525672</c:v>
                </c:pt>
                <c:pt idx="94">
                  <c:v>0.12817907187346622</c:v>
                </c:pt>
                <c:pt idx="95">
                  <c:v>0.13935032525214822</c:v>
                </c:pt>
                <c:pt idx="96">
                  <c:v>0.15078426899493289</c:v>
                </c:pt>
                <c:pt idx="97">
                  <c:v>0.1854593970564854</c:v>
                </c:pt>
                <c:pt idx="98">
                  <c:v>0.52505582170237197</c:v>
                </c:pt>
                <c:pt idx="99">
                  <c:v>1.0000000000000002</c:v>
                </c:pt>
              </c:numCache>
            </c:numRef>
          </c:yVal>
          <c:smooth val="0"/>
          <c:extLst>
            <c:ext xmlns:c16="http://schemas.microsoft.com/office/drawing/2014/chart" uri="{C3380CC4-5D6E-409C-BE32-E72D297353CC}">
              <c16:uniqueId val="{00000002-3FB0-4648-9DF6-BAFAB1C6EFE0}"/>
            </c:ext>
          </c:extLst>
        </c:ser>
        <c:ser>
          <c:idx val="3"/>
          <c:order val="3"/>
          <c:tx>
            <c:strRef>
              <c:f>Sheet1!$R$4</c:f>
              <c:strCache>
                <c:ptCount val="1"/>
                <c:pt idx="0">
                  <c:v>aliquot 4</c:v>
                </c:pt>
              </c:strCache>
            </c:strRef>
          </c:tx>
          <c:spPr>
            <a:ln w="19050" cap="rnd">
              <a:solidFill>
                <a:schemeClr val="accent4"/>
              </a:solidFill>
              <a:round/>
            </a:ln>
            <a:effectLst/>
          </c:spPr>
          <c:marker>
            <c:symbol val="none"/>
          </c:marker>
          <c:xVal>
            <c:numRef>
              <c:f>Sheet1!$R$6:$R$105</c:f>
              <c:numCache>
                <c:formatCode>General</c:formatCode>
                <c:ptCount val="1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numCache>
            </c:numRef>
          </c:xVal>
          <c:yVal>
            <c:numRef>
              <c:f>Sheet1!$U$6:$U$105</c:f>
              <c:numCache>
                <c:formatCode>0.00%</c:formatCode>
                <c:ptCount val="100"/>
                <c:pt idx="0">
                  <c:v>1.1222108824812293E-4</c:v>
                </c:pt>
                <c:pt idx="1">
                  <c:v>2.2655955551979535E-4</c:v>
                </c:pt>
                <c:pt idx="2">
                  <c:v>3.5783705497986372E-4</c:v>
                </c:pt>
                <c:pt idx="3">
                  <c:v>4.9970144955767946E-4</c:v>
                </c:pt>
                <c:pt idx="4">
                  <c:v>6.4368322315904477E-4</c:v>
                </c:pt>
                <c:pt idx="5">
                  <c:v>7.8978237578395955E-4</c:v>
                </c:pt>
                <c:pt idx="6">
                  <c:v>9.3588152840887433E-4</c:v>
                </c:pt>
                <c:pt idx="7">
                  <c:v>1.081980681033789E-3</c:v>
                </c:pt>
                <c:pt idx="8">
                  <c:v>1.2280798336587037E-3</c:v>
                </c:pt>
                <c:pt idx="9">
                  <c:v>1.3784137443307175E-3</c:v>
                </c:pt>
                <c:pt idx="10">
                  <c:v>1.5308650340262807E-3</c:v>
                </c:pt>
                <c:pt idx="11">
                  <c:v>1.6917858398160419E-3</c:v>
                </c:pt>
                <c:pt idx="12">
                  <c:v>1.8569414036529021E-3</c:v>
                </c:pt>
                <c:pt idx="13">
                  <c:v>2.0242143465133118E-3</c:v>
                </c:pt>
                <c:pt idx="14">
                  <c:v>2.202074184491469E-3</c:v>
                </c:pt>
                <c:pt idx="15">
                  <c:v>2.3799340224696262E-3</c:v>
                </c:pt>
                <c:pt idx="16">
                  <c:v>2.5641459975184319E-3</c:v>
                </c:pt>
                <c:pt idx="17">
                  <c:v>2.7504753515907869E-3</c:v>
                </c:pt>
                <c:pt idx="18">
                  <c:v>2.9389220846866913E-3</c:v>
                </c:pt>
                <c:pt idx="19">
                  <c:v>3.1273688177825957E-3</c:v>
                </c:pt>
                <c:pt idx="20">
                  <c:v>3.3179329299020499E-3</c:v>
                </c:pt>
                <c:pt idx="21">
                  <c:v>3.5148491790921526E-3</c:v>
                </c:pt>
                <c:pt idx="22">
                  <c:v>3.7117654282822553E-3</c:v>
                </c:pt>
                <c:pt idx="23">
                  <c:v>3.9107990564959073E-3</c:v>
                </c:pt>
                <c:pt idx="24">
                  <c:v>4.1140674427566585E-3</c:v>
                </c:pt>
                <c:pt idx="25">
                  <c:v>4.3194532080409586E-3</c:v>
                </c:pt>
                <c:pt idx="26">
                  <c:v>4.5248389733252587E-3</c:v>
                </c:pt>
                <c:pt idx="27">
                  <c:v>4.7344594966566584E-3</c:v>
                </c:pt>
                <c:pt idx="28">
                  <c:v>4.9483147780351568E-3</c:v>
                </c:pt>
                <c:pt idx="29">
                  <c:v>5.164287438437205E-3</c:v>
                </c:pt>
                <c:pt idx="30">
                  <c:v>5.3844948568863519E-3</c:v>
                </c:pt>
                <c:pt idx="31">
                  <c:v>5.6089370333825975E-3</c:v>
                </c:pt>
                <c:pt idx="32">
                  <c:v>5.8397313469494916E-3</c:v>
                </c:pt>
                <c:pt idx="33">
                  <c:v>6.0747604185634853E-3</c:v>
                </c:pt>
                <c:pt idx="34">
                  <c:v>6.309789490177479E-3</c:v>
                </c:pt>
                <c:pt idx="35">
                  <c:v>6.5448185617914727E-3</c:v>
                </c:pt>
                <c:pt idx="36">
                  <c:v>6.7819650124290153E-3</c:v>
                </c:pt>
                <c:pt idx="37">
                  <c:v>7.0296983581843052E-3</c:v>
                </c:pt>
                <c:pt idx="38">
                  <c:v>7.2795490829631448E-3</c:v>
                </c:pt>
                <c:pt idx="39">
                  <c:v>7.5315171867655342E-3</c:v>
                </c:pt>
                <c:pt idx="40">
                  <c:v>7.7834852905679236E-3</c:v>
                </c:pt>
                <c:pt idx="41">
                  <c:v>8.0375707733938619E-3</c:v>
                </c:pt>
                <c:pt idx="42">
                  <c:v>8.2916562562198003E-3</c:v>
                </c:pt>
                <c:pt idx="43">
                  <c:v>8.552093876116388E-3</c:v>
                </c:pt>
                <c:pt idx="44">
                  <c:v>8.8188836330836233E-3</c:v>
                </c:pt>
                <c:pt idx="45">
                  <c:v>9.0877907690744084E-3</c:v>
                </c:pt>
                <c:pt idx="46">
                  <c:v>9.3609326631122931E-3</c:v>
                </c:pt>
                <c:pt idx="47">
                  <c:v>9.6425440732443753E-3</c:v>
                </c:pt>
                <c:pt idx="48">
                  <c:v>9.9262728624000072E-3</c:v>
                </c:pt>
                <c:pt idx="49">
                  <c:v>1.0210001651555639E-2</c:v>
                </c:pt>
                <c:pt idx="50">
                  <c:v>1.0497965198758369E-2</c:v>
                </c:pt>
                <c:pt idx="51">
                  <c:v>1.0788046124984648E-2</c:v>
                </c:pt>
                <c:pt idx="52">
                  <c:v>1.1088713946328675E-2</c:v>
                </c:pt>
                <c:pt idx="53">
                  <c:v>1.1399968662790451E-2</c:v>
                </c:pt>
                <c:pt idx="54">
                  <c:v>1.1717575516322874E-2</c:v>
                </c:pt>
                <c:pt idx="55">
                  <c:v>1.2039417127902397E-2</c:v>
                </c:pt>
                <c:pt idx="56">
                  <c:v>1.2365493497529018E-2</c:v>
                </c:pt>
                <c:pt idx="57">
                  <c:v>1.2691569867155639E-2</c:v>
                </c:pt>
                <c:pt idx="58">
                  <c:v>1.3032467889947106E-2</c:v>
                </c:pt>
                <c:pt idx="59">
                  <c:v>1.3381835428832771E-2</c:v>
                </c:pt>
                <c:pt idx="60">
                  <c:v>1.3735437725765536E-2</c:v>
                </c:pt>
                <c:pt idx="61">
                  <c:v>1.40932747807454E-2</c:v>
                </c:pt>
                <c:pt idx="62">
                  <c:v>1.4476520384007858E-2</c:v>
                </c:pt>
                <c:pt idx="63">
                  <c:v>1.4876705019458711E-2</c:v>
                </c:pt>
                <c:pt idx="64">
                  <c:v>1.5285359171003763E-2</c:v>
                </c:pt>
                <c:pt idx="65">
                  <c:v>1.5708834975713661E-2</c:v>
                </c:pt>
                <c:pt idx="66">
                  <c:v>1.6147132433588406E-2</c:v>
                </c:pt>
                <c:pt idx="67">
                  <c:v>1.65875472704867E-2</c:v>
                </c:pt>
                <c:pt idx="68">
                  <c:v>1.7044901139573389E-2</c:v>
                </c:pt>
                <c:pt idx="69">
                  <c:v>1.7510724524754277E-2</c:v>
                </c:pt>
                <c:pt idx="70">
                  <c:v>1.7980782667982264E-2</c:v>
                </c:pt>
                <c:pt idx="71">
                  <c:v>1.8501657907775439E-2</c:v>
                </c:pt>
                <c:pt idx="72">
                  <c:v>1.903523742170991E-2</c:v>
                </c:pt>
                <c:pt idx="73">
                  <c:v>1.9592108104903427E-2</c:v>
                </c:pt>
                <c:pt idx="74">
                  <c:v>2.0182856852473733E-2</c:v>
                </c:pt>
                <c:pt idx="75">
                  <c:v>2.0873122414150867E-2</c:v>
                </c:pt>
                <c:pt idx="76">
                  <c:v>2.1599383419228343E-2</c:v>
                </c:pt>
                <c:pt idx="77">
                  <c:v>2.235317035161196E-2</c:v>
                </c:pt>
                <c:pt idx="78">
                  <c:v>2.3123896316183973E-2</c:v>
                </c:pt>
                <c:pt idx="79">
                  <c:v>2.396449578853312E-2</c:v>
                </c:pt>
                <c:pt idx="80">
                  <c:v>2.4811447397952914E-2</c:v>
                </c:pt>
                <c:pt idx="81">
                  <c:v>2.5802380780974073E-2</c:v>
                </c:pt>
                <c:pt idx="82">
                  <c:v>2.6814487954230731E-2</c:v>
                </c:pt>
                <c:pt idx="83">
                  <c:v>2.7875294845029024E-2</c:v>
                </c:pt>
                <c:pt idx="84">
                  <c:v>2.8946688630945065E-2</c:v>
                </c:pt>
                <c:pt idx="85">
                  <c:v>3.0026551932955305E-2</c:v>
                </c:pt>
                <c:pt idx="86">
                  <c:v>3.1366852854862133E-2</c:v>
                </c:pt>
                <c:pt idx="87">
                  <c:v>3.2935830711312307E-2</c:v>
                </c:pt>
                <c:pt idx="88">
                  <c:v>3.4511160704833128E-2</c:v>
                </c:pt>
                <c:pt idx="89">
                  <c:v>3.6200829165625621E-2</c:v>
                </c:pt>
                <c:pt idx="90">
                  <c:v>3.8218691375068281E-2</c:v>
                </c:pt>
                <c:pt idx="91">
                  <c:v>4.0897175839858385E-2</c:v>
                </c:pt>
                <c:pt idx="92">
                  <c:v>4.3588364578789784E-2</c:v>
                </c:pt>
                <c:pt idx="93">
                  <c:v>4.6908414887715383E-2</c:v>
                </c:pt>
                <c:pt idx="94">
                  <c:v>5.0357625317077499E-2</c:v>
                </c:pt>
                <c:pt idx="95">
                  <c:v>5.3914822076640639E-2</c:v>
                </c:pt>
                <c:pt idx="96">
                  <c:v>6.1094854345496954E-2</c:v>
                </c:pt>
                <c:pt idx="97">
                  <c:v>7.4199313122244745E-2</c:v>
                </c:pt>
                <c:pt idx="98">
                  <c:v>0.11992623051481952</c:v>
                </c:pt>
                <c:pt idx="99">
                  <c:v>1</c:v>
                </c:pt>
              </c:numCache>
            </c:numRef>
          </c:yVal>
          <c:smooth val="0"/>
          <c:extLst>
            <c:ext xmlns:c16="http://schemas.microsoft.com/office/drawing/2014/chart" uri="{C3380CC4-5D6E-409C-BE32-E72D297353CC}">
              <c16:uniqueId val="{00000003-3FB0-4648-9DF6-BAFAB1C6EFE0}"/>
            </c:ext>
          </c:extLst>
        </c:ser>
        <c:dLbls>
          <c:showLegendKey val="0"/>
          <c:showVal val="0"/>
          <c:showCatName val="0"/>
          <c:showSerName val="0"/>
          <c:showPercent val="0"/>
          <c:showBubbleSize val="0"/>
        </c:dLbls>
        <c:axId val="1437259024"/>
        <c:axId val="1437259504"/>
      </c:scatterChart>
      <c:valAx>
        <c:axId val="1437259024"/>
        <c:scaling>
          <c:orientation val="minMax"/>
          <c:max val="1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Grain number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out"/>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437259504"/>
        <c:crosses val="autoZero"/>
        <c:crossBetween val="midCat"/>
      </c:valAx>
      <c:valAx>
        <c:axId val="1437259504"/>
        <c:scaling>
          <c:orientation val="minMax"/>
          <c:max val="1"/>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Cumulative</a:t>
                </a:r>
                <a:r>
                  <a:rPr lang="en-GB" baseline="0"/>
                  <a:t> </a:t>
                </a:r>
                <a:r>
                  <a:rPr lang="en-GB"/>
                  <a:t>OSL signal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0%" sourceLinked="0"/>
        <c:majorTickMark val="out"/>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43725902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7B83D-1057-4AA2-9B05-841CB606E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107616</Words>
  <Characters>591894</Characters>
  <Application>Microsoft Office Word</Application>
  <DocSecurity>0</DocSecurity>
  <Lines>4932</Lines>
  <Paragraphs>1396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Eslem Ben Arous</dc:creator>
  <cp:lastModifiedBy>Eslem Ben Arous</cp:lastModifiedBy>
  <cp:revision>3</cp:revision>
  <dcterms:created xsi:type="dcterms:W3CDTF">2024-12-09T11:37:00Z</dcterms:created>
  <dcterms:modified xsi:type="dcterms:W3CDTF">2024-12-09T11:39:00Z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575a4027-8c59-391c-8d70-c7ab0590471c</vt:lpwstr>
  </property>
  <property fmtid="{D5CDD505-2E9C-101B-9397-08002B2CF9AE}" pid="4" name="Mendeley Citation Style_1">
    <vt:lpwstr>http://www.zotero.org/styles/nature</vt:lpwstr>
  </property>
  <property fmtid="{D5CDD505-2E9C-101B-9397-08002B2CF9AE}" pid="5" name="Mendeley Recent Style Id 0_1">
    <vt:lpwstr>http://www.zotero.org/styles/american-journal-of-physical-anthropology</vt:lpwstr>
  </property>
  <property fmtid="{D5CDD505-2E9C-101B-9397-08002B2CF9AE}" pid="6" name="Mendeley Recent Style Name 0_1">
    <vt:lpwstr>American Journal of Physical Anthropology</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 11th edition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http://www.zotero.org/styles/journal-of-archaeological-science-reports</vt:lpwstr>
  </property>
  <property fmtid="{D5CDD505-2E9C-101B-9397-08002B2CF9AE}" pid="18" name="Mendeley Recent Style Name 6_1">
    <vt:lpwstr>Journal of Archaeological Science: Reports</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http://www.zotero.org/styles/quaternary-science-reviews</vt:lpwstr>
  </property>
  <property fmtid="{D5CDD505-2E9C-101B-9397-08002B2CF9AE}" pid="22" name="Mendeley Recent Style Name 8_1">
    <vt:lpwstr>Quaternary Science Reviews</vt:lpwstr>
  </property>
  <property fmtid="{D5CDD505-2E9C-101B-9397-08002B2CF9AE}" pid="23" name="Mendeley Recent Style Id 9_1">
    <vt:lpwstr>http://www.zotero.org/styles/radiation-physics-and-chemistry</vt:lpwstr>
  </property>
  <property fmtid="{D5CDD505-2E9C-101B-9397-08002B2CF9AE}" pid="24" name="Mendeley Recent Style Name 9_1">
    <vt:lpwstr>Radiation Physics and Chemistry</vt:lpwstr>
  </property>
  <property fmtid="{D5CDD505-2E9C-101B-9397-08002B2CF9AE}" pid="25" name="ZOTERO_PREF_1">
    <vt:lpwstr>&lt;data data-version="3" zotero-version="6.0.30"&gt;&lt;session id="rxi4rHEP"/&gt;&lt;style id="http://www.zotero.org/styles/nature" hasBibliography="1" bibliographyStyleHasBeenSet="0"/&gt;&lt;prefs&gt;&lt;pref name="fieldType" value="Field"/&gt;&lt;pref name="automaticJournalAbbreviati</vt:lpwstr>
  </property>
  <property fmtid="{D5CDD505-2E9C-101B-9397-08002B2CF9AE}" pid="26" name="ZOTERO_PREF_2">
    <vt:lpwstr>ons" value="true"/&gt;&lt;/prefs&gt;&lt;/data&gt;</vt:lpwstr>
  </property>
</Properties>
</file>