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21027" w14:textId="7FF3304B" w:rsidR="00B06662" w:rsidRDefault="00450D02" w:rsidP="00450D02">
      <w:pPr>
        <w:pStyle w:val="Heading2"/>
        <w:rPr>
          <w:rFonts w:ascii="Arial" w:hAnsi="Arial" w:cs="Arial"/>
          <w:b/>
          <w:bCs/>
          <w:color w:val="auto"/>
          <w:sz w:val="22"/>
          <w:szCs w:val="22"/>
        </w:rPr>
      </w:pPr>
      <w:r w:rsidRPr="00450D02">
        <w:rPr>
          <w:rFonts w:ascii="Arial" w:hAnsi="Arial" w:cs="Arial"/>
          <w:b/>
          <w:bCs/>
          <w:color w:val="auto"/>
          <w:sz w:val="22"/>
          <w:szCs w:val="22"/>
        </w:rPr>
        <w:t xml:space="preserve">Supplementary </w:t>
      </w:r>
      <w:r w:rsidR="00B06662">
        <w:rPr>
          <w:rFonts w:ascii="Arial" w:hAnsi="Arial" w:cs="Arial"/>
          <w:b/>
          <w:bCs/>
          <w:color w:val="auto"/>
          <w:sz w:val="22"/>
          <w:szCs w:val="22"/>
        </w:rPr>
        <w:t xml:space="preserve">File </w:t>
      </w:r>
      <w:r w:rsidR="005A7F9E">
        <w:rPr>
          <w:rFonts w:ascii="Arial" w:hAnsi="Arial" w:cs="Arial"/>
          <w:b/>
          <w:bCs/>
          <w:color w:val="auto"/>
          <w:sz w:val="22"/>
          <w:szCs w:val="22"/>
        </w:rPr>
        <w:t>1</w:t>
      </w:r>
      <w:r w:rsidR="00B06662">
        <w:rPr>
          <w:rFonts w:ascii="Arial" w:hAnsi="Arial" w:cs="Arial"/>
          <w:b/>
          <w:bCs/>
          <w:color w:val="auto"/>
          <w:sz w:val="22"/>
          <w:szCs w:val="22"/>
        </w:rPr>
        <w:t xml:space="preserve">: </w:t>
      </w:r>
    </w:p>
    <w:p w14:paraId="50BA830A" w14:textId="3E51A0FE" w:rsidR="00450D02" w:rsidRDefault="002326A5" w:rsidP="000B0568">
      <w:pPr>
        <w:pStyle w:val="Heading2"/>
        <w:rPr>
          <w:rFonts w:ascii="Arial" w:hAnsi="Arial" w:cs="Arial"/>
          <w:sz w:val="22"/>
          <w:szCs w:val="22"/>
        </w:rPr>
      </w:pPr>
      <w:r>
        <w:rPr>
          <w:rFonts w:ascii="Arial" w:hAnsi="Arial" w:cs="Arial"/>
          <w:b/>
          <w:bCs/>
          <w:color w:val="auto"/>
          <w:sz w:val="22"/>
          <w:szCs w:val="22"/>
        </w:rPr>
        <w:t>Extended d</w:t>
      </w:r>
      <w:r w:rsidR="00450D02" w:rsidRPr="00450D02">
        <w:rPr>
          <w:rFonts w:ascii="Arial" w:hAnsi="Arial" w:cs="Arial"/>
          <w:b/>
          <w:bCs/>
          <w:color w:val="auto"/>
          <w:sz w:val="22"/>
          <w:szCs w:val="22"/>
        </w:rPr>
        <w:t xml:space="preserve">iscussion of the </w:t>
      </w:r>
      <w:r>
        <w:rPr>
          <w:rFonts w:ascii="Arial" w:hAnsi="Arial" w:cs="Arial"/>
          <w:b/>
          <w:bCs/>
          <w:color w:val="auto"/>
          <w:sz w:val="22"/>
          <w:szCs w:val="22"/>
        </w:rPr>
        <w:t xml:space="preserve">loadings for </w:t>
      </w:r>
      <w:r w:rsidR="00450D02">
        <w:rPr>
          <w:rFonts w:ascii="Arial" w:hAnsi="Arial" w:cs="Arial"/>
          <w:b/>
          <w:bCs/>
          <w:color w:val="auto"/>
          <w:sz w:val="22"/>
          <w:szCs w:val="22"/>
        </w:rPr>
        <w:t>MRI</w:t>
      </w:r>
      <w:r>
        <w:rPr>
          <w:rFonts w:ascii="Arial" w:hAnsi="Arial" w:cs="Arial"/>
          <w:b/>
          <w:bCs/>
          <w:color w:val="auto"/>
          <w:sz w:val="22"/>
          <w:szCs w:val="22"/>
        </w:rPr>
        <w:t>-based</w:t>
      </w:r>
      <w:r w:rsidR="00450D02">
        <w:rPr>
          <w:rFonts w:ascii="Arial" w:hAnsi="Arial" w:cs="Arial"/>
          <w:b/>
          <w:bCs/>
          <w:color w:val="auto"/>
          <w:sz w:val="22"/>
          <w:szCs w:val="22"/>
        </w:rPr>
        <w:t xml:space="preserve"> metrics and mitochondria </w:t>
      </w:r>
      <w:r>
        <w:rPr>
          <w:rFonts w:ascii="Arial" w:hAnsi="Arial" w:cs="Arial"/>
          <w:b/>
          <w:bCs/>
          <w:color w:val="auto"/>
          <w:sz w:val="22"/>
          <w:szCs w:val="22"/>
        </w:rPr>
        <w:t xml:space="preserve">biology from </w:t>
      </w:r>
      <w:r w:rsidR="00715BFE" w:rsidRPr="00715BFE">
        <w:rPr>
          <w:rFonts w:ascii="Arial" w:hAnsi="Arial" w:cs="Arial"/>
          <w:b/>
          <w:bCs/>
          <w:color w:val="auto"/>
          <w:sz w:val="22"/>
          <w:szCs w:val="22"/>
        </w:rPr>
        <w:t>Extended Table 1</w:t>
      </w:r>
      <w:r w:rsidR="00715BFE">
        <w:rPr>
          <w:rFonts w:ascii="Arial" w:hAnsi="Arial" w:cs="Arial"/>
          <w:b/>
          <w:bCs/>
          <w:color w:val="auto"/>
          <w:sz w:val="22"/>
          <w:szCs w:val="22"/>
        </w:rPr>
        <w:t>.</w:t>
      </w:r>
    </w:p>
    <w:p w14:paraId="3A313128" w14:textId="6B2A1B64" w:rsidR="00C14FDD" w:rsidRPr="00450D02" w:rsidRDefault="00450D02" w:rsidP="00450D02">
      <w:pPr>
        <w:spacing w:line="360" w:lineRule="auto"/>
        <w:jc w:val="both"/>
        <w:rPr>
          <w:rFonts w:ascii="Arial" w:hAnsi="Arial" w:cs="Arial"/>
          <w:sz w:val="22"/>
          <w:szCs w:val="22"/>
        </w:rPr>
      </w:pPr>
      <w:r>
        <w:rPr>
          <w:rFonts w:ascii="Arial" w:hAnsi="Arial" w:cs="Arial"/>
          <w:sz w:val="22"/>
          <w:szCs w:val="22"/>
        </w:rPr>
        <w:t>B</w:t>
      </w:r>
      <w:r w:rsidR="006E5ADD" w:rsidRPr="00450D02">
        <w:rPr>
          <w:rFonts w:ascii="Arial" w:hAnsi="Arial" w:cs="Arial"/>
          <w:sz w:val="22"/>
          <w:szCs w:val="22"/>
        </w:rPr>
        <w:t xml:space="preserve">oth </w:t>
      </w:r>
      <w:r w:rsidR="00111BA3" w:rsidRPr="00450D02">
        <w:rPr>
          <w:rFonts w:ascii="Arial" w:hAnsi="Arial" w:cs="Arial"/>
          <w:sz w:val="22"/>
          <w:szCs w:val="22"/>
        </w:rPr>
        <w:t>Fractional Anisotropy (FA) and the T1w/T2w ratio</w:t>
      </w:r>
      <w:r w:rsidR="00111BA3" w:rsidRPr="00450D02" w:rsidDel="00111BA3">
        <w:rPr>
          <w:rFonts w:ascii="Arial" w:hAnsi="Arial" w:cs="Arial"/>
          <w:sz w:val="22"/>
          <w:szCs w:val="22"/>
        </w:rPr>
        <w:t xml:space="preserve"> </w:t>
      </w:r>
      <w:r w:rsidR="006E5ADD" w:rsidRPr="00450D02">
        <w:rPr>
          <w:rFonts w:ascii="Arial" w:hAnsi="Arial" w:cs="Arial"/>
          <w:sz w:val="22"/>
          <w:szCs w:val="22"/>
        </w:rPr>
        <w:t>are commonly associated with myelin integrity and microstructural organization</w:t>
      </w:r>
      <w:r w:rsidR="008C3E01" w:rsidRPr="00450D02">
        <w:rPr>
          <w:rFonts w:ascii="Arial" w:hAnsi="Arial" w:cs="Arial"/>
          <w:sz w:val="22"/>
          <w:szCs w:val="22"/>
        </w:rPr>
        <w:t xml:space="preserve"> at the histological level</w:t>
      </w:r>
      <w:r w:rsidR="006E5ADD" w:rsidRPr="00450D02">
        <w:rPr>
          <w:rFonts w:ascii="Arial" w:hAnsi="Arial" w:cs="Arial"/>
          <w:sz w:val="22"/>
          <w:szCs w:val="22"/>
        </w:rPr>
        <w:t xml:space="preserve">. </w:t>
      </w:r>
      <w:r w:rsidR="00CE0642" w:rsidRPr="00450D02">
        <w:rPr>
          <w:rFonts w:ascii="Arial" w:hAnsi="Arial" w:cs="Arial"/>
          <w:sz w:val="22"/>
          <w:szCs w:val="22"/>
        </w:rPr>
        <w:t>FA</w:t>
      </w:r>
      <w:r w:rsidR="006E5ADD" w:rsidRPr="00450D02">
        <w:rPr>
          <w:rFonts w:ascii="Arial" w:hAnsi="Arial" w:cs="Arial"/>
          <w:sz w:val="22"/>
          <w:szCs w:val="22"/>
        </w:rPr>
        <w:t xml:space="preserve"> is an indicator of fiber tract integrity and is highly dependent on axonal myelination and the organization of </w:t>
      </w:r>
      <w:r w:rsidR="00106634" w:rsidRPr="00450D02">
        <w:rPr>
          <w:rFonts w:ascii="Arial" w:hAnsi="Arial" w:cs="Arial"/>
          <w:sz w:val="22"/>
          <w:szCs w:val="22"/>
        </w:rPr>
        <w:t xml:space="preserve">the </w:t>
      </w:r>
      <w:r w:rsidR="006E5ADD" w:rsidRPr="00450D02">
        <w:rPr>
          <w:rFonts w:ascii="Arial" w:hAnsi="Arial" w:cs="Arial"/>
          <w:sz w:val="22"/>
          <w:szCs w:val="22"/>
        </w:rPr>
        <w:t>white matter</w:t>
      </w:r>
      <w:r w:rsidR="00106634" w:rsidRPr="00450D02">
        <w:rPr>
          <w:rFonts w:ascii="Arial" w:hAnsi="Arial" w:cs="Arial"/>
          <w:sz w:val="22"/>
          <w:szCs w:val="22"/>
        </w:rPr>
        <w:fldChar w:fldCharType="begin"/>
      </w:r>
      <w:r w:rsidR="00EB7C84" w:rsidRPr="00450D02">
        <w:rPr>
          <w:rFonts w:ascii="Arial" w:hAnsi="Arial" w:cs="Arial"/>
          <w:sz w:val="22"/>
          <w:szCs w:val="22"/>
        </w:rPr>
        <w:instrText xml:space="preserve"> ADDIN ZOTERO_ITEM CSL_CITATION {"citationID":"UlM1e4YC","properties":{"formattedCitation":"\\super 8\\nosupersub{}","plainCitation":"8","noteIndex":0},"citationItems":[{"id":1051,"uris":["http://zotero.org/users/12638349/items/W7ZGMVCF"],"itemData":{"id":1051,"type":"book","abstract":"Diffusion MRI is a magnetic resonance imaging (MRI) method that produces in vivo images of biological tissues weighted with the local microstructural characteristics of water diffusion, providing an effective means of visualizing functional connectivities in the nervous system. This book is the first comprehensive reference promoting the understanding of this rapidly evolving and powerful technology and providing the essential handbook for designing, analyzing or interpreting diffusion MR experiments.The book presents diffusion imaging in the context of well-established, classical experimental techniques, so that readers will be able to assess the scope and limitations of the new imaging technology with respect to techniques available previously. All chapters are written by leading international experts and cover methodology, validation of the imaging technology, application of diffusion imaging to the study of variation and development of normal brain anatomy, and disruption to the white matter in neurological disease or psychiatric disorder. • Discusses all aspects of a diffusion MRI study from acquisition, through analysis, to interpretation, providing an essential reference text for scientists designing or interpreting diffusion MR experiments• Practical advice on running an experiment• Full color throughout","edition":"1st edition","event-place":"Amsterdam Boston","ISBN":"978-0-12-374709-9","language":"English","number-of-pages":"490","publisher":"Academic Press","publisher-place":"Amsterdam Boston","source":"Amazon","title":"Diffusion MRI: From quantitative measurement to in-vivo neuroanatomy","title-short":"Diffusion MRI","editor":[{"family":"Johansen-Berg","given":"Heidi"},{"family":"Behrens","given":"Timothy E. J."}],"issued":{"date-parts":[["2009",5,4]]}}}],"schema":"https://github.com/citation-style-language/schema/raw/master/csl-citation.json"} </w:instrText>
      </w:r>
      <w:r w:rsidR="00106634" w:rsidRPr="00450D02">
        <w:rPr>
          <w:rFonts w:ascii="Arial" w:hAnsi="Arial" w:cs="Arial"/>
          <w:sz w:val="22"/>
          <w:szCs w:val="22"/>
        </w:rPr>
        <w:fldChar w:fldCharType="separate"/>
      </w:r>
      <w:r w:rsidR="00EB7C84" w:rsidRPr="00450D02">
        <w:rPr>
          <w:rFonts w:ascii="Arial" w:hAnsi="Arial" w:cs="Arial"/>
          <w:sz w:val="22"/>
          <w:szCs w:val="22"/>
          <w:vertAlign w:val="superscript"/>
        </w:rPr>
        <w:t>8</w:t>
      </w:r>
      <w:r w:rsidR="00106634" w:rsidRPr="00450D02">
        <w:rPr>
          <w:rFonts w:ascii="Arial" w:hAnsi="Arial" w:cs="Arial"/>
          <w:sz w:val="22"/>
          <w:szCs w:val="22"/>
        </w:rPr>
        <w:fldChar w:fldCharType="end"/>
      </w:r>
      <w:r w:rsidR="006E5ADD" w:rsidRPr="00450D02">
        <w:rPr>
          <w:rFonts w:ascii="Arial" w:hAnsi="Arial" w:cs="Arial"/>
          <w:sz w:val="22"/>
          <w:szCs w:val="22"/>
        </w:rPr>
        <w:t xml:space="preserve">. </w:t>
      </w:r>
      <w:r w:rsidR="00CE0642" w:rsidRPr="00450D02">
        <w:rPr>
          <w:rFonts w:ascii="Arial" w:hAnsi="Arial" w:cs="Arial"/>
          <w:sz w:val="22"/>
          <w:szCs w:val="22"/>
        </w:rPr>
        <w:t>FA's positive beta value</w:t>
      </w:r>
      <w:r w:rsidR="00C15B9E">
        <w:rPr>
          <w:rFonts w:ascii="Arial" w:hAnsi="Arial" w:cs="Arial"/>
          <w:sz w:val="22"/>
          <w:szCs w:val="22"/>
        </w:rPr>
        <w:t xml:space="preserve"> for </w:t>
      </w:r>
      <w:r w:rsidR="002A6AAB">
        <w:rPr>
          <w:rFonts w:ascii="Arial" w:hAnsi="Arial" w:cs="Arial"/>
          <w:sz w:val="22"/>
          <w:szCs w:val="22"/>
        </w:rPr>
        <w:t>CIV and MitoD</w:t>
      </w:r>
      <w:r w:rsidR="00C15B9E">
        <w:rPr>
          <w:rFonts w:ascii="Arial" w:hAnsi="Arial" w:cs="Arial"/>
          <w:sz w:val="22"/>
          <w:szCs w:val="22"/>
        </w:rPr>
        <w:t xml:space="preserve"> in Extended Data Table 1 </w:t>
      </w:r>
      <w:r w:rsidR="00CE0642" w:rsidRPr="00450D02">
        <w:rPr>
          <w:rFonts w:ascii="Arial" w:hAnsi="Arial" w:cs="Arial"/>
          <w:sz w:val="22"/>
          <w:szCs w:val="22"/>
        </w:rPr>
        <w:t xml:space="preserve">indicates that, after accounting for other factors (such as main variation between the grey and the white matter), FA independently predicts higher </w:t>
      </w:r>
      <w:r w:rsidR="00C15B9E">
        <w:rPr>
          <w:rFonts w:ascii="Arial" w:hAnsi="Arial" w:cs="Arial"/>
          <w:sz w:val="22"/>
          <w:szCs w:val="22"/>
        </w:rPr>
        <w:t xml:space="preserve">values for </w:t>
      </w:r>
      <w:r w:rsidR="002A6AAB">
        <w:rPr>
          <w:rFonts w:ascii="Arial" w:hAnsi="Arial" w:cs="Arial"/>
          <w:sz w:val="22"/>
          <w:szCs w:val="22"/>
        </w:rPr>
        <w:t>these mitochondrial parameters</w:t>
      </w:r>
      <w:r w:rsidR="00CE0642" w:rsidRPr="00450D02">
        <w:rPr>
          <w:rFonts w:ascii="Arial" w:hAnsi="Arial" w:cs="Arial"/>
          <w:sz w:val="22"/>
          <w:szCs w:val="22"/>
        </w:rPr>
        <w:t xml:space="preserve">. This </w:t>
      </w:r>
      <w:r w:rsidR="00C15B9E">
        <w:rPr>
          <w:rFonts w:ascii="Arial" w:hAnsi="Arial" w:cs="Arial"/>
          <w:sz w:val="22"/>
          <w:szCs w:val="22"/>
        </w:rPr>
        <w:t xml:space="preserve">may </w:t>
      </w:r>
      <w:r w:rsidR="00CE0642" w:rsidRPr="00450D02">
        <w:rPr>
          <w:rFonts w:ascii="Arial" w:hAnsi="Arial" w:cs="Arial"/>
          <w:sz w:val="22"/>
          <w:szCs w:val="22"/>
        </w:rPr>
        <w:t>suggest that m</w:t>
      </w:r>
      <w:r w:rsidR="006E5ADD" w:rsidRPr="00450D02">
        <w:rPr>
          <w:rFonts w:ascii="Arial" w:hAnsi="Arial" w:cs="Arial"/>
          <w:sz w:val="22"/>
          <w:szCs w:val="22"/>
        </w:rPr>
        <w:t>itochondria</w:t>
      </w:r>
      <w:r w:rsidR="00CE0642" w:rsidRPr="00450D02">
        <w:rPr>
          <w:rFonts w:ascii="Arial" w:hAnsi="Arial" w:cs="Arial"/>
          <w:sz w:val="22"/>
          <w:szCs w:val="22"/>
        </w:rPr>
        <w:t xml:space="preserve"> </w:t>
      </w:r>
      <w:r w:rsidR="002A6AAB">
        <w:rPr>
          <w:rFonts w:ascii="Arial" w:hAnsi="Arial" w:cs="Arial"/>
          <w:sz w:val="22"/>
          <w:szCs w:val="22"/>
        </w:rPr>
        <w:t>are</w:t>
      </w:r>
      <w:r w:rsidR="00CE0642" w:rsidRPr="00450D02">
        <w:rPr>
          <w:rFonts w:ascii="Arial" w:hAnsi="Arial" w:cs="Arial"/>
          <w:sz w:val="22"/>
          <w:szCs w:val="22"/>
        </w:rPr>
        <w:t xml:space="preserve"> at least partially </w:t>
      </w:r>
      <w:r w:rsidR="005923CF" w:rsidRPr="00450D02">
        <w:rPr>
          <w:rFonts w:ascii="Arial" w:hAnsi="Arial" w:cs="Arial"/>
          <w:sz w:val="22"/>
          <w:szCs w:val="22"/>
        </w:rPr>
        <w:t xml:space="preserve">detected by </w:t>
      </w:r>
      <w:r w:rsidR="00CE0642" w:rsidRPr="00450D02">
        <w:rPr>
          <w:rFonts w:ascii="Arial" w:hAnsi="Arial" w:cs="Arial"/>
          <w:sz w:val="22"/>
          <w:szCs w:val="22"/>
        </w:rPr>
        <w:t>diffusion-weighted imaging metrics</w:t>
      </w:r>
      <w:r w:rsidR="002D6B4A" w:rsidRPr="00450D02">
        <w:rPr>
          <w:rFonts w:ascii="Arial" w:hAnsi="Arial" w:cs="Arial"/>
          <w:sz w:val="22"/>
          <w:szCs w:val="22"/>
        </w:rPr>
        <w:t xml:space="preserve">. </w:t>
      </w:r>
      <w:r w:rsidR="00C15B9E">
        <w:rPr>
          <w:rFonts w:ascii="Arial" w:hAnsi="Arial" w:cs="Arial"/>
          <w:sz w:val="22"/>
          <w:szCs w:val="22"/>
        </w:rPr>
        <w:t>Mitochondria</w:t>
      </w:r>
      <w:r w:rsidR="00C15B9E" w:rsidRPr="00450D02">
        <w:rPr>
          <w:rFonts w:ascii="Arial" w:hAnsi="Arial" w:cs="Arial"/>
          <w:sz w:val="22"/>
          <w:szCs w:val="22"/>
        </w:rPr>
        <w:t xml:space="preserve"> support the metabolic demands of myelinated axons and signal transduction</w:t>
      </w:r>
      <w:r w:rsidR="00C15B9E" w:rsidRPr="00450D02">
        <w:rPr>
          <w:rFonts w:ascii="Arial" w:hAnsi="Arial" w:cs="Arial"/>
          <w:sz w:val="22"/>
          <w:szCs w:val="22"/>
        </w:rPr>
        <w:fldChar w:fldCharType="begin"/>
      </w:r>
      <w:r w:rsidR="00C15B9E" w:rsidRPr="00450D02">
        <w:rPr>
          <w:rFonts w:ascii="Arial" w:hAnsi="Arial" w:cs="Arial"/>
          <w:sz w:val="22"/>
          <w:szCs w:val="22"/>
        </w:rPr>
        <w:instrText xml:space="preserve"> ADDIN ZOTERO_ITEM CSL_CITATION {"citationID":"bvHocz4t","properties":{"formattedCitation":"\\super 9,10\\nosupersub{}","plainCitation":"9,10","noteIndex":0},"citationItems":[{"id":1050,"uris":["http://zotero.org/users/12638349/items/CVZGV6TQ"],"itemData":{"id":1050,"type":"article-journal","abstract":"The energetics of CNS white matter are poorly understood. We derive a signaling energy budget for the white matter (based on data from the rodent optic nerve and corpus callosum) which can be compared with previous energy budgets for the gray matter regions ...","container-title":"The Journal of Neuroscience","DOI":"10.1523/JNEUROSCI.3430-11.2012","issue":"1","language":"en","note":"publisher: Society for Neuroscience\nPMID: 22219296","page":"356","source":"www.ncbi.nlm.nih.gov","title":"The Energetics of CNS White Matter","volume":"32","author":[{"family":"Harris","given":"Julia J."},{"family":"Attwell","given":"David"}],"issued":{"date-parts":[["2012",1,1]]}}},{"id":1049,"uris":["http://zotero.org/users/12638349/items/7AJSCRW9"],"itemData":{"id":1049,"type":"book","abstract":"Publisher's Note: Products purchased from Third Party sellers are not guaranteed by the publisher for quality, authenticity, or access to any online entitlements included with the product.Now updated: the definitive neuroscience resource—from Eric R. Kandel, MD (winner of the Nobel Prize in 2000); James H. Schwartz, MD, PhD; Thomas M. Jessell, PhD; Steven A. Siegelbaum, PhD; and A. J. Hudspeth, PhDA Doody's Core Title for 2020!900 full-color illustrationsDeciphering the link between the human brain and behavior has always been one of the most intriguing—and often challenging—aspects of scientific endeavor. The sequencing of the human genome, and advances in molecular biology, have illuminated the pathogenesis of many neurological diseases and have propelled our knowledge of how the brain controls behavior.To grasp the wider implications of these developments and gain a fundamental understanding of this dynamic, fast-moving field, Principles of Neuroscience stands alone as the most authoritative and indispensible resource of its kind.In this classic text, prominent researchers in the field expertly survey the entire spectrum of neural science, giving an up-to-date, unparalleled view of the discipline for anyone who studies brain and mind. Here, in one remarkable volume, is the current state of neural science knowledge—ranging from molecules and cells, to anatomic structures and systems, to the senses and cognitive functions—all supported by more than 900 precise, full-color illustrations. In addition to clarifying complex topics, the book also benefits from a cohesive organization, beginning with an insightful overview of the interrelationships between the brain, nervous system, genes, and behavior. Principles of Neural Science then proceeds with an in-depth examination of the molecular and cellular biology of nerve cells, synaptic transmission, and the neural basis of cognition. The remaining sections illuminate how cells, molecules, and systems give us sight, hearing, touch, movement, thought, learning, memories, and emotions.The new fifth edition of Principles of Neural Science is thoroughly updated to reflect the tremendous amount of research, and the very latest clinical perspectives, that have significantly transformed the field within the last decade.Ultimately, Principles of Neural Science affirms that all behavior is an expression of neural activity, and that the future of clinical neurology and psychiatry hinges on the progress of neural science. Far exceeding the scope and scholarship of similar texts, this unmatched guide offers a commanding, scientifically rigorous perspective on the molecular mechanisms of neural function and disease—one that you’ll continually rely on to advance your comprehension of brain, mind, and behavior.FEATURESThe cornerstone reference in the field of neuroscience that explains how the nerves, brain, and mind functionClear emphasis on how behavior can be examined through the electrical activity of both individual neurons and systems of nerve cellsCurrent focus on molecular biology as a tool for probing the pathogenesis of many neurological diseases, including muscular dystrophy, Huntington disease, and certain forms of Alzheimer’s diseaseMore than 900 engaging full-color illustrations—including line drawings, radiographs, micrographs, and medical photographs clarify often-complex neuroscience conceptsOutstanding section on the development and emergence of behavior, including important coverage of","ISBN":"978-0-07-139011-8","language":"en","number-of-pages":"1761","publisher":"McGraw Hill Professional","source":"Google Books","title":"Principles of Neural Science, Fifth Edition","author":[{"family":"Kandel","given":"Eric R."}],"issued":{"date-parts":[["2013"]]}}}],"schema":"https://github.com/citation-style-language/schema/raw/master/csl-citation.json"} </w:instrText>
      </w:r>
      <w:r w:rsidR="00C15B9E" w:rsidRPr="00450D02">
        <w:rPr>
          <w:rFonts w:ascii="Arial" w:hAnsi="Arial" w:cs="Arial"/>
          <w:sz w:val="22"/>
          <w:szCs w:val="22"/>
        </w:rPr>
        <w:fldChar w:fldCharType="separate"/>
      </w:r>
      <w:r w:rsidR="00C15B9E" w:rsidRPr="00450D02">
        <w:rPr>
          <w:rFonts w:ascii="Arial" w:hAnsi="Arial" w:cs="Arial"/>
          <w:sz w:val="22"/>
          <w:szCs w:val="22"/>
          <w:vertAlign w:val="superscript"/>
        </w:rPr>
        <w:t>9,10</w:t>
      </w:r>
      <w:r w:rsidR="00C15B9E" w:rsidRPr="00450D02">
        <w:rPr>
          <w:rFonts w:ascii="Arial" w:hAnsi="Arial" w:cs="Arial"/>
          <w:sz w:val="22"/>
          <w:szCs w:val="22"/>
        </w:rPr>
        <w:fldChar w:fldCharType="end"/>
      </w:r>
      <w:r w:rsidR="00C15B9E">
        <w:rPr>
          <w:rFonts w:ascii="Arial" w:hAnsi="Arial" w:cs="Arial"/>
          <w:sz w:val="22"/>
          <w:szCs w:val="22"/>
        </w:rPr>
        <w:t>.</w:t>
      </w:r>
      <w:r w:rsidR="00C15B9E" w:rsidRPr="00450D02">
        <w:rPr>
          <w:rFonts w:ascii="Arial" w:hAnsi="Arial" w:cs="Arial"/>
          <w:sz w:val="22"/>
          <w:szCs w:val="22"/>
        </w:rPr>
        <w:t xml:space="preserve"> </w:t>
      </w:r>
      <w:r w:rsidR="00C15B9E">
        <w:rPr>
          <w:rFonts w:ascii="Arial" w:hAnsi="Arial" w:cs="Arial"/>
          <w:sz w:val="22"/>
          <w:szCs w:val="22"/>
        </w:rPr>
        <w:t>The source of this signal</w:t>
      </w:r>
      <w:r w:rsidR="00C15B9E" w:rsidRPr="00450D02">
        <w:rPr>
          <w:rFonts w:ascii="Arial" w:hAnsi="Arial" w:cs="Arial"/>
          <w:sz w:val="22"/>
          <w:szCs w:val="22"/>
        </w:rPr>
        <w:t xml:space="preserve"> </w:t>
      </w:r>
      <w:r w:rsidR="002D6B4A" w:rsidRPr="00450D02">
        <w:rPr>
          <w:rFonts w:ascii="Arial" w:hAnsi="Arial" w:cs="Arial"/>
          <w:sz w:val="22"/>
          <w:szCs w:val="22"/>
        </w:rPr>
        <w:t>could include astrocytes</w:t>
      </w:r>
      <w:r w:rsidR="00C15B9E">
        <w:rPr>
          <w:rFonts w:ascii="Arial" w:hAnsi="Arial" w:cs="Arial"/>
          <w:sz w:val="22"/>
          <w:szCs w:val="22"/>
        </w:rPr>
        <w:t>,</w:t>
      </w:r>
      <w:r w:rsidR="002D6B4A" w:rsidRPr="00450D02">
        <w:rPr>
          <w:rFonts w:ascii="Arial" w:hAnsi="Arial" w:cs="Arial"/>
          <w:sz w:val="22"/>
          <w:szCs w:val="22"/>
        </w:rPr>
        <w:t xml:space="preserve"> </w:t>
      </w:r>
      <w:r w:rsidR="00C15B9E">
        <w:rPr>
          <w:rFonts w:ascii="Arial" w:hAnsi="Arial" w:cs="Arial"/>
          <w:sz w:val="22"/>
          <w:szCs w:val="22"/>
        </w:rPr>
        <w:t xml:space="preserve">which </w:t>
      </w:r>
      <w:r w:rsidR="002D6B4A" w:rsidRPr="00450D02">
        <w:rPr>
          <w:rFonts w:ascii="Arial" w:hAnsi="Arial" w:cs="Arial"/>
          <w:sz w:val="22"/>
          <w:szCs w:val="22"/>
        </w:rPr>
        <w:t xml:space="preserve">contain 70% of mitochondria in the optic nerve </w:t>
      </w:r>
      <w:r w:rsidR="00C15B9E">
        <w:rPr>
          <w:rFonts w:ascii="Arial" w:hAnsi="Arial" w:cs="Arial"/>
          <w:sz w:val="22"/>
          <w:szCs w:val="22"/>
        </w:rPr>
        <w:t xml:space="preserve">for example </w:t>
      </w:r>
      <w:r w:rsidR="002D6B4A" w:rsidRPr="00450D02">
        <w:rPr>
          <w:rFonts w:ascii="Arial" w:hAnsi="Arial" w:cs="Arial"/>
          <w:sz w:val="22"/>
          <w:szCs w:val="22"/>
        </w:rPr>
        <w:t>(a myelinated axonal tract)</w:t>
      </w:r>
      <w:r w:rsidR="001A73B8" w:rsidRPr="00450D02">
        <w:rPr>
          <w:rFonts w:ascii="Arial" w:hAnsi="Arial" w:cs="Arial"/>
          <w:sz w:val="22"/>
          <w:szCs w:val="22"/>
        </w:rPr>
        <w:fldChar w:fldCharType="begin"/>
      </w:r>
      <w:r w:rsidR="00245039">
        <w:rPr>
          <w:rFonts w:ascii="Arial" w:hAnsi="Arial" w:cs="Arial"/>
          <w:sz w:val="22"/>
          <w:szCs w:val="22"/>
        </w:rPr>
        <w:instrText xml:space="preserve"> ADDIN ZOTERO_ITEM CSL_CITATION {"citationID":"PSyDv72H","properties":{"formattedCitation":"\\super 4\\nosupersub{}","plainCitation":"4","noteIndex":0},"citationItems":[{"id":1026,"uris":["http://zotero.org/users/12638349/items/2TUJ5N3B"],"itemData":{"id":1026,"type":"article-journal","abstract":"Fiber tracts should use space and energy efficiently, because both resources constrain neural computation. We found for a myelinated tract (optic nerve) that astrocytes use nearly 30% of the space and &gt;70% of the mitochondria, establishing the significance of astrocytes for the brain's space and energy budgets. Axons are mostly thin with a skewed distribution peaking at 0.7 μm, near the lower limit set by channel noise. This distribution is matched closely by the distribution of mean firing rates measured under naturalistic conditions, suggesting that firing rate increases proportionally with axon diameter. In axons thicker than 0.7 μm, mitochondria occupy a constant fraction of axonal volume—thus, mitochondrial volumes rise as the diameter squared. These results imply a law of diminishing returns: twice the information rate requires more than twice the space and energy capacity. We conclude that the optic nerve conserves space and energy by sending most information at low rates over fine axons with small terminal arbors and sending some information at higher rates over thicker axons with larger terminal arbors but only where more bits per second are needed for a specific purpose. Thicker axons seem to be needed, not for their greater conduction velocity (nor other intrinsic electrophysiological purpose), but instead to support larger terminal arbors and more active zones that transfer information synaptically at higher rates.","container-title":"Journal of Neuroscience","DOI":"10.1523/JNEUROSCI.5200-08.2009","ISSN":"0270-6474, 1529-2401","issue":"24","journalAbbreviation":"J. Neurosci.","language":"en","license":"Copyright © 2009 Society for Neuroscience 0270-6474/09/297917-12$15.00/0","note":"publisher: Society for Neuroscience\nsection: Articles\nPMID: 19535603","page":"7917-7928","source":"www.jneurosci.org","title":"How the Optic Nerve Allocates Space, Energy Capacity, and Information","volume":"29","author":[{"family":"Perge","given":"János A."},{"family":"Koch","given":"Kristin"},{"family":"Miller","given":"Robert"},{"family":"Sterling","given":"Peter"},{"family":"Balasubramanian","given":"Vijay"}],"issued":{"date-parts":[["2009",6,17]]}}}],"schema":"https://github.com/citation-style-language/schema/raw/master/csl-citation.json"} </w:instrText>
      </w:r>
      <w:r w:rsidR="001A73B8" w:rsidRPr="00450D02">
        <w:rPr>
          <w:rFonts w:ascii="Arial" w:hAnsi="Arial" w:cs="Arial"/>
          <w:sz w:val="22"/>
          <w:szCs w:val="22"/>
        </w:rPr>
        <w:fldChar w:fldCharType="separate"/>
      </w:r>
      <w:r w:rsidR="00245039" w:rsidRPr="00245039">
        <w:rPr>
          <w:rFonts w:ascii="Arial" w:hAnsi="Arial" w:cs="Arial"/>
          <w:sz w:val="22"/>
          <w:vertAlign w:val="superscript"/>
        </w:rPr>
        <w:t>4</w:t>
      </w:r>
      <w:r w:rsidR="001A73B8" w:rsidRPr="00450D02">
        <w:rPr>
          <w:rFonts w:ascii="Arial" w:hAnsi="Arial" w:cs="Arial"/>
          <w:sz w:val="22"/>
          <w:szCs w:val="22"/>
        </w:rPr>
        <w:fldChar w:fldCharType="end"/>
      </w:r>
      <w:r w:rsidR="006E5ADD" w:rsidRPr="00450D02">
        <w:rPr>
          <w:rFonts w:ascii="Arial" w:hAnsi="Arial" w:cs="Arial"/>
          <w:sz w:val="22"/>
          <w:szCs w:val="22"/>
        </w:rPr>
        <w:t>.</w:t>
      </w:r>
      <w:r w:rsidR="002D6B4A" w:rsidRPr="00450D02">
        <w:rPr>
          <w:rFonts w:ascii="Arial" w:hAnsi="Arial" w:cs="Arial"/>
          <w:sz w:val="22"/>
          <w:szCs w:val="22"/>
        </w:rPr>
        <w:t xml:space="preserve"> In the optic nerve, mitochondria occupy a constant fraction of axonal volume, such that mitochondrial volume increases with power 2 (squared) as the axonal diameter increases</w:t>
      </w:r>
      <w:r w:rsidR="00C15B9E" w:rsidRPr="00450D02">
        <w:rPr>
          <w:rFonts w:ascii="Arial" w:hAnsi="Arial" w:cs="Arial"/>
          <w:sz w:val="22"/>
          <w:szCs w:val="22"/>
        </w:rPr>
        <w:fldChar w:fldCharType="begin"/>
      </w:r>
      <w:r w:rsidR="00245039">
        <w:rPr>
          <w:rFonts w:ascii="Arial" w:hAnsi="Arial" w:cs="Arial"/>
          <w:sz w:val="22"/>
          <w:szCs w:val="22"/>
        </w:rPr>
        <w:instrText xml:space="preserve"> ADDIN ZOTERO_ITEM CSL_CITATION {"citationID":"rr1jATI1","properties":{"formattedCitation":"\\super 4\\nosupersub{}","plainCitation":"4","noteIndex":0},"citationItems":[{"id":1026,"uris":["http://zotero.org/users/12638349/items/2TUJ5N3B"],"itemData":{"id":1026,"type":"article-journal","abstract":"Fiber tracts should use space and energy efficiently, because both resources constrain neural computation. We found for a myelinated tract (optic nerve) that astrocytes use nearly 30% of the space and &gt;70% of the mitochondria, establishing the significance of astrocytes for the brain's space and energy budgets. Axons are mostly thin with a skewed distribution peaking at 0.7 μm, near the lower limit set by channel noise. This distribution is matched closely by the distribution of mean firing rates measured under naturalistic conditions, suggesting that firing rate increases proportionally with axon diameter. In axons thicker than 0.7 μm, mitochondria occupy a constant fraction of axonal volume—thus, mitochondrial volumes rise as the diameter squared. These results imply a law of diminishing returns: twice the information rate requires more than twice the space and energy capacity. We conclude that the optic nerve conserves space and energy by sending most information at low rates over fine axons with small terminal arbors and sending some information at higher rates over thicker axons with larger terminal arbors but only where more bits per second are needed for a specific purpose. Thicker axons seem to be needed, not for their greater conduction velocity (nor other intrinsic electrophysiological purpose), but instead to support larger terminal arbors and more active zones that transfer information synaptically at higher rates.","container-title":"Journal of Neuroscience","DOI":"10.1523/JNEUROSCI.5200-08.2009","ISSN":"0270-6474, 1529-2401","issue":"24","journalAbbreviation":"J. Neurosci.","language":"en","license":"Copyright © 2009 Society for Neuroscience 0270-6474/09/297917-12$15.00/0","note":"publisher: Society for Neuroscience\nsection: Articles\nPMID: 19535603","page":"7917-7928","source":"www.jneurosci.org","title":"How the Optic Nerve Allocates Space, Energy Capacity, and Information","volume":"29","author":[{"family":"Perge","given":"János A."},{"family":"Koch","given":"Kristin"},{"family":"Miller","given":"Robert"},{"family":"Sterling","given":"Peter"},{"family":"Balasubramanian","given":"Vijay"}],"issued":{"date-parts":[["2009",6,17]]}}}],"schema":"https://github.com/citation-style-language/schema/raw/master/csl-citation.json"} </w:instrText>
      </w:r>
      <w:r w:rsidR="00C15B9E" w:rsidRPr="00450D02">
        <w:rPr>
          <w:rFonts w:ascii="Arial" w:hAnsi="Arial" w:cs="Arial"/>
          <w:sz w:val="22"/>
          <w:szCs w:val="22"/>
        </w:rPr>
        <w:fldChar w:fldCharType="separate"/>
      </w:r>
      <w:r w:rsidR="00245039" w:rsidRPr="00245039">
        <w:rPr>
          <w:rFonts w:ascii="Arial" w:hAnsi="Arial" w:cs="Arial"/>
          <w:sz w:val="22"/>
          <w:vertAlign w:val="superscript"/>
        </w:rPr>
        <w:t>4</w:t>
      </w:r>
      <w:r w:rsidR="00C15B9E" w:rsidRPr="00450D02">
        <w:rPr>
          <w:rFonts w:ascii="Arial" w:hAnsi="Arial" w:cs="Arial"/>
          <w:sz w:val="22"/>
          <w:szCs w:val="22"/>
        </w:rPr>
        <w:fldChar w:fldCharType="end"/>
      </w:r>
      <w:r w:rsidR="002D6B4A" w:rsidRPr="00450D02">
        <w:rPr>
          <w:rFonts w:ascii="Arial" w:hAnsi="Arial" w:cs="Arial"/>
          <w:sz w:val="22"/>
          <w:szCs w:val="22"/>
        </w:rPr>
        <w:t>.</w:t>
      </w:r>
      <w:r w:rsidR="008C3E01" w:rsidRPr="00450D02">
        <w:rPr>
          <w:rFonts w:ascii="Arial" w:hAnsi="Arial" w:cs="Arial"/>
          <w:sz w:val="22"/>
          <w:szCs w:val="22"/>
        </w:rPr>
        <w:t xml:space="preserve"> </w:t>
      </w:r>
      <w:r w:rsidR="00C14FDD" w:rsidRPr="00450D02">
        <w:rPr>
          <w:rFonts w:ascii="Arial" w:hAnsi="Arial" w:cs="Arial"/>
          <w:sz w:val="22"/>
          <w:szCs w:val="22"/>
        </w:rPr>
        <w:t xml:space="preserve">The </w:t>
      </w:r>
      <w:r w:rsidR="00111BA3" w:rsidRPr="00450D02">
        <w:rPr>
          <w:rFonts w:ascii="Arial" w:hAnsi="Arial" w:cs="Arial"/>
          <w:sz w:val="22"/>
          <w:szCs w:val="22"/>
        </w:rPr>
        <w:t xml:space="preserve">positioning and molecular specialization </w:t>
      </w:r>
      <w:r w:rsidR="00C14FDD" w:rsidRPr="00450D02">
        <w:rPr>
          <w:rFonts w:ascii="Arial" w:hAnsi="Arial" w:cs="Arial"/>
          <w:sz w:val="22"/>
          <w:szCs w:val="22"/>
        </w:rPr>
        <w:t xml:space="preserve">of mitochondria </w:t>
      </w:r>
      <w:r w:rsidR="00111BA3" w:rsidRPr="00450D02">
        <w:rPr>
          <w:rFonts w:ascii="Arial" w:hAnsi="Arial" w:cs="Arial"/>
          <w:sz w:val="22"/>
          <w:szCs w:val="22"/>
        </w:rPr>
        <w:t>in myelinated axons</w:t>
      </w:r>
      <w:r w:rsidR="00C14FDD" w:rsidRPr="00450D02">
        <w:rPr>
          <w:rFonts w:ascii="Arial" w:hAnsi="Arial" w:cs="Arial"/>
          <w:sz w:val="22"/>
          <w:szCs w:val="22"/>
        </w:rPr>
        <w:t xml:space="preserve">, where they sit </w:t>
      </w:r>
      <w:r w:rsidR="00111BA3" w:rsidRPr="00450D02">
        <w:rPr>
          <w:rFonts w:ascii="Arial" w:hAnsi="Arial" w:cs="Arial"/>
          <w:sz w:val="22"/>
          <w:szCs w:val="22"/>
        </w:rPr>
        <w:t>mostly at the nodes of Ranvier</w:t>
      </w:r>
      <w:r w:rsidR="00C14FDD" w:rsidRPr="00450D02">
        <w:rPr>
          <w:rFonts w:ascii="Arial" w:hAnsi="Arial" w:cs="Arial"/>
          <w:sz w:val="22"/>
          <w:szCs w:val="22"/>
        </w:rPr>
        <w:t xml:space="preserve"> (</w:t>
      </w:r>
      <w:r w:rsidR="00111BA3" w:rsidRPr="00450D02">
        <w:rPr>
          <w:rFonts w:ascii="Arial" w:hAnsi="Arial" w:cs="Arial"/>
          <w:sz w:val="22"/>
          <w:szCs w:val="22"/>
        </w:rPr>
        <w:t>at least in the optic nerve axons</w:t>
      </w:r>
      <w:r w:rsidR="001A73B8" w:rsidRPr="00450D02">
        <w:rPr>
          <w:rFonts w:ascii="Arial" w:hAnsi="Arial" w:cs="Arial"/>
          <w:sz w:val="22"/>
          <w:szCs w:val="22"/>
        </w:rPr>
        <w:fldChar w:fldCharType="begin"/>
      </w:r>
      <w:r w:rsidR="00EB7C84" w:rsidRPr="00450D02">
        <w:rPr>
          <w:rFonts w:ascii="Arial" w:hAnsi="Arial" w:cs="Arial"/>
          <w:sz w:val="22"/>
          <w:szCs w:val="22"/>
        </w:rPr>
        <w:instrText xml:space="preserve"> ADDIN ZOTERO_ITEM CSL_CITATION {"citationID":"i6hKXidD","properties":{"formattedCitation":"\\super 12\\nosupersub{}","plainCitation":"12","noteIndex":0},"citationItems":[{"id":1047,"uris":["http://zotero.org/users/12638349/items/GDPCFBMU"],"itemData":{"id":1047,"type":"article-journal","abstract":"Energy production presents a formidable challenge to axons as their mitochondria are synthesized and degraded in neuronal cell bodies. To meet the energy demands of nerve conduction, small mitochondria are transported to and enriched at mitochondrial stationary sites located throughout the axon. In this study, we investigated whether size and motility of mitochondria in small myelinated CNS axons are differentially regulated at nodes, and whether mitochondrial distribution and motility are modulated by axonal electrical activity. The size/volume of mitochondrial stationary sites was significantly larger in juxtaparanodal/internodal axoplasm than in nodal/paranodal axoplasm. With three-dimensional electron microscopy, we observed that axonal mitochondrial stationary sites were composed of multiple mitochondria of varying length, except at nodes where mitochondria were uniformly short and frequently absent altogether. Mitochondrial transport speed was significantly reduced in nodal axoplasm compared with internodal axoplasm. Increased axonal electrical activity decreased mitochondrial transport and increased the size of mitochondrial stationary sites in nodal/paranodal axoplasm. Decreased axonal electrical activity had the opposite effect. In cerebellar axons of the myelin-deficient rat, which contain voltage-gated Na+ channel clusters but lack paranodal specializations, axonal mitochondrial motility and stationary site size were similar at Na+ channel clusters and other axonal regions. These results demonstrate juxtaparanodal/internodal enrichment of stationary mitochondria and neuronal activity-dependent dynamic modulation of mitochondrial distribution and transport in nodal axoplasm. In addition, the modulation of mitochondrial distribution and motility requires oligodendrocyte–axon interactions at paranodal specializations.","container-title":"The Journal of Neuroscience","DOI":"10.1523/JNEUROSCI.0095-11.2011","ISSN":"0270-6474","issue":"20","journalAbbreviation":"J Neurosci","note":"PMID: 21593309\nPMCID: PMC3139464","page":"7249-7258","source":"PubMed Central","title":"Myelination and Axonal Electrical Activity Modulate the Distribution and Motility of Mitochondria at CNS Nodes of Ranvier","volume":"31","author":[{"family":"Ohno","given":"Nobuhiko"},{"family":"Kidd","given":"Grahame J."},{"family":"Mahad","given":"Don"},{"family":"Kiryu-Seo","given":"Sumiko"},{"family":"Avishai","given":"Amir"},{"family":"Komuro","given":"Hitoshi"},{"family":"Trapp","given":"Bruce D."}],"issued":{"date-parts":[["2011",5,18]]}}}],"schema":"https://github.com/citation-style-language/schema/raw/master/csl-citation.json"} </w:instrText>
      </w:r>
      <w:r w:rsidR="001A73B8" w:rsidRPr="00450D02">
        <w:rPr>
          <w:rFonts w:ascii="Arial" w:hAnsi="Arial" w:cs="Arial"/>
          <w:sz w:val="22"/>
          <w:szCs w:val="22"/>
        </w:rPr>
        <w:fldChar w:fldCharType="separate"/>
      </w:r>
      <w:r w:rsidR="00EB7C84" w:rsidRPr="00450D02">
        <w:rPr>
          <w:rFonts w:ascii="Arial" w:hAnsi="Arial" w:cs="Arial"/>
          <w:sz w:val="22"/>
          <w:szCs w:val="22"/>
          <w:vertAlign w:val="superscript"/>
        </w:rPr>
        <w:t>12</w:t>
      </w:r>
      <w:r w:rsidR="001A73B8" w:rsidRPr="00450D02">
        <w:rPr>
          <w:rFonts w:ascii="Arial" w:hAnsi="Arial" w:cs="Arial"/>
          <w:sz w:val="22"/>
          <w:szCs w:val="22"/>
        </w:rPr>
        <w:fldChar w:fldCharType="end"/>
      </w:r>
      <w:r w:rsidR="00111BA3" w:rsidRPr="00450D02">
        <w:rPr>
          <w:rFonts w:ascii="Arial" w:hAnsi="Arial" w:cs="Arial"/>
          <w:sz w:val="22"/>
          <w:szCs w:val="22"/>
        </w:rPr>
        <w:t>) could contribute to this association.</w:t>
      </w:r>
      <w:r w:rsidR="006E5ADD" w:rsidRPr="00450D02">
        <w:rPr>
          <w:rFonts w:ascii="Arial" w:hAnsi="Arial" w:cs="Arial"/>
          <w:sz w:val="22"/>
          <w:szCs w:val="22"/>
        </w:rPr>
        <w:t xml:space="preserve"> </w:t>
      </w:r>
      <w:r w:rsidR="00C14FDD" w:rsidRPr="00450D02">
        <w:rPr>
          <w:rFonts w:ascii="Arial" w:hAnsi="Arial" w:cs="Arial"/>
          <w:sz w:val="22"/>
          <w:szCs w:val="22"/>
        </w:rPr>
        <w:t>In axon-rich regions in general, h</w:t>
      </w:r>
      <w:r w:rsidR="006E5ADD" w:rsidRPr="00450D02">
        <w:rPr>
          <w:rFonts w:ascii="Arial" w:hAnsi="Arial" w:cs="Arial"/>
          <w:sz w:val="22"/>
          <w:szCs w:val="22"/>
        </w:rPr>
        <w:t xml:space="preserve">igher mitochondrial density and OxPhos capacity could </w:t>
      </w:r>
      <w:r w:rsidR="00C14FDD" w:rsidRPr="00450D02">
        <w:rPr>
          <w:rFonts w:ascii="Arial" w:hAnsi="Arial" w:cs="Arial"/>
          <w:sz w:val="22"/>
          <w:szCs w:val="22"/>
        </w:rPr>
        <w:t xml:space="preserve">therefore </w:t>
      </w:r>
      <w:r w:rsidR="006E5ADD" w:rsidRPr="00450D02">
        <w:rPr>
          <w:rFonts w:ascii="Arial" w:hAnsi="Arial" w:cs="Arial"/>
          <w:sz w:val="22"/>
          <w:szCs w:val="22"/>
        </w:rPr>
        <w:t xml:space="preserve">support the energetic demands of highly organized and myelinated fiber tracts. Accordingly, </w:t>
      </w:r>
      <w:r w:rsidR="00C14FDD" w:rsidRPr="00450D02">
        <w:rPr>
          <w:rFonts w:ascii="Arial" w:hAnsi="Arial" w:cs="Arial"/>
          <w:sz w:val="22"/>
          <w:szCs w:val="22"/>
        </w:rPr>
        <w:t xml:space="preserve">relative to mitochondria in dendrites, the smaller axonal </w:t>
      </w:r>
      <w:r w:rsidR="006E5ADD" w:rsidRPr="00450D02">
        <w:rPr>
          <w:rFonts w:ascii="Arial" w:hAnsi="Arial" w:cs="Arial"/>
          <w:sz w:val="22"/>
          <w:szCs w:val="22"/>
        </w:rPr>
        <w:t>mitochondria</w:t>
      </w:r>
      <w:r w:rsidR="00B400A0" w:rsidRPr="00450D02">
        <w:rPr>
          <w:rFonts w:ascii="Arial" w:hAnsi="Arial" w:cs="Arial"/>
          <w:sz w:val="22"/>
          <w:szCs w:val="22"/>
        </w:rPr>
        <w:fldChar w:fldCharType="begin"/>
      </w:r>
      <w:r w:rsidR="00EB7C84" w:rsidRPr="00450D02">
        <w:rPr>
          <w:rFonts w:ascii="Arial" w:hAnsi="Arial" w:cs="Arial"/>
          <w:sz w:val="22"/>
          <w:szCs w:val="22"/>
        </w:rPr>
        <w:instrText xml:space="preserve"> ADDIN ZOTERO_ITEM CSL_CITATION {"citationID":"EhfuDguG","properties":{"formattedCitation":"\\super 13\\nosupersub{}","plainCitation":"13","noteIndex":0},"citationItems":[{"id":1046,"uris":["http://zotero.org/users/12638349/items/NI2BZE7L"],"itemData":{"id":1046,"type":"article-journal","abstract":"The brain's ability to process complex information relies on the constant supply of energy through aerobic respiration by mitochondria. Neurons contain three anatomically distinct compartments-the soma, dendrites, and projecting axons-which have different energetic and biochemical requirements, as well as different mitochondrial morphologies in cultured systems. In this study, we apply quantitative three-dimensional electron microscopy to map mitochondrial network morphology and complexity in the mouse brain. We examine somatic, dendritic, and axonal mitochondria in the dentate gyrus and cornu ammonis 1 (CA1) of the mouse hippocampus, two subregions with distinct principal cell types and functions. We also establish compartment-specific differences in mitochondrial morphology across these cell types between young and old mice, highlighting differences in age-related morphological recalibrations. Overall, these data define the nature of the neuronal mitochondrial network in the mouse hippocampus, providing a foundation to examine the role of mitochondrial morpho-function in the aging brain.","container-title":"Cell Reports","DOI":"10.1016/j.celrep.2021.109509","ISSN":"2211-1247","issue":"6","journalAbbreviation":"Cell Rep","language":"eng","note":"PMID: 34380033\nPMCID: PMC8423436","page":"109509","source":"PubMed","title":"3D neuronal mitochondrial morphology in axons, dendrites, and somata of the aging mouse hippocampus","volume":"36","author":[{"family":"Faitg","given":"Julie"},{"family":"Lacefield","given":"Clay"},{"family":"Davey","given":"Tracey"},{"family":"White","given":"Kathryn"},{"family":"Laws","given":"Ross"},{"family":"Kosmidis","given":"Stylianos"},{"family":"Reeve","given":"Amy K."},{"family":"Kandel","given":"Eric R."},{"family":"Vincent","given":"Amy E."},{"family":"Picard","given":"Martin"}],"issued":{"date-parts":[["2021",8,10]]}}}],"schema":"https://github.com/citation-style-language/schema/raw/master/csl-citation.json"} </w:instrText>
      </w:r>
      <w:r w:rsidR="00B400A0" w:rsidRPr="00450D02">
        <w:rPr>
          <w:rFonts w:ascii="Arial" w:hAnsi="Arial" w:cs="Arial"/>
          <w:sz w:val="22"/>
          <w:szCs w:val="22"/>
        </w:rPr>
        <w:fldChar w:fldCharType="separate"/>
      </w:r>
      <w:r w:rsidR="00EB7C84" w:rsidRPr="00450D02">
        <w:rPr>
          <w:rFonts w:ascii="Arial" w:hAnsi="Arial" w:cs="Arial"/>
          <w:sz w:val="22"/>
          <w:szCs w:val="22"/>
          <w:vertAlign w:val="superscript"/>
        </w:rPr>
        <w:t>13</w:t>
      </w:r>
      <w:r w:rsidR="00B400A0" w:rsidRPr="00450D02">
        <w:rPr>
          <w:rFonts w:ascii="Arial" w:hAnsi="Arial" w:cs="Arial"/>
          <w:sz w:val="22"/>
          <w:szCs w:val="22"/>
        </w:rPr>
        <w:fldChar w:fldCharType="end"/>
      </w:r>
      <w:r w:rsidR="006E5ADD" w:rsidRPr="00450D02">
        <w:rPr>
          <w:rFonts w:ascii="Arial" w:hAnsi="Arial" w:cs="Arial"/>
          <w:sz w:val="22"/>
          <w:szCs w:val="22"/>
        </w:rPr>
        <w:t xml:space="preserve"> would allow the maintenance of the structural integrity and efficient conduction properties of white matter, which are critical for fast and efficient brain connectivity – a key element in humans' evolution of complex cognitive functions.</w:t>
      </w:r>
      <w:r w:rsidR="00111BA3" w:rsidRPr="00450D02">
        <w:rPr>
          <w:rFonts w:ascii="Arial" w:hAnsi="Arial" w:cs="Arial"/>
          <w:sz w:val="22"/>
          <w:szCs w:val="22"/>
        </w:rPr>
        <w:t xml:space="preserve"> </w:t>
      </w:r>
      <w:r w:rsidR="00C15B9E">
        <w:rPr>
          <w:rFonts w:ascii="Arial" w:hAnsi="Arial" w:cs="Arial"/>
          <w:sz w:val="22"/>
          <w:szCs w:val="22"/>
        </w:rPr>
        <w:t>Why FA has a strong loading specifically for CIV but not for other ETC components (CI, CII) is unclear.</w:t>
      </w:r>
    </w:p>
    <w:p w14:paraId="4B3475D1" w14:textId="4EAAA765" w:rsidR="006E5ADD" w:rsidRPr="00450D02" w:rsidRDefault="00C14FDD" w:rsidP="00450D02">
      <w:pPr>
        <w:spacing w:line="360" w:lineRule="auto"/>
        <w:ind w:firstLine="360"/>
        <w:jc w:val="both"/>
        <w:rPr>
          <w:rFonts w:ascii="Arial" w:hAnsi="Arial" w:cs="Arial"/>
          <w:sz w:val="22"/>
          <w:szCs w:val="22"/>
        </w:rPr>
      </w:pPr>
      <w:r w:rsidRPr="00450D02">
        <w:rPr>
          <w:rFonts w:ascii="Arial" w:hAnsi="Arial" w:cs="Arial"/>
          <w:sz w:val="22"/>
          <w:szCs w:val="22"/>
        </w:rPr>
        <w:t xml:space="preserve">We speculate that other aspects of mitochondrial biology not yet fully understood could contribute to the link between </w:t>
      </w:r>
      <w:r w:rsidR="00454A89">
        <w:rPr>
          <w:rFonts w:ascii="Arial" w:hAnsi="Arial" w:cs="Arial"/>
          <w:sz w:val="22"/>
          <w:szCs w:val="22"/>
        </w:rPr>
        <w:t xml:space="preserve">the </w:t>
      </w:r>
      <w:r w:rsidRPr="00450D02">
        <w:rPr>
          <w:rFonts w:ascii="Arial" w:hAnsi="Arial" w:cs="Arial"/>
          <w:sz w:val="22"/>
          <w:szCs w:val="22"/>
        </w:rPr>
        <w:t xml:space="preserve">mitochondrial </w:t>
      </w:r>
      <w:r w:rsidR="00454A89">
        <w:rPr>
          <w:rFonts w:ascii="Arial" w:hAnsi="Arial" w:cs="Arial"/>
          <w:sz w:val="22"/>
          <w:szCs w:val="22"/>
        </w:rPr>
        <w:t>parameters and</w:t>
      </w:r>
      <w:r w:rsidRPr="00450D02">
        <w:rPr>
          <w:rFonts w:ascii="Arial" w:hAnsi="Arial" w:cs="Arial"/>
          <w:sz w:val="22"/>
          <w:szCs w:val="22"/>
        </w:rPr>
        <w:t xml:space="preserve"> FA and T1w/T2w imaging. For example, </w:t>
      </w:r>
      <w:r w:rsidR="00111BA3" w:rsidRPr="00450D02">
        <w:rPr>
          <w:rFonts w:ascii="Arial" w:hAnsi="Arial" w:cs="Arial"/>
          <w:sz w:val="22"/>
          <w:szCs w:val="22"/>
        </w:rPr>
        <w:t>recent work demonstrated that mitochondria unexpectedly interact with the visible portion of the electromagnetic spectrum – demonstrating that mitochondria in retinal cells act as microlenses that focus the flow of photons (i.e., visible light)</w:t>
      </w:r>
      <w:r w:rsidR="0078602B" w:rsidRPr="00450D02">
        <w:rPr>
          <w:rFonts w:ascii="Arial" w:hAnsi="Arial" w:cs="Arial"/>
          <w:sz w:val="22"/>
          <w:szCs w:val="22"/>
        </w:rPr>
        <w:fldChar w:fldCharType="begin"/>
      </w:r>
      <w:r w:rsidR="00EB7C84" w:rsidRPr="00450D02">
        <w:rPr>
          <w:rFonts w:ascii="Arial" w:hAnsi="Arial" w:cs="Arial"/>
          <w:sz w:val="22"/>
          <w:szCs w:val="22"/>
        </w:rPr>
        <w:instrText xml:space="preserve"> ADDIN ZOTERO_ITEM CSL_CITATION {"citationID":"uGxC5dVc","properties":{"formattedCitation":"\\super 14\\nosupersub{}","plainCitation":"14","noteIndex":0},"citationItems":[{"id":1045,"uris":["http://zotero.org/users/12638349/items/9EPIIJR8"],"itemData":{"id":1045,"type":"article-journal","abstract":"Mammalian photoreceptors aggregate numerous mitochondria, organelles chiefly for energy production, in the ellipsoid region immediately adjacent to the light-sensitive outer segment to support the high metabolic demands of phototransduction. However, these complex, lipid-rich organelles are also poised to affect light passage into the outer segment. Here, we show, via live imaging and simulations, that despite this risk of light scattering or absorption, these tightly packed mitochondria “focus” light for entry into the outer segment and that mitochondrial remodeling affects such light concentration. This “microlens”-like feature of cone mitochondria delivers light with an angular dependence akin to the Stiles-Crawford effect (SCE), providing a simple explanation for this essential visual phenomenon that improves resolution. This new insight into the optical role of mitochondria is relevant for the interpretation of clinical ophthalmological imaging, lending support for the use of SCE as an early diagnostic tool in retinal disease., In addition to delivering energy, cone photoreceptor mitochondria in the retina moonlight as microlenses to deliver light.","container-title":"Science Advances","DOI":"10.1126/sciadv.abn2070","ISSN":"2375-2548","issue":"9","journalAbbreviation":"Sci Adv","note":"PMID: 35235359\nPMCID: PMC8890704","page":"eabn2070","source":"PubMed Central","title":"Mitochondria in cone photoreceptors act as microlenses to enhance photon delivery and confer directional sensitivity to light","volume":"8","author":[{"family":"Ball","given":"John M."},{"family":"Chen","given":"Shan"},{"family":"Li","given":"Wei"}]}}],"schema":"https://github.com/citation-style-language/schema/raw/master/csl-citation.json"} </w:instrText>
      </w:r>
      <w:r w:rsidR="0078602B" w:rsidRPr="00450D02">
        <w:rPr>
          <w:rFonts w:ascii="Arial" w:hAnsi="Arial" w:cs="Arial"/>
          <w:sz w:val="22"/>
          <w:szCs w:val="22"/>
        </w:rPr>
        <w:fldChar w:fldCharType="separate"/>
      </w:r>
      <w:r w:rsidR="00EB7C84" w:rsidRPr="00450D02">
        <w:rPr>
          <w:rFonts w:ascii="Arial" w:hAnsi="Arial" w:cs="Arial"/>
          <w:sz w:val="22"/>
          <w:szCs w:val="22"/>
          <w:vertAlign w:val="superscript"/>
        </w:rPr>
        <w:t>14</w:t>
      </w:r>
      <w:r w:rsidR="0078602B" w:rsidRPr="00450D02">
        <w:rPr>
          <w:rFonts w:ascii="Arial" w:hAnsi="Arial" w:cs="Arial"/>
          <w:sz w:val="22"/>
          <w:szCs w:val="22"/>
        </w:rPr>
        <w:fldChar w:fldCharType="end"/>
      </w:r>
      <w:r w:rsidR="00111BA3" w:rsidRPr="00450D02">
        <w:rPr>
          <w:rFonts w:ascii="Arial" w:hAnsi="Arial" w:cs="Arial"/>
          <w:sz w:val="22"/>
          <w:szCs w:val="22"/>
        </w:rPr>
        <w:t xml:space="preserve">. </w:t>
      </w:r>
      <w:r w:rsidRPr="00450D02">
        <w:rPr>
          <w:rFonts w:ascii="Arial" w:hAnsi="Arial" w:cs="Arial"/>
          <w:sz w:val="22"/>
          <w:szCs w:val="22"/>
        </w:rPr>
        <w:t xml:space="preserve">We also previously found microstructural alignment of cristae inside mitochondria at the site of contact of other mitochondria, suggesting that forces – </w:t>
      </w:r>
      <w:r w:rsidR="00C15B9E">
        <w:rPr>
          <w:rFonts w:ascii="Arial" w:hAnsi="Arial" w:cs="Arial"/>
          <w:sz w:val="22"/>
          <w:szCs w:val="22"/>
        </w:rPr>
        <w:t>most likely</w:t>
      </w:r>
      <w:r w:rsidR="00C15B9E" w:rsidRPr="00450D02">
        <w:rPr>
          <w:rFonts w:ascii="Arial" w:hAnsi="Arial" w:cs="Arial"/>
          <w:sz w:val="22"/>
          <w:szCs w:val="22"/>
        </w:rPr>
        <w:t xml:space="preserve"> </w:t>
      </w:r>
      <w:r w:rsidRPr="00450D02">
        <w:rPr>
          <w:rFonts w:ascii="Arial" w:hAnsi="Arial" w:cs="Arial"/>
          <w:sz w:val="22"/>
          <w:szCs w:val="22"/>
        </w:rPr>
        <w:t>electromagnetic – act upon the iron-rich electron transport chain complexes</w:t>
      </w:r>
      <w:r w:rsidR="007B427B" w:rsidRPr="00450D02">
        <w:rPr>
          <w:rFonts w:ascii="Arial" w:hAnsi="Arial" w:cs="Arial"/>
          <w:sz w:val="22"/>
          <w:szCs w:val="22"/>
        </w:rPr>
        <w:fldChar w:fldCharType="begin"/>
      </w:r>
      <w:r w:rsidR="00EB7C84" w:rsidRPr="00450D02">
        <w:rPr>
          <w:rFonts w:ascii="Arial" w:hAnsi="Arial" w:cs="Arial"/>
          <w:sz w:val="22"/>
          <w:szCs w:val="22"/>
        </w:rPr>
        <w:instrText xml:space="preserve"> ADDIN ZOTERO_ITEM CSL_CITATION {"citationID":"LNIJPphJ","properties":{"formattedCitation":"\\super 15\\nosupersub{}","plainCitation":"15","noteIndex":0},"citationItems":[{"id":1044,"uris":["http://zotero.org/users/12638349/items/2Z2Z3YNT"],"itemData":{"id":1044,"type":"article-journal","abstract":"Reminiscent of bacterial quorum sensing, mammalian mitochondria participate in inter-organelle communication. However, physical structures that enhance or enable interactions between mitochondria have not been defined. Here we report that adjacent mitochondria exhibit coordination of inner mitochondrial membrane cristae at inter-mitochondrial junctions (IMJs). These electron-dense structures are conserved across species, resistant to genetic disruption of cristae organization, dynamically modulated by mitochondrial bioenergetics, independent of known inter-mitochondrial tethering proteins mitofusins and rapidly induced by the stable rapprochement of organelles via inducible synthetic linker technology. At the associated junctions, the cristae of adjacent mitochondria form parallel arrays perpendicular to the IMJ, consistent with a role in electrochemical coupling. These IMJs and associated cristae arrays may provide the structural basis to enhance the propagation of intracellular bioenergetic and apoptotic waves through mitochondrial networks within cells.","container-title":"Nature Communications","DOI":"10.1038/ncomms7259","ISSN":"2041-1723","issue":"1","journalAbbreviation":"Nat Commun","language":"en","license":"2015 The Author(s)","note":"publisher: Nature Publishing Group","page":"6259","source":"www.nature.com","title":"Trans-mitochondrial coordination of cristae at regulated membrane junctions","volume":"6","author":[{"family":"Picard","given":"Martin"},{"family":"McManus","given":"Meagan J."},{"family":"Csordás","given":"György"},{"family":"Várnai","given":"Péter"},{"family":"Dorn II","given":"Gerald W."},{"family":"Williams","given":"Dewight"},{"family":"Hajnóczky","given":"György"},{"family":"Wallace","given":"Douglas C."}],"issued":{"date-parts":[["2015",2,17]]}}}],"schema":"https://github.com/citation-style-language/schema/raw/master/csl-citation.json"} </w:instrText>
      </w:r>
      <w:r w:rsidR="007B427B" w:rsidRPr="00450D02">
        <w:rPr>
          <w:rFonts w:ascii="Arial" w:hAnsi="Arial" w:cs="Arial"/>
          <w:sz w:val="22"/>
          <w:szCs w:val="22"/>
        </w:rPr>
        <w:fldChar w:fldCharType="separate"/>
      </w:r>
      <w:r w:rsidR="00EB7C84" w:rsidRPr="00450D02">
        <w:rPr>
          <w:rFonts w:ascii="Arial" w:hAnsi="Arial" w:cs="Arial"/>
          <w:sz w:val="22"/>
          <w:szCs w:val="22"/>
          <w:vertAlign w:val="superscript"/>
        </w:rPr>
        <w:t>15</w:t>
      </w:r>
      <w:r w:rsidR="007B427B" w:rsidRPr="00450D02">
        <w:rPr>
          <w:rFonts w:ascii="Arial" w:hAnsi="Arial" w:cs="Arial"/>
          <w:sz w:val="22"/>
          <w:szCs w:val="22"/>
        </w:rPr>
        <w:fldChar w:fldCharType="end"/>
      </w:r>
      <w:r w:rsidRPr="00450D02">
        <w:rPr>
          <w:rFonts w:ascii="Arial" w:hAnsi="Arial" w:cs="Arial"/>
          <w:sz w:val="22"/>
          <w:szCs w:val="22"/>
        </w:rPr>
        <w:t xml:space="preserve">. </w:t>
      </w:r>
      <w:r w:rsidR="00111BA3" w:rsidRPr="00450D02">
        <w:rPr>
          <w:rFonts w:ascii="Arial" w:hAnsi="Arial" w:cs="Arial"/>
          <w:sz w:val="22"/>
          <w:szCs w:val="22"/>
        </w:rPr>
        <w:t xml:space="preserve">While not directly applicable to FA, we note, in principle, the ability of variations in mitochondrial ultrastructure and morphology to influence the diffusion/linear translation of molecular elements. Perhaps this </w:t>
      </w:r>
      <w:r w:rsidR="00C761A5" w:rsidRPr="00450D02">
        <w:rPr>
          <w:rFonts w:ascii="Arial" w:hAnsi="Arial" w:cs="Arial"/>
          <w:sz w:val="22"/>
          <w:szCs w:val="22"/>
        </w:rPr>
        <w:t xml:space="preserve">principle </w:t>
      </w:r>
      <w:r w:rsidR="00111BA3" w:rsidRPr="00450D02">
        <w:rPr>
          <w:rFonts w:ascii="Arial" w:hAnsi="Arial" w:cs="Arial"/>
          <w:sz w:val="22"/>
          <w:szCs w:val="22"/>
        </w:rPr>
        <w:t xml:space="preserve">applies </w:t>
      </w:r>
      <w:r w:rsidR="00C761A5" w:rsidRPr="00450D02">
        <w:rPr>
          <w:rFonts w:ascii="Arial" w:hAnsi="Arial" w:cs="Arial"/>
          <w:sz w:val="22"/>
          <w:szCs w:val="22"/>
        </w:rPr>
        <w:t>beyond photons to oscillating water molecules</w:t>
      </w:r>
      <w:r w:rsidRPr="00450D02">
        <w:rPr>
          <w:rFonts w:ascii="Arial" w:hAnsi="Arial" w:cs="Arial"/>
          <w:sz w:val="22"/>
          <w:szCs w:val="22"/>
        </w:rPr>
        <w:t>, or that the minute paramagnetic elements of the mitochondrial OxPhos system interact with specific MRI sequences</w:t>
      </w:r>
      <w:r w:rsidR="00C761A5" w:rsidRPr="00450D02">
        <w:rPr>
          <w:rFonts w:ascii="Arial" w:hAnsi="Arial" w:cs="Arial"/>
          <w:sz w:val="22"/>
          <w:szCs w:val="22"/>
        </w:rPr>
        <w:t xml:space="preserve">. </w:t>
      </w:r>
      <w:r w:rsidR="00222957" w:rsidRPr="00450D02">
        <w:rPr>
          <w:rFonts w:ascii="Arial" w:hAnsi="Arial" w:cs="Arial"/>
          <w:sz w:val="22"/>
          <w:szCs w:val="22"/>
        </w:rPr>
        <w:t>It also is possible</w:t>
      </w:r>
      <w:r w:rsidR="00C761A5" w:rsidRPr="00450D02">
        <w:rPr>
          <w:rFonts w:ascii="Arial" w:hAnsi="Arial" w:cs="Arial"/>
          <w:sz w:val="22"/>
          <w:szCs w:val="22"/>
        </w:rPr>
        <w:t xml:space="preserve"> that the unique electrochemical </w:t>
      </w:r>
      <w:r w:rsidR="00222957" w:rsidRPr="00450D02">
        <w:rPr>
          <w:rFonts w:ascii="Arial" w:hAnsi="Arial" w:cs="Arial"/>
          <w:sz w:val="22"/>
          <w:szCs w:val="22"/>
        </w:rPr>
        <w:t xml:space="preserve">and proteinaceous </w:t>
      </w:r>
      <w:r w:rsidR="00C761A5" w:rsidRPr="00450D02">
        <w:rPr>
          <w:rFonts w:ascii="Arial" w:hAnsi="Arial" w:cs="Arial"/>
          <w:sz w:val="22"/>
          <w:szCs w:val="22"/>
        </w:rPr>
        <w:t xml:space="preserve">properties of mitochondria could contribute to </w:t>
      </w:r>
      <w:r w:rsidR="00222957" w:rsidRPr="00450D02">
        <w:rPr>
          <w:rFonts w:ascii="Arial" w:hAnsi="Arial" w:cs="Arial"/>
          <w:sz w:val="22"/>
          <w:szCs w:val="22"/>
        </w:rPr>
        <w:t xml:space="preserve">other biophysical states </w:t>
      </w:r>
      <w:r w:rsidR="00222957" w:rsidRPr="00450D02">
        <w:rPr>
          <w:rFonts w:ascii="Arial" w:hAnsi="Arial" w:cs="Arial"/>
          <w:sz w:val="22"/>
          <w:szCs w:val="22"/>
        </w:rPr>
        <w:lastRenderedPageBreak/>
        <w:t xml:space="preserve">relevant to FA, such as </w:t>
      </w:r>
      <w:r w:rsidR="00C761A5" w:rsidRPr="00450D02">
        <w:rPr>
          <w:rFonts w:ascii="Arial" w:hAnsi="Arial" w:cs="Arial"/>
          <w:sz w:val="22"/>
          <w:szCs w:val="22"/>
        </w:rPr>
        <w:t xml:space="preserve">water </w:t>
      </w:r>
      <w:r w:rsidR="00222957" w:rsidRPr="00450D02">
        <w:rPr>
          <w:rFonts w:ascii="Arial" w:hAnsi="Arial" w:cs="Arial"/>
          <w:sz w:val="22"/>
          <w:szCs w:val="22"/>
        </w:rPr>
        <w:t xml:space="preserve">liquid-liquid </w:t>
      </w:r>
      <w:r w:rsidR="00C761A5" w:rsidRPr="00450D02">
        <w:rPr>
          <w:rFonts w:ascii="Arial" w:hAnsi="Arial" w:cs="Arial"/>
          <w:sz w:val="22"/>
          <w:szCs w:val="22"/>
        </w:rPr>
        <w:t>phase separation</w:t>
      </w:r>
      <w:r w:rsidR="00114A11" w:rsidRPr="00450D02">
        <w:rPr>
          <w:rFonts w:ascii="Arial" w:hAnsi="Arial" w:cs="Arial"/>
          <w:sz w:val="22"/>
          <w:szCs w:val="22"/>
        </w:rPr>
        <w:fldChar w:fldCharType="begin"/>
      </w:r>
      <w:r w:rsidR="00EB7C84" w:rsidRPr="00450D02">
        <w:rPr>
          <w:rFonts w:ascii="Arial" w:hAnsi="Arial" w:cs="Arial"/>
          <w:sz w:val="22"/>
          <w:szCs w:val="22"/>
        </w:rPr>
        <w:instrText xml:space="preserve"> ADDIN ZOTERO_ITEM CSL_CITATION {"citationID":"XRFbsDIo","properties":{"formattedCitation":"\\super 16,17\\nosupersub{}","plainCitation":"16,17","noteIndex":0},"citationItems":[{"id":1043,"uris":["http://zotero.org/users/12638349/items/4MJXRHWZ"],"itemData":{"id":1043,"type":"article-journal","abstract":"Age-related macular degeneration (AMD) damages the retinal pigment epithelium (RPE), the tissue that safeguards photoreceptor health, leading to irreversible vision loss. Polymorphisms in cholesterol and complement genes are implicated in AMD, yet mechanisms linking risk variants to RPE injury remain unclear. We sought to determine how allelic variants in the apolipoprotein E cholesterol transporter modulate RPE homeostasis and function. Using live-cell imaging, we show that inefficient cholesterol transport by the AMD risk-associated ApoE2 increases RPE ceramide, leading to autophagic defects and complement-mediated mitochondrial damage. Mitochondrial injury drives redox state–sensitive cysteine-mediated phase separation of ApoE2, forming biomolecular condensates that could nucleate drusen. The protective ApoE4 isoform lacks these cysteines and is resistant to phase separation and condensate formation. In Abca–/– Stargardt macular degeneration mice, mitochondrial dysfunction induces liquid-liquid phase separation of p62/SQSTM1, a multifunctional protein that regulates autophagy. Drugs that decrease RPE cholesterol or ceramide prevent mitochondrial injury and phase separation in vitro and in vivo. In AMD donor RPE, mitochondrial fragmentation correlates with ApoE and p62 condensates. Our studies demonstrate that major AMD genetic and biological risk pathways converge upon RPE mitochondria, and identify mitochondrial stress-mediated protein phase separation as an important pathogenic mechanism and promising therapeutic target in AMD.,","container-title":"JCI Insight","DOI":"10.1172/jci.insight.142254","ISSN":"2379-3708","issue":"9","journalAbbreviation":"JCI Insight","note":"PMID: 33822768\nPMCID: PMC8262309","page":"e142254","source":"PubMed Central","title":"Mitochondria-dependent phase separation of disease-relevant proteins drives pathological features of age-related macular degeneration","volume":"6","author":[{"family":"La Cunza","given":"Nilsa"},{"family":"Tan","given":"Li Xuan"},{"family":"Thamban","given":"Thushara"},{"family":"Germer","given":"Colin J."},{"family":"Rathnasamy","given":"Gurugirijha"},{"family":"Toops","given":"Kimberly A."},{"family":"Lakkaraju","given":"Aparna"}]}},{"id":1042,"uris":["http://zotero.org/users/12638349/items/TCDCT8TK"],"itemData":{"id":1042,"type":"article-journal","abstract":"Water-protein interactions help to maintain flexible conformation conditions which are required for multifunctional protein recognition processes. The intimate relationship between the protein surface and hydration water can be analyzed by studying experimental water properties measured in protein systems in solution. In particular, proteins in solution modify the structure and the dynamics of the bulk water at the solute-solvent interface. The ordering effects of proteins on hydration water are extended for several angstroms. In this paper we propose a method for analyzing the dynamical properties of the water molecules present in the hydration shells of proteins. The approach is based on the analysis of the effects of protein-solvent interactions on water protons NMR relaxation parameters. NMR relaxation parameters, especially the nonselective (R1NS ) and selective (R1SE ) spin-lattice relaxation rates of water protons, are useful for investigating the solvent dynamics at the macromolecule-solvent interfaces as well as the perturbation effects caused by the water-macromolecule interactions on the solvent dynamical properties. In this paper we demonstrate that Nuclear Magnetic Resonance Spectroscopy can be used to determine the dynamical contributions of proteins to the water molecules belonging to their hydration shells.","container-title":"The Scientific World Journal","DOI":"10.1155/2013/138916","ISSN":"1537-744X","issue":"1","language":"en","license":"Copyright © 2013 Silvia Martini et al.","note":"_eprint: https://onlinelibrary.wiley.com/doi/pdf/10.1155/2013/138916","page":"138916","source":"Wiley Online Library","title":"Water-Protein Interactions: The Secret of Protein Dynamics","title-short":"Water-Protein Interactions","volume":"2013","author":[{"family":"Martini","given":"Silvia"},{"family":"Bonechi","given":"Claudia"},{"family":"Foletti","given":"Alberto"},{"family":"Rossi","given":"Claudio"}],"issued":{"date-parts":[["2013"]]}}}],"schema":"https://github.com/citation-style-language/schema/raw/master/csl-citation.json"} </w:instrText>
      </w:r>
      <w:r w:rsidR="00114A11" w:rsidRPr="00450D02">
        <w:rPr>
          <w:rFonts w:ascii="Arial" w:hAnsi="Arial" w:cs="Arial"/>
          <w:sz w:val="22"/>
          <w:szCs w:val="22"/>
        </w:rPr>
        <w:fldChar w:fldCharType="separate"/>
      </w:r>
      <w:r w:rsidR="00EB7C84" w:rsidRPr="00450D02">
        <w:rPr>
          <w:rFonts w:ascii="Arial" w:hAnsi="Arial" w:cs="Arial"/>
          <w:sz w:val="22"/>
          <w:szCs w:val="22"/>
          <w:vertAlign w:val="superscript"/>
        </w:rPr>
        <w:t>16,17</w:t>
      </w:r>
      <w:r w:rsidR="00114A11" w:rsidRPr="00450D02">
        <w:rPr>
          <w:rFonts w:ascii="Arial" w:hAnsi="Arial" w:cs="Arial"/>
          <w:sz w:val="22"/>
          <w:szCs w:val="22"/>
        </w:rPr>
        <w:fldChar w:fldCharType="end"/>
      </w:r>
      <w:r w:rsidR="00C761A5" w:rsidRPr="00450D02">
        <w:rPr>
          <w:rFonts w:ascii="Arial" w:hAnsi="Arial" w:cs="Arial"/>
          <w:sz w:val="22"/>
          <w:szCs w:val="22"/>
        </w:rPr>
        <w:t>,</w:t>
      </w:r>
      <w:r w:rsidR="00222957" w:rsidRPr="00450D02">
        <w:rPr>
          <w:rFonts w:ascii="Arial" w:hAnsi="Arial" w:cs="Arial"/>
          <w:sz w:val="22"/>
          <w:szCs w:val="22"/>
        </w:rPr>
        <w:t xml:space="preserve"> the process by which intracellular spaces condense</w:t>
      </w:r>
      <w:r w:rsidR="00C15B9E">
        <w:rPr>
          <w:rFonts w:ascii="Arial" w:hAnsi="Arial" w:cs="Arial"/>
          <w:sz w:val="22"/>
          <w:szCs w:val="22"/>
        </w:rPr>
        <w:t xml:space="preserve"> into,</w:t>
      </w:r>
      <w:r w:rsidR="00222957" w:rsidRPr="00450D02">
        <w:rPr>
          <w:rFonts w:ascii="Arial" w:hAnsi="Arial" w:cs="Arial"/>
          <w:sz w:val="22"/>
          <w:szCs w:val="22"/>
        </w:rPr>
        <w:t xml:space="preserve"> or dissolve gel-like properties</w:t>
      </w:r>
      <w:r w:rsidR="00114A11" w:rsidRPr="00450D02">
        <w:rPr>
          <w:rFonts w:ascii="Arial" w:hAnsi="Arial" w:cs="Arial"/>
          <w:sz w:val="22"/>
          <w:szCs w:val="22"/>
        </w:rPr>
        <w:fldChar w:fldCharType="begin"/>
      </w:r>
      <w:r w:rsidR="00245039">
        <w:rPr>
          <w:rFonts w:ascii="Arial" w:hAnsi="Arial" w:cs="Arial"/>
          <w:sz w:val="22"/>
          <w:szCs w:val="22"/>
        </w:rPr>
        <w:instrText xml:space="preserve"> ADDIN ZOTERO_ITEM CSL_CITATION {"citationID":"PTfRKoCB","properties":{"formattedCitation":"\\super 11\\nosupersub{}","plainCitation":"11","noteIndex":0},"citationItems":[{"id":1046,"uris":["http://zotero.org/users/12638349/items/JPDUJNMH"],"itemData":{"id":1046,"type":"article-journal","abstract":"Emerging evidence suggests that liquid–liquid phase separation (LLPS) represents a vital and ubiquitous phenomenon underlying the formation of membraneless organelles in eukaryotic cells (also known as biomolecular condensates or droplets). Recent studies have revealed evidences that indicate that LLPS plays a vital role in human health and diseases. In this review, we describe our current understanding of LLPS and summarize its physiological functions. We further describe the role of LLPS in the development of human diseases. Additionally, we review the recently developed methods for studying LLPS. Although LLPS research is in its infancy—but is fast-growing—it is clear that LLPS plays an essential role in the development of pathophysiological conditions. This highlights the need for an overview of the recent advances in the field to translate our current knowledge regarding LLPS into therapeutic discoveries.","container-title":"Signal Transduction and Targeted Therapy","DOI":"10.1038/s41392-021-00678-1","ISSN":"2059-3635","issue":"1","journalAbbreviation":"Sig Transduct Target Ther","language":"en","license":"2021 The Author(s)","note":"publisher: Nature Publishing Group","page":"1-16","source":"www.nature.com","title":"Liquid–liquid phase separation in human health and diseases","volume":"6","author":[{"family":"Wang","given":"Bin"},{"family":"Zhang","given":"Lei"},{"family":"Dai","given":"Tong"},{"family":"Qin","given":"Ziran"},{"family":"Lu","given":"Huasong"},{"family":"Zhang","given":"Long"},{"family":"Zhou","given":"Fangfang"}],"issued":{"date-parts":[["2021",8,2]]}}}],"schema":"https://github.com/citation-style-language/schema/raw/master/csl-citation.json"} </w:instrText>
      </w:r>
      <w:r w:rsidR="00114A11" w:rsidRPr="00450D02">
        <w:rPr>
          <w:rFonts w:ascii="Arial" w:hAnsi="Arial" w:cs="Arial"/>
          <w:sz w:val="22"/>
          <w:szCs w:val="22"/>
        </w:rPr>
        <w:fldChar w:fldCharType="separate"/>
      </w:r>
      <w:r w:rsidR="00245039" w:rsidRPr="00245039">
        <w:rPr>
          <w:rFonts w:ascii="Arial" w:hAnsi="Arial" w:cs="Arial"/>
          <w:sz w:val="22"/>
          <w:vertAlign w:val="superscript"/>
        </w:rPr>
        <w:t>11</w:t>
      </w:r>
      <w:r w:rsidR="00114A11" w:rsidRPr="00450D02">
        <w:rPr>
          <w:rFonts w:ascii="Arial" w:hAnsi="Arial" w:cs="Arial"/>
          <w:sz w:val="22"/>
          <w:szCs w:val="22"/>
        </w:rPr>
        <w:fldChar w:fldCharType="end"/>
      </w:r>
      <w:r w:rsidR="00222957" w:rsidRPr="00450D02">
        <w:rPr>
          <w:rFonts w:ascii="Arial" w:hAnsi="Arial" w:cs="Arial"/>
          <w:sz w:val="22"/>
          <w:szCs w:val="22"/>
        </w:rPr>
        <w:t xml:space="preserve">. By changing the physical properties of water, sub-cellular biochemical processes could alter the </w:t>
      </w:r>
      <w:r w:rsidR="00C761A5" w:rsidRPr="00450D02">
        <w:rPr>
          <w:rFonts w:ascii="Arial" w:hAnsi="Arial" w:cs="Arial"/>
          <w:sz w:val="22"/>
          <w:szCs w:val="22"/>
        </w:rPr>
        <w:t>FA signal</w:t>
      </w:r>
      <w:r w:rsidR="00EB7C84" w:rsidRPr="00450D02">
        <w:rPr>
          <w:rFonts w:ascii="Arial" w:hAnsi="Arial" w:cs="Arial"/>
          <w:sz w:val="22"/>
          <w:szCs w:val="22"/>
        </w:rPr>
        <w:fldChar w:fldCharType="begin"/>
      </w:r>
      <w:r w:rsidR="00C34C92" w:rsidRPr="00450D02">
        <w:rPr>
          <w:rFonts w:ascii="Arial" w:hAnsi="Arial" w:cs="Arial"/>
          <w:sz w:val="22"/>
          <w:szCs w:val="22"/>
        </w:rPr>
        <w:instrText xml:space="preserve"> ADDIN ZOTERO_ITEM CSL_CITATION {"citationID":"diyrVx7i","properties":{"formattedCitation":"\\super 19,20\\nosupersub{}","plainCitation":"19,20","noteIndex":0},"citationItems":[{"id":1095,"uris":["http://zotero.org/users/12638349/items/AHFBZIKE"],"itemData":{"id":1095,"type":"article-journal","abstract":"Previous work assumed that ATP synthase, the smallest known rotary motor in nature, operates at 100% efficiency. Calculations which arrive to this result assume that the water viscosity inside mitochondria is constant and corresponds to that of bulk water. In our opinion this assumption is not satisfactory for two reasons: (1) There is evidence that the water in mitochondria prevails to 100% as interfacial water. (2) Laboratory experiments which explore the properties of interfacial water suggest viscosities which exceed those of bulk water, specifically at hydrophilic interfaces. Here, we wish to suggest a physicochemical mechanism which assumes intramitochondrial water viscosity gradients and consistently explains two cellular responses: The decrease and increase in ATP synthesis in response to reactive oxygen species and non-destructive levels of near-infrared (NIR) laser light, respectively. The mechanism is derived from the results of a new experimental method, which combines the technique of nanoindentation with the modulation of interfacial water layers by laser irradiation. Results, including the elucidation of the principle of light-induced ATP production, are expected to have broad implications in all fields of medicine.","container-title":"Scientific Reports","DOI":"10.1038/srep12029","ISSN":"2045-2322","issue":"1","journalAbbreviation":"Sci Rep","language":"en","license":"2015 The Author(s)","note":"publisher: Nature Publishing Group","page":"12029","source":"www.nature.com","title":"Light Effect on Water Viscosity: Implication for ATP Biosynthesis","title-short":"Light Effect on Water Viscosity","volume":"5","author":[{"family":"Sommer","given":"Andrei P."},{"family":"Haddad","given":"Mike Kh"},{"family":"Fecht","given":"Hans-Jörg"}],"issued":{"date-parts":[["2015",7,8]]}}},{"id":1097,"uris":["http://zotero.org/users/12638349/items/FQ8WPENL"],"itemData":{"id":1097,"type":"article-journal","container-title":"Annals of Translational Medicine","DOI":"10.21037/atm.2019.01.43","ISSN":"2305-5839","issue":"Suppl 1","journalAbbreviation":"Ann Transl Med","note":"PMID: 31032294\nPMCID: PMC6462613","page":"S13","source":"PubMed Central","title":"Mitochondrial cytochrome c oxidase is not the primary acceptor for near infrared light—it is mitochondrial bound water: the principles of low-level light therapy","title-short":"Mitochondrial cytochrome c oxidase is not the primary acceptor for near infrared light—it is mitochondrial bound water","volume":"7","author":[{"family":"Sommer","given":"Andrei P."}],"issued":{"date-parts":[["2019",3]]}}}],"schema":"https://github.com/citation-style-language/schema/raw/master/csl-citation.json"} </w:instrText>
      </w:r>
      <w:r w:rsidR="00EB7C84" w:rsidRPr="00450D02">
        <w:rPr>
          <w:rFonts w:ascii="Arial" w:hAnsi="Arial" w:cs="Arial"/>
          <w:sz w:val="22"/>
          <w:szCs w:val="22"/>
        </w:rPr>
        <w:fldChar w:fldCharType="separate"/>
      </w:r>
      <w:r w:rsidR="00C34C92" w:rsidRPr="00450D02">
        <w:rPr>
          <w:rFonts w:ascii="Arial" w:hAnsi="Arial" w:cs="Arial"/>
          <w:sz w:val="22"/>
          <w:szCs w:val="22"/>
          <w:vertAlign w:val="superscript"/>
        </w:rPr>
        <w:t>19,20</w:t>
      </w:r>
      <w:r w:rsidR="00EB7C84" w:rsidRPr="00450D02">
        <w:rPr>
          <w:rFonts w:ascii="Arial" w:hAnsi="Arial" w:cs="Arial"/>
          <w:sz w:val="22"/>
          <w:szCs w:val="22"/>
        </w:rPr>
        <w:fldChar w:fldCharType="end"/>
      </w:r>
      <w:r w:rsidR="00C761A5" w:rsidRPr="00450D02">
        <w:rPr>
          <w:rFonts w:ascii="Arial" w:hAnsi="Arial" w:cs="Arial"/>
          <w:sz w:val="22"/>
          <w:szCs w:val="22"/>
        </w:rPr>
        <w:t xml:space="preserve">. </w:t>
      </w:r>
    </w:p>
    <w:p w14:paraId="3BB6EAE1" w14:textId="5A12AF01" w:rsidR="00EB08FD" w:rsidRPr="00450D02" w:rsidRDefault="006E5ADD" w:rsidP="00450D02">
      <w:pPr>
        <w:spacing w:line="360" w:lineRule="auto"/>
        <w:ind w:firstLine="360"/>
        <w:jc w:val="both"/>
        <w:rPr>
          <w:rFonts w:ascii="Arial" w:hAnsi="Arial" w:cs="Arial"/>
          <w:sz w:val="22"/>
          <w:szCs w:val="22"/>
        </w:rPr>
      </w:pPr>
      <w:r w:rsidRPr="00450D02">
        <w:rPr>
          <w:rFonts w:ascii="Arial" w:hAnsi="Arial" w:cs="Arial"/>
          <w:sz w:val="22"/>
          <w:szCs w:val="22"/>
        </w:rPr>
        <w:t xml:space="preserve">The </w:t>
      </w:r>
      <w:r w:rsidRPr="00450D02">
        <w:rPr>
          <w:rFonts w:ascii="Arial" w:hAnsi="Arial" w:cs="Arial"/>
          <w:i/>
          <w:iCs/>
          <w:sz w:val="22"/>
          <w:szCs w:val="22"/>
        </w:rPr>
        <w:t>T1w/T2w ratio</w:t>
      </w:r>
      <w:r w:rsidR="005923CF" w:rsidRPr="00450D02">
        <w:rPr>
          <w:rFonts w:ascii="Arial" w:hAnsi="Arial" w:cs="Arial"/>
          <w:sz w:val="22"/>
          <w:szCs w:val="22"/>
        </w:rPr>
        <w:t xml:space="preserve"> is</w:t>
      </w:r>
      <w:r w:rsidRPr="00450D02">
        <w:rPr>
          <w:rFonts w:ascii="Arial" w:hAnsi="Arial" w:cs="Arial"/>
          <w:sz w:val="22"/>
          <w:szCs w:val="22"/>
        </w:rPr>
        <w:t xml:space="preserve"> often used as a proxy for myelin content</w:t>
      </w:r>
      <w:r w:rsidR="00114A11" w:rsidRPr="00450D02">
        <w:rPr>
          <w:rFonts w:ascii="Arial" w:hAnsi="Arial" w:cs="Arial"/>
          <w:sz w:val="22"/>
          <w:szCs w:val="22"/>
        </w:rPr>
        <w:fldChar w:fldCharType="begin"/>
      </w:r>
      <w:r w:rsidR="00C34C92" w:rsidRPr="00450D02">
        <w:rPr>
          <w:rFonts w:ascii="Arial" w:hAnsi="Arial" w:cs="Arial"/>
          <w:sz w:val="22"/>
          <w:szCs w:val="22"/>
        </w:rPr>
        <w:instrText xml:space="preserve"> ADDIN ZOTERO_ITEM CSL_CITATION {"citationID":"y3VeCM7r","properties":{"formattedCitation":"\\super 21\\nosupersub{}","plainCitation":"21","noteIndex":0},"citationItems":[{"id":1040,"uris":["http://zotero.org/users/12638349/items/AYPNYZFM"],"itemData":{"id":1040,"type":"article-journal","abstract":"Noninvasively mapping the layout of cortical areas in humans is a continuing challenge for neuroscience. We present a new method of mapping cortical areas based on myelin content as revealed by T1-weighted (T1w) and T2-weighted (T2w) MRI. The method is generalizable across different 3T scanners and pulse sequences. We use the ratio of T1w/T2w image intensities to eliminate the MR-related image intensity bias and enhance the contrast to noise ratio for myelin. Data from each subject were mapped to the cortical surface and aligned across individuals using surface-based registration. The spatial gradient of the group average myelin map provides an observer-independent measure of sharp transitions in myelin content across the surface--i.e., putative cortical areal borders. We found excellent agreement between the gradients of the myelin maps and the gradients of published probabilistic cytoarchitectonically defined cortical areas that were registered to the same surface-based atlas. For other cortical regions, we used published anatomical and functional information to make putative identifications of dozens of cortical areas or candidate areas. In general, primary and early unimodal association cortices are heavily myelinated and higher, multimodal, association cortices are more lightly myelinated, but there are notable exceptions in the literature that are confirmed by our results. The overall pattern in the myelin maps also has important correlations with the developmental onset of subcortical white matter myelination, evolutionary cortical areal expansion in humans compared with macaques, postnatal cortical expansion in humans, and maps of neuronal density in non-human primates.","container-title":"The Journal of Neuroscience: The Official Journal of the Society for Neuroscience","DOI":"10.1523/JNEUROSCI.2180-11.2011","ISSN":"1529-2401","issue":"32","journalAbbreviation":"J Neurosci","language":"eng","note":"PMID: 21832190\nPMCID: PMC3167149","page":"11597-11616","source":"PubMed","title":"Mapping human cortical areas in vivo based on myelin content as revealed by T1- and T2-weighted MRI","volume":"31","author":[{"family":"Glasser","given":"Matthew F."},{"family":"Van Essen","given":"David C."}],"issued":{"date-parts":[["2011",8,10]]}}}],"schema":"https://github.com/citation-style-language/schema/raw/master/csl-citation.json"} </w:instrText>
      </w:r>
      <w:r w:rsidR="00114A11" w:rsidRPr="00450D02">
        <w:rPr>
          <w:rFonts w:ascii="Arial" w:hAnsi="Arial" w:cs="Arial"/>
          <w:sz w:val="22"/>
          <w:szCs w:val="22"/>
        </w:rPr>
        <w:fldChar w:fldCharType="separate"/>
      </w:r>
      <w:r w:rsidR="00C34C92" w:rsidRPr="00450D02">
        <w:rPr>
          <w:rFonts w:ascii="Arial" w:hAnsi="Arial" w:cs="Arial"/>
          <w:sz w:val="22"/>
          <w:szCs w:val="22"/>
          <w:vertAlign w:val="superscript"/>
        </w:rPr>
        <w:t>21</w:t>
      </w:r>
      <w:r w:rsidR="00114A11" w:rsidRPr="00450D02">
        <w:rPr>
          <w:rFonts w:ascii="Arial" w:hAnsi="Arial" w:cs="Arial"/>
          <w:sz w:val="22"/>
          <w:szCs w:val="22"/>
        </w:rPr>
        <w:fldChar w:fldCharType="end"/>
      </w:r>
      <w:r w:rsidRPr="00450D02">
        <w:rPr>
          <w:rFonts w:ascii="Arial" w:hAnsi="Arial" w:cs="Arial"/>
          <w:sz w:val="22"/>
          <w:szCs w:val="22"/>
        </w:rPr>
        <w:t xml:space="preserve"> </w:t>
      </w:r>
      <w:r w:rsidR="005923CF" w:rsidRPr="00450D02">
        <w:rPr>
          <w:rFonts w:ascii="Arial" w:hAnsi="Arial" w:cs="Arial"/>
          <w:sz w:val="22"/>
          <w:szCs w:val="22"/>
        </w:rPr>
        <w:t xml:space="preserve">and </w:t>
      </w:r>
      <w:r w:rsidR="00C15B9E">
        <w:rPr>
          <w:rFonts w:ascii="Arial" w:hAnsi="Arial" w:cs="Arial"/>
          <w:sz w:val="22"/>
          <w:szCs w:val="22"/>
        </w:rPr>
        <w:t>exhibits strong</w:t>
      </w:r>
      <w:r w:rsidR="00E156D7">
        <w:rPr>
          <w:rFonts w:ascii="Arial" w:hAnsi="Arial" w:cs="Arial"/>
          <w:sz w:val="22"/>
          <w:szCs w:val="22"/>
        </w:rPr>
        <w:t xml:space="preserve"> negative</w:t>
      </w:r>
      <w:r w:rsidR="00C15B9E">
        <w:rPr>
          <w:rFonts w:ascii="Arial" w:hAnsi="Arial" w:cs="Arial"/>
          <w:sz w:val="22"/>
          <w:szCs w:val="22"/>
        </w:rPr>
        <w:t xml:space="preserve"> </w:t>
      </w:r>
      <w:r w:rsidR="002326A5">
        <w:rPr>
          <w:rFonts w:ascii="Arial" w:hAnsi="Arial" w:cs="Arial"/>
          <w:sz w:val="22"/>
          <w:szCs w:val="22"/>
        </w:rPr>
        <w:t>β</w:t>
      </w:r>
      <w:r w:rsidR="00C15B9E">
        <w:rPr>
          <w:rFonts w:ascii="Arial" w:hAnsi="Arial" w:cs="Arial"/>
          <w:sz w:val="22"/>
          <w:szCs w:val="22"/>
        </w:rPr>
        <w:t xml:space="preserve"> coefficients</w:t>
      </w:r>
      <w:r w:rsidR="00C15B9E" w:rsidRPr="00450D02">
        <w:rPr>
          <w:rFonts w:ascii="Arial" w:hAnsi="Arial" w:cs="Arial"/>
          <w:sz w:val="22"/>
          <w:szCs w:val="22"/>
        </w:rPr>
        <w:t xml:space="preserve"> </w:t>
      </w:r>
      <w:r w:rsidR="00C15B9E">
        <w:rPr>
          <w:rFonts w:ascii="Arial" w:hAnsi="Arial" w:cs="Arial"/>
          <w:sz w:val="22"/>
          <w:szCs w:val="22"/>
        </w:rPr>
        <w:t xml:space="preserve">for all </w:t>
      </w:r>
      <w:r w:rsidRPr="00450D02">
        <w:rPr>
          <w:rFonts w:ascii="Arial" w:hAnsi="Arial" w:cs="Arial"/>
          <w:sz w:val="22"/>
          <w:szCs w:val="22"/>
        </w:rPr>
        <w:t>brain mitochondrial features</w:t>
      </w:r>
      <w:r w:rsidR="005923CF" w:rsidRPr="00450D02">
        <w:rPr>
          <w:rFonts w:ascii="Arial" w:hAnsi="Arial" w:cs="Arial"/>
          <w:sz w:val="22"/>
          <w:szCs w:val="22"/>
        </w:rPr>
        <w:t xml:space="preserve"> in </w:t>
      </w:r>
      <w:r w:rsidR="00C15B9E">
        <w:rPr>
          <w:rFonts w:ascii="Arial" w:hAnsi="Arial" w:cs="Arial"/>
          <w:sz w:val="22"/>
          <w:szCs w:val="22"/>
        </w:rPr>
        <w:t>the MitoBrainMap</w:t>
      </w:r>
      <w:r w:rsidRPr="00450D02">
        <w:rPr>
          <w:rFonts w:ascii="Arial" w:hAnsi="Arial" w:cs="Arial"/>
          <w:sz w:val="22"/>
          <w:szCs w:val="22"/>
        </w:rPr>
        <w:t xml:space="preserve">. This relationship </w:t>
      </w:r>
      <w:r w:rsidR="00C15B9E">
        <w:rPr>
          <w:rFonts w:ascii="Arial" w:hAnsi="Arial" w:cs="Arial"/>
          <w:sz w:val="22"/>
          <w:szCs w:val="22"/>
        </w:rPr>
        <w:t xml:space="preserve">could </w:t>
      </w:r>
      <w:r w:rsidRPr="00450D02">
        <w:rPr>
          <w:rFonts w:ascii="Arial" w:hAnsi="Arial" w:cs="Arial"/>
          <w:sz w:val="22"/>
          <w:szCs w:val="22"/>
        </w:rPr>
        <w:t xml:space="preserve">suggest that mitochondria </w:t>
      </w:r>
      <w:r w:rsidR="0076425F">
        <w:rPr>
          <w:rFonts w:ascii="Arial" w:hAnsi="Arial" w:cs="Arial"/>
          <w:sz w:val="22"/>
          <w:szCs w:val="22"/>
        </w:rPr>
        <w:t xml:space="preserve">that </w:t>
      </w:r>
      <w:r w:rsidRPr="00450D02">
        <w:rPr>
          <w:rFonts w:ascii="Arial" w:hAnsi="Arial" w:cs="Arial"/>
          <w:sz w:val="22"/>
          <w:szCs w:val="22"/>
        </w:rPr>
        <w:t>are essential for myelin synthesis and maintenance</w:t>
      </w:r>
      <w:r w:rsidR="0076425F">
        <w:rPr>
          <w:rFonts w:ascii="Arial" w:hAnsi="Arial" w:cs="Arial"/>
          <w:sz w:val="22"/>
          <w:szCs w:val="22"/>
        </w:rPr>
        <w:t xml:space="preserve"> are less concentrated in myelin than in other brain tissues leading to this negative relationship.</w:t>
      </w:r>
      <w:r w:rsidRPr="00450D02">
        <w:rPr>
          <w:rFonts w:ascii="Arial" w:hAnsi="Arial" w:cs="Arial"/>
          <w:sz w:val="22"/>
          <w:szCs w:val="22"/>
        </w:rPr>
        <w:t xml:space="preserve"> </w:t>
      </w:r>
      <w:r w:rsidR="00111BA3" w:rsidRPr="00450D02">
        <w:rPr>
          <w:rFonts w:ascii="Arial" w:hAnsi="Arial" w:cs="Arial"/>
          <w:sz w:val="22"/>
          <w:szCs w:val="22"/>
        </w:rPr>
        <w:t xml:space="preserve"> </w:t>
      </w:r>
    </w:p>
    <w:p w14:paraId="0E52EEB0" w14:textId="35959D68" w:rsidR="003128B4" w:rsidRDefault="003128B4" w:rsidP="00450D02">
      <w:pPr>
        <w:spacing w:line="360" w:lineRule="auto"/>
        <w:ind w:firstLine="360"/>
        <w:jc w:val="both"/>
        <w:rPr>
          <w:rFonts w:ascii="Arial" w:hAnsi="Arial" w:cs="Arial"/>
          <w:sz w:val="22"/>
          <w:szCs w:val="22"/>
        </w:rPr>
      </w:pPr>
      <w:bookmarkStart w:id="0" w:name="_Hlk179798699"/>
      <w:r w:rsidRPr="00450D02">
        <w:rPr>
          <w:rFonts w:ascii="Arial" w:hAnsi="Arial" w:cs="Arial"/>
          <w:sz w:val="22"/>
          <w:szCs w:val="22"/>
        </w:rPr>
        <w:t xml:space="preserve">Regarding the poor and negative </w:t>
      </w:r>
      <w:r w:rsidR="002326A5">
        <w:rPr>
          <w:rFonts w:ascii="Arial" w:hAnsi="Arial" w:cs="Arial"/>
          <w:sz w:val="22"/>
          <w:szCs w:val="22"/>
        </w:rPr>
        <w:t>β</w:t>
      </w:r>
      <w:r w:rsidR="002326A5" w:rsidRPr="00450D02" w:rsidDel="002326A5">
        <w:rPr>
          <w:rFonts w:ascii="Arial" w:hAnsi="Arial" w:cs="Arial"/>
          <w:sz w:val="22"/>
          <w:szCs w:val="22"/>
        </w:rPr>
        <w:t xml:space="preserve"> </w:t>
      </w:r>
      <w:r w:rsidR="002326A5">
        <w:rPr>
          <w:rFonts w:ascii="Arial" w:hAnsi="Arial" w:cs="Arial"/>
          <w:sz w:val="22"/>
          <w:szCs w:val="22"/>
        </w:rPr>
        <w:t>coefficients</w:t>
      </w:r>
      <w:r w:rsidR="002326A5" w:rsidRPr="00450D02">
        <w:rPr>
          <w:rFonts w:ascii="Arial" w:hAnsi="Arial" w:cs="Arial"/>
          <w:sz w:val="22"/>
          <w:szCs w:val="22"/>
        </w:rPr>
        <w:t xml:space="preserve"> </w:t>
      </w:r>
      <w:r w:rsidRPr="00450D02">
        <w:rPr>
          <w:rFonts w:ascii="Arial" w:hAnsi="Arial" w:cs="Arial"/>
          <w:sz w:val="22"/>
          <w:szCs w:val="22"/>
        </w:rPr>
        <w:t xml:space="preserve">between entropy (a proxy for synapse function) and mitochondrial parameters, we hypothesize that entropy may reflect distinct aspects of synaptic dynamics that do not align straightforwardly with mitochondrial metrics, particularly those related to OxPhos capacity. It is possible that </w:t>
      </w:r>
      <w:r w:rsidR="0076425F">
        <w:rPr>
          <w:rFonts w:ascii="Arial" w:hAnsi="Arial" w:cs="Arial"/>
          <w:sz w:val="22"/>
          <w:szCs w:val="22"/>
        </w:rPr>
        <w:t xml:space="preserve">higher </w:t>
      </w:r>
      <w:r w:rsidRPr="00450D02">
        <w:rPr>
          <w:rFonts w:ascii="Arial" w:hAnsi="Arial" w:cs="Arial"/>
          <w:sz w:val="22"/>
          <w:szCs w:val="22"/>
        </w:rPr>
        <w:t xml:space="preserve">mitochondrial features </w:t>
      </w:r>
      <w:r w:rsidR="00FB48C9">
        <w:rPr>
          <w:rFonts w:ascii="Arial" w:hAnsi="Arial" w:cs="Arial"/>
          <w:sz w:val="22"/>
          <w:szCs w:val="22"/>
        </w:rPr>
        <w:t>are</w:t>
      </w:r>
      <w:r w:rsidR="0076425F">
        <w:rPr>
          <w:rFonts w:ascii="Arial" w:hAnsi="Arial" w:cs="Arial"/>
          <w:sz w:val="22"/>
          <w:szCs w:val="22"/>
        </w:rPr>
        <w:t xml:space="preserve"> related to lower</w:t>
      </w:r>
      <w:r w:rsidRPr="00450D02">
        <w:rPr>
          <w:rFonts w:ascii="Arial" w:hAnsi="Arial" w:cs="Arial"/>
          <w:sz w:val="22"/>
          <w:szCs w:val="22"/>
        </w:rPr>
        <w:t xml:space="preserve"> entropy due to the differential energetic demands of highly organized versus more variable synaptic networks. However, this observation warrants further investigation to clarify the relationship between mitochondrial </w:t>
      </w:r>
      <w:r w:rsidR="002326A5">
        <w:rPr>
          <w:rFonts w:ascii="Arial" w:hAnsi="Arial" w:cs="Arial"/>
          <w:sz w:val="22"/>
          <w:szCs w:val="22"/>
        </w:rPr>
        <w:t xml:space="preserve">biology </w:t>
      </w:r>
      <w:r w:rsidRPr="00450D02">
        <w:rPr>
          <w:rFonts w:ascii="Arial" w:hAnsi="Arial" w:cs="Arial"/>
          <w:sz w:val="22"/>
          <w:szCs w:val="22"/>
        </w:rPr>
        <w:t xml:space="preserve">and synaptic </w:t>
      </w:r>
      <w:r w:rsidR="002326A5">
        <w:rPr>
          <w:rFonts w:ascii="Arial" w:hAnsi="Arial" w:cs="Arial"/>
          <w:sz w:val="22"/>
          <w:szCs w:val="22"/>
        </w:rPr>
        <w:t>properties (density, types) assessed across multiple areas of the same brains</w:t>
      </w:r>
      <w:r w:rsidRPr="00450D02">
        <w:rPr>
          <w:rFonts w:ascii="Arial" w:hAnsi="Arial" w:cs="Arial"/>
          <w:sz w:val="22"/>
          <w:szCs w:val="22"/>
        </w:rPr>
        <w:t>.</w:t>
      </w:r>
      <w:bookmarkEnd w:id="0"/>
    </w:p>
    <w:p w14:paraId="0A31C8C4" w14:textId="6D536BA0" w:rsidR="002326A5" w:rsidRDefault="002326A5" w:rsidP="00450D02">
      <w:pPr>
        <w:spacing w:line="360" w:lineRule="auto"/>
        <w:ind w:firstLine="360"/>
        <w:jc w:val="both"/>
        <w:rPr>
          <w:rFonts w:ascii="Arial" w:hAnsi="Arial" w:cs="Arial"/>
          <w:sz w:val="22"/>
          <w:szCs w:val="22"/>
        </w:rPr>
      </w:pPr>
      <w:r w:rsidRPr="00450D02">
        <w:rPr>
          <w:rFonts w:ascii="Arial" w:hAnsi="Arial" w:cs="Arial"/>
          <w:sz w:val="22"/>
          <w:szCs w:val="22"/>
        </w:rPr>
        <w:t xml:space="preserve">The conjectures </w:t>
      </w:r>
      <w:r>
        <w:rPr>
          <w:rFonts w:ascii="Arial" w:hAnsi="Arial" w:cs="Arial"/>
          <w:sz w:val="22"/>
          <w:szCs w:val="22"/>
        </w:rPr>
        <w:t xml:space="preserve">above </w:t>
      </w:r>
      <w:r w:rsidRPr="00450D02">
        <w:rPr>
          <w:rFonts w:ascii="Arial" w:hAnsi="Arial" w:cs="Arial"/>
          <w:sz w:val="22"/>
          <w:szCs w:val="22"/>
        </w:rPr>
        <w:t xml:space="preserve">around the </w:t>
      </w:r>
      <w:r>
        <w:rPr>
          <w:rFonts w:ascii="Arial" w:hAnsi="Arial" w:cs="Arial"/>
          <w:sz w:val="22"/>
          <w:szCs w:val="22"/>
        </w:rPr>
        <w:t>β</w:t>
      </w:r>
      <w:r w:rsidRPr="00450D02" w:rsidDel="002326A5">
        <w:rPr>
          <w:rFonts w:ascii="Arial" w:hAnsi="Arial" w:cs="Arial"/>
          <w:sz w:val="22"/>
          <w:szCs w:val="22"/>
        </w:rPr>
        <w:t xml:space="preserve"> </w:t>
      </w:r>
      <w:r>
        <w:rPr>
          <w:rFonts w:ascii="Arial" w:hAnsi="Arial" w:cs="Arial"/>
          <w:sz w:val="22"/>
          <w:szCs w:val="22"/>
        </w:rPr>
        <w:t>coefficients</w:t>
      </w:r>
      <w:r w:rsidRPr="00450D02">
        <w:rPr>
          <w:rFonts w:ascii="Arial" w:hAnsi="Arial" w:cs="Arial"/>
          <w:sz w:val="22"/>
          <w:szCs w:val="22"/>
        </w:rPr>
        <w:t xml:space="preserve"> </w:t>
      </w:r>
      <w:r>
        <w:rPr>
          <w:rFonts w:ascii="Arial" w:hAnsi="Arial" w:cs="Arial"/>
          <w:sz w:val="22"/>
          <w:szCs w:val="22"/>
        </w:rPr>
        <w:t xml:space="preserve">for different </w:t>
      </w:r>
      <w:r w:rsidRPr="00450D02">
        <w:rPr>
          <w:rFonts w:ascii="Arial" w:hAnsi="Arial" w:cs="Arial"/>
          <w:sz w:val="22"/>
          <w:szCs w:val="22"/>
        </w:rPr>
        <w:t xml:space="preserve">mitochondrial enzymatic and molecular features </w:t>
      </w:r>
      <w:r>
        <w:rPr>
          <w:rFonts w:ascii="Arial" w:hAnsi="Arial" w:cs="Arial"/>
          <w:sz w:val="22"/>
          <w:szCs w:val="22"/>
        </w:rPr>
        <w:t xml:space="preserve">in the </w:t>
      </w:r>
      <w:r w:rsidRPr="00450D02">
        <w:rPr>
          <w:rFonts w:ascii="Arial" w:hAnsi="Arial" w:cs="Arial"/>
          <w:sz w:val="22"/>
          <w:szCs w:val="22"/>
        </w:rPr>
        <w:t>MitoBrainMap</w:t>
      </w:r>
      <w:r>
        <w:rPr>
          <w:rFonts w:ascii="Arial" w:hAnsi="Arial" w:cs="Arial"/>
          <w:sz w:val="22"/>
          <w:szCs w:val="22"/>
        </w:rPr>
        <w:t xml:space="preserve"> </w:t>
      </w:r>
      <w:r w:rsidR="00E156D7">
        <w:rPr>
          <w:rFonts w:ascii="Arial" w:hAnsi="Arial" w:cs="Arial"/>
          <w:sz w:val="22"/>
          <w:szCs w:val="22"/>
        </w:rPr>
        <w:t>linear</w:t>
      </w:r>
      <w:r>
        <w:rPr>
          <w:rFonts w:ascii="Arial" w:hAnsi="Arial" w:cs="Arial"/>
          <w:sz w:val="22"/>
          <w:szCs w:val="22"/>
        </w:rPr>
        <w:t xml:space="preserve"> regression model using </w:t>
      </w:r>
      <w:r w:rsidRPr="00450D02">
        <w:rPr>
          <w:rFonts w:ascii="Arial" w:hAnsi="Arial" w:cs="Arial"/>
          <w:sz w:val="22"/>
          <w:szCs w:val="22"/>
        </w:rPr>
        <w:t>MR</w:t>
      </w:r>
      <w:r w:rsidR="00E156D7">
        <w:rPr>
          <w:rFonts w:ascii="Arial" w:hAnsi="Arial" w:cs="Arial"/>
          <w:sz w:val="22"/>
          <w:szCs w:val="22"/>
        </w:rPr>
        <w:t>I</w:t>
      </w:r>
      <w:r w:rsidRPr="00450D02">
        <w:rPr>
          <w:rFonts w:ascii="Arial" w:hAnsi="Arial" w:cs="Arial"/>
          <w:sz w:val="22"/>
          <w:szCs w:val="22"/>
        </w:rPr>
        <w:t>-based features</w:t>
      </w:r>
      <w:r>
        <w:rPr>
          <w:rFonts w:ascii="Arial" w:hAnsi="Arial" w:cs="Arial"/>
          <w:sz w:val="22"/>
          <w:szCs w:val="22"/>
        </w:rPr>
        <w:t xml:space="preserve"> as predictors</w:t>
      </w:r>
      <w:r w:rsidRPr="00450D02">
        <w:rPr>
          <w:rFonts w:ascii="Arial" w:hAnsi="Arial" w:cs="Arial"/>
          <w:sz w:val="22"/>
          <w:szCs w:val="22"/>
        </w:rPr>
        <w:t xml:space="preserve"> require empirical assessment and validation. </w:t>
      </w:r>
      <w:r>
        <w:rPr>
          <w:rFonts w:ascii="Arial" w:hAnsi="Arial" w:cs="Arial"/>
          <w:sz w:val="22"/>
          <w:szCs w:val="22"/>
        </w:rPr>
        <w:t>Perhaps e</w:t>
      </w:r>
      <w:r w:rsidRPr="00450D02">
        <w:rPr>
          <w:rFonts w:ascii="Arial" w:hAnsi="Arial" w:cs="Arial"/>
          <w:sz w:val="22"/>
          <w:szCs w:val="22"/>
        </w:rPr>
        <w:t xml:space="preserve">xamining these ideas </w:t>
      </w:r>
      <w:r>
        <w:rPr>
          <w:rFonts w:ascii="Arial" w:hAnsi="Arial" w:cs="Arial"/>
          <w:sz w:val="22"/>
          <w:szCs w:val="22"/>
        </w:rPr>
        <w:t>may</w:t>
      </w:r>
      <w:r w:rsidRPr="00450D02">
        <w:rPr>
          <w:rFonts w:ascii="Arial" w:hAnsi="Arial" w:cs="Arial"/>
          <w:sz w:val="22"/>
          <w:szCs w:val="22"/>
        </w:rPr>
        <w:t xml:space="preserve"> yield </w:t>
      </w:r>
      <w:r>
        <w:rPr>
          <w:rFonts w:ascii="Arial" w:hAnsi="Arial" w:cs="Arial"/>
          <w:sz w:val="22"/>
          <w:szCs w:val="22"/>
        </w:rPr>
        <w:t>meaningful</w:t>
      </w:r>
      <w:r w:rsidRPr="00450D02">
        <w:rPr>
          <w:rFonts w:ascii="Arial" w:hAnsi="Arial" w:cs="Arial"/>
          <w:sz w:val="22"/>
          <w:szCs w:val="22"/>
        </w:rPr>
        <w:t xml:space="preserve"> discoveries </w:t>
      </w:r>
      <w:r w:rsidR="00E156D7">
        <w:rPr>
          <w:rFonts w:ascii="Arial" w:hAnsi="Arial" w:cs="Arial"/>
          <w:sz w:val="22"/>
          <w:szCs w:val="22"/>
        </w:rPr>
        <w:t>on</w:t>
      </w:r>
      <w:r w:rsidRPr="00450D02">
        <w:rPr>
          <w:rFonts w:ascii="Arial" w:hAnsi="Arial" w:cs="Arial"/>
          <w:sz w:val="22"/>
          <w:szCs w:val="22"/>
        </w:rPr>
        <w:t xml:space="preserve"> the basic biology of brain and mitochondria, and/or the nature of the biology captured by standard MRI</w:t>
      </w:r>
      <w:r w:rsidR="00E156D7">
        <w:rPr>
          <w:rFonts w:ascii="Arial" w:hAnsi="Arial" w:cs="Arial"/>
          <w:sz w:val="22"/>
          <w:szCs w:val="22"/>
        </w:rPr>
        <w:t xml:space="preserve"> imaging</w:t>
      </w:r>
      <w:r w:rsidRPr="00450D02">
        <w:rPr>
          <w:rFonts w:ascii="Arial" w:hAnsi="Arial" w:cs="Arial"/>
          <w:sz w:val="22"/>
          <w:szCs w:val="22"/>
        </w:rPr>
        <w:t>.</w:t>
      </w:r>
    </w:p>
    <w:p w14:paraId="79EE7AF2" w14:textId="77777777" w:rsidR="00245039" w:rsidRPr="00245039" w:rsidRDefault="00245039" w:rsidP="00245039">
      <w:pPr>
        <w:spacing w:line="360" w:lineRule="auto"/>
        <w:ind w:left="270" w:hanging="270"/>
        <w:jc w:val="both"/>
        <w:rPr>
          <w:rFonts w:ascii="Arial" w:hAnsi="Arial" w:cs="Arial"/>
          <w:sz w:val="18"/>
          <w:szCs w:val="18"/>
        </w:rPr>
      </w:pPr>
    </w:p>
    <w:p w14:paraId="638D85A6" w14:textId="77777777" w:rsidR="00245039" w:rsidRPr="00245039" w:rsidRDefault="00245039" w:rsidP="00245039">
      <w:pPr>
        <w:pStyle w:val="Bibliography"/>
        <w:ind w:left="270" w:hanging="270"/>
        <w:rPr>
          <w:rFonts w:ascii="Arial" w:hAnsi="Arial" w:cs="Arial"/>
          <w:sz w:val="18"/>
          <w:szCs w:val="18"/>
        </w:rPr>
      </w:pPr>
      <w:r w:rsidRPr="00245039">
        <w:rPr>
          <w:rFonts w:ascii="Arial" w:hAnsi="Arial" w:cs="Arial"/>
          <w:sz w:val="18"/>
          <w:szCs w:val="18"/>
        </w:rPr>
        <w:fldChar w:fldCharType="begin"/>
      </w:r>
      <w:r w:rsidRPr="00245039">
        <w:rPr>
          <w:rFonts w:ascii="Arial" w:hAnsi="Arial" w:cs="Arial"/>
          <w:sz w:val="18"/>
          <w:szCs w:val="18"/>
        </w:rPr>
        <w:instrText xml:space="preserve"> ADDIN ZOTERO_BIBL {"uncited":[],"omitted":[],"custom":[]} CSL_BIBLIOGRAPHY </w:instrText>
      </w:r>
      <w:r w:rsidRPr="00245039">
        <w:rPr>
          <w:rFonts w:ascii="Arial" w:hAnsi="Arial" w:cs="Arial"/>
          <w:sz w:val="18"/>
          <w:szCs w:val="18"/>
        </w:rPr>
        <w:fldChar w:fldCharType="separate"/>
      </w:r>
      <w:r w:rsidRPr="00245039">
        <w:rPr>
          <w:rFonts w:ascii="Arial" w:hAnsi="Arial" w:cs="Arial"/>
          <w:sz w:val="18"/>
          <w:szCs w:val="18"/>
        </w:rPr>
        <w:t>1.</w:t>
      </w:r>
      <w:r w:rsidRPr="00245039">
        <w:rPr>
          <w:rFonts w:ascii="Arial" w:hAnsi="Arial" w:cs="Arial"/>
          <w:sz w:val="18"/>
          <w:szCs w:val="18"/>
        </w:rPr>
        <w:tab/>
      </w:r>
      <w:r w:rsidRPr="00245039">
        <w:rPr>
          <w:rFonts w:ascii="Arial" w:hAnsi="Arial" w:cs="Arial"/>
          <w:i/>
          <w:iCs/>
          <w:sz w:val="18"/>
          <w:szCs w:val="18"/>
        </w:rPr>
        <w:t>Diffusion MRI: From Quantitative Measurement to in-Vivo Neuroanatomy</w:t>
      </w:r>
      <w:r w:rsidRPr="00245039">
        <w:rPr>
          <w:rFonts w:ascii="Arial" w:hAnsi="Arial" w:cs="Arial"/>
          <w:sz w:val="18"/>
          <w:szCs w:val="18"/>
        </w:rPr>
        <w:t>. (Academic Press, Amsterdam Boston, 2009).</w:t>
      </w:r>
    </w:p>
    <w:p w14:paraId="474D2212" w14:textId="77777777" w:rsidR="00245039" w:rsidRPr="00245039" w:rsidRDefault="00245039" w:rsidP="00245039">
      <w:pPr>
        <w:pStyle w:val="Bibliography"/>
        <w:ind w:left="270" w:hanging="270"/>
        <w:rPr>
          <w:rFonts w:ascii="Arial" w:hAnsi="Arial" w:cs="Arial"/>
          <w:sz w:val="18"/>
          <w:szCs w:val="18"/>
        </w:rPr>
      </w:pPr>
      <w:r w:rsidRPr="00245039">
        <w:rPr>
          <w:rFonts w:ascii="Arial" w:hAnsi="Arial" w:cs="Arial"/>
          <w:sz w:val="18"/>
          <w:szCs w:val="18"/>
        </w:rPr>
        <w:t>2.</w:t>
      </w:r>
      <w:r w:rsidRPr="00245039">
        <w:rPr>
          <w:rFonts w:ascii="Arial" w:hAnsi="Arial" w:cs="Arial"/>
          <w:sz w:val="18"/>
          <w:szCs w:val="18"/>
        </w:rPr>
        <w:tab/>
        <w:t xml:space="preserve">Harris, J. J. &amp; Attwell, D. The Energetics of CNS White Matter. </w:t>
      </w:r>
      <w:r w:rsidRPr="00245039">
        <w:rPr>
          <w:rFonts w:ascii="Arial" w:hAnsi="Arial" w:cs="Arial"/>
          <w:i/>
          <w:iCs/>
          <w:sz w:val="18"/>
          <w:szCs w:val="18"/>
        </w:rPr>
        <w:t>The Journal of Neuroscience</w:t>
      </w:r>
      <w:r w:rsidRPr="00245039">
        <w:rPr>
          <w:rFonts w:ascii="Arial" w:hAnsi="Arial" w:cs="Arial"/>
          <w:sz w:val="18"/>
          <w:szCs w:val="18"/>
        </w:rPr>
        <w:t xml:space="preserve"> </w:t>
      </w:r>
      <w:r w:rsidRPr="00245039">
        <w:rPr>
          <w:rFonts w:ascii="Arial" w:hAnsi="Arial" w:cs="Arial"/>
          <w:b/>
          <w:bCs/>
          <w:sz w:val="18"/>
          <w:szCs w:val="18"/>
        </w:rPr>
        <w:t>32</w:t>
      </w:r>
      <w:r w:rsidRPr="00245039">
        <w:rPr>
          <w:rFonts w:ascii="Arial" w:hAnsi="Arial" w:cs="Arial"/>
          <w:sz w:val="18"/>
          <w:szCs w:val="18"/>
        </w:rPr>
        <w:t>, 356 (2012).</w:t>
      </w:r>
    </w:p>
    <w:p w14:paraId="7520F489" w14:textId="77777777" w:rsidR="00245039" w:rsidRPr="00245039" w:rsidRDefault="00245039" w:rsidP="00245039">
      <w:pPr>
        <w:pStyle w:val="Bibliography"/>
        <w:ind w:left="270" w:hanging="270"/>
        <w:rPr>
          <w:rFonts w:ascii="Arial" w:hAnsi="Arial" w:cs="Arial"/>
          <w:sz w:val="18"/>
          <w:szCs w:val="18"/>
        </w:rPr>
      </w:pPr>
      <w:r w:rsidRPr="00245039">
        <w:rPr>
          <w:rFonts w:ascii="Arial" w:hAnsi="Arial" w:cs="Arial"/>
          <w:sz w:val="18"/>
          <w:szCs w:val="18"/>
        </w:rPr>
        <w:t>3.</w:t>
      </w:r>
      <w:r w:rsidRPr="00245039">
        <w:rPr>
          <w:rFonts w:ascii="Arial" w:hAnsi="Arial" w:cs="Arial"/>
          <w:sz w:val="18"/>
          <w:szCs w:val="18"/>
        </w:rPr>
        <w:tab/>
        <w:t xml:space="preserve">Kandel, E. R. </w:t>
      </w:r>
      <w:r w:rsidRPr="00245039">
        <w:rPr>
          <w:rFonts w:ascii="Arial" w:hAnsi="Arial" w:cs="Arial"/>
          <w:i/>
          <w:iCs/>
          <w:sz w:val="18"/>
          <w:szCs w:val="18"/>
        </w:rPr>
        <w:t>Principles of Neural Science, Fifth Edition</w:t>
      </w:r>
      <w:r w:rsidRPr="00245039">
        <w:rPr>
          <w:rFonts w:ascii="Arial" w:hAnsi="Arial" w:cs="Arial"/>
          <w:sz w:val="18"/>
          <w:szCs w:val="18"/>
        </w:rPr>
        <w:t>. (McGraw Hill Professional, 2013).</w:t>
      </w:r>
    </w:p>
    <w:p w14:paraId="0C523079" w14:textId="77777777" w:rsidR="00245039" w:rsidRPr="00245039" w:rsidRDefault="00245039" w:rsidP="00245039">
      <w:pPr>
        <w:pStyle w:val="Bibliography"/>
        <w:ind w:left="270" w:hanging="270"/>
        <w:rPr>
          <w:rFonts w:ascii="Arial" w:hAnsi="Arial" w:cs="Arial"/>
          <w:sz w:val="18"/>
          <w:szCs w:val="18"/>
        </w:rPr>
      </w:pPr>
      <w:r w:rsidRPr="00245039">
        <w:rPr>
          <w:rFonts w:ascii="Arial" w:hAnsi="Arial" w:cs="Arial"/>
          <w:sz w:val="18"/>
          <w:szCs w:val="18"/>
        </w:rPr>
        <w:t>4.</w:t>
      </w:r>
      <w:r w:rsidRPr="00245039">
        <w:rPr>
          <w:rFonts w:ascii="Arial" w:hAnsi="Arial" w:cs="Arial"/>
          <w:sz w:val="18"/>
          <w:szCs w:val="18"/>
        </w:rPr>
        <w:tab/>
        <w:t xml:space="preserve">Perge, J. A., Koch, K., Miller, R., Sterling, P. &amp; Balasubramanian, V. How the Optic Nerve Allocates Space, Energy Capacity, and Information. </w:t>
      </w:r>
      <w:r w:rsidRPr="00245039">
        <w:rPr>
          <w:rFonts w:ascii="Arial" w:hAnsi="Arial" w:cs="Arial"/>
          <w:i/>
          <w:iCs/>
          <w:sz w:val="18"/>
          <w:szCs w:val="18"/>
        </w:rPr>
        <w:t>J. Neurosci.</w:t>
      </w:r>
      <w:r w:rsidRPr="00245039">
        <w:rPr>
          <w:rFonts w:ascii="Arial" w:hAnsi="Arial" w:cs="Arial"/>
          <w:sz w:val="18"/>
          <w:szCs w:val="18"/>
        </w:rPr>
        <w:t xml:space="preserve"> </w:t>
      </w:r>
      <w:r w:rsidRPr="00245039">
        <w:rPr>
          <w:rFonts w:ascii="Arial" w:hAnsi="Arial" w:cs="Arial"/>
          <w:b/>
          <w:bCs/>
          <w:sz w:val="18"/>
          <w:szCs w:val="18"/>
        </w:rPr>
        <w:t>29</w:t>
      </w:r>
      <w:r w:rsidRPr="00245039">
        <w:rPr>
          <w:rFonts w:ascii="Arial" w:hAnsi="Arial" w:cs="Arial"/>
          <w:sz w:val="18"/>
          <w:szCs w:val="18"/>
        </w:rPr>
        <w:t>, 7917–7928 (2009).</w:t>
      </w:r>
    </w:p>
    <w:p w14:paraId="481A3972" w14:textId="77777777" w:rsidR="00245039" w:rsidRPr="00245039" w:rsidRDefault="00245039" w:rsidP="00245039">
      <w:pPr>
        <w:pStyle w:val="Bibliography"/>
        <w:ind w:left="270" w:hanging="270"/>
        <w:rPr>
          <w:rFonts w:ascii="Arial" w:hAnsi="Arial" w:cs="Arial"/>
          <w:sz w:val="18"/>
          <w:szCs w:val="18"/>
        </w:rPr>
      </w:pPr>
      <w:r w:rsidRPr="00245039">
        <w:rPr>
          <w:rFonts w:ascii="Arial" w:hAnsi="Arial" w:cs="Arial"/>
          <w:sz w:val="18"/>
          <w:szCs w:val="18"/>
        </w:rPr>
        <w:t>5.</w:t>
      </w:r>
      <w:r w:rsidRPr="00245039">
        <w:rPr>
          <w:rFonts w:ascii="Arial" w:hAnsi="Arial" w:cs="Arial"/>
          <w:sz w:val="18"/>
          <w:szCs w:val="18"/>
        </w:rPr>
        <w:tab/>
        <w:t xml:space="preserve">Ohno, N. </w:t>
      </w:r>
      <w:r w:rsidRPr="00245039">
        <w:rPr>
          <w:rFonts w:ascii="Arial" w:hAnsi="Arial" w:cs="Arial"/>
          <w:i/>
          <w:iCs/>
          <w:sz w:val="18"/>
          <w:szCs w:val="18"/>
        </w:rPr>
        <w:t>et al.</w:t>
      </w:r>
      <w:r w:rsidRPr="00245039">
        <w:rPr>
          <w:rFonts w:ascii="Arial" w:hAnsi="Arial" w:cs="Arial"/>
          <w:sz w:val="18"/>
          <w:szCs w:val="18"/>
        </w:rPr>
        <w:t xml:space="preserve"> Myelination and Axonal Electrical Activity Modulate the Distribution and Motility of Mitochondria at CNS Nodes of Ranvier. </w:t>
      </w:r>
      <w:r w:rsidRPr="00245039">
        <w:rPr>
          <w:rFonts w:ascii="Arial" w:hAnsi="Arial" w:cs="Arial"/>
          <w:i/>
          <w:iCs/>
          <w:sz w:val="18"/>
          <w:szCs w:val="18"/>
        </w:rPr>
        <w:t>J Neurosci</w:t>
      </w:r>
      <w:r w:rsidRPr="00245039">
        <w:rPr>
          <w:rFonts w:ascii="Arial" w:hAnsi="Arial" w:cs="Arial"/>
          <w:sz w:val="18"/>
          <w:szCs w:val="18"/>
        </w:rPr>
        <w:t xml:space="preserve"> </w:t>
      </w:r>
      <w:r w:rsidRPr="00245039">
        <w:rPr>
          <w:rFonts w:ascii="Arial" w:hAnsi="Arial" w:cs="Arial"/>
          <w:b/>
          <w:bCs/>
          <w:sz w:val="18"/>
          <w:szCs w:val="18"/>
        </w:rPr>
        <w:t>31</w:t>
      </w:r>
      <w:r w:rsidRPr="00245039">
        <w:rPr>
          <w:rFonts w:ascii="Arial" w:hAnsi="Arial" w:cs="Arial"/>
          <w:sz w:val="18"/>
          <w:szCs w:val="18"/>
        </w:rPr>
        <w:t>, 7249–7258 (2011).</w:t>
      </w:r>
    </w:p>
    <w:p w14:paraId="311A99B0" w14:textId="77777777" w:rsidR="00245039" w:rsidRPr="00245039" w:rsidRDefault="00245039" w:rsidP="00245039">
      <w:pPr>
        <w:pStyle w:val="Bibliography"/>
        <w:ind w:left="270" w:hanging="270"/>
        <w:rPr>
          <w:rFonts w:ascii="Arial" w:hAnsi="Arial" w:cs="Arial"/>
          <w:sz w:val="18"/>
          <w:szCs w:val="18"/>
        </w:rPr>
      </w:pPr>
      <w:r w:rsidRPr="00245039">
        <w:rPr>
          <w:rFonts w:ascii="Arial" w:hAnsi="Arial" w:cs="Arial"/>
          <w:sz w:val="18"/>
          <w:szCs w:val="18"/>
        </w:rPr>
        <w:t>6.</w:t>
      </w:r>
      <w:r w:rsidRPr="00245039">
        <w:rPr>
          <w:rFonts w:ascii="Arial" w:hAnsi="Arial" w:cs="Arial"/>
          <w:sz w:val="18"/>
          <w:szCs w:val="18"/>
        </w:rPr>
        <w:tab/>
        <w:t xml:space="preserve">Faitg, J. </w:t>
      </w:r>
      <w:r w:rsidRPr="00245039">
        <w:rPr>
          <w:rFonts w:ascii="Arial" w:hAnsi="Arial" w:cs="Arial"/>
          <w:i/>
          <w:iCs/>
          <w:sz w:val="18"/>
          <w:szCs w:val="18"/>
        </w:rPr>
        <w:t>et al.</w:t>
      </w:r>
      <w:r w:rsidRPr="00245039">
        <w:rPr>
          <w:rFonts w:ascii="Arial" w:hAnsi="Arial" w:cs="Arial"/>
          <w:sz w:val="18"/>
          <w:szCs w:val="18"/>
        </w:rPr>
        <w:t xml:space="preserve"> 3D neuronal mitochondrial morphology in axons, dendrites, and somata of the aging mouse hippocampus. </w:t>
      </w:r>
      <w:r w:rsidRPr="00245039">
        <w:rPr>
          <w:rFonts w:ascii="Arial" w:hAnsi="Arial" w:cs="Arial"/>
          <w:i/>
          <w:iCs/>
          <w:sz w:val="18"/>
          <w:szCs w:val="18"/>
        </w:rPr>
        <w:t>Cell Rep</w:t>
      </w:r>
      <w:r w:rsidRPr="00245039">
        <w:rPr>
          <w:rFonts w:ascii="Arial" w:hAnsi="Arial" w:cs="Arial"/>
          <w:sz w:val="18"/>
          <w:szCs w:val="18"/>
        </w:rPr>
        <w:t xml:space="preserve"> </w:t>
      </w:r>
      <w:r w:rsidRPr="00245039">
        <w:rPr>
          <w:rFonts w:ascii="Arial" w:hAnsi="Arial" w:cs="Arial"/>
          <w:b/>
          <w:bCs/>
          <w:sz w:val="18"/>
          <w:szCs w:val="18"/>
        </w:rPr>
        <w:t>36</w:t>
      </w:r>
      <w:r w:rsidRPr="00245039">
        <w:rPr>
          <w:rFonts w:ascii="Arial" w:hAnsi="Arial" w:cs="Arial"/>
          <w:sz w:val="18"/>
          <w:szCs w:val="18"/>
        </w:rPr>
        <w:t>, 109509 (2021).</w:t>
      </w:r>
    </w:p>
    <w:p w14:paraId="6486D585" w14:textId="77777777" w:rsidR="00245039" w:rsidRPr="00245039" w:rsidRDefault="00245039" w:rsidP="00245039">
      <w:pPr>
        <w:pStyle w:val="Bibliography"/>
        <w:ind w:left="270" w:hanging="270"/>
        <w:rPr>
          <w:rFonts w:ascii="Arial" w:hAnsi="Arial" w:cs="Arial"/>
          <w:sz w:val="18"/>
          <w:szCs w:val="18"/>
        </w:rPr>
      </w:pPr>
      <w:r w:rsidRPr="00245039">
        <w:rPr>
          <w:rFonts w:ascii="Arial" w:hAnsi="Arial" w:cs="Arial"/>
          <w:sz w:val="18"/>
          <w:szCs w:val="18"/>
        </w:rPr>
        <w:t>7.</w:t>
      </w:r>
      <w:r w:rsidRPr="00245039">
        <w:rPr>
          <w:rFonts w:ascii="Arial" w:hAnsi="Arial" w:cs="Arial"/>
          <w:sz w:val="18"/>
          <w:szCs w:val="18"/>
        </w:rPr>
        <w:tab/>
        <w:t xml:space="preserve">Ball, J. M., Chen, S. &amp; Li, W. Mitochondria in cone photoreceptors act as microlenses to enhance photon delivery and confer directional sensitivity to light. </w:t>
      </w:r>
      <w:r w:rsidRPr="00245039">
        <w:rPr>
          <w:rFonts w:ascii="Arial" w:hAnsi="Arial" w:cs="Arial"/>
          <w:i/>
          <w:iCs/>
          <w:sz w:val="18"/>
          <w:szCs w:val="18"/>
        </w:rPr>
        <w:t>Sci Adv</w:t>
      </w:r>
      <w:r w:rsidRPr="00245039">
        <w:rPr>
          <w:rFonts w:ascii="Arial" w:hAnsi="Arial" w:cs="Arial"/>
          <w:sz w:val="18"/>
          <w:szCs w:val="18"/>
        </w:rPr>
        <w:t xml:space="preserve"> </w:t>
      </w:r>
      <w:r w:rsidRPr="00245039">
        <w:rPr>
          <w:rFonts w:ascii="Arial" w:hAnsi="Arial" w:cs="Arial"/>
          <w:b/>
          <w:bCs/>
          <w:sz w:val="18"/>
          <w:szCs w:val="18"/>
        </w:rPr>
        <w:t>8</w:t>
      </w:r>
      <w:r w:rsidRPr="00245039">
        <w:rPr>
          <w:rFonts w:ascii="Arial" w:hAnsi="Arial" w:cs="Arial"/>
          <w:sz w:val="18"/>
          <w:szCs w:val="18"/>
        </w:rPr>
        <w:t>, eabn2070.</w:t>
      </w:r>
    </w:p>
    <w:p w14:paraId="23BA2E54" w14:textId="77777777" w:rsidR="00245039" w:rsidRPr="00245039" w:rsidRDefault="00245039" w:rsidP="00245039">
      <w:pPr>
        <w:pStyle w:val="Bibliography"/>
        <w:ind w:left="270" w:hanging="270"/>
        <w:rPr>
          <w:rFonts w:ascii="Arial" w:hAnsi="Arial" w:cs="Arial"/>
          <w:sz w:val="18"/>
          <w:szCs w:val="18"/>
        </w:rPr>
      </w:pPr>
      <w:r w:rsidRPr="00245039">
        <w:rPr>
          <w:rFonts w:ascii="Arial" w:hAnsi="Arial" w:cs="Arial"/>
          <w:sz w:val="18"/>
          <w:szCs w:val="18"/>
        </w:rPr>
        <w:t>8.</w:t>
      </w:r>
      <w:r w:rsidRPr="00245039">
        <w:rPr>
          <w:rFonts w:ascii="Arial" w:hAnsi="Arial" w:cs="Arial"/>
          <w:sz w:val="18"/>
          <w:szCs w:val="18"/>
        </w:rPr>
        <w:tab/>
        <w:t xml:space="preserve">Picard, M. </w:t>
      </w:r>
      <w:r w:rsidRPr="00245039">
        <w:rPr>
          <w:rFonts w:ascii="Arial" w:hAnsi="Arial" w:cs="Arial"/>
          <w:i/>
          <w:iCs/>
          <w:sz w:val="18"/>
          <w:szCs w:val="18"/>
        </w:rPr>
        <w:t>et al.</w:t>
      </w:r>
      <w:r w:rsidRPr="00245039">
        <w:rPr>
          <w:rFonts w:ascii="Arial" w:hAnsi="Arial" w:cs="Arial"/>
          <w:sz w:val="18"/>
          <w:szCs w:val="18"/>
        </w:rPr>
        <w:t xml:space="preserve"> Trans-mitochondrial coordination of cristae at regulated membrane junctions. </w:t>
      </w:r>
      <w:r w:rsidRPr="00245039">
        <w:rPr>
          <w:rFonts w:ascii="Arial" w:hAnsi="Arial" w:cs="Arial"/>
          <w:i/>
          <w:iCs/>
          <w:sz w:val="18"/>
          <w:szCs w:val="18"/>
        </w:rPr>
        <w:t>Nat Commun</w:t>
      </w:r>
      <w:r w:rsidRPr="00245039">
        <w:rPr>
          <w:rFonts w:ascii="Arial" w:hAnsi="Arial" w:cs="Arial"/>
          <w:sz w:val="18"/>
          <w:szCs w:val="18"/>
        </w:rPr>
        <w:t xml:space="preserve"> </w:t>
      </w:r>
      <w:r w:rsidRPr="00245039">
        <w:rPr>
          <w:rFonts w:ascii="Arial" w:hAnsi="Arial" w:cs="Arial"/>
          <w:b/>
          <w:bCs/>
          <w:sz w:val="18"/>
          <w:szCs w:val="18"/>
        </w:rPr>
        <w:t>6</w:t>
      </w:r>
      <w:r w:rsidRPr="00245039">
        <w:rPr>
          <w:rFonts w:ascii="Arial" w:hAnsi="Arial" w:cs="Arial"/>
          <w:sz w:val="18"/>
          <w:szCs w:val="18"/>
        </w:rPr>
        <w:t>, 6259 (2015).</w:t>
      </w:r>
    </w:p>
    <w:p w14:paraId="38900C48" w14:textId="77777777" w:rsidR="00245039" w:rsidRPr="00245039" w:rsidRDefault="00245039" w:rsidP="00245039">
      <w:pPr>
        <w:pStyle w:val="Bibliography"/>
        <w:ind w:left="270" w:hanging="270"/>
        <w:rPr>
          <w:rFonts w:ascii="Arial" w:hAnsi="Arial" w:cs="Arial"/>
          <w:sz w:val="18"/>
          <w:szCs w:val="18"/>
        </w:rPr>
      </w:pPr>
      <w:r w:rsidRPr="00245039">
        <w:rPr>
          <w:rFonts w:ascii="Arial" w:hAnsi="Arial" w:cs="Arial"/>
          <w:sz w:val="18"/>
          <w:szCs w:val="18"/>
        </w:rPr>
        <w:t>9.</w:t>
      </w:r>
      <w:r w:rsidRPr="00245039">
        <w:rPr>
          <w:rFonts w:ascii="Arial" w:hAnsi="Arial" w:cs="Arial"/>
          <w:sz w:val="18"/>
          <w:szCs w:val="18"/>
        </w:rPr>
        <w:tab/>
        <w:t xml:space="preserve">La Cunza, N. </w:t>
      </w:r>
      <w:r w:rsidRPr="00245039">
        <w:rPr>
          <w:rFonts w:ascii="Arial" w:hAnsi="Arial" w:cs="Arial"/>
          <w:i/>
          <w:iCs/>
          <w:sz w:val="18"/>
          <w:szCs w:val="18"/>
        </w:rPr>
        <w:t>et al.</w:t>
      </w:r>
      <w:r w:rsidRPr="00245039">
        <w:rPr>
          <w:rFonts w:ascii="Arial" w:hAnsi="Arial" w:cs="Arial"/>
          <w:sz w:val="18"/>
          <w:szCs w:val="18"/>
        </w:rPr>
        <w:t xml:space="preserve"> Mitochondria-dependent phase separation of disease-relevant proteins drives pathological features of age-related macular degeneration. </w:t>
      </w:r>
      <w:r w:rsidRPr="00245039">
        <w:rPr>
          <w:rFonts w:ascii="Arial" w:hAnsi="Arial" w:cs="Arial"/>
          <w:i/>
          <w:iCs/>
          <w:sz w:val="18"/>
          <w:szCs w:val="18"/>
        </w:rPr>
        <w:t>JCI Insight</w:t>
      </w:r>
      <w:r w:rsidRPr="00245039">
        <w:rPr>
          <w:rFonts w:ascii="Arial" w:hAnsi="Arial" w:cs="Arial"/>
          <w:sz w:val="18"/>
          <w:szCs w:val="18"/>
        </w:rPr>
        <w:t xml:space="preserve"> </w:t>
      </w:r>
      <w:r w:rsidRPr="00245039">
        <w:rPr>
          <w:rFonts w:ascii="Arial" w:hAnsi="Arial" w:cs="Arial"/>
          <w:b/>
          <w:bCs/>
          <w:sz w:val="18"/>
          <w:szCs w:val="18"/>
        </w:rPr>
        <w:t>6</w:t>
      </w:r>
      <w:r w:rsidRPr="00245039">
        <w:rPr>
          <w:rFonts w:ascii="Arial" w:hAnsi="Arial" w:cs="Arial"/>
          <w:sz w:val="18"/>
          <w:szCs w:val="18"/>
        </w:rPr>
        <w:t>, e142254.</w:t>
      </w:r>
    </w:p>
    <w:p w14:paraId="0933EFBD" w14:textId="77777777" w:rsidR="00245039" w:rsidRPr="00245039" w:rsidRDefault="00245039" w:rsidP="00245039">
      <w:pPr>
        <w:pStyle w:val="Bibliography"/>
        <w:ind w:left="270" w:hanging="270"/>
        <w:rPr>
          <w:rFonts w:ascii="Arial" w:hAnsi="Arial" w:cs="Arial"/>
          <w:sz w:val="18"/>
          <w:szCs w:val="18"/>
        </w:rPr>
      </w:pPr>
      <w:r w:rsidRPr="00245039">
        <w:rPr>
          <w:rFonts w:ascii="Arial" w:hAnsi="Arial" w:cs="Arial"/>
          <w:sz w:val="18"/>
          <w:szCs w:val="18"/>
        </w:rPr>
        <w:t>10.</w:t>
      </w:r>
      <w:r w:rsidRPr="00245039">
        <w:rPr>
          <w:rFonts w:ascii="Arial" w:hAnsi="Arial" w:cs="Arial"/>
          <w:sz w:val="18"/>
          <w:szCs w:val="18"/>
        </w:rPr>
        <w:tab/>
        <w:t xml:space="preserve">Martini, S., Bonechi, C., Foletti, A. &amp; Rossi, C. Water-Protein Interactions: The Secret of Protein Dynamics. </w:t>
      </w:r>
      <w:r w:rsidRPr="00245039">
        <w:rPr>
          <w:rFonts w:ascii="Arial" w:hAnsi="Arial" w:cs="Arial"/>
          <w:i/>
          <w:iCs/>
          <w:sz w:val="18"/>
          <w:szCs w:val="18"/>
        </w:rPr>
        <w:t>The Scientific World Journal</w:t>
      </w:r>
      <w:r w:rsidRPr="00245039">
        <w:rPr>
          <w:rFonts w:ascii="Arial" w:hAnsi="Arial" w:cs="Arial"/>
          <w:sz w:val="18"/>
          <w:szCs w:val="18"/>
        </w:rPr>
        <w:t xml:space="preserve"> </w:t>
      </w:r>
      <w:r w:rsidRPr="00245039">
        <w:rPr>
          <w:rFonts w:ascii="Arial" w:hAnsi="Arial" w:cs="Arial"/>
          <w:b/>
          <w:bCs/>
          <w:sz w:val="18"/>
          <w:szCs w:val="18"/>
        </w:rPr>
        <w:t>2013</w:t>
      </w:r>
      <w:r w:rsidRPr="00245039">
        <w:rPr>
          <w:rFonts w:ascii="Arial" w:hAnsi="Arial" w:cs="Arial"/>
          <w:sz w:val="18"/>
          <w:szCs w:val="18"/>
        </w:rPr>
        <w:t>, 138916 (2013).</w:t>
      </w:r>
    </w:p>
    <w:p w14:paraId="2880E760" w14:textId="77777777" w:rsidR="00245039" w:rsidRPr="00245039" w:rsidRDefault="00245039" w:rsidP="00245039">
      <w:pPr>
        <w:pStyle w:val="Bibliography"/>
        <w:ind w:left="270" w:hanging="270"/>
        <w:rPr>
          <w:rFonts w:ascii="Arial" w:hAnsi="Arial" w:cs="Arial"/>
          <w:sz w:val="18"/>
          <w:szCs w:val="18"/>
        </w:rPr>
      </w:pPr>
      <w:r w:rsidRPr="00245039">
        <w:rPr>
          <w:rFonts w:ascii="Arial" w:hAnsi="Arial" w:cs="Arial"/>
          <w:sz w:val="18"/>
          <w:szCs w:val="18"/>
        </w:rPr>
        <w:t>11.</w:t>
      </w:r>
      <w:r w:rsidRPr="00245039">
        <w:rPr>
          <w:rFonts w:ascii="Arial" w:hAnsi="Arial" w:cs="Arial"/>
          <w:sz w:val="18"/>
          <w:szCs w:val="18"/>
        </w:rPr>
        <w:tab/>
        <w:t xml:space="preserve">Wang, B. </w:t>
      </w:r>
      <w:r w:rsidRPr="00245039">
        <w:rPr>
          <w:rFonts w:ascii="Arial" w:hAnsi="Arial" w:cs="Arial"/>
          <w:i/>
          <w:iCs/>
          <w:sz w:val="18"/>
          <w:szCs w:val="18"/>
        </w:rPr>
        <w:t>et al.</w:t>
      </w:r>
      <w:r w:rsidRPr="00245039">
        <w:rPr>
          <w:rFonts w:ascii="Arial" w:hAnsi="Arial" w:cs="Arial"/>
          <w:sz w:val="18"/>
          <w:szCs w:val="18"/>
        </w:rPr>
        <w:t xml:space="preserve"> Liquid–liquid phase separation in human health and diseases. </w:t>
      </w:r>
      <w:r w:rsidRPr="00245039">
        <w:rPr>
          <w:rFonts w:ascii="Arial" w:hAnsi="Arial" w:cs="Arial"/>
          <w:i/>
          <w:iCs/>
          <w:sz w:val="18"/>
          <w:szCs w:val="18"/>
        </w:rPr>
        <w:t>Sig Transduct Target Ther</w:t>
      </w:r>
      <w:r w:rsidRPr="00245039">
        <w:rPr>
          <w:rFonts w:ascii="Arial" w:hAnsi="Arial" w:cs="Arial"/>
          <w:sz w:val="18"/>
          <w:szCs w:val="18"/>
        </w:rPr>
        <w:t xml:space="preserve"> </w:t>
      </w:r>
      <w:r w:rsidRPr="00245039">
        <w:rPr>
          <w:rFonts w:ascii="Arial" w:hAnsi="Arial" w:cs="Arial"/>
          <w:b/>
          <w:bCs/>
          <w:sz w:val="18"/>
          <w:szCs w:val="18"/>
        </w:rPr>
        <w:t>6</w:t>
      </w:r>
      <w:r w:rsidRPr="00245039">
        <w:rPr>
          <w:rFonts w:ascii="Arial" w:hAnsi="Arial" w:cs="Arial"/>
          <w:sz w:val="18"/>
          <w:szCs w:val="18"/>
        </w:rPr>
        <w:t>, 1–16 (2021).</w:t>
      </w:r>
    </w:p>
    <w:p w14:paraId="74390CD0" w14:textId="77777777" w:rsidR="00245039" w:rsidRPr="00245039" w:rsidRDefault="00245039" w:rsidP="00245039">
      <w:pPr>
        <w:pStyle w:val="Bibliography"/>
        <w:ind w:left="270" w:hanging="270"/>
        <w:rPr>
          <w:rFonts w:ascii="Arial" w:hAnsi="Arial" w:cs="Arial"/>
          <w:sz w:val="18"/>
          <w:szCs w:val="18"/>
        </w:rPr>
      </w:pPr>
      <w:r w:rsidRPr="00245039">
        <w:rPr>
          <w:rFonts w:ascii="Arial" w:hAnsi="Arial" w:cs="Arial"/>
          <w:sz w:val="18"/>
          <w:szCs w:val="18"/>
        </w:rPr>
        <w:t>12.</w:t>
      </w:r>
      <w:r w:rsidRPr="00245039">
        <w:rPr>
          <w:rFonts w:ascii="Arial" w:hAnsi="Arial" w:cs="Arial"/>
          <w:sz w:val="18"/>
          <w:szCs w:val="18"/>
        </w:rPr>
        <w:tab/>
        <w:t xml:space="preserve">Sommer, A. P., Haddad, M. K. &amp; Fecht, H.-J. Light Effect on Water Viscosity: Implication for ATP Biosynthesis. </w:t>
      </w:r>
      <w:r w:rsidRPr="00245039">
        <w:rPr>
          <w:rFonts w:ascii="Arial" w:hAnsi="Arial" w:cs="Arial"/>
          <w:i/>
          <w:iCs/>
          <w:sz w:val="18"/>
          <w:szCs w:val="18"/>
        </w:rPr>
        <w:t>Sci Rep</w:t>
      </w:r>
      <w:r w:rsidRPr="00245039">
        <w:rPr>
          <w:rFonts w:ascii="Arial" w:hAnsi="Arial" w:cs="Arial"/>
          <w:sz w:val="18"/>
          <w:szCs w:val="18"/>
        </w:rPr>
        <w:t xml:space="preserve"> </w:t>
      </w:r>
      <w:r w:rsidRPr="00245039">
        <w:rPr>
          <w:rFonts w:ascii="Arial" w:hAnsi="Arial" w:cs="Arial"/>
          <w:b/>
          <w:bCs/>
          <w:sz w:val="18"/>
          <w:szCs w:val="18"/>
        </w:rPr>
        <w:t>5</w:t>
      </w:r>
      <w:r w:rsidRPr="00245039">
        <w:rPr>
          <w:rFonts w:ascii="Arial" w:hAnsi="Arial" w:cs="Arial"/>
          <w:sz w:val="18"/>
          <w:szCs w:val="18"/>
        </w:rPr>
        <w:t>, 12029 (2015).</w:t>
      </w:r>
    </w:p>
    <w:p w14:paraId="4BAD7794" w14:textId="77777777" w:rsidR="00245039" w:rsidRPr="00245039" w:rsidRDefault="00245039" w:rsidP="00245039">
      <w:pPr>
        <w:pStyle w:val="Bibliography"/>
        <w:ind w:left="270" w:hanging="270"/>
        <w:rPr>
          <w:rFonts w:ascii="Arial" w:hAnsi="Arial" w:cs="Arial"/>
          <w:sz w:val="18"/>
          <w:szCs w:val="18"/>
        </w:rPr>
      </w:pPr>
      <w:r w:rsidRPr="00245039">
        <w:rPr>
          <w:rFonts w:ascii="Arial" w:hAnsi="Arial" w:cs="Arial"/>
          <w:sz w:val="18"/>
          <w:szCs w:val="18"/>
        </w:rPr>
        <w:t>13.</w:t>
      </w:r>
      <w:r w:rsidRPr="00245039">
        <w:rPr>
          <w:rFonts w:ascii="Arial" w:hAnsi="Arial" w:cs="Arial"/>
          <w:sz w:val="18"/>
          <w:szCs w:val="18"/>
        </w:rPr>
        <w:tab/>
        <w:t xml:space="preserve">Sommer, A. P. Mitochondrial cytochrome c oxidase is not the primary acceptor for near infrared light—it is mitochondrial bound water: the principles of low-level light therapy. </w:t>
      </w:r>
      <w:r w:rsidRPr="00245039">
        <w:rPr>
          <w:rFonts w:ascii="Arial" w:hAnsi="Arial" w:cs="Arial"/>
          <w:i/>
          <w:iCs/>
          <w:sz w:val="18"/>
          <w:szCs w:val="18"/>
        </w:rPr>
        <w:t>Ann Transl Med</w:t>
      </w:r>
      <w:r w:rsidRPr="00245039">
        <w:rPr>
          <w:rFonts w:ascii="Arial" w:hAnsi="Arial" w:cs="Arial"/>
          <w:sz w:val="18"/>
          <w:szCs w:val="18"/>
        </w:rPr>
        <w:t xml:space="preserve"> </w:t>
      </w:r>
      <w:r w:rsidRPr="00245039">
        <w:rPr>
          <w:rFonts w:ascii="Arial" w:hAnsi="Arial" w:cs="Arial"/>
          <w:b/>
          <w:bCs/>
          <w:sz w:val="18"/>
          <w:szCs w:val="18"/>
        </w:rPr>
        <w:t>7</w:t>
      </w:r>
      <w:r w:rsidRPr="00245039">
        <w:rPr>
          <w:rFonts w:ascii="Arial" w:hAnsi="Arial" w:cs="Arial"/>
          <w:sz w:val="18"/>
          <w:szCs w:val="18"/>
        </w:rPr>
        <w:t>, S13 (2019).</w:t>
      </w:r>
    </w:p>
    <w:p w14:paraId="58D157E2" w14:textId="77777777" w:rsidR="00245039" w:rsidRPr="00245039" w:rsidRDefault="00245039" w:rsidP="00245039">
      <w:pPr>
        <w:pStyle w:val="Bibliography"/>
        <w:ind w:left="270" w:hanging="270"/>
        <w:rPr>
          <w:rFonts w:ascii="Arial" w:hAnsi="Arial" w:cs="Arial"/>
          <w:sz w:val="18"/>
          <w:szCs w:val="18"/>
        </w:rPr>
      </w:pPr>
      <w:r w:rsidRPr="00245039">
        <w:rPr>
          <w:rFonts w:ascii="Arial" w:hAnsi="Arial" w:cs="Arial"/>
          <w:sz w:val="18"/>
          <w:szCs w:val="18"/>
        </w:rPr>
        <w:t>14.</w:t>
      </w:r>
      <w:r w:rsidRPr="00245039">
        <w:rPr>
          <w:rFonts w:ascii="Arial" w:hAnsi="Arial" w:cs="Arial"/>
          <w:sz w:val="18"/>
          <w:szCs w:val="18"/>
        </w:rPr>
        <w:tab/>
        <w:t xml:space="preserve">Glasser, M. F. &amp; Van Essen, D. C. Mapping human cortical areas in vivo based on myelin content as revealed by T1- and T2-weighted MRI. </w:t>
      </w:r>
      <w:r w:rsidRPr="00245039">
        <w:rPr>
          <w:rFonts w:ascii="Arial" w:hAnsi="Arial" w:cs="Arial"/>
          <w:i/>
          <w:iCs/>
          <w:sz w:val="18"/>
          <w:szCs w:val="18"/>
        </w:rPr>
        <w:t>J Neurosci</w:t>
      </w:r>
      <w:r w:rsidRPr="00245039">
        <w:rPr>
          <w:rFonts w:ascii="Arial" w:hAnsi="Arial" w:cs="Arial"/>
          <w:sz w:val="18"/>
          <w:szCs w:val="18"/>
        </w:rPr>
        <w:t xml:space="preserve"> </w:t>
      </w:r>
      <w:r w:rsidRPr="00245039">
        <w:rPr>
          <w:rFonts w:ascii="Arial" w:hAnsi="Arial" w:cs="Arial"/>
          <w:b/>
          <w:bCs/>
          <w:sz w:val="18"/>
          <w:szCs w:val="18"/>
        </w:rPr>
        <w:t>31</w:t>
      </w:r>
      <w:r w:rsidRPr="00245039">
        <w:rPr>
          <w:rFonts w:ascii="Arial" w:hAnsi="Arial" w:cs="Arial"/>
          <w:sz w:val="18"/>
          <w:szCs w:val="18"/>
        </w:rPr>
        <w:t>, 11597–11616 (2011).</w:t>
      </w:r>
    </w:p>
    <w:p w14:paraId="330904E9" w14:textId="60B69A49" w:rsidR="00CD6E8E" w:rsidRPr="00245039" w:rsidRDefault="00245039" w:rsidP="00245039">
      <w:pPr>
        <w:spacing w:line="360" w:lineRule="auto"/>
        <w:ind w:left="270" w:hanging="270"/>
        <w:jc w:val="both"/>
        <w:rPr>
          <w:rFonts w:ascii="Arial" w:hAnsi="Arial" w:cs="Arial"/>
          <w:sz w:val="18"/>
          <w:szCs w:val="18"/>
        </w:rPr>
      </w:pPr>
      <w:r w:rsidRPr="00245039">
        <w:rPr>
          <w:rFonts w:ascii="Arial" w:hAnsi="Arial" w:cs="Arial"/>
          <w:sz w:val="18"/>
          <w:szCs w:val="18"/>
        </w:rPr>
        <w:fldChar w:fldCharType="end"/>
      </w:r>
    </w:p>
    <w:sectPr w:rsidR="00CD6E8E" w:rsidRPr="00245039" w:rsidSect="00450D02">
      <w:footerReference w:type="even"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9ED19" w14:textId="77777777" w:rsidR="00A15A79" w:rsidRDefault="00A15A79" w:rsidP="00C15B9E">
      <w:r>
        <w:separator/>
      </w:r>
    </w:p>
  </w:endnote>
  <w:endnote w:type="continuationSeparator" w:id="0">
    <w:p w14:paraId="17C3997E" w14:textId="77777777" w:rsidR="00A15A79" w:rsidRDefault="00A15A79" w:rsidP="00C15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8184800"/>
      <w:docPartObj>
        <w:docPartGallery w:val="Page Numbers (Bottom of Page)"/>
        <w:docPartUnique/>
      </w:docPartObj>
    </w:sdtPr>
    <w:sdtContent>
      <w:p w14:paraId="55E20295" w14:textId="79AA1ECF" w:rsidR="00C15B9E" w:rsidRDefault="00C15B9E" w:rsidP="00CB54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E9AEC2" w14:textId="77777777" w:rsidR="00C15B9E" w:rsidRDefault="00C15B9E" w:rsidP="002450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0435230"/>
      <w:docPartObj>
        <w:docPartGallery w:val="Page Numbers (Bottom of Page)"/>
        <w:docPartUnique/>
      </w:docPartObj>
    </w:sdtPr>
    <w:sdtContent>
      <w:p w14:paraId="0F40A8F2" w14:textId="48729224" w:rsidR="00C15B9E" w:rsidRDefault="00C15B9E" w:rsidP="00CB54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C14A668" w14:textId="77777777" w:rsidR="00C15B9E" w:rsidRDefault="00C15B9E" w:rsidP="002450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98885" w14:textId="77777777" w:rsidR="00A15A79" w:rsidRDefault="00A15A79" w:rsidP="00C15B9E">
      <w:r>
        <w:separator/>
      </w:r>
    </w:p>
  </w:footnote>
  <w:footnote w:type="continuationSeparator" w:id="0">
    <w:p w14:paraId="29CB52C5" w14:textId="77777777" w:rsidR="00A15A79" w:rsidRDefault="00A15A79" w:rsidP="00C15B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B446B"/>
    <w:multiLevelType w:val="hybridMultilevel"/>
    <w:tmpl w:val="2BF6DF42"/>
    <w:lvl w:ilvl="0" w:tplc="9FE818F0">
      <w:numFmt w:val="bullet"/>
      <w:lvlText w:val="-"/>
      <w:lvlJc w:val="left"/>
      <w:pPr>
        <w:ind w:left="720" w:hanging="360"/>
      </w:pPr>
      <w:rPr>
        <w:rFonts w:ascii="Aptos" w:eastAsiaTheme="minorHAnsi" w:hAnsi="Aptos" w:cs="Apto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9431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A97"/>
    <w:rsid w:val="00003F9B"/>
    <w:rsid w:val="000065B2"/>
    <w:rsid w:val="0001748E"/>
    <w:rsid w:val="00040556"/>
    <w:rsid w:val="00062F83"/>
    <w:rsid w:val="0006469B"/>
    <w:rsid w:val="000711CB"/>
    <w:rsid w:val="000A4F5D"/>
    <w:rsid w:val="000B0568"/>
    <w:rsid w:val="000D4496"/>
    <w:rsid w:val="000D77D5"/>
    <w:rsid w:val="000E55EF"/>
    <w:rsid w:val="000F11A6"/>
    <w:rsid w:val="000F1F89"/>
    <w:rsid w:val="000F42B2"/>
    <w:rsid w:val="00106634"/>
    <w:rsid w:val="00111BA3"/>
    <w:rsid w:val="00112890"/>
    <w:rsid w:val="00114A11"/>
    <w:rsid w:val="00120D11"/>
    <w:rsid w:val="00125E1F"/>
    <w:rsid w:val="0015451A"/>
    <w:rsid w:val="00164023"/>
    <w:rsid w:val="00171351"/>
    <w:rsid w:val="00172EBA"/>
    <w:rsid w:val="00173116"/>
    <w:rsid w:val="00194EEE"/>
    <w:rsid w:val="001A3869"/>
    <w:rsid w:val="001A73B8"/>
    <w:rsid w:val="001B77CB"/>
    <w:rsid w:val="001C2A57"/>
    <w:rsid w:val="001D2EC7"/>
    <w:rsid w:val="001D565A"/>
    <w:rsid w:val="001D65F4"/>
    <w:rsid w:val="001E12CA"/>
    <w:rsid w:val="001E15C8"/>
    <w:rsid w:val="00205C31"/>
    <w:rsid w:val="00212706"/>
    <w:rsid w:val="0021512A"/>
    <w:rsid w:val="00222957"/>
    <w:rsid w:val="00230318"/>
    <w:rsid w:val="002326A5"/>
    <w:rsid w:val="0024495F"/>
    <w:rsid w:val="00245039"/>
    <w:rsid w:val="00252C8F"/>
    <w:rsid w:val="002750BD"/>
    <w:rsid w:val="00282FCC"/>
    <w:rsid w:val="00294416"/>
    <w:rsid w:val="002A3894"/>
    <w:rsid w:val="002A6AAB"/>
    <w:rsid w:val="002B630F"/>
    <w:rsid w:val="002D2E60"/>
    <w:rsid w:val="002D6B4A"/>
    <w:rsid w:val="002F2AF1"/>
    <w:rsid w:val="003128B4"/>
    <w:rsid w:val="00322503"/>
    <w:rsid w:val="0033377D"/>
    <w:rsid w:val="00335808"/>
    <w:rsid w:val="00376CDD"/>
    <w:rsid w:val="003779E4"/>
    <w:rsid w:val="003A595F"/>
    <w:rsid w:val="003C147C"/>
    <w:rsid w:val="003D3A7D"/>
    <w:rsid w:val="003F3C31"/>
    <w:rsid w:val="00414A4C"/>
    <w:rsid w:val="00420FED"/>
    <w:rsid w:val="00440B4F"/>
    <w:rsid w:val="00450D02"/>
    <w:rsid w:val="00454A89"/>
    <w:rsid w:val="0045762B"/>
    <w:rsid w:val="0046289F"/>
    <w:rsid w:val="00471A6C"/>
    <w:rsid w:val="00483014"/>
    <w:rsid w:val="004863C8"/>
    <w:rsid w:val="004A272D"/>
    <w:rsid w:val="004D3948"/>
    <w:rsid w:val="00513B77"/>
    <w:rsid w:val="00514D85"/>
    <w:rsid w:val="005502A3"/>
    <w:rsid w:val="00565912"/>
    <w:rsid w:val="00573452"/>
    <w:rsid w:val="00587DCC"/>
    <w:rsid w:val="005923CF"/>
    <w:rsid w:val="005A6FC5"/>
    <w:rsid w:val="005A7F9E"/>
    <w:rsid w:val="005C038F"/>
    <w:rsid w:val="005D727F"/>
    <w:rsid w:val="0065044E"/>
    <w:rsid w:val="00652B9D"/>
    <w:rsid w:val="00652C37"/>
    <w:rsid w:val="006740F1"/>
    <w:rsid w:val="006779AE"/>
    <w:rsid w:val="006804DA"/>
    <w:rsid w:val="0068147D"/>
    <w:rsid w:val="0068434F"/>
    <w:rsid w:val="006844AD"/>
    <w:rsid w:val="006A14D8"/>
    <w:rsid w:val="006E1D15"/>
    <w:rsid w:val="006E5ADD"/>
    <w:rsid w:val="006E7564"/>
    <w:rsid w:val="006F1149"/>
    <w:rsid w:val="00711207"/>
    <w:rsid w:val="00714D95"/>
    <w:rsid w:val="00715BFE"/>
    <w:rsid w:val="00732DCE"/>
    <w:rsid w:val="007342F4"/>
    <w:rsid w:val="00737CBB"/>
    <w:rsid w:val="00755CCA"/>
    <w:rsid w:val="00760AD2"/>
    <w:rsid w:val="0076425F"/>
    <w:rsid w:val="00765C20"/>
    <w:rsid w:val="00773A97"/>
    <w:rsid w:val="00780288"/>
    <w:rsid w:val="00784FBD"/>
    <w:rsid w:val="0078602B"/>
    <w:rsid w:val="007929CA"/>
    <w:rsid w:val="00795D62"/>
    <w:rsid w:val="007A1859"/>
    <w:rsid w:val="007B427B"/>
    <w:rsid w:val="007B4ECE"/>
    <w:rsid w:val="0081149E"/>
    <w:rsid w:val="0082072C"/>
    <w:rsid w:val="00823BB8"/>
    <w:rsid w:val="00825344"/>
    <w:rsid w:val="00832FD2"/>
    <w:rsid w:val="008630E2"/>
    <w:rsid w:val="00886A4D"/>
    <w:rsid w:val="00894663"/>
    <w:rsid w:val="008A4573"/>
    <w:rsid w:val="008B57C1"/>
    <w:rsid w:val="008C131C"/>
    <w:rsid w:val="008C3C20"/>
    <w:rsid w:val="008C3E01"/>
    <w:rsid w:val="0091532C"/>
    <w:rsid w:val="0093368D"/>
    <w:rsid w:val="009467DD"/>
    <w:rsid w:val="00952AEE"/>
    <w:rsid w:val="00955277"/>
    <w:rsid w:val="009775C9"/>
    <w:rsid w:val="009848DC"/>
    <w:rsid w:val="009905A7"/>
    <w:rsid w:val="009B3861"/>
    <w:rsid w:val="009C02F7"/>
    <w:rsid w:val="009E0B32"/>
    <w:rsid w:val="009E2B35"/>
    <w:rsid w:val="009F13A2"/>
    <w:rsid w:val="00A0556D"/>
    <w:rsid w:val="00A11E1E"/>
    <w:rsid w:val="00A15A79"/>
    <w:rsid w:val="00A16C06"/>
    <w:rsid w:val="00A32CBA"/>
    <w:rsid w:val="00A670C6"/>
    <w:rsid w:val="00A71C46"/>
    <w:rsid w:val="00A75AA3"/>
    <w:rsid w:val="00A91A8C"/>
    <w:rsid w:val="00A940BF"/>
    <w:rsid w:val="00AA4724"/>
    <w:rsid w:val="00AA77D1"/>
    <w:rsid w:val="00AB4018"/>
    <w:rsid w:val="00B06662"/>
    <w:rsid w:val="00B10A97"/>
    <w:rsid w:val="00B400A0"/>
    <w:rsid w:val="00B5335E"/>
    <w:rsid w:val="00B67D35"/>
    <w:rsid w:val="00B72349"/>
    <w:rsid w:val="00B86204"/>
    <w:rsid w:val="00B87D54"/>
    <w:rsid w:val="00B947F6"/>
    <w:rsid w:val="00BD2ADC"/>
    <w:rsid w:val="00BD7D28"/>
    <w:rsid w:val="00C0204B"/>
    <w:rsid w:val="00C04464"/>
    <w:rsid w:val="00C14864"/>
    <w:rsid w:val="00C14FDD"/>
    <w:rsid w:val="00C15B9E"/>
    <w:rsid w:val="00C24AC4"/>
    <w:rsid w:val="00C25E99"/>
    <w:rsid w:val="00C34C92"/>
    <w:rsid w:val="00C42FA4"/>
    <w:rsid w:val="00C761A5"/>
    <w:rsid w:val="00C77105"/>
    <w:rsid w:val="00C87BD1"/>
    <w:rsid w:val="00C94AB9"/>
    <w:rsid w:val="00CA48ED"/>
    <w:rsid w:val="00CB52F9"/>
    <w:rsid w:val="00CC2046"/>
    <w:rsid w:val="00CC6B6F"/>
    <w:rsid w:val="00CC6B7C"/>
    <w:rsid w:val="00CD6E8E"/>
    <w:rsid w:val="00CE0642"/>
    <w:rsid w:val="00CF1C16"/>
    <w:rsid w:val="00D1480C"/>
    <w:rsid w:val="00D240D2"/>
    <w:rsid w:val="00D30C91"/>
    <w:rsid w:val="00D33F77"/>
    <w:rsid w:val="00D34BF6"/>
    <w:rsid w:val="00D364F4"/>
    <w:rsid w:val="00D6101F"/>
    <w:rsid w:val="00D66736"/>
    <w:rsid w:val="00D92118"/>
    <w:rsid w:val="00DB7357"/>
    <w:rsid w:val="00DB7C2E"/>
    <w:rsid w:val="00DD1465"/>
    <w:rsid w:val="00DD37F8"/>
    <w:rsid w:val="00DD64E5"/>
    <w:rsid w:val="00E156D7"/>
    <w:rsid w:val="00E24FE4"/>
    <w:rsid w:val="00E331FD"/>
    <w:rsid w:val="00E34C5F"/>
    <w:rsid w:val="00E467C1"/>
    <w:rsid w:val="00E51798"/>
    <w:rsid w:val="00E53B7F"/>
    <w:rsid w:val="00E80B7D"/>
    <w:rsid w:val="00E8265F"/>
    <w:rsid w:val="00E957EA"/>
    <w:rsid w:val="00EA110B"/>
    <w:rsid w:val="00EB08FD"/>
    <w:rsid w:val="00EB7C84"/>
    <w:rsid w:val="00EE46C6"/>
    <w:rsid w:val="00EE74B2"/>
    <w:rsid w:val="00F00C1D"/>
    <w:rsid w:val="00F17FFA"/>
    <w:rsid w:val="00F26E60"/>
    <w:rsid w:val="00F27BAF"/>
    <w:rsid w:val="00F36F6E"/>
    <w:rsid w:val="00F521EC"/>
    <w:rsid w:val="00F535D1"/>
    <w:rsid w:val="00F60D1E"/>
    <w:rsid w:val="00F756D8"/>
    <w:rsid w:val="00F761E7"/>
    <w:rsid w:val="00F81250"/>
    <w:rsid w:val="00FA48DD"/>
    <w:rsid w:val="00FB067D"/>
    <w:rsid w:val="00FB48C9"/>
    <w:rsid w:val="00FC2BA0"/>
    <w:rsid w:val="00FE3140"/>
    <w:rsid w:val="00FF0392"/>
    <w:rsid w:val="00FF2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A0AE3"/>
  <w15:chartTrackingRefBased/>
  <w15:docId w15:val="{B501BB3E-832E-41EE-8D8F-883A62D6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FBD"/>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B10A9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B10A9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10A9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10A9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10A9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10A9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10A9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10A9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10A9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A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0A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0A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A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A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A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A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A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A97"/>
    <w:rPr>
      <w:rFonts w:eastAsiaTheme="majorEastAsia" w:cstheme="majorBidi"/>
      <w:color w:val="272727" w:themeColor="text1" w:themeTint="D8"/>
    </w:rPr>
  </w:style>
  <w:style w:type="paragraph" w:styleId="Title">
    <w:name w:val="Title"/>
    <w:basedOn w:val="Normal"/>
    <w:next w:val="Normal"/>
    <w:link w:val="TitleChar"/>
    <w:uiPriority w:val="10"/>
    <w:qFormat/>
    <w:rsid w:val="00B10A9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10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A9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10A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A97"/>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10A97"/>
    <w:rPr>
      <w:i/>
      <w:iCs/>
      <w:color w:val="404040" w:themeColor="text1" w:themeTint="BF"/>
    </w:rPr>
  </w:style>
  <w:style w:type="paragraph" w:styleId="ListParagraph">
    <w:name w:val="List Paragraph"/>
    <w:basedOn w:val="Normal"/>
    <w:uiPriority w:val="34"/>
    <w:qFormat/>
    <w:rsid w:val="00B10A97"/>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B10A97"/>
    <w:rPr>
      <w:i/>
      <w:iCs/>
      <w:color w:val="0F4761" w:themeColor="accent1" w:themeShade="BF"/>
    </w:rPr>
  </w:style>
  <w:style w:type="paragraph" w:styleId="IntenseQuote">
    <w:name w:val="Intense Quote"/>
    <w:basedOn w:val="Normal"/>
    <w:next w:val="Normal"/>
    <w:link w:val="IntenseQuoteChar"/>
    <w:uiPriority w:val="30"/>
    <w:qFormat/>
    <w:rsid w:val="00B10A9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10A97"/>
    <w:rPr>
      <w:i/>
      <w:iCs/>
      <w:color w:val="0F4761" w:themeColor="accent1" w:themeShade="BF"/>
    </w:rPr>
  </w:style>
  <w:style w:type="character" w:styleId="IntenseReference">
    <w:name w:val="Intense Reference"/>
    <w:basedOn w:val="DefaultParagraphFont"/>
    <w:uiPriority w:val="32"/>
    <w:qFormat/>
    <w:rsid w:val="00B10A97"/>
    <w:rPr>
      <w:b/>
      <w:bCs/>
      <w:smallCaps/>
      <w:color w:val="0F4761" w:themeColor="accent1" w:themeShade="BF"/>
      <w:spacing w:val="5"/>
    </w:rPr>
  </w:style>
  <w:style w:type="character" w:styleId="Hyperlink">
    <w:name w:val="Hyperlink"/>
    <w:basedOn w:val="DefaultParagraphFont"/>
    <w:uiPriority w:val="99"/>
    <w:unhideWhenUsed/>
    <w:rsid w:val="00784FBD"/>
    <w:rPr>
      <w:color w:val="FF0000"/>
      <w:u w:val="single"/>
    </w:rPr>
  </w:style>
  <w:style w:type="paragraph" w:styleId="NormalWeb">
    <w:name w:val="Normal (Web)"/>
    <w:basedOn w:val="Normal"/>
    <w:uiPriority w:val="99"/>
    <w:unhideWhenUsed/>
    <w:rsid w:val="00784FBD"/>
    <w:pPr>
      <w:spacing w:before="100" w:beforeAutospacing="1" w:after="100" w:afterAutospacing="1"/>
    </w:pPr>
  </w:style>
  <w:style w:type="character" w:styleId="Emphasis">
    <w:name w:val="Emphasis"/>
    <w:basedOn w:val="DefaultParagraphFont"/>
    <w:uiPriority w:val="20"/>
    <w:qFormat/>
    <w:rsid w:val="00784FBD"/>
    <w:rPr>
      <w:i/>
      <w:iCs/>
    </w:rPr>
  </w:style>
  <w:style w:type="character" w:styleId="CommentReference">
    <w:name w:val="annotation reference"/>
    <w:basedOn w:val="DefaultParagraphFont"/>
    <w:uiPriority w:val="99"/>
    <w:semiHidden/>
    <w:unhideWhenUsed/>
    <w:rsid w:val="002D2E60"/>
    <w:rPr>
      <w:sz w:val="16"/>
      <w:szCs w:val="16"/>
    </w:rPr>
  </w:style>
  <w:style w:type="paragraph" w:styleId="CommentText">
    <w:name w:val="annotation text"/>
    <w:basedOn w:val="Normal"/>
    <w:link w:val="CommentTextChar"/>
    <w:uiPriority w:val="99"/>
    <w:unhideWhenUsed/>
    <w:rsid w:val="002D2E60"/>
    <w:rPr>
      <w:sz w:val="20"/>
      <w:szCs w:val="20"/>
    </w:rPr>
  </w:style>
  <w:style w:type="character" w:customStyle="1" w:styleId="CommentTextChar">
    <w:name w:val="Comment Text Char"/>
    <w:basedOn w:val="DefaultParagraphFont"/>
    <w:link w:val="CommentText"/>
    <w:uiPriority w:val="99"/>
    <w:rsid w:val="002D2E60"/>
    <w:rPr>
      <w:rFonts w:ascii="Aptos" w:hAnsi="Aptos" w:cs="Apto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D2E60"/>
    <w:rPr>
      <w:b/>
      <w:bCs/>
    </w:rPr>
  </w:style>
  <w:style w:type="character" w:customStyle="1" w:styleId="CommentSubjectChar">
    <w:name w:val="Comment Subject Char"/>
    <w:basedOn w:val="CommentTextChar"/>
    <w:link w:val="CommentSubject"/>
    <w:uiPriority w:val="99"/>
    <w:semiHidden/>
    <w:rsid w:val="002D2E60"/>
    <w:rPr>
      <w:rFonts w:ascii="Aptos" w:hAnsi="Aptos" w:cs="Aptos"/>
      <w:b/>
      <w:bCs/>
      <w:kern w:val="0"/>
      <w:sz w:val="20"/>
      <w:szCs w:val="20"/>
      <w14:ligatures w14:val="none"/>
    </w:rPr>
  </w:style>
  <w:style w:type="character" w:styleId="UnresolvedMention">
    <w:name w:val="Unresolved Mention"/>
    <w:basedOn w:val="DefaultParagraphFont"/>
    <w:uiPriority w:val="99"/>
    <w:semiHidden/>
    <w:unhideWhenUsed/>
    <w:rsid w:val="002D2E60"/>
    <w:rPr>
      <w:color w:val="605E5C"/>
      <w:shd w:val="clear" w:color="auto" w:fill="E1DFDD"/>
    </w:rPr>
  </w:style>
  <w:style w:type="paragraph" w:styleId="Revision">
    <w:name w:val="Revision"/>
    <w:hidden/>
    <w:uiPriority w:val="99"/>
    <w:semiHidden/>
    <w:rsid w:val="00955277"/>
    <w:pPr>
      <w:spacing w:after="0" w:line="240" w:lineRule="auto"/>
    </w:pPr>
    <w:rPr>
      <w:rFonts w:ascii="Aptos" w:hAnsi="Aptos" w:cs="Aptos"/>
      <w:kern w:val="0"/>
      <w14:ligatures w14:val="none"/>
    </w:rPr>
  </w:style>
  <w:style w:type="character" w:styleId="FollowedHyperlink">
    <w:name w:val="FollowedHyperlink"/>
    <w:basedOn w:val="DefaultParagraphFont"/>
    <w:uiPriority w:val="99"/>
    <w:semiHidden/>
    <w:unhideWhenUsed/>
    <w:rsid w:val="00894663"/>
    <w:rPr>
      <w:color w:val="96607D" w:themeColor="followedHyperlink"/>
      <w:u w:val="single"/>
    </w:rPr>
  </w:style>
  <w:style w:type="table" w:styleId="TableGrid">
    <w:name w:val="Table Grid"/>
    <w:basedOn w:val="TableNormal"/>
    <w:uiPriority w:val="39"/>
    <w:rsid w:val="00DD1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12C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12CA"/>
    <w:rPr>
      <w:rFonts w:ascii="Times New Roman" w:hAnsi="Times New Roman" w:cs="Times New Roman"/>
      <w:kern w:val="0"/>
      <w:sz w:val="18"/>
      <w:szCs w:val="18"/>
      <w14:ligatures w14:val="none"/>
    </w:rPr>
  </w:style>
  <w:style w:type="paragraph" w:styleId="Footer">
    <w:name w:val="footer"/>
    <w:basedOn w:val="Normal"/>
    <w:link w:val="FooterChar"/>
    <w:uiPriority w:val="99"/>
    <w:unhideWhenUsed/>
    <w:rsid w:val="00C15B9E"/>
    <w:pPr>
      <w:tabs>
        <w:tab w:val="center" w:pos="4680"/>
        <w:tab w:val="right" w:pos="9360"/>
      </w:tabs>
    </w:pPr>
  </w:style>
  <w:style w:type="character" w:customStyle="1" w:styleId="FooterChar">
    <w:name w:val="Footer Char"/>
    <w:basedOn w:val="DefaultParagraphFont"/>
    <w:link w:val="Footer"/>
    <w:uiPriority w:val="99"/>
    <w:rsid w:val="00C15B9E"/>
    <w:rPr>
      <w:rFonts w:ascii="Aptos" w:hAnsi="Aptos" w:cs="Aptos"/>
      <w:kern w:val="0"/>
      <w14:ligatures w14:val="none"/>
    </w:rPr>
  </w:style>
  <w:style w:type="character" w:styleId="PageNumber">
    <w:name w:val="page number"/>
    <w:basedOn w:val="DefaultParagraphFont"/>
    <w:uiPriority w:val="99"/>
    <w:semiHidden/>
    <w:unhideWhenUsed/>
    <w:rsid w:val="00C15B9E"/>
  </w:style>
  <w:style w:type="paragraph" w:styleId="Bibliography">
    <w:name w:val="Bibliography"/>
    <w:basedOn w:val="Normal"/>
    <w:next w:val="Normal"/>
    <w:uiPriority w:val="37"/>
    <w:unhideWhenUsed/>
    <w:rsid w:val="00245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5194">
      <w:bodyDiv w:val="1"/>
      <w:marLeft w:val="0"/>
      <w:marRight w:val="0"/>
      <w:marTop w:val="0"/>
      <w:marBottom w:val="0"/>
      <w:divBdr>
        <w:top w:val="none" w:sz="0" w:space="0" w:color="auto"/>
        <w:left w:val="none" w:sz="0" w:space="0" w:color="auto"/>
        <w:bottom w:val="none" w:sz="0" w:space="0" w:color="auto"/>
        <w:right w:val="none" w:sz="0" w:space="0" w:color="auto"/>
      </w:divBdr>
    </w:div>
    <w:div w:id="46997956">
      <w:bodyDiv w:val="1"/>
      <w:marLeft w:val="0"/>
      <w:marRight w:val="0"/>
      <w:marTop w:val="0"/>
      <w:marBottom w:val="0"/>
      <w:divBdr>
        <w:top w:val="none" w:sz="0" w:space="0" w:color="auto"/>
        <w:left w:val="none" w:sz="0" w:space="0" w:color="auto"/>
        <w:bottom w:val="none" w:sz="0" w:space="0" w:color="auto"/>
        <w:right w:val="none" w:sz="0" w:space="0" w:color="auto"/>
      </w:divBdr>
    </w:div>
    <w:div w:id="562835017">
      <w:bodyDiv w:val="1"/>
      <w:marLeft w:val="0"/>
      <w:marRight w:val="0"/>
      <w:marTop w:val="0"/>
      <w:marBottom w:val="0"/>
      <w:divBdr>
        <w:top w:val="none" w:sz="0" w:space="0" w:color="auto"/>
        <w:left w:val="none" w:sz="0" w:space="0" w:color="auto"/>
        <w:bottom w:val="none" w:sz="0" w:space="0" w:color="auto"/>
        <w:right w:val="none" w:sz="0" w:space="0" w:color="auto"/>
      </w:divBdr>
    </w:div>
    <w:div w:id="693456214">
      <w:bodyDiv w:val="1"/>
      <w:marLeft w:val="0"/>
      <w:marRight w:val="0"/>
      <w:marTop w:val="0"/>
      <w:marBottom w:val="0"/>
      <w:divBdr>
        <w:top w:val="none" w:sz="0" w:space="0" w:color="auto"/>
        <w:left w:val="none" w:sz="0" w:space="0" w:color="auto"/>
        <w:bottom w:val="none" w:sz="0" w:space="0" w:color="auto"/>
        <w:right w:val="none" w:sz="0" w:space="0" w:color="auto"/>
      </w:divBdr>
    </w:div>
    <w:div w:id="749740709">
      <w:bodyDiv w:val="1"/>
      <w:marLeft w:val="0"/>
      <w:marRight w:val="0"/>
      <w:marTop w:val="0"/>
      <w:marBottom w:val="0"/>
      <w:divBdr>
        <w:top w:val="none" w:sz="0" w:space="0" w:color="auto"/>
        <w:left w:val="none" w:sz="0" w:space="0" w:color="auto"/>
        <w:bottom w:val="none" w:sz="0" w:space="0" w:color="auto"/>
        <w:right w:val="none" w:sz="0" w:space="0" w:color="auto"/>
      </w:divBdr>
    </w:div>
    <w:div w:id="942491756">
      <w:bodyDiv w:val="1"/>
      <w:marLeft w:val="0"/>
      <w:marRight w:val="0"/>
      <w:marTop w:val="0"/>
      <w:marBottom w:val="0"/>
      <w:divBdr>
        <w:top w:val="none" w:sz="0" w:space="0" w:color="auto"/>
        <w:left w:val="none" w:sz="0" w:space="0" w:color="auto"/>
        <w:bottom w:val="none" w:sz="0" w:space="0" w:color="auto"/>
        <w:right w:val="none" w:sz="0" w:space="0" w:color="auto"/>
      </w:divBdr>
    </w:div>
    <w:div w:id="1091007161">
      <w:bodyDiv w:val="1"/>
      <w:marLeft w:val="0"/>
      <w:marRight w:val="0"/>
      <w:marTop w:val="0"/>
      <w:marBottom w:val="0"/>
      <w:divBdr>
        <w:top w:val="none" w:sz="0" w:space="0" w:color="auto"/>
        <w:left w:val="none" w:sz="0" w:space="0" w:color="auto"/>
        <w:bottom w:val="none" w:sz="0" w:space="0" w:color="auto"/>
        <w:right w:val="none" w:sz="0" w:space="0" w:color="auto"/>
      </w:divBdr>
    </w:div>
    <w:div w:id="1225291897">
      <w:bodyDiv w:val="1"/>
      <w:marLeft w:val="0"/>
      <w:marRight w:val="0"/>
      <w:marTop w:val="0"/>
      <w:marBottom w:val="0"/>
      <w:divBdr>
        <w:top w:val="none" w:sz="0" w:space="0" w:color="auto"/>
        <w:left w:val="none" w:sz="0" w:space="0" w:color="auto"/>
        <w:bottom w:val="none" w:sz="0" w:space="0" w:color="auto"/>
        <w:right w:val="none" w:sz="0" w:space="0" w:color="auto"/>
      </w:divBdr>
    </w:div>
    <w:div w:id="1423527562">
      <w:bodyDiv w:val="1"/>
      <w:marLeft w:val="0"/>
      <w:marRight w:val="0"/>
      <w:marTop w:val="0"/>
      <w:marBottom w:val="0"/>
      <w:divBdr>
        <w:top w:val="none" w:sz="0" w:space="0" w:color="auto"/>
        <w:left w:val="none" w:sz="0" w:space="0" w:color="auto"/>
        <w:bottom w:val="none" w:sz="0" w:space="0" w:color="auto"/>
        <w:right w:val="none" w:sz="0" w:space="0" w:color="auto"/>
      </w:divBdr>
    </w:div>
    <w:div w:id="1842429643">
      <w:bodyDiv w:val="1"/>
      <w:marLeft w:val="0"/>
      <w:marRight w:val="0"/>
      <w:marTop w:val="0"/>
      <w:marBottom w:val="0"/>
      <w:divBdr>
        <w:top w:val="none" w:sz="0" w:space="0" w:color="auto"/>
        <w:left w:val="none" w:sz="0" w:space="0" w:color="auto"/>
        <w:bottom w:val="none" w:sz="0" w:space="0" w:color="auto"/>
        <w:right w:val="none" w:sz="0" w:space="0" w:color="auto"/>
      </w:divBdr>
    </w:div>
    <w:div w:id="213930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6174</Words>
  <Characters>35196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Mosharov, Eugene V.</dc:creator>
  <cp:keywords/>
  <dc:description/>
  <cp:lastModifiedBy>David Pentney</cp:lastModifiedBy>
  <cp:revision>5</cp:revision>
  <dcterms:created xsi:type="dcterms:W3CDTF">2024-10-14T15:26:00Z</dcterms:created>
  <dcterms:modified xsi:type="dcterms:W3CDTF">2025-02-05T10:25:00Z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id="Tvy0DVVE"/&gt;&lt;style id="http://www.zotero.org/styles/nature" hasBibliography="1" bibliographyStyleHasBeenSet="1"/&gt;&lt;prefs&gt;&lt;pref name="fieldType" value="Field"/&gt;&lt;/prefs&gt;&lt;/data&gt;</vt:lpwstr>
  </property>
</Properties>
</file>