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274311" w14:textId="77777777" w:rsidR="00D00A93" w:rsidRDefault="00D00A93" w:rsidP="00D00A93">
      <w:pPr>
        <w:jc w:val="both"/>
        <w:rPr>
          <w:bCs/>
          <w:szCs w:val="24"/>
          <w:lang w:val="en-US"/>
        </w:rPr>
      </w:pPr>
      <w:r>
        <w:rPr>
          <w:b/>
          <w:szCs w:val="24"/>
          <w:lang w:val="en-US"/>
        </w:rPr>
        <w:t xml:space="preserve">Supplementary Table 1. </w:t>
      </w:r>
      <w:r>
        <w:rPr>
          <w:bCs/>
          <w:szCs w:val="24"/>
          <w:lang w:val="en-US"/>
        </w:rPr>
        <w:t xml:space="preserve">Days and types of antibiotic exposure in each of 191 vaccinated participants. </w:t>
      </w:r>
    </w:p>
    <w:p w14:paraId="1944C975" w14:textId="77777777" w:rsidR="00D00A93" w:rsidRPr="00127F91" w:rsidRDefault="00D00A93" w:rsidP="00D00A93">
      <w:pPr>
        <w:jc w:val="both"/>
        <w:rPr>
          <w:bCs/>
          <w:szCs w:val="24"/>
          <w:lang w:val="en-US"/>
        </w:rPr>
      </w:pPr>
    </w:p>
    <w:p w14:paraId="7EF13EA7" w14:textId="77777777" w:rsidR="00D00A93" w:rsidRDefault="00D00A93" w:rsidP="00D00A93">
      <w:pPr>
        <w:jc w:val="both"/>
        <w:rPr>
          <w:bCs/>
          <w:szCs w:val="24"/>
          <w:lang w:val="en-US"/>
        </w:rPr>
      </w:pPr>
      <w:r w:rsidRPr="009F750B">
        <w:rPr>
          <w:b/>
          <w:szCs w:val="24"/>
          <w:lang w:val="en-US"/>
        </w:rPr>
        <w:t xml:space="preserve">Supplementary Table </w:t>
      </w:r>
      <w:r>
        <w:rPr>
          <w:b/>
          <w:szCs w:val="24"/>
          <w:lang w:val="en-US"/>
        </w:rPr>
        <w:t xml:space="preserve">2. </w:t>
      </w:r>
      <w:r w:rsidRPr="003B07F0">
        <w:rPr>
          <w:bCs/>
          <w:szCs w:val="24"/>
          <w:lang w:val="en-US"/>
        </w:rPr>
        <w:t>Ig</w:t>
      </w:r>
      <w:r>
        <w:rPr>
          <w:bCs/>
          <w:szCs w:val="24"/>
          <w:lang w:val="en-US"/>
        </w:rPr>
        <w:t>G/IgA</w:t>
      </w:r>
      <w:r w:rsidRPr="003B07F0">
        <w:rPr>
          <w:bCs/>
          <w:szCs w:val="24"/>
          <w:lang w:val="en-US"/>
        </w:rPr>
        <w:t xml:space="preserve"> </w:t>
      </w:r>
      <w:proofErr w:type="spellStart"/>
      <w:r>
        <w:rPr>
          <w:bCs/>
          <w:szCs w:val="24"/>
          <w:lang w:val="en-US"/>
        </w:rPr>
        <w:t>t</w:t>
      </w:r>
      <w:r w:rsidRPr="003B07F0">
        <w:rPr>
          <w:bCs/>
          <w:szCs w:val="24"/>
          <w:lang w:val="en-US"/>
        </w:rPr>
        <w:t>itres</w:t>
      </w:r>
      <w:proofErr w:type="spellEnd"/>
      <w:r w:rsidRPr="003B07F0">
        <w:rPr>
          <w:bCs/>
          <w:szCs w:val="24"/>
          <w:lang w:val="en-US"/>
        </w:rPr>
        <w:t xml:space="preserve"> in unexposed (No ABX) </w:t>
      </w:r>
      <w:r>
        <w:rPr>
          <w:bCs/>
          <w:szCs w:val="24"/>
          <w:lang w:val="en-US"/>
        </w:rPr>
        <w:t xml:space="preserve">compared to </w:t>
      </w:r>
      <w:r w:rsidRPr="003B07F0">
        <w:rPr>
          <w:bCs/>
          <w:szCs w:val="24"/>
          <w:lang w:val="en-US"/>
        </w:rPr>
        <w:t>antibiotic exposed (ABX</w:t>
      </w:r>
      <w:r>
        <w:rPr>
          <w:bCs/>
          <w:szCs w:val="24"/>
          <w:lang w:val="en-US"/>
        </w:rPr>
        <w:t>, any exposure</w:t>
      </w:r>
      <w:r w:rsidRPr="003B07F0">
        <w:rPr>
          <w:bCs/>
          <w:szCs w:val="24"/>
          <w:lang w:val="en-US"/>
        </w:rPr>
        <w:t>) infants at 6 weeks, 7 months and 15 months of life.</w:t>
      </w:r>
      <w:r>
        <w:rPr>
          <w:bCs/>
          <w:szCs w:val="24"/>
          <w:lang w:val="en-US"/>
        </w:rPr>
        <w:t xml:space="preserve"> </w:t>
      </w:r>
    </w:p>
    <w:p w14:paraId="07FD92DE" w14:textId="77777777" w:rsidR="00D00A93" w:rsidRDefault="00D00A93" w:rsidP="00D00A93">
      <w:pPr>
        <w:jc w:val="both"/>
        <w:rPr>
          <w:bCs/>
          <w:szCs w:val="24"/>
          <w:lang w:val="en-US"/>
        </w:rPr>
      </w:pPr>
    </w:p>
    <w:p w14:paraId="25F80E6A" w14:textId="77777777" w:rsidR="00D00A93" w:rsidRDefault="00D00A93" w:rsidP="00D00A93">
      <w:pPr>
        <w:jc w:val="both"/>
        <w:rPr>
          <w:bCs/>
          <w:szCs w:val="24"/>
          <w:lang w:val="en-US"/>
        </w:rPr>
      </w:pPr>
      <w:r w:rsidRPr="00802582">
        <w:rPr>
          <w:b/>
          <w:szCs w:val="24"/>
          <w:lang w:val="en-US"/>
        </w:rPr>
        <w:t xml:space="preserve"> </w:t>
      </w:r>
      <w:r w:rsidRPr="009F750B">
        <w:rPr>
          <w:b/>
          <w:szCs w:val="24"/>
          <w:lang w:val="en-US"/>
        </w:rPr>
        <w:t xml:space="preserve">Supplementary Table </w:t>
      </w:r>
      <w:r>
        <w:rPr>
          <w:b/>
          <w:szCs w:val="24"/>
          <w:lang w:val="en-US"/>
        </w:rPr>
        <w:t>3.</w:t>
      </w:r>
      <w:r w:rsidRPr="009F750B">
        <w:rPr>
          <w:b/>
          <w:szCs w:val="24"/>
          <w:lang w:val="en-US"/>
        </w:rPr>
        <w:t xml:space="preserve"> </w:t>
      </w:r>
      <w:r w:rsidRPr="003B07F0">
        <w:rPr>
          <w:bCs/>
          <w:szCs w:val="24"/>
          <w:lang w:val="en-US"/>
        </w:rPr>
        <w:t>IgG</w:t>
      </w:r>
      <w:r>
        <w:rPr>
          <w:bCs/>
          <w:szCs w:val="24"/>
          <w:lang w:val="en-US"/>
        </w:rPr>
        <w:t>/IgA</w:t>
      </w:r>
      <w:r w:rsidRPr="003B07F0">
        <w:rPr>
          <w:bCs/>
          <w:szCs w:val="24"/>
          <w:lang w:val="en-US"/>
        </w:rPr>
        <w:t xml:space="preserve"> </w:t>
      </w:r>
      <w:proofErr w:type="spellStart"/>
      <w:r>
        <w:rPr>
          <w:bCs/>
          <w:szCs w:val="24"/>
          <w:lang w:val="en-US"/>
        </w:rPr>
        <w:t>t</w:t>
      </w:r>
      <w:r w:rsidRPr="003B07F0">
        <w:rPr>
          <w:bCs/>
          <w:szCs w:val="24"/>
          <w:lang w:val="en-US"/>
        </w:rPr>
        <w:t>itres</w:t>
      </w:r>
      <w:proofErr w:type="spellEnd"/>
      <w:r>
        <w:rPr>
          <w:bCs/>
          <w:szCs w:val="24"/>
          <w:lang w:val="en-US"/>
        </w:rPr>
        <w:t xml:space="preserve"> </w:t>
      </w:r>
      <w:r w:rsidRPr="003B07F0">
        <w:rPr>
          <w:bCs/>
          <w:szCs w:val="24"/>
          <w:lang w:val="en-US"/>
        </w:rPr>
        <w:t xml:space="preserve">in unexposed (No ABX) </w:t>
      </w:r>
      <w:r>
        <w:rPr>
          <w:bCs/>
          <w:szCs w:val="24"/>
          <w:lang w:val="en-US"/>
        </w:rPr>
        <w:t>compared to</w:t>
      </w:r>
      <w:r w:rsidRPr="003B07F0">
        <w:rPr>
          <w:bCs/>
          <w:szCs w:val="24"/>
          <w:lang w:val="en-US"/>
        </w:rPr>
        <w:t xml:space="preserve"> antibiotic exposed</w:t>
      </w:r>
      <w:r>
        <w:rPr>
          <w:bCs/>
          <w:szCs w:val="24"/>
          <w:lang w:val="en-US"/>
        </w:rPr>
        <w:t xml:space="preserve"> infants</w:t>
      </w:r>
      <w:r w:rsidRPr="003B07F0">
        <w:rPr>
          <w:bCs/>
          <w:szCs w:val="24"/>
          <w:lang w:val="en-US"/>
        </w:rPr>
        <w:t xml:space="preserve"> </w:t>
      </w:r>
      <w:r>
        <w:rPr>
          <w:bCs/>
          <w:szCs w:val="24"/>
          <w:lang w:val="en-US"/>
        </w:rPr>
        <w:t xml:space="preserve">subdivided by exposure type </w:t>
      </w:r>
      <w:r w:rsidRPr="003B07F0">
        <w:rPr>
          <w:bCs/>
          <w:szCs w:val="24"/>
          <w:lang w:val="en-US"/>
        </w:rPr>
        <w:t xml:space="preserve">(Neo-ABX, IP-ABX and PN-ABX) at 6 weeks, 7 months and 15 months of life. </w:t>
      </w:r>
    </w:p>
    <w:p w14:paraId="384DC217" w14:textId="77777777" w:rsidR="00D00A93" w:rsidRPr="00802582" w:rsidRDefault="00D00A93" w:rsidP="00D00A93">
      <w:pPr>
        <w:jc w:val="both"/>
        <w:rPr>
          <w:b/>
          <w:szCs w:val="24"/>
          <w:lang w:val="en-US"/>
        </w:rPr>
      </w:pPr>
    </w:p>
    <w:p w14:paraId="1A1BAE12" w14:textId="77777777" w:rsidR="00D00A93" w:rsidRDefault="00D00A93" w:rsidP="00D00A93">
      <w:pPr>
        <w:jc w:val="both"/>
        <w:rPr>
          <w:bCs/>
          <w:szCs w:val="24"/>
          <w:lang w:val="en-US"/>
        </w:rPr>
      </w:pPr>
      <w:r w:rsidRPr="009F750B">
        <w:rPr>
          <w:b/>
          <w:szCs w:val="24"/>
          <w:lang w:val="en-US"/>
        </w:rPr>
        <w:t xml:space="preserve">Supplementary Table </w:t>
      </w:r>
      <w:r>
        <w:rPr>
          <w:b/>
          <w:szCs w:val="24"/>
          <w:lang w:val="en-US"/>
        </w:rPr>
        <w:t>4.</w:t>
      </w:r>
      <w:r w:rsidRPr="009F750B">
        <w:rPr>
          <w:b/>
          <w:szCs w:val="24"/>
          <w:lang w:val="en-US"/>
        </w:rPr>
        <w:t xml:space="preserve"> </w:t>
      </w:r>
      <w:proofErr w:type="spellStart"/>
      <w:r w:rsidRPr="009F750B">
        <w:rPr>
          <w:bCs/>
          <w:szCs w:val="24"/>
          <w:lang w:val="en-US"/>
        </w:rPr>
        <w:t>RNASeq</w:t>
      </w:r>
      <w:proofErr w:type="spellEnd"/>
      <w:r w:rsidRPr="009F750B">
        <w:rPr>
          <w:bCs/>
          <w:szCs w:val="24"/>
          <w:lang w:val="en-US"/>
        </w:rPr>
        <w:t xml:space="preserve"> sample statistics</w:t>
      </w:r>
      <w:r w:rsidRPr="003B07F0">
        <w:rPr>
          <w:bCs/>
          <w:szCs w:val="24"/>
          <w:lang w:val="en-US"/>
        </w:rPr>
        <w:t xml:space="preserve">. </w:t>
      </w:r>
    </w:p>
    <w:p w14:paraId="32F1A77B" w14:textId="77777777" w:rsidR="00D00A93" w:rsidRPr="009F750B" w:rsidRDefault="00D00A93" w:rsidP="00D00A93">
      <w:pPr>
        <w:jc w:val="both"/>
        <w:rPr>
          <w:b/>
          <w:szCs w:val="24"/>
          <w:lang w:val="en-US"/>
        </w:rPr>
      </w:pPr>
    </w:p>
    <w:p w14:paraId="7BB2E356" w14:textId="77777777" w:rsidR="00D00A93" w:rsidRDefault="00D00A93" w:rsidP="00D00A93">
      <w:pPr>
        <w:jc w:val="both"/>
        <w:rPr>
          <w:bCs/>
          <w:szCs w:val="24"/>
          <w:lang w:val="en-US"/>
        </w:rPr>
      </w:pPr>
      <w:r w:rsidRPr="009F750B">
        <w:rPr>
          <w:b/>
          <w:szCs w:val="24"/>
          <w:lang w:val="en-US"/>
        </w:rPr>
        <w:t xml:space="preserve">Supplementary Table </w:t>
      </w:r>
      <w:r>
        <w:rPr>
          <w:b/>
          <w:szCs w:val="24"/>
          <w:lang w:val="en-US"/>
        </w:rPr>
        <w:t>5.</w:t>
      </w:r>
      <w:r w:rsidRPr="009F750B">
        <w:rPr>
          <w:b/>
          <w:szCs w:val="24"/>
          <w:lang w:val="en-US"/>
        </w:rPr>
        <w:t xml:space="preserve"> </w:t>
      </w:r>
      <w:r w:rsidRPr="003B07F0">
        <w:rPr>
          <w:bCs/>
          <w:szCs w:val="24"/>
          <w:lang w:val="en-US"/>
        </w:rPr>
        <w:t xml:space="preserve">Blood transcriptional module (BTM) enrichment analysis in Neo-ABX, IP-ABX and PN-ABX infants at week 6 and week 7 of life relative to No ABX infants at week 6. </w:t>
      </w:r>
    </w:p>
    <w:p w14:paraId="18C8494A" w14:textId="77777777" w:rsidR="00D00A93" w:rsidRPr="003B07F0" w:rsidRDefault="00D00A93" w:rsidP="00D00A93">
      <w:pPr>
        <w:jc w:val="both"/>
        <w:rPr>
          <w:b/>
          <w:szCs w:val="24"/>
          <w:lang w:val="en-US"/>
        </w:rPr>
      </w:pPr>
    </w:p>
    <w:p w14:paraId="56B056DA" w14:textId="77777777" w:rsidR="00D00A93" w:rsidRDefault="00D00A93" w:rsidP="00D00A93">
      <w:pPr>
        <w:jc w:val="both"/>
        <w:rPr>
          <w:bCs/>
          <w:szCs w:val="24"/>
          <w:lang w:val="en-US"/>
        </w:rPr>
      </w:pPr>
      <w:r w:rsidRPr="009F750B">
        <w:rPr>
          <w:b/>
          <w:szCs w:val="24"/>
          <w:lang w:val="en-US"/>
        </w:rPr>
        <w:t xml:space="preserve">Supplementary Table </w:t>
      </w:r>
      <w:r>
        <w:rPr>
          <w:b/>
          <w:szCs w:val="24"/>
          <w:lang w:val="en-US"/>
        </w:rPr>
        <w:t>6.</w:t>
      </w:r>
      <w:r w:rsidRPr="009F750B">
        <w:rPr>
          <w:b/>
          <w:szCs w:val="24"/>
          <w:lang w:val="en-US"/>
        </w:rPr>
        <w:t xml:space="preserve"> </w:t>
      </w:r>
      <w:r w:rsidRPr="003B07F0">
        <w:rPr>
          <w:bCs/>
          <w:szCs w:val="24"/>
          <w:lang w:val="en-US"/>
        </w:rPr>
        <w:t>D</w:t>
      </w:r>
      <w:r w:rsidRPr="009F750B">
        <w:rPr>
          <w:bCs/>
          <w:szCs w:val="24"/>
          <w:lang w:val="en-US"/>
        </w:rPr>
        <w:t xml:space="preserve">ifferentially expressed genes (DEGs) </w:t>
      </w:r>
      <w:r>
        <w:rPr>
          <w:bCs/>
          <w:szCs w:val="24"/>
          <w:lang w:val="en-US"/>
        </w:rPr>
        <w:t>post-vaccination</w:t>
      </w:r>
      <w:r w:rsidRPr="009F750B">
        <w:rPr>
          <w:bCs/>
          <w:szCs w:val="24"/>
          <w:lang w:val="en-US"/>
        </w:rPr>
        <w:t xml:space="preserve">.  </w:t>
      </w:r>
    </w:p>
    <w:p w14:paraId="4600C129" w14:textId="77777777" w:rsidR="00D00A93" w:rsidRPr="009F750B" w:rsidRDefault="00D00A93" w:rsidP="00D00A93">
      <w:pPr>
        <w:jc w:val="both"/>
        <w:rPr>
          <w:bCs/>
          <w:szCs w:val="24"/>
          <w:lang w:val="en-US"/>
        </w:rPr>
      </w:pPr>
    </w:p>
    <w:p w14:paraId="25FF252D" w14:textId="77777777" w:rsidR="00D00A93" w:rsidRDefault="00D00A93" w:rsidP="00D00A93">
      <w:pPr>
        <w:jc w:val="both"/>
        <w:rPr>
          <w:bCs/>
          <w:szCs w:val="24"/>
          <w:lang w:val="en-US"/>
        </w:rPr>
      </w:pPr>
      <w:r w:rsidRPr="009F750B">
        <w:rPr>
          <w:b/>
          <w:szCs w:val="24"/>
          <w:lang w:val="en-US"/>
        </w:rPr>
        <w:t xml:space="preserve">Supplementary Table </w:t>
      </w:r>
      <w:r>
        <w:rPr>
          <w:b/>
          <w:szCs w:val="24"/>
          <w:lang w:val="en-US"/>
        </w:rPr>
        <w:t>7.</w:t>
      </w:r>
      <w:r w:rsidRPr="009F750B">
        <w:rPr>
          <w:b/>
          <w:szCs w:val="24"/>
          <w:lang w:val="en-US"/>
        </w:rPr>
        <w:t xml:space="preserve"> </w:t>
      </w:r>
      <w:r w:rsidRPr="00802582">
        <w:rPr>
          <w:bCs/>
          <w:szCs w:val="24"/>
          <w:lang w:val="en-US"/>
        </w:rPr>
        <w:t xml:space="preserve">Enrichment analysis of BTMs post-vaccination. </w:t>
      </w:r>
    </w:p>
    <w:p w14:paraId="4841FCAC" w14:textId="77777777" w:rsidR="00D00A93" w:rsidRPr="009F750B" w:rsidRDefault="00D00A93" w:rsidP="00D00A93">
      <w:pPr>
        <w:jc w:val="both"/>
        <w:rPr>
          <w:b/>
          <w:szCs w:val="24"/>
          <w:lang w:val="en-US"/>
        </w:rPr>
      </w:pPr>
    </w:p>
    <w:p w14:paraId="26873DB5" w14:textId="77777777" w:rsidR="00D00A93" w:rsidRDefault="00D00A93" w:rsidP="00D00A93">
      <w:pPr>
        <w:jc w:val="both"/>
        <w:rPr>
          <w:bCs/>
          <w:szCs w:val="24"/>
          <w:lang w:val="en-US"/>
        </w:rPr>
      </w:pPr>
      <w:r w:rsidRPr="009F750B">
        <w:rPr>
          <w:b/>
          <w:szCs w:val="24"/>
          <w:lang w:val="en-US"/>
        </w:rPr>
        <w:t xml:space="preserve">Supplementary Table </w:t>
      </w:r>
      <w:r>
        <w:rPr>
          <w:b/>
          <w:szCs w:val="24"/>
          <w:lang w:val="en-US"/>
        </w:rPr>
        <w:t>8.</w:t>
      </w:r>
      <w:r w:rsidRPr="009F750B">
        <w:rPr>
          <w:b/>
          <w:szCs w:val="24"/>
          <w:lang w:val="en-US"/>
        </w:rPr>
        <w:t xml:space="preserve"> </w:t>
      </w:r>
      <w:r w:rsidRPr="009F750B">
        <w:rPr>
          <w:bCs/>
          <w:szCs w:val="24"/>
          <w:lang w:val="en-US"/>
        </w:rPr>
        <w:t xml:space="preserve">Flow cytometry panels and markers defining each immune cell population. </w:t>
      </w:r>
    </w:p>
    <w:p w14:paraId="2D571FD2" w14:textId="77777777" w:rsidR="00D00A93" w:rsidRDefault="00D00A93" w:rsidP="00D00A93">
      <w:pPr>
        <w:jc w:val="both"/>
        <w:rPr>
          <w:bCs/>
          <w:szCs w:val="24"/>
          <w:lang w:val="en-US"/>
        </w:rPr>
      </w:pPr>
    </w:p>
    <w:p w14:paraId="026C97AE" w14:textId="77777777" w:rsidR="00D00A93" w:rsidRDefault="00D00A93" w:rsidP="00D00A93">
      <w:pPr>
        <w:jc w:val="both"/>
        <w:rPr>
          <w:bCs/>
          <w:szCs w:val="24"/>
          <w:lang w:val="en-US"/>
        </w:rPr>
      </w:pPr>
      <w:r w:rsidRPr="009F750B">
        <w:rPr>
          <w:b/>
          <w:szCs w:val="24"/>
          <w:lang w:val="en-US"/>
        </w:rPr>
        <w:t xml:space="preserve">Supplementary Table </w:t>
      </w:r>
      <w:r>
        <w:rPr>
          <w:b/>
          <w:szCs w:val="24"/>
          <w:lang w:val="en-US"/>
        </w:rPr>
        <w:t>9.</w:t>
      </w:r>
      <w:r w:rsidRPr="009F750B">
        <w:rPr>
          <w:b/>
          <w:szCs w:val="24"/>
          <w:lang w:val="en-US"/>
        </w:rPr>
        <w:t xml:space="preserve"> </w:t>
      </w:r>
      <w:r>
        <w:rPr>
          <w:b/>
          <w:szCs w:val="24"/>
          <w:lang w:val="en-US"/>
        </w:rPr>
        <w:t xml:space="preserve"> </w:t>
      </w:r>
      <w:r w:rsidRPr="003B07F0">
        <w:rPr>
          <w:bCs/>
          <w:szCs w:val="24"/>
          <w:lang w:val="en-US"/>
        </w:rPr>
        <w:t xml:space="preserve">Flow cytometry analysis </w:t>
      </w:r>
      <w:r>
        <w:rPr>
          <w:bCs/>
          <w:szCs w:val="24"/>
          <w:lang w:val="en-US"/>
        </w:rPr>
        <w:t>of circulating immune cell populations in</w:t>
      </w:r>
      <w:r w:rsidRPr="003B07F0">
        <w:rPr>
          <w:bCs/>
          <w:szCs w:val="24"/>
          <w:lang w:val="en-US"/>
        </w:rPr>
        <w:t xml:space="preserve"> Neo-ABX, IP-ABX and PN-ABX infants at week 7 of life relative to No ABX infants.</w:t>
      </w:r>
    </w:p>
    <w:p w14:paraId="1B03A044" w14:textId="77777777" w:rsidR="00D00A93" w:rsidRDefault="00D00A93" w:rsidP="00D00A93">
      <w:pPr>
        <w:jc w:val="both"/>
        <w:rPr>
          <w:bCs/>
          <w:szCs w:val="24"/>
          <w:lang w:val="en-US"/>
        </w:rPr>
      </w:pPr>
    </w:p>
    <w:p w14:paraId="75281111" w14:textId="77777777" w:rsidR="00D00A93" w:rsidRDefault="00D00A93" w:rsidP="00D00A93">
      <w:pPr>
        <w:jc w:val="both"/>
        <w:rPr>
          <w:bCs/>
          <w:szCs w:val="24"/>
          <w:lang w:val="en-US"/>
        </w:rPr>
      </w:pPr>
      <w:r w:rsidRPr="009F750B">
        <w:rPr>
          <w:b/>
          <w:szCs w:val="24"/>
          <w:lang w:val="en-US"/>
        </w:rPr>
        <w:t xml:space="preserve">Supplementary Table </w:t>
      </w:r>
      <w:r>
        <w:rPr>
          <w:b/>
          <w:szCs w:val="24"/>
          <w:lang w:val="en-US"/>
        </w:rPr>
        <w:t>10</w:t>
      </w:r>
      <w:r w:rsidRPr="003B07F0">
        <w:rPr>
          <w:b/>
          <w:szCs w:val="24"/>
          <w:lang w:val="en-US"/>
        </w:rPr>
        <w:t>.</w:t>
      </w:r>
      <w:r w:rsidRPr="009F750B">
        <w:rPr>
          <w:bCs/>
          <w:szCs w:val="24"/>
          <w:lang w:val="en-US"/>
        </w:rPr>
        <w:t xml:space="preserve"> Metagenomic sample statistics.</w:t>
      </w:r>
    </w:p>
    <w:p w14:paraId="1D23AB25" w14:textId="77777777" w:rsidR="00D00A93" w:rsidRPr="009F750B" w:rsidRDefault="00D00A93" w:rsidP="00D00A93">
      <w:pPr>
        <w:jc w:val="both"/>
        <w:rPr>
          <w:bCs/>
          <w:szCs w:val="24"/>
          <w:lang w:val="en-US"/>
        </w:rPr>
      </w:pPr>
    </w:p>
    <w:p w14:paraId="7C69688E" w14:textId="77777777" w:rsidR="00D00A93" w:rsidRDefault="00D00A93" w:rsidP="00D00A93">
      <w:pPr>
        <w:jc w:val="both"/>
        <w:rPr>
          <w:bCs/>
          <w:szCs w:val="24"/>
          <w:lang w:val="en-US"/>
        </w:rPr>
      </w:pPr>
      <w:r w:rsidRPr="009F750B">
        <w:rPr>
          <w:b/>
          <w:szCs w:val="24"/>
          <w:lang w:val="en-US"/>
        </w:rPr>
        <w:t>Supplementary Table 1</w:t>
      </w:r>
      <w:r>
        <w:rPr>
          <w:b/>
          <w:szCs w:val="24"/>
          <w:lang w:val="en-US"/>
        </w:rPr>
        <w:t>1</w:t>
      </w:r>
      <w:r w:rsidRPr="003B07F0">
        <w:rPr>
          <w:b/>
          <w:szCs w:val="24"/>
          <w:lang w:val="en-US"/>
        </w:rPr>
        <w:t>.</w:t>
      </w:r>
      <w:r w:rsidRPr="009F750B">
        <w:rPr>
          <w:bCs/>
          <w:szCs w:val="24"/>
          <w:lang w:val="en-US"/>
        </w:rPr>
        <w:t xml:space="preserve"> </w:t>
      </w:r>
      <w:r w:rsidRPr="005620A3">
        <w:rPr>
          <w:bCs/>
          <w:szCs w:val="24"/>
          <w:lang w:val="en-US"/>
        </w:rPr>
        <w:t>Differentially abundant microbial species</w:t>
      </w:r>
      <w:r>
        <w:rPr>
          <w:bCs/>
          <w:szCs w:val="24"/>
          <w:lang w:val="en-US"/>
        </w:rPr>
        <w:t>/genera</w:t>
      </w:r>
      <w:r w:rsidRPr="005620A3">
        <w:rPr>
          <w:bCs/>
          <w:szCs w:val="24"/>
          <w:lang w:val="en-US"/>
        </w:rPr>
        <w:t xml:space="preserve"> in </w:t>
      </w:r>
      <w:r>
        <w:rPr>
          <w:bCs/>
          <w:szCs w:val="24"/>
          <w:lang w:val="en-US"/>
        </w:rPr>
        <w:t xml:space="preserve">stool samples collected from </w:t>
      </w:r>
      <w:r w:rsidRPr="005620A3">
        <w:rPr>
          <w:bCs/>
          <w:szCs w:val="24"/>
          <w:lang w:val="en-US"/>
        </w:rPr>
        <w:t xml:space="preserve">Neo-ABX, IP-ABX and PN-ABX infants at week 1 and 6 compared to No ABX infants. </w:t>
      </w:r>
    </w:p>
    <w:p w14:paraId="72DCFFAD" w14:textId="77777777" w:rsidR="00D00A93" w:rsidRPr="009F750B" w:rsidRDefault="00D00A93" w:rsidP="00D00A93">
      <w:pPr>
        <w:jc w:val="both"/>
        <w:rPr>
          <w:bCs/>
          <w:szCs w:val="24"/>
          <w:lang w:val="en-US"/>
        </w:rPr>
      </w:pPr>
    </w:p>
    <w:p w14:paraId="234985DD" w14:textId="77777777" w:rsidR="00D00A93" w:rsidRDefault="00D00A93" w:rsidP="00D00A93">
      <w:pPr>
        <w:jc w:val="both"/>
        <w:rPr>
          <w:bCs/>
          <w:szCs w:val="24"/>
          <w:lang w:val="en-US"/>
        </w:rPr>
      </w:pPr>
      <w:r w:rsidRPr="009F750B">
        <w:rPr>
          <w:b/>
          <w:szCs w:val="24"/>
          <w:lang w:val="en-US"/>
        </w:rPr>
        <w:t>Supplementary Table 1</w:t>
      </w:r>
      <w:r>
        <w:rPr>
          <w:b/>
          <w:szCs w:val="24"/>
          <w:lang w:val="en-US"/>
        </w:rPr>
        <w:t>2</w:t>
      </w:r>
      <w:r w:rsidRPr="003B07F0">
        <w:rPr>
          <w:b/>
          <w:szCs w:val="24"/>
          <w:lang w:val="en-US"/>
        </w:rPr>
        <w:t>.</w:t>
      </w:r>
      <w:r w:rsidRPr="009F750B">
        <w:rPr>
          <w:bCs/>
          <w:szCs w:val="24"/>
          <w:lang w:val="en-US"/>
        </w:rPr>
        <w:t xml:space="preserve"> </w:t>
      </w:r>
      <w:r w:rsidRPr="005620A3">
        <w:rPr>
          <w:bCs/>
          <w:szCs w:val="24"/>
          <w:lang w:val="en-US"/>
        </w:rPr>
        <w:t xml:space="preserve">Differential abundant microbial pathways in </w:t>
      </w:r>
      <w:r>
        <w:rPr>
          <w:bCs/>
          <w:szCs w:val="24"/>
          <w:lang w:val="en-US"/>
        </w:rPr>
        <w:t xml:space="preserve">stool samples collected from </w:t>
      </w:r>
      <w:r w:rsidRPr="005620A3">
        <w:rPr>
          <w:bCs/>
          <w:szCs w:val="24"/>
          <w:lang w:val="en-US"/>
        </w:rPr>
        <w:t xml:space="preserve">Neo-ABX and IP-ABX infants at week 1 and 6 compared to No ABX infants. </w:t>
      </w:r>
    </w:p>
    <w:p w14:paraId="56A1260F" w14:textId="77777777" w:rsidR="00D00A93" w:rsidRDefault="00D00A93" w:rsidP="00D00A93">
      <w:pPr>
        <w:jc w:val="both"/>
        <w:rPr>
          <w:bCs/>
          <w:szCs w:val="24"/>
          <w:lang w:val="en-US"/>
        </w:rPr>
      </w:pPr>
    </w:p>
    <w:p w14:paraId="7F3DDED1" w14:textId="77777777" w:rsidR="00D00A93" w:rsidRDefault="00D00A93" w:rsidP="00D00A93">
      <w:pPr>
        <w:jc w:val="both"/>
      </w:pPr>
      <w:r w:rsidRPr="005A0F40">
        <w:rPr>
          <w:b/>
          <w:szCs w:val="24"/>
        </w:rPr>
        <w:t xml:space="preserve">Supplementary Table 13. </w:t>
      </w:r>
      <w:r w:rsidRPr="00127F91">
        <w:rPr>
          <w:bCs/>
          <w:szCs w:val="24"/>
        </w:rPr>
        <w:t>Correlations between the</w:t>
      </w:r>
      <w:r>
        <w:rPr>
          <w:b/>
          <w:szCs w:val="24"/>
        </w:rPr>
        <w:t xml:space="preserve"> </w:t>
      </w:r>
      <w:r w:rsidRPr="005A0F40">
        <w:rPr>
          <w:bCs/>
          <w:szCs w:val="24"/>
        </w:rPr>
        <w:t>normalised abundance</w:t>
      </w:r>
      <w:r>
        <w:rPr>
          <w:bCs/>
          <w:szCs w:val="24"/>
        </w:rPr>
        <w:t xml:space="preserve"> of</w:t>
      </w:r>
      <w:r w:rsidRPr="005A0F40">
        <w:rPr>
          <w:bCs/>
          <w:szCs w:val="24"/>
        </w:rPr>
        <w:t xml:space="preserve"> </w:t>
      </w:r>
      <w:r>
        <w:rPr>
          <w:bCs/>
          <w:szCs w:val="24"/>
        </w:rPr>
        <w:t>taxa</w:t>
      </w:r>
      <w:r w:rsidRPr="005A0F40">
        <w:rPr>
          <w:bCs/>
          <w:szCs w:val="24"/>
        </w:rPr>
        <w:t xml:space="preserve"> in the infant faecal microbiota at </w:t>
      </w:r>
      <w:r>
        <w:rPr>
          <w:bCs/>
          <w:szCs w:val="24"/>
        </w:rPr>
        <w:t xml:space="preserve">week 1 and </w:t>
      </w:r>
      <w:r w:rsidRPr="005A0F40">
        <w:rPr>
          <w:bCs/>
          <w:szCs w:val="24"/>
        </w:rPr>
        <w:t>week 6 and antibody responses to vaccination at month 7.</w:t>
      </w:r>
    </w:p>
    <w:p w14:paraId="21368118" w14:textId="77777777" w:rsidR="00507273" w:rsidRDefault="00507273"/>
    <w:sectPr w:rsidR="0050727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0A93"/>
    <w:rsid w:val="00507273"/>
    <w:rsid w:val="00586CA3"/>
    <w:rsid w:val="00D00A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686C36"/>
  <w15:chartTrackingRefBased/>
  <w15:docId w15:val="{06D9FDFE-89B2-4B2F-849E-5A1F1E12C1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0A93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D00A93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00A93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00A93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00A93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00A93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00A93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00A93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00A93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00A93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00A9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00A9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00A9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00A9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00A9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00A9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00A9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00A9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00A9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00A9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D00A9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00A93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D00A9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00A93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D00A9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00A9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D00A9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00A9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00A9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00A9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257</Words>
  <Characters>1466</Characters>
  <Application>Microsoft Office Word</Application>
  <DocSecurity>0</DocSecurity>
  <Lines>12</Lines>
  <Paragraphs>3</Paragraphs>
  <ScaleCrop>false</ScaleCrop>
  <Company>Springer Nature</Company>
  <LinksUpToDate>false</LinksUpToDate>
  <CharactersWithSpaces>1720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Pentney</dc:creator>
  <cp:keywords/>
  <dc:description/>
  <cp:lastModifiedBy>David Pentney</cp:lastModifiedBy>
  <cp:revision>1</cp:revision>
  <dcterms:created xsi:type="dcterms:W3CDTF">2025-02-18T11:36:00Z</dcterms:created>
  <dcterms:modified xsi:type="dcterms:W3CDTF">2025-02-18T11:36:00Z</dcterms:modified>
</cp:coreProperties>
</file>