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6DC8" w14:textId="19544C5A" w:rsidR="00483190" w:rsidRDefault="002A6591" w:rsidP="0015483C">
      <w:pPr>
        <w:spacing w:line="360" w:lineRule="auto"/>
        <w:contextualSpacing/>
        <w:rPr>
          <w:rFonts w:ascii="Arial" w:hAnsi="Arial" w:cs="Arial"/>
          <w:b/>
          <w:bCs/>
        </w:rPr>
      </w:pPr>
      <w:r w:rsidRPr="002A6591">
        <w:rPr>
          <w:rFonts w:ascii="Arial" w:hAnsi="Arial" w:cs="Arial"/>
          <w:b/>
          <w:bCs/>
        </w:rPr>
        <w:t>Supplemental Information</w:t>
      </w:r>
      <w:r w:rsidR="0015483C">
        <w:rPr>
          <w:rFonts w:ascii="Arial" w:hAnsi="Arial" w:cs="Arial"/>
          <w:b/>
          <w:bCs/>
        </w:rPr>
        <w:t xml:space="preserve"> </w:t>
      </w:r>
    </w:p>
    <w:p w14:paraId="288FB0AF" w14:textId="77777777" w:rsidR="0015483C" w:rsidRDefault="0015483C" w:rsidP="0015483C">
      <w:pPr>
        <w:spacing w:line="360" w:lineRule="auto"/>
        <w:contextualSpacing/>
        <w:rPr>
          <w:rFonts w:ascii="Arial" w:hAnsi="Arial" w:cs="Arial"/>
          <w:b/>
          <w:bCs/>
        </w:rPr>
      </w:pPr>
    </w:p>
    <w:p w14:paraId="53890EF2" w14:textId="77777777" w:rsidR="0015483C" w:rsidRDefault="0015483C" w:rsidP="0015483C">
      <w:pPr>
        <w:spacing w:line="360" w:lineRule="auto"/>
        <w:contextualSpacing/>
        <w:rPr>
          <w:rFonts w:ascii="Arial" w:hAnsi="Arial" w:cs="Arial"/>
          <w:b/>
          <w:bCs/>
        </w:rPr>
      </w:pPr>
    </w:p>
    <w:p w14:paraId="7EA30062" w14:textId="77777777" w:rsidR="0015483C" w:rsidRDefault="0015483C" w:rsidP="0015483C">
      <w:pPr>
        <w:spacing w:line="360" w:lineRule="auto"/>
        <w:contextualSpacing/>
        <w:rPr>
          <w:rFonts w:ascii="Arial" w:hAnsi="Arial" w:cs="Arial"/>
          <w:b/>
          <w:bCs/>
        </w:rPr>
      </w:pPr>
    </w:p>
    <w:p w14:paraId="61B30288" w14:textId="77777777" w:rsidR="002A6591" w:rsidRDefault="002A6591" w:rsidP="0015483C">
      <w:pPr>
        <w:spacing w:line="360" w:lineRule="auto"/>
        <w:contextualSpacing/>
        <w:rPr>
          <w:rFonts w:ascii="Arial" w:hAnsi="Arial" w:cs="Arial"/>
          <w:b/>
          <w:bCs/>
        </w:rPr>
      </w:pPr>
    </w:p>
    <w:p w14:paraId="41B79AA3" w14:textId="4E2DE21C" w:rsidR="002A6591" w:rsidRPr="002A6591" w:rsidRDefault="002A6591" w:rsidP="0015483C">
      <w:pPr>
        <w:spacing w:line="360" w:lineRule="auto"/>
        <w:contextualSpacing/>
        <w:rPr>
          <w:rFonts w:ascii="Arial" w:hAnsi="Arial" w:cs="Arial"/>
          <w:b/>
          <w:bCs/>
        </w:rPr>
      </w:pPr>
      <w:r w:rsidRPr="002A6591">
        <w:rPr>
          <w:rFonts w:ascii="Arial" w:hAnsi="Arial" w:cs="Arial"/>
          <w:b/>
          <w:bCs/>
        </w:rPr>
        <w:t>Supplementary Note</w:t>
      </w:r>
      <w:r>
        <w:rPr>
          <w:rFonts w:ascii="Arial" w:hAnsi="Arial" w:cs="Arial"/>
          <w:b/>
          <w:bCs/>
        </w:rPr>
        <w:t>: Clinical Rating Scales</w:t>
      </w:r>
    </w:p>
    <w:p w14:paraId="5F92C258" w14:textId="77777777" w:rsidR="00B90EA6" w:rsidRDefault="00B90EA6" w:rsidP="0015483C">
      <w:pPr>
        <w:spacing w:line="360" w:lineRule="auto"/>
        <w:contextualSpacing/>
        <w:rPr>
          <w:rFonts w:ascii="Arial" w:hAnsi="Arial" w:cs="Arial"/>
        </w:rPr>
      </w:pPr>
      <w:bookmarkStart w:id="0" w:name="_TOC_250008"/>
      <w:bookmarkStart w:id="1" w:name="_TOC_250007"/>
    </w:p>
    <w:p w14:paraId="4D7C7CE8" w14:textId="69403734" w:rsidR="002A6591" w:rsidRPr="002A6591" w:rsidRDefault="002A6591" w:rsidP="0015483C">
      <w:pPr>
        <w:spacing w:line="360" w:lineRule="auto"/>
        <w:contextualSpacing/>
        <w:rPr>
          <w:rFonts w:ascii="Arial" w:hAnsi="Arial" w:cs="Arial"/>
        </w:rPr>
      </w:pPr>
      <w:r w:rsidRPr="002A6591">
        <w:rPr>
          <w:rFonts w:ascii="Arial" w:hAnsi="Arial" w:cs="Arial"/>
        </w:rPr>
        <w:t xml:space="preserve">The MDS-UPDRS Part II reports on motor experiences of daily living and contains 13 items with a </w:t>
      </w:r>
      <w:proofErr w:type="spellStart"/>
      <w:r w:rsidRPr="002A6591">
        <w:rPr>
          <w:rFonts w:ascii="Arial" w:hAnsi="Arial" w:cs="Arial"/>
        </w:rPr>
        <w:t>subscore</w:t>
      </w:r>
      <w:proofErr w:type="spellEnd"/>
      <w:r w:rsidRPr="002A6591">
        <w:rPr>
          <w:rFonts w:ascii="Arial" w:hAnsi="Arial" w:cs="Arial"/>
        </w:rPr>
        <w:t xml:space="preserve"> range of 0 to 52 points; higher scores indicate more severe motor symptoms.</w:t>
      </w:r>
    </w:p>
    <w:p w14:paraId="3BD0B150" w14:textId="77777777" w:rsidR="002A6591" w:rsidRPr="002A6591" w:rsidRDefault="002A6591" w:rsidP="0015483C">
      <w:pPr>
        <w:spacing w:line="360" w:lineRule="auto"/>
        <w:contextualSpacing/>
        <w:rPr>
          <w:rFonts w:ascii="Arial" w:hAnsi="Arial" w:cs="Arial"/>
        </w:rPr>
      </w:pPr>
      <w:r w:rsidRPr="002A6591">
        <w:rPr>
          <w:rFonts w:ascii="Arial" w:hAnsi="Arial" w:cs="Arial"/>
        </w:rPr>
        <w:t xml:space="preserve">The Hauser diary is a home diary maintained by PD patients who report on their predominant status throughout the day during half-hour periods of time, using categories of Asleep, </w:t>
      </w:r>
      <w:proofErr w:type="gramStart"/>
      <w:r w:rsidRPr="002A6591">
        <w:rPr>
          <w:rFonts w:ascii="Arial" w:hAnsi="Arial" w:cs="Arial"/>
        </w:rPr>
        <w:t>Off</w:t>
      </w:r>
      <w:proofErr w:type="gramEnd"/>
      <w:r w:rsidRPr="002A6591">
        <w:rPr>
          <w:rFonts w:ascii="Arial" w:hAnsi="Arial" w:cs="Arial"/>
        </w:rPr>
        <w:t xml:space="preserve"> without dyskinesias, On with non-troublesome dyskinesia and On with troublesome dyskinesia. Time is adjusted for 16-hour waking days.</w:t>
      </w:r>
    </w:p>
    <w:p w14:paraId="502F2C85" w14:textId="77777777" w:rsidR="002A6591" w:rsidRPr="002A6591" w:rsidRDefault="002A6591" w:rsidP="0015483C">
      <w:pPr>
        <w:spacing w:line="360" w:lineRule="auto"/>
        <w:contextualSpacing/>
        <w:rPr>
          <w:rFonts w:ascii="Arial" w:hAnsi="Arial" w:cs="Arial"/>
        </w:rPr>
      </w:pPr>
      <w:r w:rsidRPr="002A6591">
        <w:rPr>
          <w:rFonts w:ascii="Arial" w:hAnsi="Arial" w:cs="Arial"/>
        </w:rPr>
        <w:t xml:space="preserve">The </w:t>
      </w:r>
      <w:proofErr w:type="spellStart"/>
      <w:r w:rsidRPr="002A6591">
        <w:rPr>
          <w:rFonts w:ascii="Arial" w:hAnsi="Arial" w:cs="Arial"/>
        </w:rPr>
        <w:t>UDysRS</w:t>
      </w:r>
      <w:proofErr w:type="spellEnd"/>
      <w:r w:rsidRPr="002A6591">
        <w:rPr>
          <w:rFonts w:ascii="Arial" w:hAnsi="Arial" w:cs="Arial"/>
        </w:rPr>
        <w:t xml:space="preserve"> (Unified Dyskinesia rating Scale) measures the intensity of involuntary movements (dyskinesias) and their impact on patient function. The Objective </w:t>
      </w:r>
      <w:proofErr w:type="spellStart"/>
      <w:r w:rsidRPr="002A6591">
        <w:rPr>
          <w:rFonts w:ascii="Arial" w:hAnsi="Arial" w:cs="Arial"/>
        </w:rPr>
        <w:t>Subscore</w:t>
      </w:r>
      <w:proofErr w:type="spellEnd"/>
      <w:r w:rsidRPr="002A6591">
        <w:rPr>
          <w:rFonts w:ascii="Arial" w:hAnsi="Arial" w:cs="Arial"/>
        </w:rPr>
        <w:t xml:space="preserve"> is made up of Part 3 (Impairment, seven items) and Part 4 (Disability, four items). The Objective Subscale consists of 11 items on a scale of 0 (normal) to 4 (severe), with a total possible score of 44; higher scores represent more severe symptoms.</w:t>
      </w:r>
    </w:p>
    <w:p w14:paraId="446DADED" w14:textId="185BEB08" w:rsidR="00983054" w:rsidRDefault="002A6591" w:rsidP="00B133FC">
      <w:pPr>
        <w:spacing w:line="360" w:lineRule="auto"/>
        <w:contextualSpacing/>
        <w:rPr>
          <w:b/>
          <w:bCs/>
        </w:rPr>
      </w:pPr>
      <w:r w:rsidRPr="002A6591">
        <w:rPr>
          <w:rFonts w:ascii="Arial" w:hAnsi="Arial" w:cs="Arial"/>
        </w:rPr>
        <w:t xml:space="preserve">Summary of inclusion and exclusion criteria in the clinical trial as described in the study protocol. 18F-DOPA, </w:t>
      </w:r>
      <w:r w:rsidRPr="002A6591">
        <w:rPr>
          <w:rFonts w:ascii="Arial" w:hAnsi="Arial" w:cs="Arial"/>
          <w:vertAlign w:val="superscript"/>
        </w:rPr>
        <w:t>18</w:t>
      </w:r>
      <w:r w:rsidRPr="002A6591">
        <w:rPr>
          <w:rFonts w:ascii="Arial" w:hAnsi="Arial" w:cs="Arial"/>
        </w:rPr>
        <w:t>F−fluorodopa; AIMS, Abnormal Involuntary Movement Scale; CMV, cytomegalovirus; DA, dopamine; DBS, deep brain stimulation; HIV, human immunodeficiency virus; MDS-UPDRS, Movement Disorder Society Unified Parkinson’s Disease Rating Scale; MoCA, Montreal Cognitive Assessment; MRI, magnetic resonance imaging; PD, Parkinson’s disease; PET, positron emission tomography; VDRL, Venereal Disease Research Laboratory.</w:t>
      </w:r>
    </w:p>
    <w:p w14:paraId="70E79587" w14:textId="77777777" w:rsidR="00983054" w:rsidRDefault="00983054" w:rsidP="0015483C">
      <w:pPr>
        <w:pStyle w:val="BodyText"/>
        <w:spacing w:before="247" w:line="360" w:lineRule="auto"/>
        <w:contextualSpacing/>
        <w:rPr>
          <w:b/>
          <w:bCs/>
        </w:rPr>
      </w:pPr>
    </w:p>
    <w:bookmarkEnd w:id="0"/>
    <w:bookmarkEnd w:id="1"/>
    <w:p w14:paraId="08E110F3" w14:textId="77777777" w:rsidR="002A6591" w:rsidRPr="0015483C" w:rsidRDefault="002A6591" w:rsidP="0015483C">
      <w:pPr>
        <w:spacing w:line="360" w:lineRule="auto"/>
        <w:contextualSpacing/>
        <w:rPr>
          <w:rFonts w:ascii="Arial" w:hAnsi="Arial" w:cs="Arial"/>
          <w:b/>
          <w:bCs/>
        </w:rPr>
      </w:pPr>
    </w:p>
    <w:p w14:paraId="13B3381D" w14:textId="77777777" w:rsidR="00E60383" w:rsidRPr="00E60383" w:rsidRDefault="00E60383" w:rsidP="0015483C">
      <w:pPr>
        <w:spacing w:line="360" w:lineRule="auto"/>
        <w:contextualSpacing/>
        <w:rPr>
          <w:b/>
          <w:bCs/>
        </w:rPr>
      </w:pPr>
    </w:p>
    <w:p w14:paraId="11EF548D" w14:textId="77777777" w:rsidR="00E60383" w:rsidRPr="002A6591" w:rsidRDefault="00E60383" w:rsidP="0015483C">
      <w:pPr>
        <w:spacing w:line="360" w:lineRule="auto"/>
        <w:contextualSpacing/>
        <w:rPr>
          <w:b/>
          <w:bCs/>
        </w:rPr>
      </w:pPr>
    </w:p>
    <w:sectPr w:rsidR="00E60383" w:rsidRPr="002A6591" w:rsidSect="002A659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91"/>
    <w:rsid w:val="0015483C"/>
    <w:rsid w:val="002A6591"/>
    <w:rsid w:val="00483190"/>
    <w:rsid w:val="007933B9"/>
    <w:rsid w:val="00983054"/>
    <w:rsid w:val="00B133FC"/>
    <w:rsid w:val="00B90EA6"/>
    <w:rsid w:val="00C61369"/>
    <w:rsid w:val="00E60383"/>
    <w:rsid w:val="00FE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44904"/>
  <w15:chartTrackingRefBased/>
  <w15:docId w15:val="{1226E78C-AD13-4F95-82DC-724FCAC08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A65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A6591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Tabar, Viviane</dc:creator>
  <cp:keywords/>
  <dc:description/>
  <cp:lastModifiedBy>Tabar, Viviane</cp:lastModifiedBy>
  <cp:revision>2</cp:revision>
  <dcterms:created xsi:type="dcterms:W3CDTF">2025-02-05T01:57:00Z</dcterms:created>
  <dcterms:modified xsi:type="dcterms:W3CDTF">2025-02-05T01:57:00Z</dcterms:modified>
</cp:coreProperties>
</file>