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26C9" w14:textId="7CD843D6" w:rsidR="00EF5274" w:rsidRPr="00940D17" w:rsidRDefault="005E23BE" w:rsidP="00104B0B">
      <w:pPr>
        <w:ind w:left="720" w:hanging="720"/>
        <w:jc w:val="center"/>
        <w:rPr>
          <w:rFonts w:ascii="Arial" w:hAnsi="Arial" w:cs="Arial"/>
          <w:b/>
          <w:bCs/>
          <w:sz w:val="28"/>
          <w:szCs w:val="28"/>
        </w:rPr>
      </w:pPr>
      <w:r w:rsidRPr="00940D17">
        <w:rPr>
          <w:rFonts w:ascii="Arial" w:hAnsi="Arial" w:cs="Arial"/>
          <w:b/>
          <w:bCs/>
          <w:sz w:val="28"/>
          <w:szCs w:val="28"/>
        </w:rPr>
        <w:t>Supplementary Information Guide</w:t>
      </w:r>
    </w:p>
    <w:p w14:paraId="69794BE9" w14:textId="3BC0EC29" w:rsidR="00C82C20" w:rsidRPr="00940D17" w:rsidRDefault="00C82C20" w:rsidP="00104B0B">
      <w:pPr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C82C20">
        <w:rPr>
          <w:rFonts w:ascii="Arial" w:hAnsi="Arial" w:cs="Arial"/>
          <w:b/>
          <w:bCs/>
          <w:sz w:val="22"/>
          <w:szCs w:val="22"/>
        </w:rPr>
        <w:t>Single-cell transcriptomic and chromatin dynamics of the human brain in PTSD</w:t>
      </w:r>
    </w:p>
    <w:p w14:paraId="2F66E437" w14:textId="77777777" w:rsidR="005E23BE" w:rsidRPr="00940D17" w:rsidRDefault="005E23BE" w:rsidP="005E23BE">
      <w:pPr>
        <w:rPr>
          <w:rFonts w:ascii="Arial" w:hAnsi="Arial" w:cs="Arial"/>
          <w:sz w:val="22"/>
          <w:szCs w:val="22"/>
          <w:vertAlign w:val="superscript"/>
        </w:rPr>
      </w:pPr>
      <w:r w:rsidRPr="00940D17">
        <w:rPr>
          <w:rFonts w:ascii="Arial" w:hAnsi="Arial" w:cs="Arial"/>
          <w:sz w:val="22"/>
          <w:szCs w:val="22"/>
        </w:rPr>
        <w:t>Ahyeon Hwang</w:t>
      </w:r>
      <w:r w:rsidRPr="00940D17">
        <w:rPr>
          <w:rFonts w:ascii="Arial" w:hAnsi="Arial" w:cs="Arial"/>
          <w:sz w:val="22"/>
          <w:szCs w:val="22"/>
          <w:vertAlign w:val="superscript"/>
        </w:rPr>
        <w:t>1,2,#</w:t>
      </w:r>
      <w:r w:rsidRPr="00940D17">
        <w:rPr>
          <w:rFonts w:ascii="Arial" w:hAnsi="Arial" w:cs="Arial"/>
          <w:sz w:val="22"/>
          <w:szCs w:val="22"/>
        </w:rPr>
        <w:t xml:space="preserve"> Mario Skarica</w:t>
      </w:r>
      <w:r w:rsidRPr="00940D17">
        <w:rPr>
          <w:rFonts w:ascii="Arial" w:hAnsi="Arial" w:cs="Arial"/>
          <w:sz w:val="22"/>
          <w:szCs w:val="22"/>
          <w:vertAlign w:val="superscript"/>
        </w:rPr>
        <w:t>3,#</w:t>
      </w:r>
      <w:r w:rsidRPr="00940D17">
        <w:rPr>
          <w:rFonts w:ascii="Arial" w:hAnsi="Arial" w:cs="Arial"/>
          <w:sz w:val="22"/>
          <w:szCs w:val="22"/>
        </w:rPr>
        <w:t>, Siwei Xu</w:t>
      </w:r>
      <w:r w:rsidRPr="00940D17">
        <w:rPr>
          <w:rFonts w:ascii="Arial" w:hAnsi="Arial" w:cs="Arial"/>
          <w:sz w:val="22"/>
          <w:szCs w:val="22"/>
          <w:vertAlign w:val="superscript"/>
        </w:rPr>
        <w:t>2,#</w:t>
      </w:r>
      <w:r w:rsidRPr="00940D17">
        <w:rPr>
          <w:rFonts w:ascii="Arial" w:hAnsi="Arial" w:cs="Arial"/>
          <w:sz w:val="22"/>
          <w:szCs w:val="22"/>
        </w:rPr>
        <w:t>, Jensine Coudriet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Che Yu Lee</w:t>
      </w:r>
      <w:r w:rsidRPr="00940D17">
        <w:rPr>
          <w:rFonts w:ascii="Arial" w:hAnsi="Arial" w:cs="Arial"/>
          <w:sz w:val="22"/>
          <w:szCs w:val="22"/>
          <w:vertAlign w:val="superscript"/>
        </w:rPr>
        <w:t>2</w:t>
      </w:r>
      <w:r w:rsidRPr="00940D17">
        <w:rPr>
          <w:rFonts w:ascii="Arial" w:hAnsi="Arial" w:cs="Arial"/>
          <w:sz w:val="22"/>
          <w:szCs w:val="22"/>
        </w:rPr>
        <w:t>, Lin Lin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Rosemarie Terwilliger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Alexa-Nicole Sliby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Jiawei Wang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,Tuan Nguyen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Hongyu Li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Mini Wu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Yi Dai</w:t>
      </w:r>
      <w:r w:rsidRPr="00940D17">
        <w:rPr>
          <w:rFonts w:ascii="Arial" w:hAnsi="Arial" w:cs="Arial"/>
          <w:sz w:val="22"/>
          <w:szCs w:val="22"/>
          <w:vertAlign w:val="superscript"/>
        </w:rPr>
        <w:t>2</w:t>
      </w:r>
      <w:r w:rsidRPr="00940D17">
        <w:rPr>
          <w:rFonts w:ascii="Arial" w:hAnsi="Arial" w:cs="Arial"/>
          <w:sz w:val="22"/>
          <w:szCs w:val="22"/>
        </w:rPr>
        <w:t>, Ziheng Duan</w:t>
      </w:r>
      <w:r w:rsidRPr="00940D17">
        <w:rPr>
          <w:rFonts w:ascii="Arial" w:hAnsi="Arial" w:cs="Arial"/>
          <w:sz w:val="22"/>
          <w:szCs w:val="22"/>
          <w:vertAlign w:val="superscript"/>
        </w:rPr>
        <w:t>2</w:t>
      </w:r>
      <w:r w:rsidRPr="00940D17">
        <w:rPr>
          <w:rFonts w:ascii="Arial" w:hAnsi="Arial" w:cs="Arial"/>
          <w:sz w:val="22"/>
          <w:szCs w:val="22"/>
        </w:rPr>
        <w:t>, Shushrruth Sai Srinivasan</w:t>
      </w:r>
      <w:r w:rsidRPr="00940D17">
        <w:rPr>
          <w:rFonts w:ascii="Arial" w:hAnsi="Arial" w:cs="Arial"/>
          <w:sz w:val="22"/>
          <w:szCs w:val="22"/>
          <w:vertAlign w:val="superscript"/>
        </w:rPr>
        <w:t>1,2</w:t>
      </w:r>
      <w:r w:rsidRPr="00940D17">
        <w:rPr>
          <w:rFonts w:ascii="Arial" w:hAnsi="Arial" w:cs="Arial"/>
          <w:sz w:val="22"/>
          <w:szCs w:val="22"/>
        </w:rPr>
        <w:t>, Xiangyu Zhang</w:t>
      </w:r>
      <w:r w:rsidRPr="00940D17">
        <w:rPr>
          <w:rFonts w:ascii="Arial" w:hAnsi="Arial" w:cs="Arial"/>
          <w:sz w:val="22"/>
          <w:szCs w:val="22"/>
          <w:vertAlign w:val="superscript"/>
        </w:rPr>
        <w:t>4</w:t>
      </w:r>
      <w:r w:rsidRPr="00940D17">
        <w:rPr>
          <w:rFonts w:ascii="Arial" w:hAnsi="Arial" w:cs="Arial"/>
          <w:sz w:val="22"/>
          <w:szCs w:val="22"/>
        </w:rPr>
        <w:t>, Yingxin Lin</w:t>
      </w:r>
      <w:r w:rsidRPr="00940D17">
        <w:rPr>
          <w:rFonts w:ascii="Arial" w:hAnsi="Arial" w:cs="Arial"/>
          <w:sz w:val="22"/>
          <w:szCs w:val="22"/>
          <w:vertAlign w:val="superscript"/>
        </w:rPr>
        <w:t>4</w:t>
      </w:r>
      <w:r w:rsidRPr="00940D17">
        <w:rPr>
          <w:rFonts w:ascii="Arial" w:hAnsi="Arial" w:cs="Arial"/>
          <w:sz w:val="22"/>
          <w:szCs w:val="22"/>
        </w:rPr>
        <w:t>, Dianne Cruz</w:t>
      </w:r>
      <w:r w:rsidRPr="00940D17">
        <w:rPr>
          <w:rFonts w:ascii="Arial" w:hAnsi="Arial" w:cs="Arial"/>
          <w:sz w:val="22"/>
          <w:szCs w:val="22"/>
          <w:vertAlign w:val="superscript"/>
        </w:rPr>
        <w:t>5,6</w:t>
      </w:r>
      <w:r w:rsidRPr="00940D17">
        <w:rPr>
          <w:rFonts w:ascii="Arial" w:hAnsi="Arial" w:cs="Arial"/>
          <w:sz w:val="22"/>
          <w:szCs w:val="22"/>
        </w:rPr>
        <w:t>, PJ Michael Deans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Traumatic Stress Brain Research Group, Bertrand R. Huber</w:t>
      </w:r>
      <w:r w:rsidRPr="00940D17">
        <w:rPr>
          <w:rFonts w:ascii="Arial" w:hAnsi="Arial" w:cs="Arial"/>
          <w:sz w:val="22"/>
          <w:szCs w:val="22"/>
          <w:vertAlign w:val="superscript"/>
        </w:rPr>
        <w:t>6</w:t>
      </w:r>
      <w:r w:rsidRPr="00940D17">
        <w:rPr>
          <w:rFonts w:ascii="Arial" w:hAnsi="Arial" w:cs="Arial"/>
          <w:sz w:val="22"/>
          <w:szCs w:val="22"/>
        </w:rPr>
        <w:t>, Daniel Levey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Jill R. Glausier</w:t>
      </w:r>
      <w:r w:rsidRPr="00940D17">
        <w:rPr>
          <w:rFonts w:ascii="Arial" w:hAnsi="Arial" w:cs="Arial"/>
          <w:sz w:val="22"/>
          <w:szCs w:val="22"/>
          <w:vertAlign w:val="superscript"/>
        </w:rPr>
        <w:t>7</w:t>
      </w:r>
      <w:r w:rsidRPr="00940D17">
        <w:rPr>
          <w:rFonts w:ascii="Arial" w:hAnsi="Arial" w:cs="Arial"/>
          <w:sz w:val="22"/>
          <w:szCs w:val="22"/>
        </w:rPr>
        <w:t>, David A. Lewis</w:t>
      </w:r>
      <w:r w:rsidRPr="00940D17">
        <w:rPr>
          <w:rFonts w:ascii="Arial" w:hAnsi="Arial" w:cs="Arial"/>
          <w:sz w:val="22"/>
          <w:szCs w:val="22"/>
          <w:vertAlign w:val="superscript"/>
        </w:rPr>
        <w:t>7</w:t>
      </w:r>
      <w:r w:rsidRPr="00940D17">
        <w:rPr>
          <w:rFonts w:ascii="Arial" w:hAnsi="Arial" w:cs="Arial"/>
          <w:sz w:val="22"/>
          <w:szCs w:val="22"/>
        </w:rPr>
        <w:t>, Joel Gelernter</w:t>
      </w:r>
      <w:r w:rsidRPr="00940D17">
        <w:rPr>
          <w:rFonts w:ascii="Arial" w:hAnsi="Arial" w:cs="Arial"/>
          <w:sz w:val="22"/>
          <w:szCs w:val="22"/>
          <w:vertAlign w:val="superscript"/>
        </w:rPr>
        <w:t>3,6</w:t>
      </w:r>
      <w:r w:rsidRPr="00940D17">
        <w:rPr>
          <w:rFonts w:ascii="Arial" w:hAnsi="Arial" w:cs="Arial"/>
          <w:sz w:val="22"/>
          <w:szCs w:val="22"/>
        </w:rPr>
        <w:t>, Paul E. Holtzheimer</w:t>
      </w:r>
      <w:r w:rsidRPr="00940D17">
        <w:rPr>
          <w:rFonts w:ascii="Arial" w:hAnsi="Arial" w:cs="Arial"/>
          <w:sz w:val="22"/>
          <w:szCs w:val="22"/>
          <w:vertAlign w:val="superscript"/>
        </w:rPr>
        <w:t>6,8</w:t>
      </w:r>
      <w:r w:rsidRPr="00940D17">
        <w:rPr>
          <w:rFonts w:ascii="Arial" w:hAnsi="Arial" w:cs="Arial"/>
          <w:sz w:val="22"/>
          <w:szCs w:val="22"/>
        </w:rPr>
        <w:t>, Matthew J. Friedman</w:t>
      </w:r>
      <w:r w:rsidRPr="00940D17">
        <w:rPr>
          <w:rFonts w:ascii="Arial" w:hAnsi="Arial" w:cs="Arial"/>
          <w:sz w:val="22"/>
          <w:szCs w:val="22"/>
          <w:vertAlign w:val="superscript"/>
        </w:rPr>
        <w:t>6,8</w:t>
      </w:r>
      <w:r w:rsidRPr="00940D17">
        <w:rPr>
          <w:rFonts w:ascii="Arial" w:hAnsi="Arial" w:cs="Arial"/>
          <w:sz w:val="22"/>
          <w:szCs w:val="22"/>
        </w:rPr>
        <w:t>, Mark Gerstein</w:t>
      </w:r>
      <w:r w:rsidRPr="00940D17">
        <w:rPr>
          <w:rFonts w:ascii="Arial" w:hAnsi="Arial" w:cs="Arial"/>
          <w:sz w:val="22"/>
          <w:szCs w:val="22"/>
          <w:vertAlign w:val="superscript"/>
        </w:rPr>
        <w:t>9,10,11,12</w:t>
      </w:r>
      <w:r w:rsidRPr="00940D17">
        <w:rPr>
          <w:rFonts w:ascii="Arial" w:hAnsi="Arial" w:cs="Arial"/>
          <w:sz w:val="22"/>
          <w:szCs w:val="22"/>
        </w:rPr>
        <w:t>, Nenad Sestan</w:t>
      </w:r>
      <w:r w:rsidRPr="00940D17">
        <w:rPr>
          <w:rFonts w:ascii="Arial" w:hAnsi="Arial" w:cs="Arial"/>
          <w:sz w:val="22"/>
          <w:szCs w:val="22"/>
          <w:vertAlign w:val="superscript"/>
        </w:rPr>
        <w:t>13</w:t>
      </w:r>
      <w:r w:rsidRPr="00940D17">
        <w:rPr>
          <w:rFonts w:ascii="Arial" w:hAnsi="Arial" w:cs="Arial"/>
          <w:sz w:val="22"/>
          <w:szCs w:val="22"/>
        </w:rPr>
        <w:t>, Kristen J. Brennand</w:t>
      </w:r>
      <w:r w:rsidRPr="00940D17">
        <w:rPr>
          <w:rFonts w:ascii="Arial" w:hAnsi="Arial" w:cs="Arial"/>
          <w:sz w:val="22"/>
          <w:szCs w:val="22"/>
          <w:vertAlign w:val="superscript"/>
        </w:rPr>
        <w:t>3,14</w:t>
      </w:r>
      <w:r w:rsidRPr="00940D17">
        <w:rPr>
          <w:rFonts w:ascii="Arial" w:hAnsi="Arial" w:cs="Arial"/>
          <w:sz w:val="22"/>
          <w:szCs w:val="22"/>
        </w:rPr>
        <w:t>, Ke Xu</w:t>
      </w:r>
      <w:r w:rsidRPr="00940D17">
        <w:rPr>
          <w:rFonts w:ascii="Arial" w:hAnsi="Arial" w:cs="Arial"/>
          <w:sz w:val="22"/>
          <w:szCs w:val="22"/>
          <w:vertAlign w:val="superscript"/>
        </w:rPr>
        <w:t>3,6</w:t>
      </w:r>
      <w:r w:rsidRPr="00940D17">
        <w:rPr>
          <w:rFonts w:ascii="Arial" w:hAnsi="Arial" w:cs="Arial"/>
          <w:sz w:val="22"/>
          <w:szCs w:val="22"/>
        </w:rPr>
        <w:t>, Hongyu Zhao</w:t>
      </w:r>
      <w:r w:rsidRPr="00940D17">
        <w:rPr>
          <w:rFonts w:ascii="Arial" w:hAnsi="Arial" w:cs="Arial"/>
          <w:sz w:val="22"/>
          <w:szCs w:val="22"/>
          <w:vertAlign w:val="superscript"/>
        </w:rPr>
        <w:t>4</w:t>
      </w:r>
      <w:r w:rsidRPr="00940D17">
        <w:rPr>
          <w:rFonts w:ascii="Arial" w:hAnsi="Arial" w:cs="Arial"/>
          <w:sz w:val="22"/>
          <w:szCs w:val="22"/>
        </w:rPr>
        <w:t>, John H. Krystal</w:t>
      </w:r>
      <w:r w:rsidRPr="00940D17">
        <w:rPr>
          <w:rFonts w:ascii="Arial" w:hAnsi="Arial" w:cs="Arial"/>
          <w:sz w:val="22"/>
          <w:szCs w:val="22"/>
          <w:vertAlign w:val="superscript"/>
        </w:rPr>
        <w:t>3,6</w:t>
      </w:r>
      <w:r w:rsidRPr="00940D17">
        <w:rPr>
          <w:rFonts w:ascii="Arial" w:hAnsi="Arial" w:cs="Arial"/>
          <w:sz w:val="22"/>
          <w:szCs w:val="22"/>
        </w:rPr>
        <w:t>, Keith A. Young</w:t>
      </w:r>
      <w:r w:rsidRPr="00940D17">
        <w:rPr>
          <w:rFonts w:ascii="Arial" w:hAnsi="Arial" w:cs="Arial"/>
          <w:sz w:val="22"/>
          <w:szCs w:val="22"/>
          <w:vertAlign w:val="superscript"/>
        </w:rPr>
        <w:t>15,16</w:t>
      </w:r>
      <w:r w:rsidRPr="00940D17">
        <w:rPr>
          <w:rFonts w:ascii="Arial" w:hAnsi="Arial" w:cs="Arial"/>
          <w:sz w:val="22"/>
          <w:szCs w:val="22"/>
        </w:rPr>
        <w:t>, Douglas E. Williamson</w:t>
      </w:r>
      <w:r w:rsidRPr="00940D17">
        <w:rPr>
          <w:rFonts w:ascii="Arial" w:hAnsi="Arial" w:cs="Arial"/>
          <w:sz w:val="22"/>
          <w:szCs w:val="22"/>
          <w:vertAlign w:val="superscript"/>
        </w:rPr>
        <w:t>6,7</w:t>
      </w:r>
      <w:r w:rsidRPr="00940D17">
        <w:rPr>
          <w:rFonts w:ascii="Arial" w:hAnsi="Arial" w:cs="Arial"/>
          <w:sz w:val="22"/>
          <w:szCs w:val="22"/>
        </w:rPr>
        <w:t>, Alicia Che</w:t>
      </w: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, Jing Zhang</w:t>
      </w:r>
      <w:r w:rsidRPr="00940D17">
        <w:rPr>
          <w:rFonts w:ascii="Arial" w:hAnsi="Arial" w:cs="Arial"/>
          <w:sz w:val="22"/>
          <w:szCs w:val="22"/>
          <w:vertAlign w:val="superscript"/>
        </w:rPr>
        <w:t>1,*</w:t>
      </w:r>
      <w:r w:rsidRPr="00940D17">
        <w:rPr>
          <w:rFonts w:ascii="Arial" w:hAnsi="Arial" w:cs="Arial"/>
          <w:sz w:val="22"/>
          <w:szCs w:val="22"/>
        </w:rPr>
        <w:t>, Matthew J. Girgenti</w:t>
      </w:r>
      <w:r w:rsidRPr="00940D17">
        <w:rPr>
          <w:rFonts w:ascii="Arial" w:hAnsi="Arial" w:cs="Arial"/>
          <w:sz w:val="22"/>
          <w:szCs w:val="22"/>
          <w:vertAlign w:val="superscript"/>
        </w:rPr>
        <w:t>3,6,13*</w:t>
      </w:r>
    </w:p>
    <w:p w14:paraId="194DD472" w14:textId="77777777" w:rsidR="005E23BE" w:rsidRPr="00940D17" w:rsidRDefault="005E23BE" w:rsidP="005E23BE">
      <w:pPr>
        <w:rPr>
          <w:rFonts w:ascii="Arial" w:hAnsi="Arial" w:cs="Arial"/>
          <w:sz w:val="22"/>
          <w:szCs w:val="22"/>
        </w:rPr>
      </w:pPr>
    </w:p>
    <w:p w14:paraId="59DBD14F" w14:textId="77777777" w:rsidR="005E23BE" w:rsidRPr="00940D17" w:rsidRDefault="005E23BE" w:rsidP="005E23BE">
      <w:pPr>
        <w:rPr>
          <w:rFonts w:ascii="Arial" w:hAnsi="Arial" w:cs="Arial"/>
          <w:b/>
          <w:bCs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t>AFFILIATIONS</w:t>
      </w:r>
    </w:p>
    <w:p w14:paraId="60F9B0DE" w14:textId="35D63C29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</w:t>
      </w:r>
      <w:r w:rsidRPr="00940D17">
        <w:rPr>
          <w:rFonts w:ascii="Arial" w:hAnsi="Arial" w:cs="Arial"/>
          <w:sz w:val="22"/>
          <w:szCs w:val="22"/>
        </w:rPr>
        <w:t>Mathematical, Computational and Systems Biology Program, University of California, Irvine, California, USA.</w:t>
      </w:r>
    </w:p>
    <w:p w14:paraId="66032770" w14:textId="76CEBFF1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2</w:t>
      </w:r>
      <w:r w:rsidRPr="00940D17">
        <w:rPr>
          <w:rFonts w:ascii="Arial" w:hAnsi="Arial" w:cs="Arial"/>
          <w:sz w:val="22"/>
          <w:szCs w:val="22"/>
        </w:rPr>
        <w:t>Department of Computer Science, University of California, Irvine, California, USA.</w:t>
      </w:r>
    </w:p>
    <w:p w14:paraId="220CD805" w14:textId="74A67297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3</w:t>
      </w:r>
      <w:r w:rsidRPr="00940D17">
        <w:rPr>
          <w:rFonts w:ascii="Arial" w:hAnsi="Arial" w:cs="Arial"/>
          <w:sz w:val="22"/>
          <w:szCs w:val="22"/>
        </w:rPr>
        <w:t>Department of Psychiatry, Yale University School of Medicine, 34 Park Street, New Haven, CT 06520, USA.</w:t>
      </w:r>
    </w:p>
    <w:p w14:paraId="61C7F39C" w14:textId="3086F661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4</w:t>
      </w:r>
      <w:r w:rsidRPr="00940D17">
        <w:rPr>
          <w:rFonts w:ascii="Arial" w:hAnsi="Arial" w:cs="Arial"/>
          <w:sz w:val="22"/>
          <w:szCs w:val="22"/>
        </w:rPr>
        <w:t>Department of Biostatistics, Yale University School of Public Health, New Haven, CT 06510, USA.</w:t>
      </w:r>
    </w:p>
    <w:p w14:paraId="4ED97F90" w14:textId="44A6B3E4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5</w:t>
      </w:r>
      <w:r w:rsidRPr="00940D17">
        <w:rPr>
          <w:rFonts w:ascii="Arial" w:hAnsi="Arial" w:cs="Arial"/>
          <w:sz w:val="22"/>
          <w:szCs w:val="22"/>
        </w:rPr>
        <w:t>Department of Psychiatry and Behavioral Sciences, Duke University Medical Center, 300 North Duke St, Durham, NC 27701, USA.</w:t>
      </w:r>
    </w:p>
    <w:p w14:paraId="08FF93A1" w14:textId="4A5004B3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6</w:t>
      </w:r>
      <w:r w:rsidRPr="00940D17">
        <w:rPr>
          <w:rFonts w:ascii="Arial" w:hAnsi="Arial" w:cs="Arial"/>
          <w:sz w:val="22"/>
          <w:szCs w:val="22"/>
        </w:rPr>
        <w:t>National Center for PTSD, U.S. Department of Veterans Affairs.</w:t>
      </w:r>
    </w:p>
    <w:p w14:paraId="4FCF3292" w14:textId="7AD11CD1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7</w:t>
      </w:r>
      <w:r w:rsidRPr="00940D17">
        <w:rPr>
          <w:rFonts w:ascii="Arial" w:hAnsi="Arial" w:cs="Arial"/>
          <w:sz w:val="22"/>
          <w:szCs w:val="22"/>
        </w:rPr>
        <w:t>Department of Psychiatry, University of Pittsburgh School of Medicine, Pittsburgh, PA 15213, USA.</w:t>
      </w:r>
    </w:p>
    <w:p w14:paraId="5AD3F5E3" w14:textId="434B7D4E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8</w:t>
      </w:r>
      <w:r w:rsidRPr="00940D17">
        <w:rPr>
          <w:rFonts w:ascii="Arial" w:hAnsi="Arial" w:cs="Arial"/>
          <w:sz w:val="22"/>
          <w:szCs w:val="22"/>
        </w:rPr>
        <w:t>Department of Psychiatry, Geisel School of Medicine at Dartmouth, Lebanon, NH 03756, USA</w:t>
      </w:r>
    </w:p>
    <w:p w14:paraId="108CE00E" w14:textId="4212EB15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9</w:t>
      </w:r>
      <w:r w:rsidRPr="00940D17">
        <w:rPr>
          <w:rFonts w:ascii="Arial" w:hAnsi="Arial" w:cs="Arial"/>
          <w:sz w:val="22"/>
          <w:szCs w:val="22"/>
        </w:rPr>
        <w:t>Department of Molecular Biophysics and Biochemistry, Yale University, New Haven, Connecticut 06520, USA.</w:t>
      </w:r>
    </w:p>
    <w:p w14:paraId="077C43B8" w14:textId="0C373189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10</w:t>
      </w:r>
      <w:r w:rsidRPr="00940D17">
        <w:rPr>
          <w:rFonts w:ascii="Arial" w:hAnsi="Arial" w:cs="Arial"/>
          <w:sz w:val="22"/>
          <w:szCs w:val="22"/>
        </w:rPr>
        <w:t>Program in Computational Biology and Bioinformatics, Yale University, New Haven, Connecticut 06520, USA</w:t>
      </w:r>
    </w:p>
    <w:p w14:paraId="453E9A06" w14:textId="3C74010D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11</w:t>
      </w:r>
      <w:r w:rsidRPr="00940D17">
        <w:rPr>
          <w:rFonts w:ascii="Arial" w:hAnsi="Arial" w:cs="Arial"/>
          <w:sz w:val="22"/>
          <w:szCs w:val="22"/>
        </w:rPr>
        <w:t>Department of Computer Science, Yale University, New Haven, Connecticut 06520, USA.</w:t>
      </w:r>
    </w:p>
    <w:p w14:paraId="0DA7AA28" w14:textId="495936F9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12</w:t>
      </w:r>
      <w:r w:rsidRPr="00940D17">
        <w:rPr>
          <w:rFonts w:ascii="Arial" w:hAnsi="Arial" w:cs="Arial"/>
          <w:sz w:val="22"/>
          <w:szCs w:val="22"/>
        </w:rPr>
        <w:t>Department of Statistics and Data Science, Yale University, New Haven, Connecticut 06520, USA.</w:t>
      </w:r>
    </w:p>
    <w:p w14:paraId="74376911" w14:textId="7E9ED3D5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13</w:t>
      </w:r>
      <w:r w:rsidRPr="00940D17">
        <w:rPr>
          <w:rFonts w:ascii="Arial" w:hAnsi="Arial" w:cs="Arial"/>
          <w:sz w:val="22"/>
          <w:szCs w:val="22"/>
        </w:rPr>
        <w:t>Department of Neuroscience, Yale School of Medicine, New Haven, CT 06510, USA</w:t>
      </w:r>
    </w:p>
    <w:p w14:paraId="0CC69549" w14:textId="2E31895E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14</w:t>
      </w:r>
      <w:r w:rsidRPr="00940D17">
        <w:rPr>
          <w:rFonts w:ascii="Arial" w:hAnsi="Arial" w:cs="Arial"/>
          <w:sz w:val="22"/>
          <w:szCs w:val="22"/>
        </w:rPr>
        <w:t>Department of Genetics, Yale School of Medicine, New Haven, CT 06510, USA</w:t>
      </w:r>
    </w:p>
    <w:p w14:paraId="3959B868" w14:textId="3D6F9FB5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15</w:t>
      </w:r>
      <w:r w:rsidRPr="00940D17">
        <w:rPr>
          <w:rFonts w:ascii="Arial" w:hAnsi="Arial" w:cs="Arial"/>
          <w:sz w:val="22"/>
          <w:szCs w:val="22"/>
        </w:rPr>
        <w:t>Central Texas Veterans Health Care System, Research Service, Temple, Texas, 76504 USA,</w:t>
      </w:r>
    </w:p>
    <w:p w14:paraId="67494F59" w14:textId="7E4EC44F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16</w:t>
      </w:r>
      <w:r w:rsidRPr="00940D17">
        <w:rPr>
          <w:rFonts w:ascii="Arial" w:hAnsi="Arial" w:cs="Arial"/>
          <w:sz w:val="22"/>
          <w:szCs w:val="22"/>
        </w:rPr>
        <w:t>Texas A&amp;M University College of Medicine, Department of Psychiatry and Behavioral Sciences, Bryan, Texas, 77807 USA</w:t>
      </w:r>
    </w:p>
    <w:p w14:paraId="2DF1F1CE" w14:textId="77777777" w:rsidR="00104B0B" w:rsidRPr="00940D17" w:rsidRDefault="00104B0B" w:rsidP="00104B0B">
      <w:pPr>
        <w:contextualSpacing/>
        <w:rPr>
          <w:rFonts w:ascii="Arial" w:hAnsi="Arial" w:cs="Arial"/>
          <w:sz w:val="22"/>
          <w:szCs w:val="22"/>
        </w:rPr>
      </w:pPr>
    </w:p>
    <w:p w14:paraId="4CBD4521" w14:textId="07143996" w:rsidR="00104B0B" w:rsidRPr="00940D17" w:rsidRDefault="00104B0B" w:rsidP="00104B0B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  <w:vertAlign w:val="superscript"/>
        </w:rPr>
        <w:t>#</w:t>
      </w:r>
      <w:r w:rsidRPr="00940D17">
        <w:rPr>
          <w:rFonts w:ascii="Arial" w:hAnsi="Arial" w:cs="Arial"/>
          <w:sz w:val="22"/>
          <w:szCs w:val="22"/>
        </w:rPr>
        <w:t xml:space="preserve"> These authors contributed equally to the preparation of this manuscript</w:t>
      </w:r>
    </w:p>
    <w:p w14:paraId="0C70ABBE" w14:textId="2BFF956D" w:rsidR="005E23BE" w:rsidRPr="00940D17" w:rsidRDefault="00104B0B" w:rsidP="005E23BE">
      <w:pPr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sz w:val="22"/>
          <w:szCs w:val="22"/>
        </w:rPr>
        <w:t>* Correspondence: matthew.girgenti@yale.edu (M.J.G.) or zhang.jing@uci.edu (J.Z.)</w:t>
      </w:r>
    </w:p>
    <w:p w14:paraId="4C59785D" w14:textId="77777777" w:rsidR="005E23BE" w:rsidRPr="00940D17" w:rsidRDefault="005E23BE" w:rsidP="005E23BE">
      <w:pPr>
        <w:contextualSpacing/>
        <w:rPr>
          <w:rFonts w:ascii="Arial" w:hAnsi="Arial" w:cs="Arial"/>
          <w:sz w:val="22"/>
          <w:szCs w:val="22"/>
        </w:rPr>
      </w:pPr>
    </w:p>
    <w:p w14:paraId="750BAE9D" w14:textId="032086EB" w:rsidR="005E23BE" w:rsidRPr="00940D17" w:rsidRDefault="005E23BE" w:rsidP="005E23BE">
      <w:pPr>
        <w:contextualSpacing/>
        <w:rPr>
          <w:rFonts w:ascii="Arial" w:hAnsi="Arial" w:cs="Arial"/>
          <w:b/>
          <w:bCs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lastRenderedPageBreak/>
        <w:t>Table of Contents</w:t>
      </w:r>
    </w:p>
    <w:p w14:paraId="307D6948" w14:textId="77777777" w:rsidR="003058F2" w:rsidRPr="00940D17" w:rsidRDefault="003058F2" w:rsidP="005E23BE">
      <w:pPr>
        <w:contextualSpacing/>
        <w:rPr>
          <w:rFonts w:ascii="Arial" w:hAnsi="Arial" w:cs="Arial"/>
          <w:b/>
          <w:bCs/>
          <w:sz w:val="22"/>
          <w:szCs w:val="22"/>
        </w:rPr>
      </w:pPr>
    </w:p>
    <w:p w14:paraId="3D7DA70E" w14:textId="19F28D4E" w:rsidR="00104B0B" w:rsidRPr="00940D17" w:rsidRDefault="00104B0B" w:rsidP="003058F2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t>3</w:t>
      </w:r>
      <w:r w:rsidRPr="00940D17">
        <w:rPr>
          <w:rFonts w:ascii="Arial" w:hAnsi="Arial" w:cs="Arial"/>
          <w:b/>
          <w:bCs/>
          <w:sz w:val="22"/>
          <w:szCs w:val="22"/>
        </w:rPr>
        <w:tab/>
      </w:r>
      <w:r w:rsidRPr="00940D17">
        <w:rPr>
          <w:rFonts w:ascii="Arial" w:hAnsi="Arial" w:cs="Arial"/>
          <w:sz w:val="22"/>
          <w:szCs w:val="22"/>
        </w:rPr>
        <w:t>Supplementary Data Figures 1-5</w:t>
      </w:r>
    </w:p>
    <w:p w14:paraId="0C20245B" w14:textId="2A9896B6" w:rsidR="009F182E" w:rsidRPr="00940D17" w:rsidRDefault="0008519B" w:rsidP="003058F2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t>8</w:t>
      </w:r>
      <w:r w:rsidR="009F182E" w:rsidRPr="00940D17">
        <w:rPr>
          <w:rFonts w:ascii="Arial" w:hAnsi="Arial" w:cs="Arial"/>
          <w:b/>
          <w:bCs/>
          <w:sz w:val="22"/>
          <w:szCs w:val="22"/>
        </w:rPr>
        <w:tab/>
      </w:r>
      <w:r w:rsidR="009F182E" w:rsidRPr="00940D17">
        <w:rPr>
          <w:rFonts w:ascii="Arial" w:hAnsi="Arial" w:cs="Arial"/>
          <w:sz w:val="22"/>
          <w:szCs w:val="22"/>
        </w:rPr>
        <w:t>Statistics and Reproducibility</w:t>
      </w:r>
    </w:p>
    <w:p w14:paraId="35D0AE69" w14:textId="0C5772CD" w:rsidR="00104B0B" w:rsidRPr="00940D17" w:rsidRDefault="009F182E" w:rsidP="003058F2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t>9</w:t>
      </w:r>
      <w:r w:rsidR="0008519B" w:rsidRPr="00940D17">
        <w:rPr>
          <w:rFonts w:ascii="Arial" w:hAnsi="Arial" w:cs="Arial"/>
          <w:sz w:val="22"/>
          <w:szCs w:val="22"/>
        </w:rPr>
        <w:tab/>
        <w:t>Supplementary Data Tables 1-4</w:t>
      </w:r>
      <w:r w:rsidR="000D0668" w:rsidRPr="00940D17">
        <w:rPr>
          <w:rFonts w:ascii="Arial" w:hAnsi="Arial" w:cs="Arial"/>
          <w:sz w:val="22"/>
          <w:szCs w:val="22"/>
        </w:rPr>
        <w:t>1</w:t>
      </w:r>
      <w:r w:rsidR="0008519B" w:rsidRPr="00940D17">
        <w:rPr>
          <w:rFonts w:ascii="Arial" w:hAnsi="Arial" w:cs="Arial"/>
          <w:sz w:val="22"/>
          <w:szCs w:val="22"/>
        </w:rPr>
        <w:t xml:space="preserve"> (captions included, tables in separate CSV files)</w:t>
      </w:r>
    </w:p>
    <w:p w14:paraId="4E324B1D" w14:textId="63F0D717" w:rsidR="00104B0B" w:rsidRPr="00940D17" w:rsidRDefault="00940D17">
      <w:pPr>
        <w:rPr>
          <w:rFonts w:ascii="Arial" w:hAnsi="Arial" w:cs="Arial"/>
          <w:b/>
          <w:bCs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t>11</w:t>
      </w:r>
      <w:r w:rsidRPr="00940D17">
        <w:rPr>
          <w:rFonts w:ascii="Arial" w:hAnsi="Arial" w:cs="Arial"/>
          <w:b/>
          <w:bCs/>
          <w:sz w:val="22"/>
          <w:szCs w:val="22"/>
        </w:rPr>
        <w:tab/>
      </w:r>
      <w:r w:rsidRPr="00940D17">
        <w:rPr>
          <w:rFonts w:ascii="Arial" w:hAnsi="Arial" w:cs="Arial"/>
          <w:sz w:val="22"/>
          <w:szCs w:val="22"/>
        </w:rPr>
        <w:t>Source Data File 1 (captions included, data in separate CSV file)</w:t>
      </w:r>
      <w:r w:rsidR="00104B0B" w:rsidRPr="00940D17">
        <w:rPr>
          <w:rFonts w:ascii="Arial" w:hAnsi="Arial" w:cs="Arial"/>
          <w:b/>
          <w:bCs/>
          <w:sz w:val="22"/>
          <w:szCs w:val="22"/>
        </w:rPr>
        <w:br w:type="page"/>
      </w:r>
    </w:p>
    <w:p w14:paraId="436A1376" w14:textId="77777777" w:rsidR="00104B0B" w:rsidRPr="00940D17" w:rsidRDefault="00104B0B" w:rsidP="00104B0B">
      <w:pPr>
        <w:jc w:val="center"/>
        <w:rPr>
          <w:rFonts w:ascii="Arial" w:hAnsi="Arial" w:cs="Arial"/>
        </w:rPr>
      </w:pPr>
      <w:r w:rsidRPr="00940D17">
        <w:rPr>
          <w:rFonts w:ascii="Arial" w:hAnsi="Arial" w:cs="Arial"/>
          <w:noProof/>
        </w:rPr>
        <w:lastRenderedPageBreak/>
        <w:drawing>
          <wp:inline distT="0" distB="0" distL="0" distR="0" wp14:anchorId="65C87D92" wp14:editId="643C8EAF">
            <wp:extent cx="4995972" cy="6813550"/>
            <wp:effectExtent l="0" t="0" r="0" b="6350"/>
            <wp:docPr id="2063511528" name="図 1" descr="カレンダー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11528" name="図 1" descr="カレンダー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9"/>
                    <a:stretch/>
                  </pic:blipFill>
                  <pic:spPr bwMode="auto">
                    <a:xfrm>
                      <a:off x="0" y="0"/>
                      <a:ext cx="5024909" cy="685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95BED" w14:textId="77777777" w:rsidR="00104B0B" w:rsidRPr="00940D17" w:rsidRDefault="00104B0B" w:rsidP="00011308">
      <w:pPr>
        <w:pStyle w:val="NoSpacing"/>
        <w:jc w:val="both"/>
        <w:rPr>
          <w:rFonts w:ascii="Arial" w:hAnsi="Arial" w:cs="Arial"/>
        </w:rPr>
      </w:pPr>
      <w:r w:rsidRPr="00940D17">
        <w:rPr>
          <w:rFonts w:ascii="Arial" w:hAnsi="Arial" w:cs="Arial"/>
          <w:b/>
        </w:rPr>
        <w:t xml:space="preserve">Supplementary Data Figure 1: snRNA-seq data quality and metadata. a, </w:t>
      </w:r>
      <w:r w:rsidRPr="00940D17">
        <w:rPr>
          <w:rFonts w:ascii="Arial" w:hAnsi="Arial" w:cs="Arial"/>
        </w:rPr>
        <w:t xml:space="preserve">Boxplot of the number of genes across 14 subtypes and 105 samples. </w:t>
      </w:r>
      <w:r w:rsidRPr="00940D17">
        <w:rPr>
          <w:rFonts w:ascii="Arial" w:hAnsi="Arial" w:cs="Arial"/>
          <w:b/>
        </w:rPr>
        <w:t xml:space="preserve">b, </w:t>
      </w:r>
      <w:r w:rsidRPr="00940D17">
        <w:rPr>
          <w:rFonts w:ascii="Arial" w:hAnsi="Arial" w:cs="Arial"/>
        </w:rPr>
        <w:t xml:space="preserve">Boxplot of the number of UMIs across 14 subtypes and 105 samples. </w:t>
      </w:r>
      <w:r w:rsidRPr="00940D17">
        <w:rPr>
          <w:rFonts w:ascii="Arial" w:hAnsi="Arial" w:cs="Arial"/>
          <w:b/>
        </w:rPr>
        <w:t>c,</w:t>
      </w:r>
      <w:r w:rsidRPr="00940D17">
        <w:rPr>
          <w:rFonts w:ascii="Arial" w:hAnsi="Arial" w:cs="Arial"/>
        </w:rPr>
        <w:t xml:space="preserve"> UMAP colored by Sample (top) and Sample cell proportion per subtype (bottom). </w:t>
      </w:r>
      <w:r w:rsidRPr="00940D17">
        <w:rPr>
          <w:rFonts w:ascii="Arial" w:hAnsi="Arial" w:cs="Arial"/>
          <w:b/>
        </w:rPr>
        <w:t xml:space="preserve">d, </w:t>
      </w:r>
      <w:r w:rsidRPr="00940D17">
        <w:rPr>
          <w:rFonts w:ascii="Arial" w:hAnsi="Arial" w:cs="Arial"/>
        </w:rPr>
        <w:t xml:space="preserve">UMAP colored by Sex metadata (top) and Sex cell proportion per subtype (bottom). F: female, M: male. </w:t>
      </w:r>
      <w:r w:rsidRPr="00940D17">
        <w:rPr>
          <w:rFonts w:ascii="Arial" w:hAnsi="Arial" w:cs="Arial"/>
          <w:b/>
        </w:rPr>
        <w:t>e,</w:t>
      </w:r>
      <w:r w:rsidRPr="00940D17">
        <w:rPr>
          <w:rFonts w:ascii="Arial" w:hAnsi="Arial" w:cs="Arial"/>
        </w:rPr>
        <w:t xml:space="preserve"> UMAP colored by Ancestry metadata (top) and Ancestry cell proportion per subtype (bottom). AS: Asian American, AA: African American, HA: Hispanic American, M: Mixed Ancestry, CA: Caucasian American. </w:t>
      </w:r>
      <w:r w:rsidRPr="00940D17">
        <w:rPr>
          <w:rFonts w:ascii="Arial" w:hAnsi="Arial" w:cs="Arial"/>
          <w:b/>
        </w:rPr>
        <w:t>f,</w:t>
      </w:r>
      <w:r w:rsidRPr="00940D17">
        <w:rPr>
          <w:rFonts w:ascii="Arial" w:hAnsi="Arial" w:cs="Arial"/>
        </w:rPr>
        <w:t xml:space="preserve"> UMAP colored by AgeDeath metadata (top) and AgeDeath cell proportion per subtype in 10 bins (bottom). </w:t>
      </w:r>
      <w:r w:rsidRPr="00940D17">
        <w:rPr>
          <w:rFonts w:ascii="Arial" w:hAnsi="Arial" w:cs="Arial"/>
          <w:b/>
        </w:rPr>
        <w:t xml:space="preserve">g, </w:t>
      </w:r>
      <w:r w:rsidRPr="00940D17">
        <w:rPr>
          <w:rFonts w:ascii="Arial" w:hAnsi="Arial" w:cs="Arial"/>
        </w:rPr>
        <w:t xml:space="preserve">UMAP colored by RIN metadata (top) and RIN cell proportion per subtype in 10 bins (bottom). </w:t>
      </w:r>
      <w:r w:rsidRPr="00940D17">
        <w:rPr>
          <w:rFonts w:ascii="Arial" w:hAnsi="Arial" w:cs="Arial"/>
          <w:b/>
        </w:rPr>
        <w:t>h,</w:t>
      </w:r>
      <w:r w:rsidRPr="00940D17">
        <w:rPr>
          <w:rFonts w:ascii="Arial" w:hAnsi="Arial" w:cs="Arial"/>
        </w:rPr>
        <w:t xml:space="preserve"> UMAP colored by PMI metadata (top) and PMI cell proportion per subtype in 10 bins (bottom).</w:t>
      </w:r>
    </w:p>
    <w:p w14:paraId="09974DFA" w14:textId="5DFBDED3" w:rsidR="00104B0B" w:rsidRPr="00940D17" w:rsidRDefault="00104B0B" w:rsidP="00104B0B">
      <w:pPr>
        <w:jc w:val="center"/>
        <w:rPr>
          <w:rFonts w:ascii="Arial" w:hAnsi="Arial" w:cs="Arial"/>
        </w:rPr>
      </w:pPr>
      <w:r w:rsidRPr="00940D17">
        <w:rPr>
          <w:rFonts w:ascii="Arial" w:hAnsi="Arial" w:cs="Arial"/>
          <w:noProof/>
        </w:rPr>
        <w:lastRenderedPageBreak/>
        <w:drawing>
          <wp:inline distT="0" distB="0" distL="0" distR="0" wp14:anchorId="0C7697C0" wp14:editId="543A8406">
            <wp:extent cx="4997450" cy="6799810"/>
            <wp:effectExtent l="0" t="0" r="0" b="1270"/>
            <wp:docPr id="9314336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1"/>
                    <a:stretch/>
                  </pic:blipFill>
                  <pic:spPr bwMode="auto">
                    <a:xfrm>
                      <a:off x="0" y="0"/>
                      <a:ext cx="5014913" cy="682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72207" w14:textId="4AF537A6" w:rsidR="00104B0B" w:rsidRPr="00940D17" w:rsidRDefault="00104B0B" w:rsidP="00011308">
      <w:pPr>
        <w:pStyle w:val="NoSpacing"/>
        <w:jc w:val="both"/>
        <w:rPr>
          <w:rFonts w:ascii="Arial" w:hAnsi="Arial" w:cs="Arial"/>
        </w:rPr>
      </w:pPr>
      <w:r w:rsidRPr="00940D17">
        <w:rPr>
          <w:rFonts w:ascii="Arial" w:hAnsi="Arial" w:cs="Arial"/>
          <w:b/>
        </w:rPr>
        <w:t xml:space="preserve">Supplementary Data Figure 2: snATAC-seq data quality and metadata. a, </w:t>
      </w:r>
      <w:r w:rsidRPr="00940D17">
        <w:rPr>
          <w:rFonts w:ascii="Arial" w:hAnsi="Arial" w:cs="Arial"/>
        </w:rPr>
        <w:t xml:space="preserve">Boxplot of TSS enrichment across 7 cell types and 94 samples. </w:t>
      </w:r>
      <w:r w:rsidRPr="00940D17">
        <w:rPr>
          <w:rFonts w:ascii="Arial" w:hAnsi="Arial" w:cs="Arial"/>
          <w:b/>
        </w:rPr>
        <w:t xml:space="preserve">b, </w:t>
      </w:r>
      <w:r w:rsidRPr="00940D17">
        <w:rPr>
          <w:rFonts w:ascii="Arial" w:hAnsi="Arial" w:cs="Arial"/>
        </w:rPr>
        <w:t xml:space="preserve">Boxplot of the number of fragments across 7 cell types and 94 samples. </w:t>
      </w:r>
      <w:r w:rsidRPr="00940D17">
        <w:rPr>
          <w:rFonts w:ascii="Arial" w:hAnsi="Arial" w:cs="Arial"/>
          <w:b/>
        </w:rPr>
        <w:t>c,</w:t>
      </w:r>
      <w:r w:rsidRPr="00940D17">
        <w:rPr>
          <w:rFonts w:ascii="Arial" w:hAnsi="Arial" w:cs="Arial"/>
        </w:rPr>
        <w:t xml:space="preserve"> UMAP colored by Sample (top) and Sample cell proportion per cell type (bottom). </w:t>
      </w:r>
      <w:r w:rsidRPr="00940D17">
        <w:rPr>
          <w:rFonts w:ascii="Arial" w:hAnsi="Arial" w:cs="Arial"/>
          <w:b/>
        </w:rPr>
        <w:t xml:space="preserve">d, </w:t>
      </w:r>
      <w:r w:rsidRPr="00940D17">
        <w:rPr>
          <w:rFonts w:ascii="Arial" w:hAnsi="Arial" w:cs="Arial"/>
        </w:rPr>
        <w:t xml:space="preserve">UMAP colored by Sex metadata (top) and Sex cell proportion per cell type (bottom). F: female, M: male. </w:t>
      </w:r>
      <w:r w:rsidRPr="00940D17">
        <w:rPr>
          <w:rFonts w:ascii="Arial" w:hAnsi="Arial" w:cs="Arial"/>
          <w:b/>
        </w:rPr>
        <w:t>e,</w:t>
      </w:r>
      <w:r w:rsidRPr="00940D17">
        <w:rPr>
          <w:rFonts w:ascii="Arial" w:hAnsi="Arial" w:cs="Arial"/>
        </w:rPr>
        <w:t xml:space="preserve"> UMAP colored by Ancestry metadata (top) and Ancestry cell proportion per cell type (bottom). AS: Asian American, AA: African American, HA: Hispanic American, M: Mixed Ancestry, CA: Caucasian American. </w:t>
      </w:r>
      <w:r w:rsidRPr="00940D17">
        <w:rPr>
          <w:rFonts w:ascii="Arial" w:hAnsi="Arial" w:cs="Arial"/>
          <w:b/>
        </w:rPr>
        <w:t>f,</w:t>
      </w:r>
      <w:r w:rsidRPr="00940D17">
        <w:rPr>
          <w:rFonts w:ascii="Arial" w:hAnsi="Arial" w:cs="Arial"/>
        </w:rPr>
        <w:t xml:space="preserve"> UMAP colored by AgeDeath metadata (top) and AgeDeath cell proportion per cell type in 10 bins (bottom). </w:t>
      </w:r>
      <w:r w:rsidRPr="00940D17">
        <w:rPr>
          <w:rFonts w:ascii="Arial" w:hAnsi="Arial" w:cs="Arial"/>
          <w:b/>
        </w:rPr>
        <w:t xml:space="preserve">g, </w:t>
      </w:r>
      <w:r w:rsidRPr="00940D17">
        <w:rPr>
          <w:rFonts w:ascii="Arial" w:hAnsi="Arial" w:cs="Arial"/>
        </w:rPr>
        <w:t xml:space="preserve">UMAP colored by RIN metadata (top) and RIN cell proportion per cell type in 10 bins (bottom). </w:t>
      </w:r>
      <w:r w:rsidRPr="00940D17">
        <w:rPr>
          <w:rFonts w:ascii="Arial" w:hAnsi="Arial" w:cs="Arial"/>
          <w:b/>
        </w:rPr>
        <w:t>h,</w:t>
      </w:r>
      <w:r w:rsidRPr="00940D17">
        <w:rPr>
          <w:rFonts w:ascii="Arial" w:hAnsi="Arial" w:cs="Arial"/>
        </w:rPr>
        <w:t xml:space="preserve"> UMAP colored by PMI metadata (top) and PMI cell proportion per cell type in 10 bins (bottom).</w:t>
      </w:r>
    </w:p>
    <w:p w14:paraId="5C32EAE4" w14:textId="3F656743" w:rsidR="00104B0B" w:rsidRPr="00940D17" w:rsidRDefault="00104B0B" w:rsidP="00104B0B">
      <w:pPr>
        <w:jc w:val="center"/>
        <w:rPr>
          <w:rFonts w:ascii="Arial" w:hAnsi="Arial" w:cs="Arial"/>
        </w:rPr>
      </w:pPr>
      <w:r w:rsidRPr="00940D17">
        <w:rPr>
          <w:rFonts w:ascii="Arial" w:hAnsi="Arial" w:cs="Arial"/>
          <w:noProof/>
        </w:rPr>
        <w:lastRenderedPageBreak/>
        <w:drawing>
          <wp:inline distT="0" distB="0" distL="0" distR="0" wp14:anchorId="632F0B5D" wp14:editId="22EF5FCA">
            <wp:extent cx="4984852" cy="6826250"/>
            <wp:effectExtent l="0" t="0" r="6350" b="0"/>
            <wp:docPr id="70202696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3"/>
                    <a:stretch/>
                  </pic:blipFill>
                  <pic:spPr bwMode="auto">
                    <a:xfrm>
                      <a:off x="0" y="0"/>
                      <a:ext cx="5003853" cy="68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A1E7F" w14:textId="060675D5" w:rsidR="00104B0B" w:rsidRPr="00940D17" w:rsidRDefault="00104B0B" w:rsidP="00011308">
      <w:pPr>
        <w:pStyle w:val="NoSpacing"/>
        <w:jc w:val="both"/>
        <w:rPr>
          <w:rFonts w:ascii="Arial" w:hAnsi="Arial" w:cs="Arial"/>
        </w:rPr>
      </w:pPr>
      <w:r w:rsidRPr="00940D17">
        <w:rPr>
          <w:rFonts w:ascii="Arial" w:hAnsi="Arial" w:cs="Arial"/>
          <w:b/>
        </w:rPr>
        <w:t xml:space="preserve">Supplementary Data Figure 3: snMultiome data quality and metadata. a, </w:t>
      </w:r>
      <w:r w:rsidRPr="00940D17">
        <w:rPr>
          <w:rFonts w:ascii="Arial" w:hAnsi="Arial" w:cs="Arial"/>
        </w:rPr>
        <w:t xml:space="preserve">Boxplot of TSS enrichment across 14 subtypes and 25 samples. </w:t>
      </w:r>
      <w:r w:rsidRPr="00940D17">
        <w:rPr>
          <w:rFonts w:ascii="Arial" w:hAnsi="Arial" w:cs="Arial"/>
          <w:b/>
        </w:rPr>
        <w:t xml:space="preserve">b, </w:t>
      </w:r>
      <w:r w:rsidRPr="00940D17">
        <w:rPr>
          <w:rFonts w:ascii="Arial" w:hAnsi="Arial" w:cs="Arial"/>
        </w:rPr>
        <w:t xml:space="preserve">Boxplot of the number of fragments across 14 subtypes and 25 samples. </w:t>
      </w:r>
      <w:r w:rsidRPr="00940D17">
        <w:rPr>
          <w:rFonts w:ascii="Arial" w:hAnsi="Arial" w:cs="Arial"/>
          <w:b/>
        </w:rPr>
        <w:t>c,</w:t>
      </w:r>
      <w:r w:rsidRPr="00940D17">
        <w:rPr>
          <w:rFonts w:ascii="Arial" w:hAnsi="Arial" w:cs="Arial"/>
        </w:rPr>
        <w:t xml:space="preserve"> UMAP colored by Samples(top) and Sample cell proportion per subtype (bottom). </w:t>
      </w:r>
      <w:r w:rsidRPr="00940D17">
        <w:rPr>
          <w:rFonts w:ascii="Arial" w:hAnsi="Arial" w:cs="Arial"/>
          <w:b/>
        </w:rPr>
        <w:t xml:space="preserve">d, </w:t>
      </w:r>
      <w:r w:rsidRPr="00940D17">
        <w:rPr>
          <w:rFonts w:ascii="Arial" w:hAnsi="Arial" w:cs="Arial"/>
        </w:rPr>
        <w:t xml:space="preserve">UMAP colored by Sex metadata (top) and Sex cell proportion per subtype (bottom). F: female, M: male. </w:t>
      </w:r>
      <w:r w:rsidRPr="00940D17">
        <w:rPr>
          <w:rFonts w:ascii="Arial" w:hAnsi="Arial" w:cs="Arial"/>
          <w:b/>
        </w:rPr>
        <w:t>e,</w:t>
      </w:r>
      <w:r w:rsidRPr="00940D17">
        <w:rPr>
          <w:rFonts w:ascii="Arial" w:hAnsi="Arial" w:cs="Arial"/>
        </w:rPr>
        <w:t xml:space="preserve"> UMAP colored by Ancestry metadata (top) and Ancestry cell proportion per subtype (bottom). AA: African American, HA: Hispanic American, CA: Caucasian American. </w:t>
      </w:r>
      <w:r w:rsidRPr="00940D17">
        <w:rPr>
          <w:rFonts w:ascii="Arial" w:hAnsi="Arial" w:cs="Arial"/>
          <w:b/>
        </w:rPr>
        <w:t>f,</w:t>
      </w:r>
      <w:r w:rsidRPr="00940D17">
        <w:rPr>
          <w:rFonts w:ascii="Arial" w:hAnsi="Arial" w:cs="Arial"/>
        </w:rPr>
        <w:t xml:space="preserve"> UMAP colored by AgeDeath metadata (top) and AgeDeath cell proportion per subtype in 10 bins (bottom). </w:t>
      </w:r>
      <w:r w:rsidRPr="00940D17">
        <w:rPr>
          <w:rFonts w:ascii="Arial" w:hAnsi="Arial" w:cs="Arial"/>
          <w:b/>
        </w:rPr>
        <w:t xml:space="preserve">g, </w:t>
      </w:r>
      <w:r w:rsidRPr="00940D17">
        <w:rPr>
          <w:rFonts w:ascii="Arial" w:hAnsi="Arial" w:cs="Arial"/>
        </w:rPr>
        <w:t xml:space="preserve">UMAP colored by RIN metadata (top) and RIN cell proportion per subtype in 10 bins (bottom). </w:t>
      </w:r>
      <w:r w:rsidRPr="00940D17">
        <w:rPr>
          <w:rFonts w:ascii="Arial" w:hAnsi="Arial" w:cs="Arial"/>
          <w:b/>
        </w:rPr>
        <w:t>h,</w:t>
      </w:r>
      <w:r w:rsidRPr="00940D17">
        <w:rPr>
          <w:rFonts w:ascii="Arial" w:hAnsi="Arial" w:cs="Arial"/>
        </w:rPr>
        <w:t xml:space="preserve"> UMAP colored by PMI metadata (top) and PMI cell proportion per subtype in 10 bins (bottom).</w:t>
      </w:r>
    </w:p>
    <w:p w14:paraId="58AA4BFB" w14:textId="3E82D20F" w:rsidR="00104B0B" w:rsidRPr="00940D17" w:rsidRDefault="00104B0B" w:rsidP="00104B0B">
      <w:pPr>
        <w:jc w:val="center"/>
        <w:rPr>
          <w:rFonts w:ascii="Arial" w:hAnsi="Arial" w:cs="Arial"/>
        </w:rPr>
      </w:pPr>
      <w:r w:rsidRPr="00940D17">
        <w:rPr>
          <w:rFonts w:ascii="Arial" w:hAnsi="Arial" w:cs="Arial"/>
          <w:noProof/>
        </w:rPr>
        <w:lastRenderedPageBreak/>
        <w:drawing>
          <wp:inline distT="0" distB="0" distL="0" distR="0" wp14:anchorId="13DAA047" wp14:editId="3AD5461B">
            <wp:extent cx="4999518" cy="6813550"/>
            <wp:effectExtent l="0" t="0" r="0" b="6350"/>
            <wp:docPr id="58026631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7"/>
                    <a:stretch/>
                  </pic:blipFill>
                  <pic:spPr bwMode="auto">
                    <a:xfrm>
                      <a:off x="0" y="0"/>
                      <a:ext cx="5004711" cy="682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E180C" w14:textId="390B0DCA" w:rsidR="00104B0B" w:rsidRPr="00940D17" w:rsidRDefault="00104B0B" w:rsidP="00011308">
      <w:pPr>
        <w:pStyle w:val="NoSpacing"/>
        <w:jc w:val="both"/>
        <w:rPr>
          <w:rFonts w:ascii="Arial" w:hAnsi="Arial" w:cs="Arial"/>
        </w:rPr>
      </w:pPr>
      <w:r w:rsidRPr="00940D17">
        <w:rPr>
          <w:rFonts w:ascii="Arial" w:hAnsi="Arial" w:cs="Arial"/>
          <w:b/>
        </w:rPr>
        <w:t xml:space="preserve">Supplementary Data Figure 4: snXenium data quality and metadata. a, </w:t>
      </w:r>
      <w:r w:rsidRPr="00940D17">
        <w:rPr>
          <w:rFonts w:ascii="Arial" w:hAnsi="Arial" w:cs="Arial"/>
        </w:rPr>
        <w:t xml:space="preserve">Boxplot of the number of genes across 7 cell types and 18 samples. </w:t>
      </w:r>
      <w:r w:rsidRPr="00940D17">
        <w:rPr>
          <w:rFonts w:ascii="Arial" w:hAnsi="Arial" w:cs="Arial"/>
          <w:b/>
        </w:rPr>
        <w:t xml:space="preserve">b, </w:t>
      </w:r>
      <w:r w:rsidRPr="00940D17">
        <w:rPr>
          <w:rFonts w:ascii="Arial" w:hAnsi="Arial" w:cs="Arial"/>
        </w:rPr>
        <w:t xml:space="preserve">Boxplot of the number of UMIs across 7 cell types and 18 samples. </w:t>
      </w:r>
      <w:r w:rsidRPr="00940D17">
        <w:rPr>
          <w:rFonts w:ascii="Arial" w:hAnsi="Arial" w:cs="Arial"/>
          <w:b/>
        </w:rPr>
        <w:t>c,</w:t>
      </w:r>
      <w:r w:rsidRPr="00940D17">
        <w:rPr>
          <w:rFonts w:ascii="Arial" w:hAnsi="Arial" w:cs="Arial"/>
        </w:rPr>
        <w:t xml:space="preserve"> UMAP colored by Sample (top) and Sample cell proportion per cell type (bottom). </w:t>
      </w:r>
      <w:r w:rsidRPr="00940D17">
        <w:rPr>
          <w:rFonts w:ascii="Arial" w:hAnsi="Arial" w:cs="Arial"/>
          <w:b/>
        </w:rPr>
        <w:t xml:space="preserve">d, </w:t>
      </w:r>
      <w:r w:rsidRPr="00940D17">
        <w:rPr>
          <w:rFonts w:ascii="Arial" w:hAnsi="Arial" w:cs="Arial"/>
        </w:rPr>
        <w:t xml:space="preserve">UMAP colored by Sex metadata (top) and Sex cell proportion per cell type (bottom). F: female, M: male. </w:t>
      </w:r>
      <w:r w:rsidRPr="00940D17">
        <w:rPr>
          <w:rFonts w:ascii="Arial" w:hAnsi="Arial" w:cs="Arial"/>
          <w:b/>
        </w:rPr>
        <w:t>e,</w:t>
      </w:r>
      <w:r w:rsidRPr="00940D17">
        <w:rPr>
          <w:rFonts w:ascii="Arial" w:hAnsi="Arial" w:cs="Arial"/>
        </w:rPr>
        <w:t xml:space="preserve"> UMAP colored by Ancestry metadata (top) and Ancestry cell proportion per cell type (bottom). AA: African American, HA: Hispanic American, CA: Caucasian American. </w:t>
      </w:r>
      <w:r w:rsidRPr="00940D17">
        <w:rPr>
          <w:rFonts w:ascii="Arial" w:hAnsi="Arial" w:cs="Arial"/>
          <w:b/>
        </w:rPr>
        <w:t>f,</w:t>
      </w:r>
      <w:r w:rsidRPr="00940D17">
        <w:rPr>
          <w:rFonts w:ascii="Arial" w:hAnsi="Arial" w:cs="Arial"/>
        </w:rPr>
        <w:t xml:space="preserve"> UMAP colored by AgeDeath metadata (top) and AgeDeath cell proportion per cell type in 10 bins (bottom). </w:t>
      </w:r>
      <w:r w:rsidRPr="00940D17">
        <w:rPr>
          <w:rFonts w:ascii="Arial" w:hAnsi="Arial" w:cs="Arial"/>
          <w:b/>
        </w:rPr>
        <w:t xml:space="preserve">g, </w:t>
      </w:r>
      <w:r w:rsidRPr="00940D17">
        <w:rPr>
          <w:rFonts w:ascii="Arial" w:hAnsi="Arial" w:cs="Arial"/>
        </w:rPr>
        <w:t xml:space="preserve">UMAP colored by RIN metadata (top) and RIN cell proportion per cell type in 10 bins (bottom). </w:t>
      </w:r>
      <w:r w:rsidRPr="00940D17">
        <w:rPr>
          <w:rFonts w:ascii="Arial" w:hAnsi="Arial" w:cs="Arial"/>
          <w:b/>
        </w:rPr>
        <w:t>h,</w:t>
      </w:r>
      <w:r w:rsidRPr="00940D17">
        <w:rPr>
          <w:rFonts w:ascii="Arial" w:hAnsi="Arial" w:cs="Arial"/>
        </w:rPr>
        <w:t xml:space="preserve"> UMAP colored by PMI metadata (top) and PMI cell proportion per cell type in 10 bins (bottom).</w:t>
      </w:r>
    </w:p>
    <w:p w14:paraId="3AC00EBE" w14:textId="1194A104" w:rsidR="00104B0B" w:rsidRPr="00940D17" w:rsidRDefault="00104B0B" w:rsidP="00104B0B">
      <w:pPr>
        <w:jc w:val="center"/>
        <w:rPr>
          <w:rFonts w:ascii="Arial" w:hAnsi="Arial" w:cs="Arial"/>
        </w:rPr>
      </w:pPr>
      <w:r w:rsidRPr="00940D17">
        <w:rPr>
          <w:rFonts w:ascii="Arial" w:hAnsi="Arial" w:cs="Arial"/>
          <w:noProof/>
        </w:rPr>
        <w:lastRenderedPageBreak/>
        <w:drawing>
          <wp:inline distT="0" distB="0" distL="0" distR="0" wp14:anchorId="1F572B19" wp14:editId="6687DBA4">
            <wp:extent cx="5810250" cy="4451350"/>
            <wp:effectExtent l="0" t="0" r="0" b="6350"/>
            <wp:docPr id="103806345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7" b="41622"/>
                    <a:stretch/>
                  </pic:blipFill>
                  <pic:spPr bwMode="auto">
                    <a:xfrm>
                      <a:off x="0" y="0"/>
                      <a:ext cx="581025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2626A" w14:textId="18DE0AB8" w:rsidR="00104B0B" w:rsidRPr="00940D17" w:rsidRDefault="00104B0B" w:rsidP="00011308">
      <w:pPr>
        <w:pStyle w:val="NoSpacing"/>
        <w:jc w:val="both"/>
        <w:rPr>
          <w:rFonts w:ascii="Arial" w:hAnsi="Arial" w:cs="Arial"/>
        </w:rPr>
      </w:pPr>
      <w:r w:rsidRPr="00940D17">
        <w:rPr>
          <w:rFonts w:ascii="Arial" w:hAnsi="Arial" w:cs="Arial"/>
          <w:b/>
        </w:rPr>
        <w:t xml:space="preserve">Supplementary Data Figure 5: Condition-specific CRE analysis. a, </w:t>
      </w:r>
      <w:r w:rsidRPr="00940D17">
        <w:rPr>
          <w:rFonts w:ascii="Arial" w:hAnsi="Arial" w:cs="Arial"/>
        </w:rPr>
        <w:t xml:space="preserve">Stacked barplot of condition-specific peaks across 7 cell types by genomic category (Intronic, Distal, Promoter, Exonic) from snATAC-seq. </w:t>
      </w:r>
      <w:r w:rsidRPr="00940D17">
        <w:rPr>
          <w:rFonts w:ascii="Arial" w:hAnsi="Arial" w:cs="Arial"/>
          <w:b/>
        </w:rPr>
        <w:t>b,</w:t>
      </w:r>
      <w:r w:rsidRPr="00940D17">
        <w:rPr>
          <w:rFonts w:ascii="Arial" w:hAnsi="Arial" w:cs="Arial"/>
        </w:rPr>
        <w:t xml:space="preserve"> Composition of condition-specific CREs (n = 141,939) with peak-to-gene correlation &gt; 0.4 and FDR &lt; 0.05 separated by genomic category. </w:t>
      </w:r>
      <w:r w:rsidRPr="00940D17">
        <w:rPr>
          <w:rFonts w:ascii="Arial" w:hAnsi="Arial" w:cs="Arial"/>
          <w:b/>
        </w:rPr>
        <w:t xml:space="preserve">c, </w:t>
      </w:r>
      <w:r w:rsidRPr="00940D17">
        <w:rPr>
          <w:rFonts w:ascii="Arial" w:hAnsi="Arial" w:cs="Arial"/>
        </w:rPr>
        <w:t xml:space="preserve">Overlap between PTSD CLGs and PTSD DEGs across cell types. The overlapping region is defined as PTSD CLG-DEGs. </w:t>
      </w:r>
      <w:r w:rsidRPr="00940D17">
        <w:rPr>
          <w:rFonts w:ascii="Arial" w:hAnsi="Arial" w:cs="Arial"/>
          <w:b/>
        </w:rPr>
        <w:t>d,</w:t>
      </w:r>
      <w:r w:rsidRPr="00940D17">
        <w:rPr>
          <w:rFonts w:ascii="Arial" w:hAnsi="Arial" w:cs="Arial"/>
        </w:rPr>
        <w:t xml:space="preserve"> Overlap between MDD CLGs and MDD DEGs across cell types. The overlapping region is defined as MDD CLG-DEGs. </w:t>
      </w:r>
      <w:r w:rsidRPr="00940D17">
        <w:rPr>
          <w:rFonts w:ascii="Arial" w:hAnsi="Arial" w:cs="Arial"/>
          <w:b/>
        </w:rPr>
        <w:t xml:space="preserve">e, </w:t>
      </w:r>
      <w:r w:rsidRPr="00940D17">
        <w:rPr>
          <w:rFonts w:ascii="Arial" w:hAnsi="Arial" w:cs="Arial"/>
        </w:rPr>
        <w:t>Overlap between PTSD CLG-DEGs and MDD CLG-DEGs across cell types.</w:t>
      </w:r>
    </w:p>
    <w:p w14:paraId="45827D8C" w14:textId="77777777" w:rsidR="009F182E" w:rsidRPr="00940D17" w:rsidRDefault="009F182E">
      <w:pPr>
        <w:rPr>
          <w:rFonts w:ascii="Arial" w:hAnsi="Arial" w:cs="Arial"/>
        </w:rPr>
      </w:pPr>
      <w:r w:rsidRPr="00940D17">
        <w:rPr>
          <w:rFonts w:ascii="Arial" w:hAnsi="Arial" w:cs="Arial"/>
        </w:rPr>
        <w:br w:type="page"/>
      </w:r>
    </w:p>
    <w:p w14:paraId="5F34B236" w14:textId="674092C0" w:rsidR="009F182E" w:rsidRPr="00940D17" w:rsidRDefault="009F182E" w:rsidP="009F182E">
      <w:pPr>
        <w:contextualSpacing/>
        <w:rPr>
          <w:rFonts w:ascii="Arial" w:hAnsi="Arial" w:cs="Arial"/>
          <w:b/>
          <w:bCs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lastRenderedPageBreak/>
        <w:t>Statistics and Reproducibility</w:t>
      </w:r>
    </w:p>
    <w:p w14:paraId="07E9F3E6" w14:textId="77777777" w:rsidR="009F182E" w:rsidRPr="00940D17" w:rsidRDefault="009F182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5"/>
        <w:gridCol w:w="3355"/>
        <w:gridCol w:w="2870"/>
      </w:tblGrid>
      <w:tr w:rsidR="009F182E" w:rsidRPr="00940D17" w14:paraId="5EDBC8DE" w14:textId="21C0E0DA" w:rsidTr="009F182E">
        <w:tc>
          <w:tcPr>
            <w:tcW w:w="3125" w:type="dxa"/>
          </w:tcPr>
          <w:p w14:paraId="1976BD80" w14:textId="5BBFD89A" w:rsidR="009F182E" w:rsidRPr="00940D17" w:rsidRDefault="009F182E">
            <w:pPr>
              <w:rPr>
                <w:rFonts w:ascii="Arial" w:hAnsi="Arial" w:cs="Arial"/>
                <w:b/>
                <w:bCs/>
              </w:rPr>
            </w:pPr>
            <w:r w:rsidRPr="00940D17">
              <w:rPr>
                <w:rFonts w:ascii="Arial" w:hAnsi="Arial" w:cs="Arial"/>
                <w:b/>
                <w:bCs/>
              </w:rPr>
              <w:t>Figure</w:t>
            </w:r>
          </w:p>
        </w:tc>
        <w:tc>
          <w:tcPr>
            <w:tcW w:w="3355" w:type="dxa"/>
          </w:tcPr>
          <w:p w14:paraId="7B509E74" w14:textId="3F0B47DA" w:rsidR="009F182E" w:rsidRPr="00940D17" w:rsidRDefault="009F182E">
            <w:pPr>
              <w:rPr>
                <w:rFonts w:ascii="Arial" w:hAnsi="Arial" w:cs="Arial"/>
                <w:b/>
                <w:bCs/>
              </w:rPr>
            </w:pPr>
            <w:r w:rsidRPr="00940D1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870" w:type="dxa"/>
          </w:tcPr>
          <w:p w14:paraId="7F7EDB11" w14:textId="2109C2E2" w:rsidR="009F182E" w:rsidRPr="00940D17" w:rsidRDefault="009F182E">
            <w:pPr>
              <w:rPr>
                <w:rFonts w:ascii="Arial" w:hAnsi="Arial" w:cs="Arial"/>
                <w:b/>
                <w:bCs/>
              </w:rPr>
            </w:pPr>
            <w:r w:rsidRPr="00940D17">
              <w:rPr>
                <w:rFonts w:ascii="Arial" w:hAnsi="Arial" w:cs="Arial"/>
                <w:b/>
                <w:bCs/>
              </w:rPr>
              <w:t># of times repeated</w:t>
            </w:r>
          </w:p>
        </w:tc>
      </w:tr>
      <w:tr w:rsidR="009F182E" w:rsidRPr="00940D17" w14:paraId="1927EA86" w14:textId="40A70D24" w:rsidTr="009F182E">
        <w:tc>
          <w:tcPr>
            <w:tcW w:w="3125" w:type="dxa"/>
          </w:tcPr>
          <w:p w14:paraId="30B5C8E3" w14:textId="53695FE0" w:rsidR="009F182E" w:rsidRPr="00940D17" w:rsidRDefault="009F182E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Fig. 2h, 3d, Extended Data Fig. 5c (left panel), 5h</w:t>
            </w:r>
          </w:p>
        </w:tc>
        <w:tc>
          <w:tcPr>
            <w:tcW w:w="3355" w:type="dxa"/>
          </w:tcPr>
          <w:p w14:paraId="48E876F1" w14:textId="6DB06DA3" w:rsidR="009F182E" w:rsidRPr="00940D17" w:rsidRDefault="009F182E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10X snXenium experiment for CON</w:t>
            </w:r>
          </w:p>
        </w:tc>
        <w:tc>
          <w:tcPr>
            <w:tcW w:w="2870" w:type="dxa"/>
          </w:tcPr>
          <w:p w14:paraId="63B0028E" w14:textId="0AA0923E" w:rsidR="009F182E" w:rsidRPr="00940D17" w:rsidRDefault="009F182E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10</w:t>
            </w:r>
          </w:p>
        </w:tc>
      </w:tr>
      <w:tr w:rsidR="009F182E" w:rsidRPr="00940D17" w14:paraId="5B77C895" w14:textId="725EF1AD" w:rsidTr="009F182E">
        <w:tc>
          <w:tcPr>
            <w:tcW w:w="3125" w:type="dxa"/>
          </w:tcPr>
          <w:p w14:paraId="7E3D7B4D" w14:textId="335F21EB" w:rsidR="009F182E" w:rsidRPr="00940D17" w:rsidRDefault="009F182E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Fig. 2i, 3e, Extended Data Fig. 5c (right panel), 5i</w:t>
            </w:r>
            <w:r w:rsidR="002F7478" w:rsidRPr="00940D17">
              <w:rPr>
                <w:rFonts w:ascii="Arial" w:hAnsi="Arial" w:cs="Arial"/>
              </w:rPr>
              <w:t>, Supplementary Data Table 24, 25</w:t>
            </w:r>
          </w:p>
        </w:tc>
        <w:tc>
          <w:tcPr>
            <w:tcW w:w="3355" w:type="dxa"/>
          </w:tcPr>
          <w:p w14:paraId="17B02493" w14:textId="698942EA" w:rsidR="009F182E" w:rsidRPr="00940D17" w:rsidRDefault="009F182E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10X snXenium experiment for PTSD</w:t>
            </w:r>
          </w:p>
        </w:tc>
        <w:tc>
          <w:tcPr>
            <w:tcW w:w="2870" w:type="dxa"/>
          </w:tcPr>
          <w:p w14:paraId="3F6A6FDC" w14:textId="6847FD0A" w:rsidR="009F182E" w:rsidRPr="00940D17" w:rsidRDefault="009F182E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4</w:t>
            </w:r>
          </w:p>
        </w:tc>
      </w:tr>
      <w:tr w:rsidR="002F7478" w:rsidRPr="00940D17" w14:paraId="2C2AFD8A" w14:textId="77777777" w:rsidTr="009F182E">
        <w:tc>
          <w:tcPr>
            <w:tcW w:w="3125" w:type="dxa"/>
          </w:tcPr>
          <w:p w14:paraId="4DE23034" w14:textId="0C8FE500" w:rsidR="002F7478" w:rsidRPr="00940D17" w:rsidRDefault="002F7478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Supplementary Data Table 24, 25</w:t>
            </w:r>
          </w:p>
        </w:tc>
        <w:tc>
          <w:tcPr>
            <w:tcW w:w="3355" w:type="dxa"/>
          </w:tcPr>
          <w:p w14:paraId="79601434" w14:textId="0EC670A5" w:rsidR="002F7478" w:rsidRPr="00940D17" w:rsidRDefault="002F7478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10X snXenium experiment for MDD</w:t>
            </w:r>
          </w:p>
        </w:tc>
        <w:tc>
          <w:tcPr>
            <w:tcW w:w="2870" w:type="dxa"/>
          </w:tcPr>
          <w:p w14:paraId="75F3FC82" w14:textId="6DDC1446" w:rsidR="002F7478" w:rsidRPr="00940D17" w:rsidRDefault="002F7478">
            <w:pPr>
              <w:rPr>
                <w:rFonts w:ascii="Arial" w:hAnsi="Arial" w:cs="Arial"/>
              </w:rPr>
            </w:pPr>
            <w:r w:rsidRPr="00940D17">
              <w:rPr>
                <w:rFonts w:ascii="Arial" w:hAnsi="Arial" w:cs="Arial"/>
              </w:rPr>
              <w:t>4</w:t>
            </w:r>
          </w:p>
        </w:tc>
      </w:tr>
    </w:tbl>
    <w:p w14:paraId="361CC06D" w14:textId="77777777" w:rsidR="009F182E" w:rsidRPr="00940D17" w:rsidRDefault="009F182E">
      <w:pPr>
        <w:rPr>
          <w:rFonts w:ascii="Arial" w:hAnsi="Arial" w:cs="Arial"/>
        </w:rPr>
      </w:pPr>
    </w:p>
    <w:p w14:paraId="17F8B18C" w14:textId="03A5BA55" w:rsidR="00104B0B" w:rsidRPr="00940D17" w:rsidRDefault="00104B0B">
      <w:pPr>
        <w:rPr>
          <w:rFonts w:ascii="Arial" w:hAnsi="Arial" w:cs="Arial"/>
          <w:color w:val="000000" w:themeColor="text1"/>
          <w:sz w:val="20"/>
          <w:szCs w:val="20"/>
          <w:lang w:eastAsia="ja-JP"/>
        </w:rPr>
      </w:pPr>
      <w:r w:rsidRPr="00940D17">
        <w:rPr>
          <w:rFonts w:ascii="Arial" w:hAnsi="Arial" w:cs="Arial"/>
        </w:rPr>
        <w:br w:type="page"/>
      </w:r>
    </w:p>
    <w:p w14:paraId="7A182CE5" w14:textId="3C82DC3B" w:rsidR="00104B0B" w:rsidRPr="00940D17" w:rsidRDefault="00104B0B" w:rsidP="00104B0B">
      <w:pPr>
        <w:contextualSpacing/>
        <w:rPr>
          <w:rFonts w:ascii="Arial" w:hAnsi="Arial" w:cs="Arial"/>
          <w:b/>
          <w:bCs/>
          <w:sz w:val="22"/>
          <w:szCs w:val="22"/>
        </w:rPr>
      </w:pPr>
      <w:r w:rsidRPr="00940D17">
        <w:rPr>
          <w:rFonts w:ascii="Arial" w:hAnsi="Arial" w:cs="Arial"/>
          <w:b/>
          <w:bCs/>
          <w:sz w:val="22"/>
          <w:szCs w:val="22"/>
        </w:rPr>
        <w:lastRenderedPageBreak/>
        <w:t>Supplementary Data Tables 1-4</w:t>
      </w:r>
      <w:r w:rsidR="000D0668" w:rsidRPr="00940D17">
        <w:rPr>
          <w:rFonts w:ascii="Arial" w:hAnsi="Arial" w:cs="Arial"/>
          <w:b/>
          <w:bCs/>
          <w:sz w:val="22"/>
          <w:szCs w:val="22"/>
        </w:rPr>
        <w:t>1</w:t>
      </w:r>
    </w:p>
    <w:p w14:paraId="6F30F9BE" w14:textId="77777777" w:rsidR="00104B0B" w:rsidRPr="00940D17" w:rsidRDefault="00104B0B" w:rsidP="00104B0B">
      <w:pPr>
        <w:jc w:val="both"/>
        <w:rPr>
          <w:rFonts w:ascii="Arial" w:hAnsi="Arial" w:cs="Arial"/>
          <w:b/>
          <w:color w:val="000000" w:themeColor="text1"/>
        </w:rPr>
      </w:pPr>
    </w:p>
    <w:p w14:paraId="03479602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1: </w:t>
      </w:r>
      <w:r w:rsidRPr="00940D17">
        <w:rPr>
          <w:rFonts w:ascii="Arial" w:hAnsi="Arial" w:cs="Arial"/>
          <w:color w:val="000000" w:themeColor="text1"/>
        </w:rPr>
        <w:t>Sample metadata of 111 RNA/ATAC, 25 Multiome, and 18 Xenium samples</w:t>
      </w:r>
    </w:p>
    <w:p w14:paraId="34B79772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>Supplementary Data Table 2:</w:t>
      </w:r>
      <w:r w:rsidRPr="00940D17">
        <w:rPr>
          <w:rFonts w:ascii="Arial" w:hAnsi="Arial" w:cs="Arial"/>
          <w:color w:val="000000" w:themeColor="text1"/>
        </w:rPr>
        <w:t xml:space="preserve"> Number of cells in each dataset by cell type and/or subtype</w:t>
      </w:r>
    </w:p>
    <w:p w14:paraId="7A569C38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3: </w:t>
      </w:r>
      <w:r w:rsidRPr="00940D17">
        <w:rPr>
          <w:rFonts w:ascii="Arial" w:hAnsi="Arial" w:cs="Arial"/>
          <w:color w:val="000000" w:themeColor="text1"/>
        </w:rPr>
        <w:t>MAST results for differentially expressed genes in PTSD and MDD</w:t>
      </w:r>
    </w:p>
    <w:p w14:paraId="7FEC0A8D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>Supplementary Data Table 4:</w:t>
      </w:r>
      <w:r w:rsidRPr="00940D17">
        <w:rPr>
          <w:rFonts w:ascii="Arial" w:hAnsi="Arial" w:cs="Arial"/>
          <w:color w:val="000000" w:themeColor="text1"/>
        </w:rPr>
        <w:t xml:space="preserve"> Wilcoxon results of differentially expressed genes in PTSD and MDD</w:t>
      </w:r>
    </w:p>
    <w:p w14:paraId="306426D4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>Supplementary Data Table 5:</w:t>
      </w:r>
      <w:r w:rsidRPr="00940D17">
        <w:rPr>
          <w:rFonts w:ascii="Arial" w:hAnsi="Arial" w:cs="Arial"/>
          <w:color w:val="000000" w:themeColor="text1"/>
        </w:rPr>
        <w:t xml:space="preserve"> Nebula results of differentially expressed genes in PTSD and MDD</w:t>
      </w:r>
    </w:p>
    <w:p w14:paraId="5EB2AB54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>Supplementary Data Table 6:</w:t>
      </w:r>
      <w:r w:rsidRPr="00940D17">
        <w:rPr>
          <w:rFonts w:ascii="Arial" w:hAnsi="Arial" w:cs="Arial"/>
          <w:color w:val="000000" w:themeColor="text1"/>
        </w:rPr>
        <w:t xml:space="preserve"> DESeq2 pseudobulk results of differentially expressed genes in PTSD and MDD</w:t>
      </w:r>
    </w:p>
    <w:p w14:paraId="150E9EBD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7: </w:t>
      </w:r>
      <w:r w:rsidRPr="00940D17">
        <w:rPr>
          <w:rFonts w:ascii="Arial" w:hAnsi="Arial" w:cs="Arial"/>
          <w:color w:val="000000" w:themeColor="text1"/>
        </w:rPr>
        <w:t>PTSD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  <w:r w:rsidRPr="00940D17">
        <w:rPr>
          <w:rFonts w:ascii="Arial" w:hAnsi="Arial" w:cs="Arial"/>
          <w:color w:val="000000" w:themeColor="text1"/>
        </w:rPr>
        <w:t>differentially expressed gene overlap between MAST and Wilcoxon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449E70A8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8: </w:t>
      </w:r>
      <w:r w:rsidRPr="00940D17">
        <w:rPr>
          <w:rFonts w:ascii="Arial" w:hAnsi="Arial" w:cs="Arial"/>
          <w:color w:val="000000" w:themeColor="text1"/>
        </w:rPr>
        <w:t xml:space="preserve">GO analysis of 1,184 PTSD snDEGs </w:t>
      </w:r>
    </w:p>
    <w:p w14:paraId="034C3978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9: </w:t>
      </w:r>
      <w:r w:rsidRPr="00940D17">
        <w:rPr>
          <w:rFonts w:ascii="Arial" w:hAnsi="Arial" w:cs="Arial"/>
          <w:color w:val="000000" w:themeColor="text1"/>
        </w:rPr>
        <w:t>GO analysis of PTSD cell type-specific DEGs</w:t>
      </w:r>
    </w:p>
    <w:p w14:paraId="648D75B3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bCs/>
          <w:color w:val="000000" w:themeColor="text1"/>
        </w:rPr>
        <w:t>Supplementary Data Table 10:</w:t>
      </w:r>
      <w:r w:rsidRPr="00940D17">
        <w:rPr>
          <w:rFonts w:ascii="Arial" w:hAnsi="Arial" w:cs="Arial"/>
          <w:color w:val="000000" w:themeColor="text1"/>
        </w:rPr>
        <w:t xml:space="preserve"> GO analysis of 437 Nebula PTSD DEGs</w:t>
      </w:r>
    </w:p>
    <w:p w14:paraId="0A074A06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bCs/>
          <w:color w:val="000000" w:themeColor="text1"/>
        </w:rPr>
        <w:t>Supplementary Data Table 11:</w:t>
      </w:r>
      <w:r w:rsidRPr="00940D17">
        <w:rPr>
          <w:rFonts w:ascii="Arial" w:hAnsi="Arial" w:cs="Arial"/>
          <w:color w:val="000000" w:themeColor="text1"/>
        </w:rPr>
        <w:t xml:space="preserve"> GO analysis of 472 DESeq2 PTSD DEGs </w:t>
      </w:r>
    </w:p>
    <w:p w14:paraId="68C3693F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12: </w:t>
      </w:r>
      <w:r w:rsidRPr="00940D17">
        <w:rPr>
          <w:rFonts w:ascii="Arial" w:hAnsi="Arial" w:cs="Arial"/>
          <w:color w:val="000000" w:themeColor="text1"/>
        </w:rPr>
        <w:t>Differentially expressed genes between control males and control females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232F2AB2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13: </w:t>
      </w:r>
      <w:r w:rsidRPr="00940D17">
        <w:rPr>
          <w:rFonts w:ascii="Arial" w:hAnsi="Arial" w:cs="Arial"/>
          <w:color w:val="000000" w:themeColor="text1"/>
        </w:rPr>
        <w:t>Differentially expressed genes between PTSD males and control males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19BB2477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14: </w:t>
      </w:r>
      <w:r w:rsidRPr="00940D17">
        <w:rPr>
          <w:rFonts w:ascii="Arial" w:hAnsi="Arial" w:cs="Arial"/>
          <w:color w:val="000000" w:themeColor="text1"/>
        </w:rPr>
        <w:t>Differentially expressed genes between PTSD females and control females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3B734991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15: </w:t>
      </w:r>
      <w:r w:rsidRPr="00940D17">
        <w:rPr>
          <w:rFonts w:ascii="Arial" w:hAnsi="Arial" w:cs="Arial"/>
          <w:color w:val="000000" w:themeColor="text1"/>
        </w:rPr>
        <w:t>Differentially expressed genes between MDD males and MDD controls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59905472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16: </w:t>
      </w:r>
      <w:r w:rsidRPr="00940D17">
        <w:rPr>
          <w:rFonts w:ascii="Arial" w:hAnsi="Arial" w:cs="Arial"/>
          <w:color w:val="000000" w:themeColor="text1"/>
        </w:rPr>
        <w:t>Differentially expressed genes between MDD females and control females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71C0C20D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17: </w:t>
      </w:r>
      <w:r w:rsidRPr="00940D17">
        <w:rPr>
          <w:rFonts w:ascii="Arial" w:hAnsi="Arial" w:cs="Arial"/>
          <w:color w:val="000000" w:themeColor="text1"/>
        </w:rPr>
        <w:t>MDD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  <w:r w:rsidRPr="00940D17">
        <w:rPr>
          <w:rFonts w:ascii="Arial" w:hAnsi="Arial" w:cs="Arial"/>
          <w:color w:val="000000" w:themeColor="text1"/>
        </w:rPr>
        <w:t>Differentially expressed gene overlap between MAST and Wilcox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03C0C192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18: </w:t>
      </w:r>
      <w:r w:rsidRPr="00940D17">
        <w:rPr>
          <w:rFonts w:ascii="Arial" w:hAnsi="Arial" w:cs="Arial"/>
          <w:color w:val="000000" w:themeColor="text1"/>
        </w:rPr>
        <w:t>PTSD differentially expressed genes that are non-overlapping with MDD</w:t>
      </w:r>
    </w:p>
    <w:p w14:paraId="5A7F6F79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lastRenderedPageBreak/>
        <w:t xml:space="preserve">Supplementary Data Table 19: </w:t>
      </w:r>
      <w:r w:rsidRPr="00940D17">
        <w:rPr>
          <w:rFonts w:ascii="Arial" w:hAnsi="Arial" w:cs="Arial"/>
          <w:color w:val="000000" w:themeColor="text1"/>
        </w:rPr>
        <w:t>MDD differentially expressed genes that are non-overlapping with PTSD</w:t>
      </w:r>
    </w:p>
    <w:p w14:paraId="070DE77A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20: </w:t>
      </w:r>
      <w:r w:rsidRPr="00940D17">
        <w:rPr>
          <w:rFonts w:ascii="Arial" w:hAnsi="Arial" w:cs="Arial"/>
          <w:color w:val="000000" w:themeColor="text1"/>
        </w:rPr>
        <w:t xml:space="preserve">GO analysis of PTSD DEGs that are non-overlapping with MDD </w:t>
      </w:r>
    </w:p>
    <w:p w14:paraId="1D53F9C9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21: </w:t>
      </w:r>
      <w:r w:rsidRPr="00940D17">
        <w:rPr>
          <w:rFonts w:ascii="Arial" w:hAnsi="Arial" w:cs="Arial"/>
          <w:color w:val="000000" w:themeColor="text1"/>
        </w:rPr>
        <w:t>PTSD (-MDD) versus control differentially expressed genes</w:t>
      </w:r>
    </w:p>
    <w:p w14:paraId="39A26278" w14:textId="77777777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4ACD5B3A" w14:textId="6E717DCE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22: </w:t>
      </w:r>
      <w:r w:rsidRPr="00940D17">
        <w:rPr>
          <w:rFonts w:ascii="Arial" w:hAnsi="Arial" w:cs="Arial"/>
          <w:color w:val="000000" w:themeColor="text1"/>
        </w:rPr>
        <w:t>PTSD (+MDD) versus control differentially expressed genes</w:t>
      </w:r>
    </w:p>
    <w:p w14:paraId="6223A338" w14:textId="685DB83A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23: </w:t>
      </w:r>
      <w:r w:rsidRPr="00940D17">
        <w:rPr>
          <w:rFonts w:ascii="Arial" w:hAnsi="Arial" w:cs="Arial"/>
          <w:color w:val="000000" w:themeColor="text1"/>
        </w:rPr>
        <w:t xml:space="preserve">366 genes included in in Xenium Human Brain Panel and 99 add-on genes </w:t>
      </w:r>
    </w:p>
    <w:p w14:paraId="14EC6B41" w14:textId="250FC0A1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24: </w:t>
      </w:r>
      <w:r w:rsidRPr="00940D17">
        <w:rPr>
          <w:rFonts w:ascii="Arial" w:hAnsi="Arial" w:cs="Arial"/>
          <w:color w:val="000000" w:themeColor="text1"/>
        </w:rPr>
        <w:t>MAST results for differentially expressed genes in PTSD and MDD scXenium</w:t>
      </w:r>
    </w:p>
    <w:p w14:paraId="18370A84" w14:textId="0BD27CF0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25: </w:t>
      </w:r>
      <w:r w:rsidRPr="00940D17">
        <w:rPr>
          <w:rFonts w:ascii="Arial" w:hAnsi="Arial" w:cs="Arial"/>
          <w:color w:val="000000" w:themeColor="text1"/>
        </w:rPr>
        <w:t>MAST results for differentially expressed genes in PTSD and MDD snXenium</w:t>
      </w:r>
    </w:p>
    <w:p w14:paraId="66AD5523" w14:textId="68AE8FE0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26: </w:t>
      </w:r>
      <w:r w:rsidRPr="00940D17">
        <w:rPr>
          <w:rFonts w:ascii="Arial" w:hAnsi="Arial" w:cs="Arial"/>
          <w:color w:val="000000" w:themeColor="text1"/>
        </w:rPr>
        <w:t>Cell-to-cell communication interactions using CellChat</w:t>
      </w:r>
    </w:p>
    <w:p w14:paraId="2211E344" w14:textId="18D9701C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27: </w:t>
      </w:r>
      <w:r w:rsidRPr="00940D17">
        <w:rPr>
          <w:rFonts w:ascii="Arial" w:hAnsi="Arial" w:cs="Arial"/>
          <w:color w:val="000000" w:themeColor="text1"/>
        </w:rPr>
        <w:t>Cell-to-cell communication interactions using NeuronChat</w:t>
      </w:r>
    </w:p>
    <w:p w14:paraId="2ECCAC9C" w14:textId="0586A0F4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28: </w:t>
      </w:r>
      <w:r w:rsidRPr="00940D17">
        <w:rPr>
          <w:rFonts w:ascii="Arial" w:hAnsi="Arial" w:cs="Arial"/>
          <w:color w:val="000000" w:themeColor="text1"/>
        </w:rPr>
        <w:t>Cell type specific cis-regulatory element metadata</w:t>
      </w:r>
    </w:p>
    <w:p w14:paraId="049A7C84" w14:textId="0E1CE4EA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29: </w:t>
      </w:r>
      <w:r w:rsidRPr="00940D17">
        <w:rPr>
          <w:rFonts w:ascii="Arial" w:hAnsi="Arial" w:cs="Arial"/>
          <w:color w:val="000000" w:themeColor="text1"/>
        </w:rPr>
        <w:t>List of CRE-Gene links</w:t>
      </w:r>
    </w:p>
    <w:p w14:paraId="78F1C263" w14:textId="071A1178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30: </w:t>
      </w:r>
      <w:r w:rsidRPr="00940D17">
        <w:rPr>
          <w:rFonts w:ascii="Arial" w:hAnsi="Arial" w:cs="Arial"/>
          <w:color w:val="000000" w:themeColor="text1"/>
        </w:rPr>
        <w:t>Condition cell type specific cis-regulatory element metadata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</w:p>
    <w:p w14:paraId="4330B3B3" w14:textId="437C0008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31: </w:t>
      </w:r>
      <w:r w:rsidRPr="00940D17">
        <w:rPr>
          <w:rFonts w:ascii="Arial" w:hAnsi="Arial" w:cs="Arial"/>
          <w:color w:val="000000" w:themeColor="text1"/>
        </w:rPr>
        <w:t>List of EXN TF-CRE-Gene links</w:t>
      </w:r>
    </w:p>
    <w:p w14:paraId="1EAB5B83" w14:textId="3A96BA75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32: </w:t>
      </w:r>
      <w:r w:rsidRPr="00940D17">
        <w:rPr>
          <w:rFonts w:ascii="Arial" w:hAnsi="Arial" w:cs="Arial"/>
          <w:color w:val="000000" w:themeColor="text1"/>
        </w:rPr>
        <w:t>List of IN TF-CRE-Gene links</w:t>
      </w:r>
    </w:p>
    <w:p w14:paraId="40EE91C6" w14:textId="7AD0E2B9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33: </w:t>
      </w:r>
      <w:r w:rsidRPr="00940D17">
        <w:rPr>
          <w:rFonts w:ascii="Arial" w:hAnsi="Arial" w:cs="Arial"/>
          <w:color w:val="000000" w:themeColor="text1"/>
        </w:rPr>
        <w:t>List of OLG TF-CRE-Gene links</w:t>
      </w:r>
    </w:p>
    <w:p w14:paraId="16B72A39" w14:textId="0618A725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34: </w:t>
      </w:r>
      <w:r w:rsidRPr="00940D17">
        <w:rPr>
          <w:rFonts w:ascii="Arial" w:hAnsi="Arial" w:cs="Arial"/>
          <w:color w:val="000000" w:themeColor="text1"/>
        </w:rPr>
        <w:t>List of OPC TF-CRE-Gene links</w:t>
      </w:r>
    </w:p>
    <w:p w14:paraId="7E0DE589" w14:textId="53552FD4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35: </w:t>
      </w:r>
      <w:r w:rsidRPr="00940D17">
        <w:rPr>
          <w:rFonts w:ascii="Arial" w:hAnsi="Arial" w:cs="Arial"/>
          <w:color w:val="000000" w:themeColor="text1"/>
        </w:rPr>
        <w:t>List of END TF-CRE-Gene links</w:t>
      </w:r>
    </w:p>
    <w:p w14:paraId="081326CF" w14:textId="3E40B464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36: </w:t>
      </w:r>
      <w:r w:rsidRPr="00940D17">
        <w:rPr>
          <w:rFonts w:ascii="Arial" w:hAnsi="Arial" w:cs="Arial"/>
          <w:color w:val="000000" w:themeColor="text1"/>
        </w:rPr>
        <w:t>List of AST TF-CRE-Gene links</w:t>
      </w:r>
    </w:p>
    <w:p w14:paraId="4BC5A8A4" w14:textId="457896DF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37: </w:t>
      </w:r>
      <w:r w:rsidRPr="00940D17">
        <w:rPr>
          <w:rFonts w:ascii="Arial" w:hAnsi="Arial" w:cs="Arial"/>
          <w:color w:val="000000" w:themeColor="text1"/>
        </w:rPr>
        <w:t>List of MG TF-CRE-Gene links</w:t>
      </w:r>
    </w:p>
    <w:p w14:paraId="47C36B10" w14:textId="4D90C23E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38: </w:t>
      </w:r>
      <w:r w:rsidRPr="00940D17">
        <w:rPr>
          <w:rFonts w:ascii="Arial" w:hAnsi="Arial" w:cs="Arial"/>
          <w:color w:val="000000" w:themeColor="text1"/>
        </w:rPr>
        <w:t>List of</w:t>
      </w:r>
      <w:r w:rsidRPr="00940D17">
        <w:rPr>
          <w:rFonts w:ascii="Arial" w:hAnsi="Arial" w:cs="Arial"/>
          <w:b/>
          <w:color w:val="000000" w:themeColor="text1"/>
        </w:rPr>
        <w:t xml:space="preserve"> </w:t>
      </w:r>
      <w:r w:rsidRPr="00940D17">
        <w:rPr>
          <w:rFonts w:ascii="Arial" w:hAnsi="Arial" w:cs="Arial"/>
          <w:color w:val="000000" w:themeColor="text1"/>
        </w:rPr>
        <w:t xml:space="preserve">top 20 enriched TFs ranked by number of downstream DEGs by cell type </w:t>
      </w:r>
    </w:p>
    <w:p w14:paraId="25CB461A" w14:textId="1BDECDFA" w:rsidR="000D0668" w:rsidRPr="00940D17" w:rsidRDefault="000D0668" w:rsidP="000D0668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39: </w:t>
      </w:r>
      <w:r w:rsidRPr="00940D17">
        <w:rPr>
          <w:rFonts w:ascii="Arial" w:hAnsi="Arial" w:cs="Arial"/>
          <w:color w:val="000000" w:themeColor="text1"/>
        </w:rPr>
        <w:t>Differentially expressed genes in TF infected iPSC derived EXNs</w:t>
      </w:r>
    </w:p>
    <w:p w14:paraId="628D80B2" w14:textId="541745D5" w:rsidR="000D0668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lastRenderedPageBreak/>
        <w:t xml:space="preserve">Supplementary Data Table 40: </w:t>
      </w:r>
      <w:r w:rsidRPr="00940D17">
        <w:rPr>
          <w:rFonts w:ascii="Arial" w:hAnsi="Arial" w:cs="Arial"/>
          <w:color w:val="000000" w:themeColor="text1"/>
        </w:rPr>
        <w:t>LDSC analysis of SNP enrichments in cell type specific ATAC peaks</w:t>
      </w:r>
    </w:p>
    <w:p w14:paraId="51E5438D" w14:textId="3747AF27" w:rsidR="00104B0B" w:rsidRPr="00940D17" w:rsidRDefault="000D0668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940D17">
        <w:rPr>
          <w:rFonts w:ascii="Arial" w:hAnsi="Arial" w:cs="Arial"/>
          <w:b/>
          <w:color w:val="000000" w:themeColor="text1"/>
        </w:rPr>
        <w:t xml:space="preserve">Supplementary Data Table 41: </w:t>
      </w:r>
      <w:r w:rsidRPr="00940D17">
        <w:rPr>
          <w:rFonts w:ascii="Arial" w:hAnsi="Arial" w:cs="Arial"/>
          <w:color w:val="000000" w:themeColor="text1"/>
        </w:rPr>
        <w:t>List of all Fine-mapped SNPs</w:t>
      </w:r>
    </w:p>
    <w:p w14:paraId="50AF0FD5" w14:textId="77777777" w:rsidR="00940D17" w:rsidRPr="00940D17" w:rsidRDefault="00940D17" w:rsidP="00940D17">
      <w:pPr>
        <w:spacing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699BF34" w14:textId="66FF4F72" w:rsidR="00940D17" w:rsidRPr="00940D17" w:rsidRDefault="00940D17" w:rsidP="00940D17">
      <w:pPr>
        <w:spacing w:line="24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40D17">
        <w:rPr>
          <w:rFonts w:ascii="Arial" w:hAnsi="Arial" w:cs="Arial"/>
          <w:b/>
          <w:color w:val="000000" w:themeColor="text1"/>
          <w:sz w:val="28"/>
          <w:szCs w:val="28"/>
        </w:rPr>
        <w:t>Source Data Files</w:t>
      </w:r>
    </w:p>
    <w:p w14:paraId="2348EEC8" w14:textId="77777777" w:rsidR="00940D17" w:rsidRPr="00940D17" w:rsidRDefault="00940D17" w:rsidP="00940D17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0D17">
        <w:rPr>
          <w:rFonts w:ascii="Arial" w:hAnsi="Arial" w:cs="Arial"/>
          <w:b/>
          <w:bCs/>
          <w:color w:val="000000" w:themeColor="text1"/>
        </w:rPr>
        <w:t>Source Data File 1</w:t>
      </w:r>
      <w:r w:rsidRPr="00940D17">
        <w:rPr>
          <w:rFonts w:ascii="Arial" w:hAnsi="Arial" w:cs="Arial"/>
          <w:color w:val="000000" w:themeColor="text1"/>
        </w:rPr>
        <w:t>: Mouse SPS behavior and electrophysiology</w:t>
      </w:r>
    </w:p>
    <w:p w14:paraId="341B6439" w14:textId="77777777" w:rsidR="00940D17" w:rsidRPr="00940D17" w:rsidRDefault="00940D17" w:rsidP="000D0668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sectPr w:rsidR="00940D17" w:rsidRPr="00940D1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60A5" w14:textId="77777777" w:rsidR="00A21E5C" w:rsidRDefault="00A21E5C" w:rsidP="00104B0B">
      <w:pPr>
        <w:spacing w:after="0" w:line="240" w:lineRule="auto"/>
      </w:pPr>
      <w:r>
        <w:separator/>
      </w:r>
    </w:p>
  </w:endnote>
  <w:endnote w:type="continuationSeparator" w:id="0">
    <w:p w14:paraId="2218903D" w14:textId="77777777" w:rsidR="00A21E5C" w:rsidRDefault="00A21E5C" w:rsidP="00104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C8A41" w14:textId="5F390235" w:rsidR="0008519B" w:rsidRPr="0008519B" w:rsidRDefault="0008519B" w:rsidP="0008519B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C5E3" w14:textId="77777777" w:rsidR="00A21E5C" w:rsidRDefault="00A21E5C" w:rsidP="00104B0B">
      <w:pPr>
        <w:spacing w:after="0" w:line="240" w:lineRule="auto"/>
      </w:pPr>
      <w:r>
        <w:separator/>
      </w:r>
    </w:p>
  </w:footnote>
  <w:footnote w:type="continuationSeparator" w:id="0">
    <w:p w14:paraId="53F14951" w14:textId="77777777" w:rsidR="00A21E5C" w:rsidRDefault="00A21E5C" w:rsidP="00104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BE"/>
    <w:rsid w:val="00011308"/>
    <w:rsid w:val="00041F0E"/>
    <w:rsid w:val="000435A8"/>
    <w:rsid w:val="0008519B"/>
    <w:rsid w:val="000D0668"/>
    <w:rsid w:val="00104B0B"/>
    <w:rsid w:val="00150D71"/>
    <w:rsid w:val="002F7478"/>
    <w:rsid w:val="003058F2"/>
    <w:rsid w:val="004C50DC"/>
    <w:rsid w:val="005C3772"/>
    <w:rsid w:val="005E23BE"/>
    <w:rsid w:val="005F495E"/>
    <w:rsid w:val="00760274"/>
    <w:rsid w:val="00775993"/>
    <w:rsid w:val="008E39C8"/>
    <w:rsid w:val="00940D17"/>
    <w:rsid w:val="009F182E"/>
    <w:rsid w:val="00A14F27"/>
    <w:rsid w:val="00A21E5C"/>
    <w:rsid w:val="00AE3567"/>
    <w:rsid w:val="00BA1348"/>
    <w:rsid w:val="00BB22EB"/>
    <w:rsid w:val="00C337A8"/>
    <w:rsid w:val="00C82C20"/>
    <w:rsid w:val="00CA52E7"/>
    <w:rsid w:val="00CC63AC"/>
    <w:rsid w:val="00CD5910"/>
    <w:rsid w:val="00D52858"/>
    <w:rsid w:val="00D849DC"/>
    <w:rsid w:val="00D92F4F"/>
    <w:rsid w:val="00EA3136"/>
    <w:rsid w:val="00E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4C5DE9"/>
  <w15:chartTrackingRefBased/>
  <w15:docId w15:val="{B01B80C7-1F7A-B449-9534-1CB5D74E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3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B0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04B0B"/>
  </w:style>
  <w:style w:type="paragraph" w:styleId="Footer">
    <w:name w:val="footer"/>
    <w:basedOn w:val="Normal"/>
    <w:link w:val="FooterChar"/>
    <w:uiPriority w:val="99"/>
    <w:unhideWhenUsed/>
    <w:rsid w:val="00104B0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04B0B"/>
  </w:style>
  <w:style w:type="paragraph" w:styleId="NoSpacing">
    <w:name w:val="No Spacing"/>
    <w:basedOn w:val="Normal"/>
    <w:uiPriority w:val="1"/>
    <w:qFormat/>
    <w:rsid w:val="00104B0B"/>
    <w:pPr>
      <w:widowControl w:val="0"/>
      <w:spacing w:after="80" w:line="220" w:lineRule="exact"/>
    </w:pPr>
    <w:rPr>
      <w:rFonts w:ascii="Times New Roman" w:hAnsi="Times New Roman" w:cs="Times New Roman"/>
      <w:color w:val="000000" w:themeColor="text1"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9F1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80DDD6E32D24793B52EBDA382135E" ma:contentTypeVersion="15" ma:contentTypeDescription="Create a new document." ma:contentTypeScope="" ma:versionID="b693893d0610545cee62f15ef9461646">
  <xsd:schema xmlns:xsd="http://www.w3.org/2001/XMLSchema" xmlns:xs="http://www.w3.org/2001/XMLSchema" xmlns:p="http://schemas.microsoft.com/office/2006/metadata/properties" xmlns:ns2="03670651-1d3f-4393-a695-0ad38e7dc27c" xmlns:ns3="98cfd510-5244-40a7-ac81-0d7d1b58424e" targetNamespace="http://schemas.microsoft.com/office/2006/metadata/properties" ma:root="true" ma:fieldsID="1ef3a02da35b46607b6551d393d73191" ns2:_="" ns3:_="">
    <xsd:import namespace="03670651-1d3f-4393-a695-0ad38e7dc27c"/>
    <xsd:import namespace="98cfd510-5244-40a7-ac81-0d7d1b58424e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70651-1d3f-4393-a695-0ad38e7dc27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e026092-a6d1-42a7-a35d-9d1bdd270ae7}" ma:internalName="TaxCatchAll" ma:showField="CatchAllData" ma:web="03670651-1d3f-4393-a695-0ad38e7d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fd510-5244-40a7-ac81-0d7d1b584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cfd510-5244-40a7-ac81-0d7d1b58424e">
      <Terms xmlns="http://schemas.microsoft.com/office/infopath/2007/PartnerControls"/>
    </lcf76f155ced4ddcb4097134ff3c332f>
    <TaxCatchAll xmlns="03670651-1d3f-4393-a695-0ad38e7dc27c" xsi:nil="true"/>
  </documentManagement>
</p:properties>
</file>

<file path=customXml/itemProps1.xml><?xml version="1.0" encoding="utf-8"?>
<ds:datastoreItem xmlns:ds="http://schemas.openxmlformats.org/officeDocument/2006/customXml" ds:itemID="{C3FB9B3F-7D2B-4ABC-8E6A-EF7992E818BB}"/>
</file>

<file path=customXml/itemProps2.xml><?xml version="1.0" encoding="utf-8"?>
<ds:datastoreItem xmlns:ds="http://schemas.openxmlformats.org/officeDocument/2006/customXml" ds:itemID="{DB7B48FE-572A-4F53-9C52-E4F7FDDDF775}"/>
</file>

<file path=customXml/itemProps3.xml><?xml version="1.0" encoding="utf-8"?>
<ds:datastoreItem xmlns:ds="http://schemas.openxmlformats.org/officeDocument/2006/customXml" ds:itemID="{6ECC8B26-EC3A-44C9-AD51-B487828F32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Girgenti, Matthew</dc:creator>
  <cp:keywords/>
  <dc:description/>
  <cp:lastModifiedBy>David Pentney</cp:lastModifiedBy>
  <cp:revision>13</cp:revision>
  <dcterms:created xsi:type="dcterms:W3CDTF">2025-04-14T13:46:00Z</dcterms:created>
  <dcterms:modified xsi:type="dcterms:W3CDTF">2025-06-06T14:44:00Z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0x0101002A580DDD6E32D24793B52EBDA382135E</vt:lpwstr>
  </property>
</Properties>
</file>