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2FD46B" w14:textId="77777777" w:rsidR="009D5826" w:rsidRPr="00863BB6" w:rsidRDefault="009D5826" w:rsidP="009D5826">
      <w:pPr>
        <w:spacing w:line="480" w:lineRule="auto"/>
        <w:rPr>
          <w:b/>
          <w:bCs/>
        </w:rPr>
      </w:pPr>
      <w:r w:rsidRPr="00863BB6">
        <w:rPr>
          <w:b/>
          <w:bCs/>
        </w:rPr>
        <w:t>SUPPLEMENTARY INFORMATION</w:t>
      </w:r>
    </w:p>
    <w:p w14:paraId="6BF4ED4D" w14:textId="5A95BFAD" w:rsidR="009D5826" w:rsidRDefault="009D5826" w:rsidP="009D5826">
      <w:pPr>
        <w:spacing w:line="480" w:lineRule="auto"/>
      </w:pPr>
    </w:p>
    <w:p w14:paraId="3DE7439D" w14:textId="19ED9A36" w:rsidR="002B0D2F" w:rsidRPr="002B0D2F" w:rsidRDefault="002B0D2F" w:rsidP="009D5826">
      <w:pPr>
        <w:spacing w:line="480" w:lineRule="auto"/>
        <w:rPr>
          <w:b/>
          <w:bCs/>
        </w:rPr>
      </w:pPr>
      <w:r w:rsidRPr="002B0D2F">
        <w:rPr>
          <w:b/>
          <w:bCs/>
        </w:rPr>
        <w:t>Description of stone artefacts</w:t>
      </w:r>
    </w:p>
    <w:p w14:paraId="2E409A69" w14:textId="77777777" w:rsidR="009D5826" w:rsidRPr="00863BB6" w:rsidRDefault="009D5826" w:rsidP="009D5826">
      <w:pPr>
        <w:spacing w:line="480" w:lineRule="auto"/>
      </w:pPr>
    </w:p>
    <w:p w14:paraId="7F70764C" w14:textId="77777777" w:rsidR="009D5826" w:rsidRPr="00863BB6" w:rsidRDefault="009D5826" w:rsidP="009D5826">
      <w:pPr>
        <w:spacing w:line="480" w:lineRule="auto"/>
        <w:rPr>
          <w:b/>
          <w:bCs/>
        </w:rPr>
      </w:pPr>
      <w:r w:rsidRPr="00863BB6">
        <w:rPr>
          <w:b/>
          <w:bCs/>
        </w:rPr>
        <w:t>Artefact 1</w:t>
      </w:r>
    </w:p>
    <w:p w14:paraId="18773EBE" w14:textId="77777777" w:rsidR="009D5826" w:rsidRPr="00863BB6" w:rsidRDefault="009D5826" w:rsidP="009D5826">
      <w:pPr>
        <w:spacing w:line="480" w:lineRule="auto"/>
      </w:pPr>
    </w:p>
    <w:p w14:paraId="31AEBFB0" w14:textId="77777777" w:rsidR="009D5826" w:rsidRPr="00863BB6" w:rsidRDefault="009D5826" w:rsidP="009D5826">
      <w:pPr>
        <w:keepNext/>
        <w:spacing w:line="480" w:lineRule="auto"/>
      </w:pPr>
      <w:r w:rsidRPr="00863BB6">
        <w:rPr>
          <w:noProof/>
        </w:rPr>
        <w:drawing>
          <wp:inline distT="0" distB="0" distL="0" distR="0" wp14:anchorId="2322771D" wp14:editId="7C405685">
            <wp:extent cx="4073857" cy="3142876"/>
            <wp:effectExtent l="0" t="0" r="3175" b="0"/>
            <wp:docPr id="1709284136" name="Picture 1" descr="Several stone tools with different ang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129878" name="Picture 1" descr="Several stone tools with different angles&#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4132043" cy="3187765"/>
                    </a:xfrm>
                    <a:prstGeom prst="rect">
                      <a:avLst/>
                    </a:prstGeom>
                  </pic:spPr>
                </pic:pic>
              </a:graphicData>
            </a:graphic>
          </wp:inline>
        </w:drawing>
      </w:r>
    </w:p>
    <w:p w14:paraId="17FC936A" w14:textId="77777777" w:rsidR="009D5826" w:rsidRPr="001143C6" w:rsidRDefault="009D5826" w:rsidP="009D5826">
      <w:pPr>
        <w:pStyle w:val="Caption"/>
        <w:spacing w:line="480" w:lineRule="auto"/>
        <w:jc w:val="left"/>
        <w:rPr>
          <w:sz w:val="24"/>
          <w:szCs w:val="24"/>
          <w:lang w:val="en-AU"/>
        </w:rPr>
      </w:pPr>
      <w:r>
        <w:rPr>
          <w:b/>
          <w:bCs w:val="0"/>
          <w:sz w:val="24"/>
          <w:szCs w:val="24"/>
          <w:lang w:val="en-AU"/>
        </w:rPr>
        <w:t xml:space="preserve">Supplementary Information </w:t>
      </w:r>
      <w:r w:rsidRPr="001143C6">
        <w:rPr>
          <w:b/>
          <w:bCs w:val="0"/>
          <w:sz w:val="24"/>
          <w:szCs w:val="24"/>
          <w:lang w:val="en-AU"/>
        </w:rPr>
        <w:t xml:space="preserve">Fig. </w:t>
      </w:r>
      <w:r w:rsidRPr="001143C6">
        <w:rPr>
          <w:b/>
          <w:bCs w:val="0"/>
          <w:sz w:val="24"/>
          <w:szCs w:val="24"/>
          <w:lang w:val="en-AU"/>
        </w:rPr>
        <w:fldChar w:fldCharType="begin"/>
      </w:r>
      <w:r w:rsidRPr="001143C6">
        <w:rPr>
          <w:b/>
          <w:bCs w:val="0"/>
          <w:sz w:val="24"/>
          <w:szCs w:val="24"/>
          <w:lang w:val="en-AU"/>
        </w:rPr>
        <w:instrText xml:space="preserve"> SEQ Figure \* ARABIC </w:instrText>
      </w:r>
      <w:r w:rsidRPr="001143C6">
        <w:rPr>
          <w:b/>
          <w:bCs w:val="0"/>
          <w:sz w:val="24"/>
          <w:szCs w:val="24"/>
          <w:lang w:val="en-AU"/>
        </w:rPr>
        <w:fldChar w:fldCharType="separate"/>
      </w:r>
      <w:r>
        <w:rPr>
          <w:b/>
          <w:bCs w:val="0"/>
          <w:noProof/>
          <w:sz w:val="24"/>
          <w:szCs w:val="24"/>
          <w:lang w:val="en-AU"/>
        </w:rPr>
        <w:t>1</w:t>
      </w:r>
      <w:r w:rsidRPr="001143C6">
        <w:rPr>
          <w:b/>
          <w:bCs w:val="0"/>
          <w:sz w:val="24"/>
          <w:szCs w:val="24"/>
          <w:lang w:val="en-AU"/>
        </w:rPr>
        <w:fldChar w:fldCharType="end"/>
      </w:r>
      <w:r>
        <w:rPr>
          <w:b/>
          <w:bCs w:val="0"/>
          <w:sz w:val="24"/>
          <w:szCs w:val="24"/>
          <w:lang w:val="en-AU"/>
        </w:rPr>
        <w:t>|</w:t>
      </w:r>
      <w:r w:rsidRPr="001143C6">
        <w:rPr>
          <w:b/>
          <w:bCs w:val="0"/>
          <w:sz w:val="24"/>
          <w:szCs w:val="24"/>
          <w:lang w:val="en-AU"/>
        </w:rPr>
        <w:t xml:space="preserve"> Artefact 1</w:t>
      </w:r>
      <w:r w:rsidRPr="001143C6">
        <w:rPr>
          <w:sz w:val="24"/>
          <w:szCs w:val="24"/>
          <w:lang w:val="en-AU"/>
        </w:rPr>
        <w:t>. Scale bar 50 mm.</w:t>
      </w:r>
    </w:p>
    <w:p w14:paraId="4FB00021" w14:textId="77777777" w:rsidR="009D5826" w:rsidRPr="00863BB6" w:rsidRDefault="009D5826" w:rsidP="009D5826">
      <w:pPr>
        <w:spacing w:line="480" w:lineRule="auto"/>
      </w:pPr>
    </w:p>
    <w:p w14:paraId="2E01DBCA" w14:textId="77777777" w:rsidR="009D5826" w:rsidRPr="00863BB6" w:rsidRDefault="009D5826" w:rsidP="009D5826">
      <w:pPr>
        <w:spacing w:line="480" w:lineRule="auto"/>
      </w:pPr>
      <w:r w:rsidRPr="00863BB6">
        <w:t xml:space="preserve">3D model: </w:t>
      </w:r>
      <w:hyperlink r:id="rId7" w:history="1">
        <w:r w:rsidRPr="00863BB6">
          <w:rPr>
            <w:rStyle w:val="Hyperlink"/>
            <w:rFonts w:eastAsiaTheme="majorEastAsia"/>
          </w:rPr>
          <w:t>https://une.pedestal3d.com/r/vinlHbuezr</w:t>
        </w:r>
      </w:hyperlink>
    </w:p>
    <w:p w14:paraId="18599A25" w14:textId="77777777" w:rsidR="009D5826" w:rsidRPr="00863BB6" w:rsidRDefault="009D5826" w:rsidP="009D5826">
      <w:pPr>
        <w:spacing w:line="480" w:lineRule="auto"/>
        <w:rPr>
          <w:b/>
          <w:bCs/>
        </w:rPr>
      </w:pPr>
    </w:p>
    <w:p w14:paraId="407B350A" w14:textId="77777777" w:rsidR="009D5826" w:rsidRPr="00863BB6" w:rsidRDefault="009D5826" w:rsidP="009D5826">
      <w:pPr>
        <w:spacing w:line="480" w:lineRule="auto"/>
      </w:pPr>
      <w:r w:rsidRPr="00863BB6">
        <w:t xml:space="preserve">This large flake was discovered partially exposed on the surface. A black linear mineral stain marks the boundary between the exposed part of the flake and the portion </w:t>
      </w:r>
      <w:r>
        <w:t xml:space="preserve">that was </w:t>
      </w:r>
      <w:r w:rsidRPr="00863BB6">
        <w:t>embedded in the sandstone. The flake is lightly abraded</w:t>
      </w:r>
      <w:r>
        <w:t>,</w:t>
      </w:r>
      <w:r w:rsidRPr="00863BB6">
        <w:t xml:space="preserve"> but the flake’s edges are moderately to heavily damaged by </w:t>
      </w:r>
      <w:proofErr w:type="spellStart"/>
      <w:r w:rsidRPr="00863BB6">
        <w:t>taphonomic</w:t>
      </w:r>
      <w:proofErr w:type="spellEnd"/>
      <w:r w:rsidRPr="00863BB6">
        <w:t xml:space="preserve"> flaking to both faces. Most of the </w:t>
      </w:r>
      <w:proofErr w:type="spellStart"/>
      <w:r w:rsidRPr="00863BB6">
        <w:t>taphonomic</w:t>
      </w:r>
      <w:proofErr w:type="spellEnd"/>
      <w:r w:rsidRPr="00863BB6">
        <w:t xml:space="preserve"> scars are themselves lightly abraded, although one of these scars is relatively fresh.</w:t>
      </w:r>
    </w:p>
    <w:p w14:paraId="51AE91EE" w14:textId="77777777" w:rsidR="009D5826" w:rsidRPr="00863BB6" w:rsidRDefault="009D5826" w:rsidP="009D5826">
      <w:pPr>
        <w:spacing w:line="480" w:lineRule="auto"/>
      </w:pPr>
    </w:p>
    <w:p w14:paraId="31213460" w14:textId="77777777" w:rsidR="009D5826" w:rsidRPr="00863BB6" w:rsidRDefault="009D5826" w:rsidP="009D5826">
      <w:pPr>
        <w:spacing w:line="480" w:lineRule="auto"/>
      </w:pPr>
      <w:r w:rsidRPr="00863BB6">
        <w:t>The flake was struck directly behind a prominent ridge on the core face from a cortical platform. One side of the ridge is a flat cortical facet formed when the cobble was split by weathering. The cortex on the platform surface is heavily water-worn, indicating the core was made on a section of a water-rolled chert cobble. The other side of the ridge is a negative scar from a flake struck from the same platform edge and in the same direction as Artefact 1. The stoneworker struck almost 20 mm back from the core edge to remove a substantial part of the angular mass from the core face, producing a thick, pointed flake with (originally) sharp lateral edges.</w:t>
      </w:r>
    </w:p>
    <w:p w14:paraId="61E30357" w14:textId="77777777" w:rsidR="009D5826" w:rsidRPr="00863BB6" w:rsidRDefault="009D5826" w:rsidP="009D5826">
      <w:pPr>
        <w:spacing w:line="480" w:lineRule="auto"/>
      </w:pPr>
    </w:p>
    <w:p w14:paraId="5D0410D9" w14:textId="77777777" w:rsidR="009D5826" w:rsidRDefault="009D5826" w:rsidP="009D5826">
      <w:pPr>
        <w:spacing w:after="160" w:line="480" w:lineRule="auto"/>
      </w:pPr>
      <w:r>
        <w:br w:type="page"/>
      </w:r>
    </w:p>
    <w:p w14:paraId="0007326C" w14:textId="77777777" w:rsidR="009D5826" w:rsidRPr="00863BB6" w:rsidRDefault="009D5826" w:rsidP="009D5826">
      <w:pPr>
        <w:spacing w:line="480" w:lineRule="auto"/>
        <w:rPr>
          <w:b/>
          <w:bCs/>
        </w:rPr>
      </w:pPr>
      <w:r w:rsidRPr="00863BB6">
        <w:rPr>
          <w:b/>
          <w:bCs/>
        </w:rPr>
        <w:lastRenderedPageBreak/>
        <w:t>Artefact 2</w:t>
      </w:r>
    </w:p>
    <w:p w14:paraId="2F2607B1" w14:textId="77777777" w:rsidR="009D5826" w:rsidRPr="00863BB6" w:rsidRDefault="009D5826" w:rsidP="009D5826">
      <w:pPr>
        <w:spacing w:line="480" w:lineRule="auto"/>
        <w:rPr>
          <w:b/>
          <w:bCs/>
        </w:rPr>
      </w:pPr>
    </w:p>
    <w:p w14:paraId="6101DC74" w14:textId="77777777" w:rsidR="009D5826" w:rsidRPr="00863BB6" w:rsidRDefault="009D5826" w:rsidP="009D5826">
      <w:pPr>
        <w:keepNext/>
        <w:spacing w:line="480" w:lineRule="auto"/>
      </w:pPr>
      <w:r w:rsidRPr="00863BB6">
        <w:rPr>
          <w:b/>
          <w:bCs/>
          <w:noProof/>
        </w:rPr>
        <w:drawing>
          <wp:inline distT="0" distB="0" distL="0" distR="0" wp14:anchorId="4B4414FE" wp14:editId="0DE624AD">
            <wp:extent cx="5943600" cy="2927985"/>
            <wp:effectExtent l="0" t="0" r="0" b="5715"/>
            <wp:docPr id="857742567" name="Picture 2" descr="Several pieces of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36613" name="Picture 2" descr="Several pieces of ston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43600" cy="2927985"/>
                    </a:xfrm>
                    <a:prstGeom prst="rect">
                      <a:avLst/>
                    </a:prstGeom>
                  </pic:spPr>
                </pic:pic>
              </a:graphicData>
            </a:graphic>
          </wp:inline>
        </w:drawing>
      </w:r>
    </w:p>
    <w:p w14:paraId="1F733CBD" w14:textId="77777777" w:rsidR="009D5826" w:rsidRPr="001143C6" w:rsidRDefault="009D5826" w:rsidP="009D5826">
      <w:pPr>
        <w:pStyle w:val="Caption"/>
        <w:spacing w:line="480" w:lineRule="auto"/>
        <w:jc w:val="left"/>
        <w:rPr>
          <w:b/>
          <w:bCs w:val="0"/>
          <w:sz w:val="24"/>
          <w:szCs w:val="24"/>
          <w:lang w:val="en-AU"/>
        </w:rPr>
      </w:pPr>
      <w:r>
        <w:rPr>
          <w:b/>
          <w:bCs w:val="0"/>
          <w:sz w:val="24"/>
          <w:szCs w:val="24"/>
          <w:lang w:val="en-AU"/>
        </w:rPr>
        <w:t xml:space="preserve">Supplementary Information </w:t>
      </w:r>
      <w:r w:rsidRPr="001143C6">
        <w:rPr>
          <w:b/>
          <w:bCs w:val="0"/>
          <w:sz w:val="24"/>
          <w:szCs w:val="24"/>
          <w:lang w:val="en-AU"/>
        </w:rPr>
        <w:t xml:space="preserve">Fig. </w:t>
      </w:r>
      <w:r w:rsidRPr="001143C6">
        <w:rPr>
          <w:b/>
          <w:bCs w:val="0"/>
          <w:sz w:val="24"/>
          <w:szCs w:val="24"/>
          <w:lang w:val="en-AU"/>
        </w:rPr>
        <w:fldChar w:fldCharType="begin"/>
      </w:r>
      <w:r w:rsidRPr="001143C6">
        <w:rPr>
          <w:b/>
          <w:bCs w:val="0"/>
          <w:sz w:val="24"/>
          <w:szCs w:val="24"/>
          <w:lang w:val="en-AU"/>
        </w:rPr>
        <w:instrText xml:space="preserve"> SEQ Figure \* ARABIC </w:instrText>
      </w:r>
      <w:r w:rsidRPr="001143C6">
        <w:rPr>
          <w:b/>
          <w:bCs w:val="0"/>
          <w:sz w:val="24"/>
          <w:szCs w:val="24"/>
          <w:lang w:val="en-AU"/>
        </w:rPr>
        <w:fldChar w:fldCharType="separate"/>
      </w:r>
      <w:r>
        <w:rPr>
          <w:b/>
          <w:bCs w:val="0"/>
          <w:noProof/>
          <w:sz w:val="24"/>
          <w:szCs w:val="24"/>
          <w:lang w:val="en-AU"/>
        </w:rPr>
        <w:t>2</w:t>
      </w:r>
      <w:r w:rsidRPr="001143C6">
        <w:rPr>
          <w:b/>
          <w:bCs w:val="0"/>
          <w:sz w:val="24"/>
          <w:szCs w:val="24"/>
          <w:lang w:val="en-AU"/>
        </w:rPr>
        <w:fldChar w:fldCharType="end"/>
      </w:r>
      <w:r>
        <w:rPr>
          <w:b/>
          <w:bCs w:val="0"/>
          <w:sz w:val="24"/>
          <w:szCs w:val="24"/>
          <w:lang w:val="en-AU"/>
        </w:rPr>
        <w:t>|</w:t>
      </w:r>
      <w:r w:rsidRPr="001143C6">
        <w:rPr>
          <w:b/>
          <w:bCs w:val="0"/>
          <w:sz w:val="24"/>
          <w:szCs w:val="24"/>
          <w:lang w:val="en-AU"/>
        </w:rPr>
        <w:t xml:space="preserve"> Artefact 2.</w:t>
      </w:r>
      <w:r w:rsidRPr="001143C6">
        <w:rPr>
          <w:sz w:val="24"/>
          <w:szCs w:val="24"/>
          <w:lang w:val="en-AU"/>
        </w:rPr>
        <w:t xml:space="preserve"> Arrows indicate retouching scars. Cross-arrow indicates direction of detachment scar. Scale bar 50 mm.</w:t>
      </w:r>
    </w:p>
    <w:p w14:paraId="22EDD609" w14:textId="77777777" w:rsidR="009D5826" w:rsidRPr="00863BB6" w:rsidRDefault="009D5826" w:rsidP="009D5826">
      <w:pPr>
        <w:spacing w:line="480" w:lineRule="auto"/>
      </w:pPr>
    </w:p>
    <w:p w14:paraId="1938D3AA" w14:textId="77777777" w:rsidR="009D5826" w:rsidRPr="00863BB6" w:rsidRDefault="009D5826" w:rsidP="009D5826">
      <w:pPr>
        <w:spacing w:line="480" w:lineRule="auto"/>
      </w:pPr>
      <w:r w:rsidRPr="00863BB6">
        <w:t xml:space="preserve">3D model: </w:t>
      </w:r>
      <w:hyperlink r:id="rId9" w:history="1">
        <w:r w:rsidRPr="00863BB6">
          <w:rPr>
            <w:rStyle w:val="Hyperlink"/>
            <w:rFonts w:eastAsiaTheme="majorEastAsia"/>
          </w:rPr>
          <w:t>https://une.pedestal3d.com/r/eOCKQIpLH_</w:t>
        </w:r>
      </w:hyperlink>
    </w:p>
    <w:p w14:paraId="341CE3AB" w14:textId="77777777" w:rsidR="009D5826" w:rsidRPr="00863BB6" w:rsidRDefault="009D5826" w:rsidP="009D5826">
      <w:pPr>
        <w:spacing w:line="480" w:lineRule="auto"/>
        <w:rPr>
          <w:b/>
          <w:bCs/>
        </w:rPr>
      </w:pPr>
    </w:p>
    <w:p w14:paraId="5356F8D4" w14:textId="77777777" w:rsidR="009D5826" w:rsidRPr="00863BB6" w:rsidRDefault="009D5826" w:rsidP="009D5826">
      <w:pPr>
        <w:spacing w:line="480" w:lineRule="auto"/>
      </w:pPr>
      <w:r w:rsidRPr="00863BB6">
        <w:t xml:space="preserve">This medium-sized flake was struck from a core made from brecciated chert. The flake is moderately to heavily abraded and the flake’s edges are moderately damaged by </w:t>
      </w:r>
      <w:proofErr w:type="spellStart"/>
      <w:r w:rsidRPr="00863BB6">
        <w:t>taphonomic</w:t>
      </w:r>
      <w:proofErr w:type="spellEnd"/>
      <w:r w:rsidRPr="00863BB6">
        <w:t xml:space="preserve"> flaking to both faces. The </w:t>
      </w:r>
      <w:proofErr w:type="spellStart"/>
      <w:r w:rsidRPr="00863BB6">
        <w:t>taphonomic</w:t>
      </w:r>
      <w:proofErr w:type="spellEnd"/>
      <w:r w:rsidRPr="00863BB6">
        <w:t xml:space="preserve"> scars are themselves lightly to moderately abraded, although one of these scars is relatively fresh.</w:t>
      </w:r>
    </w:p>
    <w:p w14:paraId="4A94B176" w14:textId="77777777" w:rsidR="009D5826" w:rsidRPr="00863BB6" w:rsidRDefault="009D5826" w:rsidP="009D5826">
      <w:pPr>
        <w:spacing w:line="480" w:lineRule="auto"/>
      </w:pPr>
    </w:p>
    <w:p w14:paraId="4568CA8B" w14:textId="77777777" w:rsidR="009D5826" w:rsidRPr="00863BB6" w:rsidRDefault="009D5826" w:rsidP="009D5826">
      <w:pPr>
        <w:spacing w:line="480" w:lineRule="auto"/>
      </w:pPr>
      <w:r w:rsidRPr="00863BB6">
        <w:t>The platform surface includes a facet of heavily abraded cortex, indicating that the original stone was a water-rolled chert cobble. The percussion blow was struck onto a single-facet platform adjacent to the cortical facet, but the platform was damaged in excavation, fracturing the flake and eliminating most of this surface. The flake’s right margin is broken</w:t>
      </w:r>
      <w:r>
        <w:t>,</w:t>
      </w:r>
      <w:r w:rsidRPr="00863BB6">
        <w:t xml:space="preserve"> </w:t>
      </w:r>
      <w:r w:rsidRPr="00863BB6">
        <w:lastRenderedPageBreak/>
        <w:t xml:space="preserve">and the break-surface is heavily abraded and damaged by </w:t>
      </w:r>
      <w:proofErr w:type="spellStart"/>
      <w:r w:rsidRPr="00863BB6">
        <w:t>taphonomic</w:t>
      </w:r>
      <w:proofErr w:type="spellEnd"/>
      <w:r w:rsidRPr="00863BB6">
        <w:t xml:space="preserve"> flaking, suggesting the break was contemporaneous with flake discard.  </w:t>
      </w:r>
    </w:p>
    <w:p w14:paraId="602F05B2" w14:textId="77777777" w:rsidR="009D5826" w:rsidRPr="00863BB6" w:rsidRDefault="009D5826" w:rsidP="009D5826">
      <w:pPr>
        <w:spacing w:line="480" w:lineRule="auto"/>
      </w:pPr>
    </w:p>
    <w:p w14:paraId="06FA5748" w14:textId="77777777" w:rsidR="009D5826" w:rsidRPr="00863BB6" w:rsidRDefault="009D5826" w:rsidP="009D5826">
      <w:pPr>
        <w:spacing w:line="480" w:lineRule="auto"/>
      </w:pPr>
      <w:r w:rsidRPr="00863BB6">
        <w:t>The dorsal surface of the flake is smooth. The slightly convex morphology and slight undulations suggest that this surface is the former ventral surface of a large flake, an attribute referred to as a ‘detachment scar’. This indicates that Artefact 2 was struck onto the ventral surface of the large flake. Artefacts with these attributes are referred to as ‘</w:t>
      </w:r>
      <w:proofErr w:type="spellStart"/>
      <w:r w:rsidRPr="00863BB6">
        <w:t>Kombewa</w:t>
      </w:r>
      <w:proofErr w:type="spellEnd"/>
      <w:r w:rsidRPr="00863BB6">
        <w:t>’ flakes by some analysts.</w:t>
      </w:r>
    </w:p>
    <w:p w14:paraId="4CF321EC" w14:textId="77777777" w:rsidR="009D5826" w:rsidRPr="00863BB6" w:rsidRDefault="009D5826" w:rsidP="009D5826">
      <w:pPr>
        <w:spacing w:line="480" w:lineRule="auto"/>
      </w:pPr>
    </w:p>
    <w:p w14:paraId="2669407D" w14:textId="77777777" w:rsidR="009D5826" w:rsidRPr="00863BB6" w:rsidRDefault="009D5826" w:rsidP="009D5826">
      <w:pPr>
        <w:spacing w:line="480" w:lineRule="auto"/>
      </w:pPr>
      <w:r w:rsidRPr="00863BB6">
        <w:t>The flake’s proximal end/left lateral margin appears to have been unifacially retouched towards the dorsal surface</w:t>
      </w:r>
      <w:r>
        <w:t xml:space="preserve"> (indicated by black arrows)</w:t>
      </w:r>
      <w:r w:rsidRPr="00863BB6">
        <w:t xml:space="preserve">. The retouching scars are flatter in profile than the markedly concave </w:t>
      </w:r>
      <w:proofErr w:type="spellStart"/>
      <w:r w:rsidRPr="00863BB6">
        <w:t>taphonomic</w:t>
      </w:r>
      <w:proofErr w:type="spellEnd"/>
      <w:r w:rsidRPr="00863BB6">
        <w:t xml:space="preserve"> scars on this and the other artefacts. The retouching scars are regularly spaced, are similar in length, and are oriented less steeply than the </w:t>
      </w:r>
      <w:proofErr w:type="spellStart"/>
      <w:r w:rsidRPr="00863BB6">
        <w:t>taphonomic</w:t>
      </w:r>
      <w:proofErr w:type="spellEnd"/>
      <w:r w:rsidRPr="00863BB6">
        <w:t xml:space="preserve"> scars.</w:t>
      </w:r>
    </w:p>
    <w:p w14:paraId="2EDBC883" w14:textId="77777777" w:rsidR="009D5826" w:rsidRPr="00863BB6" w:rsidRDefault="009D5826" w:rsidP="009D5826">
      <w:pPr>
        <w:spacing w:line="480" w:lineRule="auto"/>
      </w:pPr>
    </w:p>
    <w:p w14:paraId="40A81FE8" w14:textId="77777777" w:rsidR="009D5826" w:rsidRDefault="009D5826" w:rsidP="009D5826">
      <w:pPr>
        <w:spacing w:after="160" w:line="480" w:lineRule="auto"/>
      </w:pPr>
      <w:r>
        <w:br w:type="page"/>
      </w:r>
    </w:p>
    <w:p w14:paraId="0CDCEAB7" w14:textId="77777777" w:rsidR="009D5826" w:rsidRPr="00863BB6" w:rsidRDefault="009D5826" w:rsidP="009D5826">
      <w:pPr>
        <w:spacing w:line="480" w:lineRule="auto"/>
        <w:rPr>
          <w:b/>
          <w:bCs/>
        </w:rPr>
      </w:pPr>
      <w:r w:rsidRPr="00863BB6">
        <w:rPr>
          <w:b/>
          <w:bCs/>
        </w:rPr>
        <w:lastRenderedPageBreak/>
        <w:t>Artefact 3</w:t>
      </w:r>
    </w:p>
    <w:p w14:paraId="12252362" w14:textId="77777777" w:rsidR="009D5826" w:rsidRPr="00863BB6" w:rsidRDefault="009D5826" w:rsidP="009D5826">
      <w:pPr>
        <w:keepNext/>
        <w:spacing w:line="480" w:lineRule="auto"/>
      </w:pPr>
      <w:r w:rsidRPr="00863BB6">
        <w:rPr>
          <w:b/>
          <w:bCs/>
          <w:noProof/>
        </w:rPr>
        <w:drawing>
          <wp:inline distT="0" distB="0" distL="0" distR="0" wp14:anchorId="5119B080" wp14:editId="61950C6B">
            <wp:extent cx="5943600" cy="3856355"/>
            <wp:effectExtent l="0" t="0" r="0" b="4445"/>
            <wp:docPr id="1458955116" name="Picture 3" descr="Several pieces of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227948" name="Picture 3" descr="Several pieces of ston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943600" cy="3856355"/>
                    </a:xfrm>
                    <a:prstGeom prst="rect">
                      <a:avLst/>
                    </a:prstGeom>
                  </pic:spPr>
                </pic:pic>
              </a:graphicData>
            </a:graphic>
          </wp:inline>
        </w:drawing>
      </w:r>
    </w:p>
    <w:p w14:paraId="35CB2338" w14:textId="77777777" w:rsidR="009D5826" w:rsidRPr="001143C6" w:rsidRDefault="009D5826" w:rsidP="009D5826">
      <w:pPr>
        <w:pStyle w:val="Caption"/>
        <w:spacing w:line="480" w:lineRule="auto"/>
        <w:jc w:val="left"/>
        <w:rPr>
          <w:b/>
          <w:bCs w:val="0"/>
          <w:sz w:val="24"/>
          <w:szCs w:val="24"/>
          <w:lang w:val="en-AU"/>
        </w:rPr>
      </w:pPr>
      <w:r>
        <w:rPr>
          <w:b/>
          <w:bCs w:val="0"/>
          <w:sz w:val="24"/>
          <w:szCs w:val="24"/>
          <w:lang w:val="en-AU"/>
        </w:rPr>
        <w:t xml:space="preserve">Supplementary Information </w:t>
      </w:r>
      <w:r w:rsidRPr="001143C6">
        <w:rPr>
          <w:b/>
          <w:bCs w:val="0"/>
          <w:sz w:val="24"/>
          <w:szCs w:val="24"/>
          <w:lang w:val="en-AU"/>
        </w:rPr>
        <w:t xml:space="preserve">Fig. </w:t>
      </w:r>
      <w:r w:rsidRPr="001143C6">
        <w:rPr>
          <w:b/>
          <w:bCs w:val="0"/>
          <w:sz w:val="24"/>
          <w:szCs w:val="24"/>
          <w:lang w:val="en-AU"/>
        </w:rPr>
        <w:fldChar w:fldCharType="begin"/>
      </w:r>
      <w:r w:rsidRPr="001143C6">
        <w:rPr>
          <w:b/>
          <w:bCs w:val="0"/>
          <w:sz w:val="24"/>
          <w:szCs w:val="24"/>
          <w:lang w:val="en-AU"/>
        </w:rPr>
        <w:instrText xml:space="preserve"> SEQ Figure \* ARABIC </w:instrText>
      </w:r>
      <w:r w:rsidRPr="001143C6">
        <w:rPr>
          <w:b/>
          <w:bCs w:val="0"/>
          <w:sz w:val="24"/>
          <w:szCs w:val="24"/>
          <w:lang w:val="en-AU"/>
        </w:rPr>
        <w:fldChar w:fldCharType="separate"/>
      </w:r>
      <w:r>
        <w:rPr>
          <w:b/>
          <w:bCs w:val="0"/>
          <w:noProof/>
          <w:sz w:val="24"/>
          <w:szCs w:val="24"/>
          <w:lang w:val="en-AU"/>
        </w:rPr>
        <w:t>3</w:t>
      </w:r>
      <w:r w:rsidRPr="001143C6">
        <w:rPr>
          <w:b/>
          <w:bCs w:val="0"/>
          <w:sz w:val="24"/>
          <w:szCs w:val="24"/>
          <w:lang w:val="en-AU"/>
        </w:rPr>
        <w:fldChar w:fldCharType="end"/>
      </w:r>
      <w:r>
        <w:rPr>
          <w:b/>
          <w:bCs w:val="0"/>
          <w:sz w:val="24"/>
          <w:szCs w:val="24"/>
          <w:lang w:val="en-AU"/>
        </w:rPr>
        <w:t>|</w:t>
      </w:r>
      <w:r w:rsidRPr="001143C6">
        <w:rPr>
          <w:b/>
          <w:bCs w:val="0"/>
          <w:sz w:val="24"/>
          <w:szCs w:val="24"/>
          <w:lang w:val="en-AU"/>
        </w:rPr>
        <w:t xml:space="preserve"> Artefact 3.</w:t>
      </w:r>
      <w:r w:rsidRPr="001143C6">
        <w:rPr>
          <w:sz w:val="24"/>
          <w:szCs w:val="24"/>
          <w:lang w:val="en-AU"/>
        </w:rPr>
        <w:t xml:space="preserve"> Scale bar 20 mm.</w:t>
      </w:r>
    </w:p>
    <w:p w14:paraId="4D12F329" w14:textId="77777777" w:rsidR="009D5826" w:rsidRPr="00863BB6" w:rsidRDefault="009D5826" w:rsidP="009D5826">
      <w:pPr>
        <w:spacing w:line="480" w:lineRule="auto"/>
      </w:pPr>
    </w:p>
    <w:p w14:paraId="6B07413C" w14:textId="77777777" w:rsidR="009D5826" w:rsidRPr="00863BB6" w:rsidRDefault="009D5826" w:rsidP="009D5826">
      <w:pPr>
        <w:spacing w:line="480" w:lineRule="auto"/>
      </w:pPr>
      <w:r w:rsidRPr="00863BB6">
        <w:t xml:space="preserve">3D model: </w:t>
      </w:r>
      <w:hyperlink r:id="rId11" w:history="1">
        <w:r w:rsidRPr="00863BB6">
          <w:rPr>
            <w:rStyle w:val="Hyperlink"/>
            <w:rFonts w:eastAsiaTheme="majorEastAsia"/>
          </w:rPr>
          <w:t>https://une.pedestal3d.com/r/F7ADyINJr_</w:t>
        </w:r>
      </w:hyperlink>
    </w:p>
    <w:p w14:paraId="105E96BB" w14:textId="77777777" w:rsidR="009D5826" w:rsidRPr="00863BB6" w:rsidRDefault="009D5826" w:rsidP="009D5826">
      <w:pPr>
        <w:spacing w:line="480" w:lineRule="auto"/>
      </w:pPr>
    </w:p>
    <w:p w14:paraId="17C94832" w14:textId="77777777" w:rsidR="009D5826" w:rsidRPr="00863BB6" w:rsidRDefault="009D5826" w:rsidP="009D5826">
      <w:pPr>
        <w:spacing w:line="480" w:lineRule="auto"/>
      </w:pPr>
      <w:r w:rsidRPr="00863BB6">
        <w:t xml:space="preserve">This small flake was struck from a water-rolled chert cobble and a facet of cortex is present on the flake’s distal end. The surfaces are moderately abraded and </w:t>
      </w:r>
      <w:proofErr w:type="spellStart"/>
      <w:r w:rsidRPr="00863BB6">
        <w:t>taphonomic</w:t>
      </w:r>
      <w:proofErr w:type="spellEnd"/>
      <w:r w:rsidRPr="00863BB6">
        <w:t xml:space="preserve"> flaking is present to both faces on the right margin. The left margin is </w:t>
      </w:r>
      <w:proofErr w:type="gramStart"/>
      <w:r w:rsidRPr="00863BB6">
        <w:t>broken</w:t>
      </w:r>
      <w:proofErr w:type="gramEnd"/>
      <w:r w:rsidRPr="00863BB6">
        <w:t xml:space="preserve"> and the break-surface is also moderately abraded; the break likely occurred as a spin-off fracture during detachment from the core. A clear lance and </w:t>
      </w:r>
      <w:proofErr w:type="spellStart"/>
      <w:r w:rsidRPr="00863BB6">
        <w:t>eraillure</w:t>
      </w:r>
      <w:proofErr w:type="spellEnd"/>
      <w:r w:rsidRPr="00863BB6">
        <w:t xml:space="preserve"> scar </w:t>
      </w:r>
      <w:proofErr w:type="gramStart"/>
      <w:r w:rsidRPr="00863BB6">
        <w:t>crosses</w:t>
      </w:r>
      <w:proofErr w:type="gramEnd"/>
      <w:r w:rsidRPr="00863BB6">
        <w:t xml:space="preserve"> the bulb of percussion. These features are diagnostic of conchoidal crack initiation.</w:t>
      </w:r>
    </w:p>
    <w:p w14:paraId="1FE36BDA" w14:textId="77777777" w:rsidR="009D5826" w:rsidRPr="00863BB6" w:rsidRDefault="009D5826" w:rsidP="009D5826">
      <w:pPr>
        <w:spacing w:line="480" w:lineRule="auto"/>
      </w:pPr>
    </w:p>
    <w:p w14:paraId="72AD3AD2" w14:textId="77777777" w:rsidR="009D5826" w:rsidRPr="00863BB6" w:rsidRDefault="009D5826" w:rsidP="009D5826">
      <w:pPr>
        <w:spacing w:line="480" w:lineRule="auto"/>
      </w:pPr>
      <w:r w:rsidRPr="00863BB6">
        <w:lastRenderedPageBreak/>
        <w:t xml:space="preserve">The flake was struck directly behind a prior flake scar, and it is possible that this flake and the prior flake were detached by the same blow—referred to as ‘secondary multiple’ flakes. The flake’s platform is single-facet and convex, and undulations are visible on one side of the platform. This suggests that the flake was struck from the dorsal side of a larger flake by striking that flake’s ventral surface. The platform is a detachment scar. </w:t>
      </w:r>
    </w:p>
    <w:p w14:paraId="7AB68611" w14:textId="77777777" w:rsidR="009D5826" w:rsidRPr="00863BB6" w:rsidRDefault="009D5826" w:rsidP="009D5826">
      <w:pPr>
        <w:spacing w:line="480" w:lineRule="auto"/>
      </w:pPr>
    </w:p>
    <w:p w14:paraId="47423D13" w14:textId="77777777" w:rsidR="009D5826" w:rsidRPr="00863BB6" w:rsidRDefault="009D5826" w:rsidP="009D5826">
      <w:pPr>
        <w:spacing w:line="480" w:lineRule="auto"/>
        <w:rPr>
          <w:b/>
          <w:bCs/>
        </w:rPr>
      </w:pPr>
      <w:r w:rsidRPr="00863BB6">
        <w:rPr>
          <w:b/>
          <w:bCs/>
        </w:rPr>
        <w:br w:type="page"/>
      </w:r>
    </w:p>
    <w:p w14:paraId="532DE854" w14:textId="77777777" w:rsidR="009D5826" w:rsidRPr="00863BB6" w:rsidRDefault="009D5826" w:rsidP="009D5826">
      <w:pPr>
        <w:spacing w:line="480" w:lineRule="auto"/>
        <w:rPr>
          <w:b/>
          <w:bCs/>
        </w:rPr>
      </w:pPr>
      <w:r w:rsidRPr="00863BB6">
        <w:rPr>
          <w:b/>
          <w:bCs/>
        </w:rPr>
        <w:lastRenderedPageBreak/>
        <w:t>Artefact 4</w:t>
      </w:r>
    </w:p>
    <w:p w14:paraId="2336C3F8" w14:textId="77777777" w:rsidR="009D5826" w:rsidRPr="00863BB6" w:rsidRDefault="009D5826" w:rsidP="009D5826">
      <w:pPr>
        <w:spacing w:line="480" w:lineRule="auto"/>
        <w:rPr>
          <w:b/>
          <w:bCs/>
        </w:rPr>
      </w:pPr>
    </w:p>
    <w:p w14:paraId="0708D8B0" w14:textId="77777777" w:rsidR="009D5826" w:rsidRPr="00863BB6" w:rsidRDefault="009D5826" w:rsidP="009D5826">
      <w:pPr>
        <w:keepNext/>
        <w:spacing w:line="480" w:lineRule="auto"/>
      </w:pPr>
      <w:r w:rsidRPr="00863BB6">
        <w:rPr>
          <w:b/>
          <w:bCs/>
          <w:noProof/>
        </w:rPr>
        <w:drawing>
          <wp:inline distT="0" distB="0" distL="0" distR="0" wp14:anchorId="2E0A509F" wp14:editId="5CC39EE1">
            <wp:extent cx="5943600" cy="3246120"/>
            <wp:effectExtent l="0" t="0" r="0" b="5080"/>
            <wp:docPr id="1158037619" name="Picture 4" descr="Several pieces of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33866" name="Picture 4" descr="Several pieces of ston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943600" cy="3246120"/>
                    </a:xfrm>
                    <a:prstGeom prst="rect">
                      <a:avLst/>
                    </a:prstGeom>
                  </pic:spPr>
                </pic:pic>
              </a:graphicData>
            </a:graphic>
          </wp:inline>
        </w:drawing>
      </w:r>
    </w:p>
    <w:p w14:paraId="796D985F" w14:textId="77777777" w:rsidR="009D5826" w:rsidRPr="001143C6" w:rsidRDefault="009D5826" w:rsidP="009D5826">
      <w:pPr>
        <w:pStyle w:val="Caption"/>
        <w:spacing w:line="480" w:lineRule="auto"/>
        <w:jc w:val="left"/>
        <w:rPr>
          <w:b/>
          <w:bCs w:val="0"/>
          <w:sz w:val="24"/>
          <w:szCs w:val="24"/>
          <w:lang w:val="en-AU"/>
        </w:rPr>
      </w:pPr>
      <w:r>
        <w:rPr>
          <w:b/>
          <w:bCs w:val="0"/>
          <w:sz w:val="24"/>
          <w:szCs w:val="24"/>
          <w:lang w:val="en-AU"/>
        </w:rPr>
        <w:t xml:space="preserve">Supplementary Information </w:t>
      </w:r>
      <w:r w:rsidRPr="001143C6">
        <w:rPr>
          <w:b/>
          <w:bCs w:val="0"/>
          <w:sz w:val="24"/>
          <w:szCs w:val="24"/>
          <w:lang w:val="en-AU"/>
        </w:rPr>
        <w:t xml:space="preserve">Fig. </w:t>
      </w:r>
      <w:r w:rsidRPr="001143C6">
        <w:rPr>
          <w:b/>
          <w:bCs w:val="0"/>
          <w:sz w:val="24"/>
          <w:szCs w:val="24"/>
          <w:lang w:val="en-AU"/>
        </w:rPr>
        <w:fldChar w:fldCharType="begin"/>
      </w:r>
      <w:r w:rsidRPr="001143C6">
        <w:rPr>
          <w:b/>
          <w:bCs w:val="0"/>
          <w:sz w:val="24"/>
          <w:szCs w:val="24"/>
          <w:lang w:val="en-AU"/>
        </w:rPr>
        <w:instrText xml:space="preserve"> SEQ Figure \* ARABIC </w:instrText>
      </w:r>
      <w:r w:rsidRPr="001143C6">
        <w:rPr>
          <w:b/>
          <w:bCs w:val="0"/>
          <w:sz w:val="24"/>
          <w:szCs w:val="24"/>
          <w:lang w:val="en-AU"/>
        </w:rPr>
        <w:fldChar w:fldCharType="separate"/>
      </w:r>
      <w:r>
        <w:rPr>
          <w:b/>
          <w:bCs w:val="0"/>
          <w:noProof/>
          <w:sz w:val="24"/>
          <w:szCs w:val="24"/>
          <w:lang w:val="en-AU"/>
        </w:rPr>
        <w:t>4</w:t>
      </w:r>
      <w:r w:rsidRPr="001143C6">
        <w:rPr>
          <w:b/>
          <w:bCs w:val="0"/>
          <w:sz w:val="24"/>
          <w:szCs w:val="24"/>
          <w:lang w:val="en-AU"/>
        </w:rPr>
        <w:fldChar w:fldCharType="end"/>
      </w:r>
      <w:r>
        <w:rPr>
          <w:b/>
          <w:bCs w:val="0"/>
          <w:sz w:val="24"/>
          <w:szCs w:val="24"/>
          <w:lang w:val="en-AU"/>
        </w:rPr>
        <w:t>|</w:t>
      </w:r>
      <w:r w:rsidRPr="001143C6">
        <w:rPr>
          <w:b/>
          <w:bCs w:val="0"/>
          <w:sz w:val="24"/>
          <w:szCs w:val="24"/>
          <w:lang w:val="en-AU"/>
        </w:rPr>
        <w:t xml:space="preserve"> Artefact 4.</w:t>
      </w:r>
      <w:r w:rsidRPr="001143C6">
        <w:rPr>
          <w:sz w:val="24"/>
          <w:szCs w:val="24"/>
          <w:lang w:val="en-AU"/>
        </w:rPr>
        <w:t xml:space="preserve"> Scale bar 20 mm.</w:t>
      </w:r>
    </w:p>
    <w:p w14:paraId="7C7B7CCE" w14:textId="77777777" w:rsidR="009D5826" w:rsidRPr="00863BB6" w:rsidRDefault="009D5826" w:rsidP="009D5826">
      <w:pPr>
        <w:spacing w:line="480" w:lineRule="auto"/>
      </w:pPr>
    </w:p>
    <w:p w14:paraId="286FD443" w14:textId="77777777" w:rsidR="009D5826" w:rsidRPr="00863BB6" w:rsidRDefault="009D5826" w:rsidP="009D5826">
      <w:pPr>
        <w:spacing w:line="480" w:lineRule="auto"/>
      </w:pPr>
      <w:r w:rsidRPr="00863BB6">
        <w:t xml:space="preserve">3D model: </w:t>
      </w:r>
      <w:hyperlink r:id="rId13" w:history="1">
        <w:r w:rsidRPr="00863BB6">
          <w:rPr>
            <w:rStyle w:val="Hyperlink"/>
            <w:rFonts w:eastAsiaTheme="majorEastAsia"/>
          </w:rPr>
          <w:t>https://une.pedestal3d.com/r/2PmfBjVkhs</w:t>
        </w:r>
      </w:hyperlink>
    </w:p>
    <w:p w14:paraId="652ED7B1" w14:textId="77777777" w:rsidR="009D5826" w:rsidRPr="00863BB6" w:rsidRDefault="009D5826" w:rsidP="009D5826">
      <w:pPr>
        <w:spacing w:line="480" w:lineRule="auto"/>
      </w:pPr>
    </w:p>
    <w:p w14:paraId="51159AD5" w14:textId="77777777" w:rsidR="009D5826" w:rsidRPr="00863BB6" w:rsidRDefault="009D5826" w:rsidP="009D5826">
      <w:pPr>
        <w:spacing w:line="480" w:lineRule="auto"/>
      </w:pPr>
      <w:r w:rsidRPr="00863BB6">
        <w:t xml:space="preserve">This small flake is lightly abraded with moderate </w:t>
      </w:r>
      <w:proofErr w:type="spellStart"/>
      <w:r w:rsidRPr="00863BB6">
        <w:t>taphonomic</w:t>
      </w:r>
      <w:proofErr w:type="spellEnd"/>
      <w:r w:rsidRPr="00863BB6">
        <w:t xml:space="preserve"> flaking to both faces. It is broken diagonally, and the break surface is fresh and unabraded. The flake was struck behind, but offset slightly from, a prior flake scar. This prior flake was struck from the same platform edge and in the same direction as Artefact 4. The platform is a single </w:t>
      </w:r>
      <w:proofErr w:type="gramStart"/>
      <w:r w:rsidRPr="00863BB6">
        <w:t>facet</w:t>
      </w:r>
      <w:proofErr w:type="gramEnd"/>
      <w:r w:rsidRPr="00863BB6">
        <w:t xml:space="preserve"> and the surface has been partly removed by a </w:t>
      </w:r>
      <w:proofErr w:type="spellStart"/>
      <w:r w:rsidRPr="00863BB6">
        <w:t>taphonomic</w:t>
      </w:r>
      <w:proofErr w:type="spellEnd"/>
      <w:r w:rsidRPr="00863BB6">
        <w:t xml:space="preserve"> flake scar to the dorsal face. The flake ended in a hinge termination, which has been damaged by </w:t>
      </w:r>
      <w:proofErr w:type="spellStart"/>
      <w:r w:rsidRPr="00863BB6">
        <w:t>taphonomic</w:t>
      </w:r>
      <w:proofErr w:type="spellEnd"/>
      <w:r w:rsidRPr="00863BB6">
        <w:t xml:space="preserve"> flaking. </w:t>
      </w:r>
    </w:p>
    <w:p w14:paraId="44E1CF0C" w14:textId="77777777" w:rsidR="009D5826" w:rsidRPr="00863BB6" w:rsidRDefault="009D5826" w:rsidP="009D5826">
      <w:pPr>
        <w:spacing w:line="480" w:lineRule="auto"/>
      </w:pPr>
    </w:p>
    <w:p w14:paraId="25D0C7E4" w14:textId="77777777" w:rsidR="009D5826" w:rsidRPr="00863BB6" w:rsidRDefault="009D5826" w:rsidP="009D5826">
      <w:pPr>
        <w:spacing w:line="480" w:lineRule="auto"/>
        <w:rPr>
          <w:b/>
          <w:bCs/>
        </w:rPr>
      </w:pPr>
      <w:r w:rsidRPr="00863BB6">
        <w:rPr>
          <w:b/>
          <w:bCs/>
        </w:rPr>
        <w:br w:type="page"/>
      </w:r>
    </w:p>
    <w:p w14:paraId="55914913" w14:textId="77777777" w:rsidR="009D5826" w:rsidRPr="00863BB6" w:rsidRDefault="009D5826" w:rsidP="009D5826">
      <w:pPr>
        <w:spacing w:line="480" w:lineRule="auto"/>
      </w:pPr>
      <w:r w:rsidRPr="00863BB6">
        <w:rPr>
          <w:b/>
          <w:bCs/>
        </w:rPr>
        <w:lastRenderedPageBreak/>
        <w:t>Artefact 5</w:t>
      </w:r>
    </w:p>
    <w:p w14:paraId="41AD302D" w14:textId="77777777" w:rsidR="009D5826" w:rsidRPr="00863BB6" w:rsidRDefault="009D5826" w:rsidP="009D5826">
      <w:pPr>
        <w:keepNext/>
        <w:spacing w:line="480" w:lineRule="auto"/>
      </w:pPr>
      <w:r w:rsidRPr="00863BB6">
        <w:br/>
      </w:r>
      <w:r w:rsidRPr="00863BB6">
        <w:rPr>
          <w:noProof/>
        </w:rPr>
        <w:drawing>
          <wp:inline distT="0" distB="0" distL="0" distR="0" wp14:anchorId="57B303A4" wp14:editId="099F859F">
            <wp:extent cx="5943600" cy="3122930"/>
            <wp:effectExtent l="0" t="0" r="0" b="1270"/>
            <wp:docPr id="1053196710" name="Picture 5" descr="Several different colored rock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207468" name="Picture 5" descr="Several different colored rocks&#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5943600" cy="3122930"/>
                    </a:xfrm>
                    <a:prstGeom prst="rect">
                      <a:avLst/>
                    </a:prstGeom>
                  </pic:spPr>
                </pic:pic>
              </a:graphicData>
            </a:graphic>
          </wp:inline>
        </w:drawing>
      </w:r>
    </w:p>
    <w:p w14:paraId="2C1DF2C2" w14:textId="77777777" w:rsidR="009D5826" w:rsidRPr="001143C6" w:rsidRDefault="009D5826" w:rsidP="009D5826">
      <w:pPr>
        <w:pStyle w:val="Caption"/>
        <w:spacing w:line="480" w:lineRule="auto"/>
        <w:jc w:val="left"/>
        <w:rPr>
          <w:sz w:val="24"/>
          <w:szCs w:val="24"/>
          <w:lang w:val="en-AU"/>
        </w:rPr>
      </w:pPr>
      <w:r>
        <w:rPr>
          <w:b/>
          <w:bCs w:val="0"/>
          <w:sz w:val="24"/>
          <w:szCs w:val="24"/>
          <w:lang w:val="en-AU"/>
        </w:rPr>
        <w:t xml:space="preserve">Supplementary Information </w:t>
      </w:r>
      <w:r w:rsidRPr="001143C6">
        <w:rPr>
          <w:b/>
          <w:bCs w:val="0"/>
          <w:sz w:val="24"/>
          <w:szCs w:val="24"/>
          <w:lang w:val="en-AU"/>
        </w:rPr>
        <w:t xml:space="preserve">Fig. </w:t>
      </w:r>
      <w:r w:rsidRPr="001143C6">
        <w:rPr>
          <w:b/>
          <w:bCs w:val="0"/>
          <w:sz w:val="24"/>
          <w:szCs w:val="24"/>
          <w:lang w:val="en-AU"/>
        </w:rPr>
        <w:fldChar w:fldCharType="begin"/>
      </w:r>
      <w:r w:rsidRPr="001143C6">
        <w:rPr>
          <w:b/>
          <w:bCs w:val="0"/>
          <w:sz w:val="24"/>
          <w:szCs w:val="24"/>
          <w:lang w:val="en-AU"/>
        </w:rPr>
        <w:instrText xml:space="preserve"> SEQ Figure \* ARABIC </w:instrText>
      </w:r>
      <w:r w:rsidRPr="001143C6">
        <w:rPr>
          <w:b/>
          <w:bCs w:val="0"/>
          <w:sz w:val="24"/>
          <w:szCs w:val="24"/>
          <w:lang w:val="en-AU"/>
        </w:rPr>
        <w:fldChar w:fldCharType="separate"/>
      </w:r>
      <w:r>
        <w:rPr>
          <w:b/>
          <w:bCs w:val="0"/>
          <w:noProof/>
          <w:sz w:val="24"/>
          <w:szCs w:val="24"/>
          <w:lang w:val="en-AU"/>
        </w:rPr>
        <w:t>5</w:t>
      </w:r>
      <w:r w:rsidRPr="001143C6">
        <w:rPr>
          <w:b/>
          <w:bCs w:val="0"/>
          <w:sz w:val="24"/>
          <w:szCs w:val="24"/>
          <w:lang w:val="en-AU"/>
        </w:rPr>
        <w:fldChar w:fldCharType="end"/>
      </w:r>
      <w:r>
        <w:rPr>
          <w:b/>
          <w:bCs w:val="0"/>
          <w:sz w:val="24"/>
          <w:szCs w:val="24"/>
          <w:lang w:val="en-AU"/>
        </w:rPr>
        <w:t>|</w:t>
      </w:r>
      <w:r w:rsidRPr="001143C6">
        <w:rPr>
          <w:b/>
          <w:bCs w:val="0"/>
          <w:sz w:val="24"/>
          <w:szCs w:val="24"/>
          <w:lang w:val="en-AU"/>
        </w:rPr>
        <w:t xml:space="preserve"> Artefact 5.</w:t>
      </w:r>
      <w:r w:rsidRPr="001143C6">
        <w:rPr>
          <w:sz w:val="24"/>
          <w:szCs w:val="24"/>
          <w:lang w:val="en-AU"/>
        </w:rPr>
        <w:t xml:space="preserve"> Scale bar 20 mm.</w:t>
      </w:r>
    </w:p>
    <w:p w14:paraId="13F6D019" w14:textId="77777777" w:rsidR="009D5826" w:rsidRPr="00863BB6" w:rsidRDefault="009D5826" w:rsidP="009D5826">
      <w:pPr>
        <w:spacing w:line="480" w:lineRule="auto"/>
      </w:pPr>
    </w:p>
    <w:p w14:paraId="7E9A1DD4" w14:textId="77777777" w:rsidR="009D5826" w:rsidRPr="00863BB6" w:rsidRDefault="009D5826" w:rsidP="009D5826">
      <w:pPr>
        <w:spacing w:line="480" w:lineRule="auto"/>
      </w:pPr>
      <w:r w:rsidRPr="00863BB6">
        <w:t xml:space="preserve">3D model: </w:t>
      </w:r>
      <w:hyperlink r:id="rId15" w:history="1">
        <w:r w:rsidRPr="00863BB6">
          <w:rPr>
            <w:rStyle w:val="Hyperlink"/>
            <w:rFonts w:eastAsiaTheme="majorEastAsia"/>
          </w:rPr>
          <w:t>https://une.pedestal3d.com/r/_euR_RjhW6</w:t>
        </w:r>
      </w:hyperlink>
    </w:p>
    <w:p w14:paraId="79774A8B" w14:textId="77777777" w:rsidR="009D5826" w:rsidRPr="00863BB6" w:rsidRDefault="009D5826" w:rsidP="009D5826">
      <w:pPr>
        <w:spacing w:line="480" w:lineRule="auto"/>
      </w:pPr>
    </w:p>
    <w:p w14:paraId="7073B280" w14:textId="77777777" w:rsidR="009D5826" w:rsidRPr="00863BB6" w:rsidRDefault="009D5826" w:rsidP="009D5826">
      <w:pPr>
        <w:spacing w:line="480" w:lineRule="auto"/>
      </w:pPr>
      <w:r w:rsidRPr="00863BB6">
        <w:t xml:space="preserve">Artefact 5 is the proximal end of a large flake broken by weathering. The surfaces of the flake and the break are moderately to heavily abraded. </w:t>
      </w:r>
      <w:proofErr w:type="spellStart"/>
      <w:r w:rsidRPr="00863BB6">
        <w:t>Taphonomic</w:t>
      </w:r>
      <w:proofErr w:type="spellEnd"/>
      <w:r w:rsidRPr="00863BB6">
        <w:t xml:space="preserve"> edge-damage consists of one steep scar with a fresh, unabraded surface and sharp edges. A relatively large umbo is present, marking the flake’s PFA, and lances are present on right-hand periphery of the bulb of percussion.</w:t>
      </w:r>
    </w:p>
    <w:p w14:paraId="2193CA05" w14:textId="77777777" w:rsidR="009D5826" w:rsidRPr="00863BB6" w:rsidRDefault="009D5826" w:rsidP="009D5826">
      <w:pPr>
        <w:spacing w:line="480" w:lineRule="auto"/>
      </w:pPr>
    </w:p>
    <w:p w14:paraId="3DB9DC7C" w14:textId="77777777" w:rsidR="009D5826" w:rsidRPr="00863BB6" w:rsidRDefault="009D5826" w:rsidP="009D5826">
      <w:pPr>
        <w:spacing w:line="480" w:lineRule="auto"/>
      </w:pPr>
      <w:r w:rsidRPr="00863BB6">
        <w:t xml:space="preserve">The flake was struck well-back from the platform edge to target a linear zone of high mass created by prior flaking. The flake’s percussion axis is oriented at about 25 degrees to the zone of high mass, resulting in a crossways orientation. The blow was struck on a single </w:t>
      </w:r>
      <w:r w:rsidRPr="00863BB6">
        <w:lastRenderedPageBreak/>
        <w:t>negative flake scar facet, although a second adjacent scar was removed as part of the platform. The core platform edge was relatively acute and, judging from this and the dorsal scar orientations, the core was bifacial and centripetally reduced.</w:t>
      </w:r>
    </w:p>
    <w:p w14:paraId="1E4C6381" w14:textId="77777777" w:rsidR="009D5826" w:rsidRPr="00863BB6" w:rsidRDefault="009D5826" w:rsidP="009D5826">
      <w:pPr>
        <w:spacing w:line="480" w:lineRule="auto"/>
      </w:pPr>
    </w:p>
    <w:p w14:paraId="73921943" w14:textId="77777777" w:rsidR="009D5826" w:rsidRPr="00863BB6" w:rsidRDefault="009D5826" w:rsidP="009D5826">
      <w:pPr>
        <w:spacing w:line="480" w:lineRule="auto"/>
        <w:rPr>
          <w:b/>
          <w:bCs/>
        </w:rPr>
      </w:pPr>
      <w:r w:rsidRPr="00863BB6">
        <w:rPr>
          <w:b/>
          <w:bCs/>
        </w:rPr>
        <w:br w:type="page"/>
      </w:r>
    </w:p>
    <w:p w14:paraId="46E01188" w14:textId="77777777" w:rsidR="009D5826" w:rsidRPr="00863BB6" w:rsidRDefault="009D5826" w:rsidP="009D5826">
      <w:pPr>
        <w:spacing w:line="480" w:lineRule="auto"/>
        <w:rPr>
          <w:b/>
          <w:bCs/>
        </w:rPr>
      </w:pPr>
      <w:r w:rsidRPr="00863BB6">
        <w:rPr>
          <w:b/>
          <w:bCs/>
        </w:rPr>
        <w:lastRenderedPageBreak/>
        <w:t>Artefact 6</w:t>
      </w:r>
    </w:p>
    <w:p w14:paraId="1D0D615B" w14:textId="77777777" w:rsidR="009D5826" w:rsidRPr="00863BB6" w:rsidRDefault="009D5826" w:rsidP="009D5826">
      <w:pPr>
        <w:spacing w:line="480" w:lineRule="auto"/>
        <w:rPr>
          <w:b/>
          <w:bCs/>
        </w:rPr>
      </w:pPr>
    </w:p>
    <w:p w14:paraId="255C9675" w14:textId="77777777" w:rsidR="009D5826" w:rsidRPr="00863BB6" w:rsidRDefault="009D5826" w:rsidP="009D5826">
      <w:pPr>
        <w:keepNext/>
        <w:spacing w:line="480" w:lineRule="auto"/>
      </w:pPr>
      <w:r w:rsidRPr="00863BB6">
        <w:rPr>
          <w:b/>
          <w:bCs/>
          <w:noProof/>
        </w:rPr>
        <w:drawing>
          <wp:inline distT="0" distB="0" distL="0" distR="0" wp14:anchorId="47D5CC79" wp14:editId="70122222">
            <wp:extent cx="5943600" cy="3154045"/>
            <wp:effectExtent l="0" t="0" r="0" b="0"/>
            <wp:docPr id="749330814" name="Picture 6" descr="Several different types of rock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999706" name="Picture 6" descr="Several different types of rocks&#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5943600" cy="3154045"/>
                    </a:xfrm>
                    <a:prstGeom prst="rect">
                      <a:avLst/>
                    </a:prstGeom>
                  </pic:spPr>
                </pic:pic>
              </a:graphicData>
            </a:graphic>
          </wp:inline>
        </w:drawing>
      </w:r>
    </w:p>
    <w:p w14:paraId="6C04DB65" w14:textId="77777777" w:rsidR="009D5826" w:rsidRPr="001143C6" w:rsidRDefault="009D5826" w:rsidP="009D5826">
      <w:pPr>
        <w:pStyle w:val="Caption"/>
        <w:spacing w:line="480" w:lineRule="auto"/>
        <w:jc w:val="left"/>
        <w:rPr>
          <w:b/>
          <w:sz w:val="24"/>
          <w:szCs w:val="20"/>
          <w:lang w:val="en-AU"/>
        </w:rPr>
      </w:pPr>
      <w:r>
        <w:rPr>
          <w:b/>
          <w:bCs w:val="0"/>
          <w:sz w:val="24"/>
          <w:szCs w:val="24"/>
          <w:lang w:val="en-AU"/>
        </w:rPr>
        <w:t xml:space="preserve">Supplementary Information </w:t>
      </w:r>
      <w:r w:rsidRPr="001143C6">
        <w:rPr>
          <w:b/>
          <w:bCs w:val="0"/>
          <w:sz w:val="24"/>
          <w:szCs w:val="20"/>
          <w:lang w:val="en-AU"/>
        </w:rPr>
        <w:t xml:space="preserve">Fig. </w:t>
      </w:r>
      <w:r w:rsidRPr="001143C6">
        <w:rPr>
          <w:b/>
          <w:bCs w:val="0"/>
          <w:sz w:val="24"/>
          <w:szCs w:val="20"/>
          <w:lang w:val="en-AU"/>
        </w:rPr>
        <w:fldChar w:fldCharType="begin"/>
      </w:r>
      <w:r w:rsidRPr="001143C6">
        <w:rPr>
          <w:b/>
          <w:bCs w:val="0"/>
          <w:sz w:val="24"/>
          <w:szCs w:val="20"/>
          <w:lang w:val="en-AU"/>
        </w:rPr>
        <w:instrText xml:space="preserve"> SEQ Figure \* ARABIC </w:instrText>
      </w:r>
      <w:r w:rsidRPr="001143C6">
        <w:rPr>
          <w:b/>
          <w:bCs w:val="0"/>
          <w:sz w:val="24"/>
          <w:szCs w:val="20"/>
          <w:lang w:val="en-AU"/>
        </w:rPr>
        <w:fldChar w:fldCharType="separate"/>
      </w:r>
      <w:r>
        <w:rPr>
          <w:b/>
          <w:bCs w:val="0"/>
          <w:noProof/>
          <w:sz w:val="24"/>
          <w:szCs w:val="20"/>
          <w:lang w:val="en-AU"/>
        </w:rPr>
        <w:t>6</w:t>
      </w:r>
      <w:r w:rsidRPr="001143C6">
        <w:rPr>
          <w:b/>
          <w:bCs w:val="0"/>
          <w:sz w:val="24"/>
          <w:szCs w:val="20"/>
          <w:lang w:val="en-AU"/>
        </w:rPr>
        <w:fldChar w:fldCharType="end"/>
      </w:r>
      <w:r>
        <w:rPr>
          <w:b/>
          <w:bCs w:val="0"/>
          <w:sz w:val="24"/>
          <w:szCs w:val="20"/>
          <w:lang w:val="en-AU"/>
        </w:rPr>
        <w:t>|</w:t>
      </w:r>
      <w:r w:rsidRPr="001143C6">
        <w:rPr>
          <w:b/>
          <w:bCs w:val="0"/>
          <w:sz w:val="24"/>
          <w:szCs w:val="20"/>
          <w:lang w:val="en-AU"/>
        </w:rPr>
        <w:t xml:space="preserve"> Artefact 6.</w:t>
      </w:r>
      <w:r w:rsidRPr="001143C6">
        <w:rPr>
          <w:sz w:val="24"/>
          <w:szCs w:val="20"/>
          <w:lang w:val="en-AU"/>
        </w:rPr>
        <w:t xml:space="preserve"> Scale bar 50 mm. Arrows indicate scars struck from prior platform edge.</w:t>
      </w:r>
    </w:p>
    <w:p w14:paraId="1161AA2E" w14:textId="77777777" w:rsidR="009D5826" w:rsidRPr="00863BB6" w:rsidRDefault="009D5826" w:rsidP="009D5826">
      <w:pPr>
        <w:spacing w:line="480" w:lineRule="auto"/>
      </w:pPr>
    </w:p>
    <w:p w14:paraId="6ACA5D2E" w14:textId="77777777" w:rsidR="009D5826" w:rsidRPr="00863BB6" w:rsidRDefault="009D5826" w:rsidP="009D5826">
      <w:pPr>
        <w:spacing w:line="480" w:lineRule="auto"/>
      </w:pPr>
      <w:r w:rsidRPr="00863BB6">
        <w:t xml:space="preserve">3D model: </w:t>
      </w:r>
      <w:hyperlink r:id="rId17" w:history="1">
        <w:r w:rsidRPr="00863BB6">
          <w:rPr>
            <w:rStyle w:val="Hyperlink"/>
            <w:rFonts w:eastAsiaTheme="majorEastAsia"/>
          </w:rPr>
          <w:t>https://une.pedestal3d.com/r/NHDyYLMuim</w:t>
        </w:r>
      </w:hyperlink>
    </w:p>
    <w:p w14:paraId="7065AFEF" w14:textId="77777777" w:rsidR="009D5826" w:rsidRPr="00863BB6" w:rsidRDefault="009D5826" w:rsidP="009D5826">
      <w:pPr>
        <w:spacing w:line="480" w:lineRule="auto"/>
      </w:pPr>
    </w:p>
    <w:p w14:paraId="081B5857" w14:textId="77777777" w:rsidR="009D5826" w:rsidRPr="00863BB6" w:rsidRDefault="009D5826" w:rsidP="009D5826">
      <w:pPr>
        <w:spacing w:line="480" w:lineRule="auto"/>
      </w:pPr>
      <w:r w:rsidRPr="00863BB6">
        <w:t xml:space="preserve">This medium-sized flake was struck onto a relatively flat cortical surface of a water-worn chert cobble. The surfaces are moderately to heavily abraded and the edges are moderately damaged by </w:t>
      </w:r>
      <w:proofErr w:type="spellStart"/>
      <w:r w:rsidRPr="00863BB6">
        <w:t>taphonomic</w:t>
      </w:r>
      <w:proofErr w:type="spellEnd"/>
      <w:r w:rsidRPr="00863BB6">
        <w:t xml:space="preserve"> flaking to both faces. It was struck from a single-facet platform. The bulb of percussion is small and pronounced, as is typical of flakes struck behind relatively flat core surfaces. The flake propagated laterally and removed part of the core’s platform surface, cutting through the proximal ends of two flake scars struck to an adjacent core face. The platform for these prior flakes was the flat cortical surface. Flakes with these attributes are </w:t>
      </w:r>
      <w:r w:rsidRPr="00863BB6">
        <w:lastRenderedPageBreak/>
        <w:t>referred to as a ‘redirecting’ by some analysts because it documents the redirection of core flaking to a different platform.</w:t>
      </w:r>
    </w:p>
    <w:p w14:paraId="1C18C678" w14:textId="77777777" w:rsidR="009D5826" w:rsidRPr="00863BB6" w:rsidRDefault="009D5826" w:rsidP="009D5826">
      <w:pPr>
        <w:spacing w:line="480" w:lineRule="auto"/>
      </w:pPr>
    </w:p>
    <w:p w14:paraId="7D829A4B" w14:textId="77777777" w:rsidR="009D5826" w:rsidRPr="00863BB6" w:rsidRDefault="009D5826" w:rsidP="009D5826">
      <w:pPr>
        <w:spacing w:line="480" w:lineRule="auto"/>
        <w:rPr>
          <w:b/>
          <w:bCs/>
        </w:rPr>
      </w:pPr>
      <w:r w:rsidRPr="00863BB6">
        <w:rPr>
          <w:b/>
          <w:bCs/>
        </w:rPr>
        <w:br w:type="page"/>
      </w:r>
    </w:p>
    <w:p w14:paraId="16663200" w14:textId="77777777" w:rsidR="009D5826" w:rsidRPr="00863BB6" w:rsidRDefault="009D5826" w:rsidP="009D5826">
      <w:pPr>
        <w:spacing w:line="480" w:lineRule="auto"/>
        <w:rPr>
          <w:b/>
          <w:bCs/>
        </w:rPr>
      </w:pPr>
      <w:r w:rsidRPr="00863BB6">
        <w:rPr>
          <w:b/>
          <w:bCs/>
        </w:rPr>
        <w:lastRenderedPageBreak/>
        <w:t>Artefact 7</w:t>
      </w:r>
    </w:p>
    <w:p w14:paraId="6998DC20" w14:textId="77777777" w:rsidR="009D5826" w:rsidRPr="00863BB6" w:rsidRDefault="009D5826" w:rsidP="009D5826">
      <w:pPr>
        <w:spacing w:line="480" w:lineRule="auto"/>
        <w:rPr>
          <w:b/>
          <w:bCs/>
        </w:rPr>
      </w:pPr>
    </w:p>
    <w:p w14:paraId="2841A552" w14:textId="77777777" w:rsidR="009D5826" w:rsidRPr="00863BB6" w:rsidRDefault="009D5826" w:rsidP="009D5826">
      <w:pPr>
        <w:keepNext/>
        <w:spacing w:line="480" w:lineRule="auto"/>
      </w:pPr>
      <w:r w:rsidRPr="00863BB6">
        <w:rPr>
          <w:noProof/>
        </w:rPr>
        <w:drawing>
          <wp:inline distT="0" distB="0" distL="0" distR="0" wp14:anchorId="02B46CF0" wp14:editId="5EC3ECF5">
            <wp:extent cx="5943600" cy="2507615"/>
            <wp:effectExtent l="0" t="0" r="0" b="0"/>
            <wp:docPr id="792781126" name="Picture 7" descr="Several rocks in different posi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007351" name="Picture 7" descr="Several rocks in different positions&#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943600" cy="2507615"/>
                    </a:xfrm>
                    <a:prstGeom prst="rect">
                      <a:avLst/>
                    </a:prstGeom>
                  </pic:spPr>
                </pic:pic>
              </a:graphicData>
            </a:graphic>
          </wp:inline>
        </w:drawing>
      </w:r>
    </w:p>
    <w:p w14:paraId="797011A1" w14:textId="77777777" w:rsidR="009D5826" w:rsidRPr="001143C6" w:rsidRDefault="009D5826" w:rsidP="009D5826">
      <w:pPr>
        <w:pStyle w:val="Caption"/>
        <w:spacing w:line="480" w:lineRule="auto"/>
        <w:jc w:val="left"/>
        <w:rPr>
          <w:sz w:val="24"/>
          <w:szCs w:val="20"/>
          <w:lang w:val="en-AU"/>
        </w:rPr>
      </w:pPr>
      <w:r>
        <w:rPr>
          <w:b/>
          <w:bCs w:val="0"/>
          <w:sz w:val="24"/>
          <w:szCs w:val="24"/>
          <w:lang w:val="en-AU"/>
        </w:rPr>
        <w:t xml:space="preserve">Supplementary Information </w:t>
      </w:r>
      <w:r w:rsidRPr="001143C6">
        <w:rPr>
          <w:b/>
          <w:bCs w:val="0"/>
          <w:sz w:val="24"/>
          <w:szCs w:val="20"/>
          <w:lang w:val="en-AU"/>
        </w:rPr>
        <w:t xml:space="preserve">Fig. </w:t>
      </w:r>
      <w:r w:rsidRPr="001143C6">
        <w:rPr>
          <w:b/>
          <w:bCs w:val="0"/>
          <w:sz w:val="24"/>
          <w:szCs w:val="20"/>
          <w:lang w:val="en-AU"/>
        </w:rPr>
        <w:fldChar w:fldCharType="begin"/>
      </w:r>
      <w:r w:rsidRPr="001143C6">
        <w:rPr>
          <w:b/>
          <w:bCs w:val="0"/>
          <w:sz w:val="24"/>
          <w:szCs w:val="20"/>
          <w:lang w:val="en-AU"/>
        </w:rPr>
        <w:instrText xml:space="preserve"> SEQ Figure \* ARABIC </w:instrText>
      </w:r>
      <w:r w:rsidRPr="001143C6">
        <w:rPr>
          <w:b/>
          <w:bCs w:val="0"/>
          <w:sz w:val="24"/>
          <w:szCs w:val="20"/>
          <w:lang w:val="en-AU"/>
        </w:rPr>
        <w:fldChar w:fldCharType="separate"/>
      </w:r>
      <w:r>
        <w:rPr>
          <w:b/>
          <w:bCs w:val="0"/>
          <w:noProof/>
          <w:sz w:val="24"/>
          <w:szCs w:val="20"/>
          <w:lang w:val="en-AU"/>
        </w:rPr>
        <w:t>7</w:t>
      </w:r>
      <w:r w:rsidRPr="001143C6">
        <w:rPr>
          <w:b/>
          <w:bCs w:val="0"/>
          <w:sz w:val="24"/>
          <w:szCs w:val="20"/>
          <w:lang w:val="en-AU"/>
        </w:rPr>
        <w:fldChar w:fldCharType="end"/>
      </w:r>
      <w:r>
        <w:rPr>
          <w:b/>
          <w:bCs w:val="0"/>
          <w:sz w:val="24"/>
          <w:szCs w:val="20"/>
          <w:lang w:val="en-AU"/>
        </w:rPr>
        <w:t>|</w:t>
      </w:r>
      <w:r w:rsidRPr="001143C6">
        <w:rPr>
          <w:b/>
          <w:bCs w:val="0"/>
          <w:sz w:val="24"/>
          <w:szCs w:val="20"/>
          <w:lang w:val="en-AU"/>
        </w:rPr>
        <w:t xml:space="preserve"> Artefact 7.</w:t>
      </w:r>
      <w:r w:rsidRPr="001143C6">
        <w:rPr>
          <w:sz w:val="24"/>
          <w:szCs w:val="20"/>
          <w:lang w:val="en-AU"/>
        </w:rPr>
        <w:t xml:space="preserve"> Scale bar 20 mm.</w:t>
      </w:r>
    </w:p>
    <w:p w14:paraId="5B613B55" w14:textId="77777777" w:rsidR="009D5826" w:rsidRPr="00863BB6" w:rsidRDefault="009D5826" w:rsidP="009D5826">
      <w:pPr>
        <w:spacing w:line="480" w:lineRule="auto"/>
      </w:pPr>
    </w:p>
    <w:p w14:paraId="3C2E10CF" w14:textId="77777777" w:rsidR="009D5826" w:rsidRPr="00863BB6" w:rsidRDefault="009D5826" w:rsidP="009D5826">
      <w:pPr>
        <w:spacing w:line="480" w:lineRule="auto"/>
      </w:pPr>
      <w:r w:rsidRPr="00863BB6">
        <w:t xml:space="preserve">3D model: </w:t>
      </w:r>
      <w:hyperlink r:id="rId19" w:history="1">
        <w:r w:rsidRPr="00863BB6">
          <w:rPr>
            <w:rStyle w:val="Hyperlink"/>
            <w:rFonts w:eastAsiaTheme="majorEastAsia"/>
          </w:rPr>
          <w:t>https://une.pedestal3d.com/r/2eTBhL0tkC</w:t>
        </w:r>
      </w:hyperlink>
    </w:p>
    <w:p w14:paraId="4E47A260" w14:textId="77777777" w:rsidR="009D5826" w:rsidRPr="00863BB6" w:rsidRDefault="009D5826" w:rsidP="009D5826">
      <w:pPr>
        <w:spacing w:line="480" w:lineRule="auto"/>
      </w:pPr>
    </w:p>
    <w:p w14:paraId="2D2D1A2A" w14:textId="77777777" w:rsidR="009D5826" w:rsidRPr="00863BB6" w:rsidRDefault="009D5826" w:rsidP="009D5826">
      <w:pPr>
        <w:spacing w:line="480" w:lineRule="auto"/>
      </w:pPr>
      <w:r w:rsidRPr="00863BB6">
        <w:t xml:space="preserve">This flake is heavily abraded with moderate to heavy </w:t>
      </w:r>
      <w:proofErr w:type="spellStart"/>
      <w:r w:rsidRPr="00863BB6">
        <w:t>taphonomic</w:t>
      </w:r>
      <w:proofErr w:type="spellEnd"/>
      <w:r w:rsidRPr="00863BB6">
        <w:t xml:space="preserve"> flaking to both faces. The flake is wider than long. It was struck onto a relatively flat surface on the core face, ending in a hinge termination with a thick and pronounced inflexed finial. The finial was broken from the flake, either at the time it was struck from the core (as often occurs) or from subsequent </w:t>
      </w:r>
      <w:proofErr w:type="spellStart"/>
      <w:r w:rsidRPr="00863BB6">
        <w:t>taphonomic</w:t>
      </w:r>
      <w:proofErr w:type="spellEnd"/>
      <w:r w:rsidRPr="00863BB6">
        <w:t xml:space="preserve"> flaking. The proximal end of the flake is marked by a large, wide scar on the dorsal surface. The platform is missing, and it is possible that the large flake scar was created at the same time the flake was detached due to platform collapse towards the flake’s dorsal surface. The proximal end of the flake is damaged by </w:t>
      </w:r>
      <w:proofErr w:type="spellStart"/>
      <w:r w:rsidRPr="00863BB6">
        <w:t>taphonomic</w:t>
      </w:r>
      <w:proofErr w:type="spellEnd"/>
      <w:r w:rsidRPr="00863BB6">
        <w:t xml:space="preserve"> flaking to both surfaces, obscuring the platform features.</w:t>
      </w:r>
    </w:p>
    <w:p w14:paraId="36517634" w14:textId="77777777" w:rsidR="009D5826" w:rsidRDefault="009D5826" w:rsidP="009D5826">
      <w:pPr>
        <w:spacing w:line="480" w:lineRule="auto"/>
      </w:pPr>
    </w:p>
    <w:p w14:paraId="6E308487" w14:textId="77777777" w:rsidR="009D5826" w:rsidRDefault="009D5826" w:rsidP="009D5826">
      <w:pPr>
        <w:spacing w:line="480" w:lineRule="auto"/>
      </w:pPr>
      <w:r>
        <w:br w:type="page"/>
      </w:r>
    </w:p>
    <w:p w14:paraId="56590E80" w14:textId="77777777" w:rsidR="009D5826" w:rsidRPr="00863BB6" w:rsidRDefault="009D5826" w:rsidP="009D5826">
      <w:pPr>
        <w:spacing w:line="480" w:lineRule="auto"/>
        <w:jc w:val="center"/>
        <w:rPr>
          <w:rFonts w:ascii="Arial" w:hAnsi="Arial" w:cs="Arial"/>
        </w:rPr>
      </w:pPr>
      <w:r w:rsidRPr="00A75ED0">
        <w:rPr>
          <w:noProof/>
        </w:rPr>
        <w:lastRenderedPageBreak/>
        <w:drawing>
          <wp:inline distT="0" distB="0" distL="0" distR="0" wp14:anchorId="1D664E92" wp14:editId="78E1002A">
            <wp:extent cx="5731510" cy="3158490"/>
            <wp:effectExtent l="0" t="0" r="0" b="0"/>
            <wp:docPr id="1929528244" name="Chart 1">
              <a:extLst xmlns:a="http://schemas.openxmlformats.org/drawingml/2006/main">
                <a:ext uri="{FF2B5EF4-FFF2-40B4-BE49-F238E27FC236}">
                  <a16:creationId xmlns:a16="http://schemas.microsoft.com/office/drawing/2014/main" id="{31C95815-9D07-4B86-A288-5BC269296C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18E2E3A" w14:textId="77777777" w:rsidR="009D5826" w:rsidRPr="007E169C" w:rsidRDefault="009D5826" w:rsidP="009D5826">
      <w:pPr>
        <w:spacing w:line="480" w:lineRule="auto"/>
        <w:rPr>
          <w:b/>
          <w:bCs/>
        </w:rPr>
      </w:pPr>
      <w:r>
        <w:rPr>
          <w:b/>
          <w:bCs/>
        </w:rPr>
        <w:t xml:space="preserve">Supplementary Information </w:t>
      </w:r>
      <w:r w:rsidRPr="001143C6">
        <w:rPr>
          <w:b/>
          <w:bCs/>
        </w:rPr>
        <w:t>Fig</w:t>
      </w:r>
      <w:r w:rsidRPr="00BB50F6">
        <w:rPr>
          <w:b/>
          <w:bCs/>
        </w:rPr>
        <w:t>.</w:t>
      </w:r>
      <w:r w:rsidRPr="001143C6">
        <w:rPr>
          <w:b/>
          <w:bCs/>
        </w:rPr>
        <w:t xml:space="preserve"> </w:t>
      </w:r>
      <w:r>
        <w:rPr>
          <w:b/>
          <w:bCs/>
        </w:rPr>
        <w:t>8|</w:t>
      </w:r>
      <w:r w:rsidRPr="001143C6">
        <w:rPr>
          <w:b/>
          <w:bCs/>
        </w:rPr>
        <w:t xml:space="preserve"> A comparison of the sizes of all </w:t>
      </w:r>
      <w:r>
        <w:rPr>
          <w:b/>
          <w:bCs/>
        </w:rPr>
        <w:t>pebbles</w:t>
      </w:r>
      <w:r w:rsidRPr="001143C6">
        <w:rPr>
          <w:b/>
          <w:bCs/>
        </w:rPr>
        <w:t xml:space="preserve"> recovered from the site. </w:t>
      </w:r>
      <w:r w:rsidRPr="007E169C">
        <w:t>The longest dimension is measure</w:t>
      </w:r>
      <w:r>
        <w:t xml:space="preserve">d irrespective of the percussion axis, so may be either the ‘technological length’ or the ‘technological width’ of the artefacts, depending on which dimension is greater. </w:t>
      </w:r>
    </w:p>
    <w:p w14:paraId="369025DC" w14:textId="77777777" w:rsidR="009D5826" w:rsidRDefault="009D5826" w:rsidP="009D5826">
      <w:pPr>
        <w:spacing w:line="480" w:lineRule="auto"/>
      </w:pPr>
    </w:p>
    <w:p w14:paraId="53094B01" w14:textId="77777777" w:rsidR="009D5826" w:rsidRDefault="009D5826" w:rsidP="009D5826">
      <w:pPr>
        <w:spacing w:line="480" w:lineRule="auto"/>
      </w:pPr>
    </w:p>
    <w:p w14:paraId="268F364A" w14:textId="77777777" w:rsidR="009D5826" w:rsidRPr="007E169C" w:rsidRDefault="009D5826" w:rsidP="009D5826">
      <w:pPr>
        <w:spacing w:line="480" w:lineRule="auto"/>
        <w:rPr>
          <w:b/>
          <w:bCs/>
        </w:rPr>
      </w:pPr>
      <w:bookmarkStart w:id="0" w:name="_Hlk165894587"/>
      <w:r w:rsidRPr="007E169C">
        <w:rPr>
          <w:b/>
          <w:bCs/>
        </w:rPr>
        <w:t>Supplementary Information Table 1</w:t>
      </w:r>
      <w:bookmarkEnd w:id="0"/>
      <w:r w:rsidRPr="007E169C">
        <w:rPr>
          <w:b/>
          <w:bCs/>
        </w:rPr>
        <w:t xml:space="preserve">: Table of artefact measurements and features. </w:t>
      </w:r>
    </w:p>
    <w:p w14:paraId="5F226EF3" w14:textId="77777777" w:rsidR="009D5826" w:rsidRPr="00156631" w:rsidRDefault="009D5826" w:rsidP="009D5826">
      <w:pPr>
        <w:spacing w:line="480" w:lineRule="auto"/>
        <w:rPr>
          <w:i/>
          <w:iCs/>
        </w:rPr>
      </w:pPr>
      <w:r w:rsidRPr="00156631">
        <w:rPr>
          <w:i/>
          <w:iCs/>
        </w:rPr>
        <w:t>Online supplementary material.</w:t>
      </w:r>
    </w:p>
    <w:p w14:paraId="470757B7" w14:textId="77777777" w:rsidR="009D5826" w:rsidRDefault="009D5826" w:rsidP="009D5826">
      <w:pPr>
        <w:spacing w:line="480" w:lineRule="auto"/>
      </w:pPr>
    </w:p>
    <w:p w14:paraId="7FBCCF7C" w14:textId="77777777" w:rsidR="009D5826" w:rsidRPr="00551D33" w:rsidRDefault="009D5826" w:rsidP="009D5826">
      <w:pPr>
        <w:spacing w:line="480" w:lineRule="auto"/>
      </w:pPr>
    </w:p>
    <w:p w14:paraId="0970B73E" w14:textId="77777777" w:rsidR="009D5826" w:rsidRPr="00551D33" w:rsidRDefault="009D5826" w:rsidP="009D5826">
      <w:pPr>
        <w:spacing w:line="480" w:lineRule="auto"/>
        <w:rPr>
          <w:b/>
          <w:bCs/>
        </w:rPr>
      </w:pPr>
      <w:r w:rsidRPr="00551D33">
        <w:rPr>
          <w:b/>
          <w:bCs/>
        </w:rPr>
        <w:t>US-ESR dating results</w:t>
      </w:r>
    </w:p>
    <w:p w14:paraId="44328E47" w14:textId="77777777" w:rsidR="009D5826" w:rsidRDefault="009D5826" w:rsidP="009D5826">
      <w:pPr>
        <w:spacing w:line="480" w:lineRule="auto"/>
      </w:pPr>
      <w:r w:rsidRPr="00551D33">
        <w:t xml:space="preserve">The US-ESR dating results are central to establishing the age of </w:t>
      </w:r>
      <w:proofErr w:type="spellStart"/>
      <w:r w:rsidRPr="00551D33">
        <w:t>Calio</w:t>
      </w:r>
      <w:proofErr w:type="spellEnd"/>
      <w:r w:rsidRPr="00551D33">
        <w:t xml:space="preserve"> deposit. The results are obtained under several assumptions, for which the rationale will be discussed in the subsequent </w:t>
      </w:r>
      <w:r>
        <w:t>sections</w:t>
      </w:r>
      <w:r w:rsidRPr="00551D33">
        <w:t xml:space="preserve">. First, the </w:t>
      </w:r>
      <w:r>
        <w:t>u</w:t>
      </w:r>
      <w:r w:rsidRPr="00551D33">
        <w:t xml:space="preserve">ranium distribution </w:t>
      </w:r>
      <w:r>
        <w:t>reflects</w:t>
      </w:r>
      <w:r w:rsidRPr="00551D33">
        <w:t xml:space="preserve"> a complex diffusion history within the dental tissues, which is also indicative of several water incursions within the tooth. Water content is important in transporting soluble isotopes like uranium, but it also impacts </w:t>
      </w:r>
      <w:r w:rsidRPr="00551D33">
        <w:lastRenderedPageBreak/>
        <w:t>the dose rate</w:t>
      </w:r>
      <w:r w:rsidRPr="003A4B49">
        <w:t xml:space="preserve"> </w:t>
      </w:r>
      <w:r w:rsidRPr="0024358B">
        <w:t>by attenuating radiations</w:t>
      </w:r>
      <w:r w:rsidRPr="00551D33">
        <w:t xml:space="preserve">. This is reflected in the large errors associated with the water content in the enamel, dentine and sediment (100% error taken into account as a percentage of </w:t>
      </w:r>
      <w:r>
        <w:t>wet</w:t>
      </w:r>
      <w:r w:rsidRPr="00551D33">
        <w:t xml:space="preserve"> weight). </w:t>
      </w:r>
      <w:r>
        <w:t xml:space="preserve">Here, to maintain a conservative approach we have measured and assumed a low water content of </w:t>
      </w:r>
      <w:r w:rsidRPr="00551D33">
        <w:t xml:space="preserve">15 </w:t>
      </w:r>
      <w:r>
        <w:t xml:space="preserve">± </w:t>
      </w:r>
      <w:r w:rsidRPr="00551D33">
        <w:t>15</w:t>
      </w:r>
      <w:r>
        <w:t>%</w:t>
      </w:r>
      <w:r w:rsidRPr="00551D33">
        <w:t xml:space="preserve"> and 5 </w:t>
      </w:r>
      <w:r>
        <w:t xml:space="preserve">± </w:t>
      </w:r>
      <w:r w:rsidRPr="00551D33">
        <w:t>5</w:t>
      </w:r>
      <w:r>
        <w:t>%</w:t>
      </w:r>
      <w:r w:rsidRPr="0028350A">
        <w:t xml:space="preserve"> </w:t>
      </w:r>
      <w:r w:rsidRPr="00551D33">
        <w:t>in sediment and dentine respectively</w:t>
      </w:r>
      <w:r>
        <w:t xml:space="preserve">. </w:t>
      </w:r>
      <w:r w:rsidRPr="00551D33">
        <w:t xml:space="preserve">Using the extreme </w:t>
      </w:r>
      <w:r>
        <w:t>scenario</w:t>
      </w:r>
      <w:r w:rsidRPr="00551D33">
        <w:t xml:space="preserve"> of 30 </w:t>
      </w:r>
      <w:r>
        <w:t xml:space="preserve">± </w:t>
      </w:r>
      <w:r w:rsidRPr="00551D33">
        <w:t>30</w:t>
      </w:r>
      <w:r>
        <w:t>%</w:t>
      </w:r>
      <w:r w:rsidRPr="00551D33">
        <w:t xml:space="preserve"> and 15</w:t>
      </w:r>
      <w:r>
        <w:t xml:space="preserve"> ± 15</w:t>
      </w:r>
      <w:r w:rsidRPr="00551D33">
        <w:t>% water</w:t>
      </w:r>
      <w:r>
        <w:t xml:space="preserve">, the ages would be shifted to older ages by approximately 200 ka. </w:t>
      </w:r>
    </w:p>
    <w:p w14:paraId="628921F1" w14:textId="77777777" w:rsidR="009D5826" w:rsidRPr="00551D33" w:rsidRDefault="009D5826" w:rsidP="009D5826">
      <w:pPr>
        <w:spacing w:line="480" w:lineRule="auto"/>
      </w:pPr>
    </w:p>
    <w:p w14:paraId="41E806D3" w14:textId="77777777" w:rsidR="009D5826" w:rsidRPr="00551D33" w:rsidRDefault="009D5826" w:rsidP="009D5826">
      <w:pPr>
        <w:spacing w:line="480" w:lineRule="auto"/>
      </w:pPr>
      <w:r w:rsidRPr="00F626A8">
        <w:t>Secondly, the uneven distribution of uranium in the dental tissues necessitated the use of average values from both the dentine and enamel for age estimation</w:t>
      </w:r>
      <w:r w:rsidRPr="00AB767E">
        <w:t>.</w:t>
      </w:r>
      <w:r w:rsidRPr="00551D33">
        <w:t xml:space="preserve"> While not without problems, this approach allows us to approximate the dose contribution without introducing the bias of choosing lower or higher uranium values</w:t>
      </w:r>
      <w:r>
        <w:t>,</w:t>
      </w:r>
      <w:r w:rsidRPr="00551D33">
        <w:t xml:space="preserve"> </w:t>
      </w:r>
      <w:r>
        <w:t>e</w:t>
      </w:r>
      <w:r w:rsidRPr="00551D33">
        <w:t>specially as the uranium hotspots (high concentrations) are localised mid-dentine</w:t>
      </w:r>
      <w:r>
        <w:t xml:space="preserve">. </w:t>
      </w:r>
      <w:r w:rsidRPr="00551D33">
        <w:t xml:space="preserve">High uranium levels could potentially affect the accuracy of ESR dose recovery, resulting in an underestimated age compared to the actual deposition age. However, </w:t>
      </w:r>
      <w:r>
        <w:t xml:space="preserve">from experience, </w:t>
      </w:r>
      <w:r w:rsidRPr="00551D33">
        <w:t xml:space="preserve">this issue typically only </w:t>
      </w:r>
      <w:r>
        <w:t xml:space="preserve">appears to </w:t>
      </w:r>
      <w:r w:rsidRPr="00551D33">
        <w:t>impact ESR dating when uranium is concentrated in the enamel region</w:t>
      </w:r>
      <w:r w:rsidRPr="0091252C">
        <w:rPr>
          <w:vertAlign w:val="superscript"/>
        </w:rPr>
        <w:t>27</w:t>
      </w:r>
      <w:r>
        <w:t>. In this study</w:t>
      </w:r>
      <w:r w:rsidRPr="00551D33">
        <w:t xml:space="preserve">, where the enamel of both </w:t>
      </w:r>
      <w:proofErr w:type="spellStart"/>
      <w:r w:rsidRPr="009C3025">
        <w:rPr>
          <w:i/>
          <w:iCs/>
        </w:rPr>
        <w:t>Celebochoerus</w:t>
      </w:r>
      <w:proofErr w:type="spellEnd"/>
      <w:r w:rsidRPr="009C3025">
        <w:rPr>
          <w:i/>
          <w:iCs/>
        </w:rPr>
        <w:t xml:space="preserve"> </w:t>
      </w:r>
      <w:r w:rsidRPr="00551D33">
        <w:t xml:space="preserve">teeth have a low uranium content (&lt;1 ppm), this is unlikely to </w:t>
      </w:r>
      <w:r>
        <w:t>be</w:t>
      </w:r>
      <w:r w:rsidRPr="00551D33">
        <w:t xml:space="preserve"> a problem. Such high concentration in the dentine </w:t>
      </w:r>
      <w:r>
        <w:t xml:space="preserve">prompted us to completely remove </w:t>
      </w:r>
      <w:r w:rsidRPr="00551D33">
        <w:t xml:space="preserve">the first 100 microns of enamel directly in contact with the EDJ </w:t>
      </w:r>
      <w:r>
        <w:t xml:space="preserve">in order </w:t>
      </w:r>
      <w:r w:rsidRPr="00551D33">
        <w:t xml:space="preserve">to avoid the potential impact of alpha particles on the dose estimates. Therefore, </w:t>
      </w:r>
      <w:r>
        <w:t xml:space="preserve">as </w:t>
      </w:r>
      <w:r w:rsidRPr="00551D33">
        <w:t xml:space="preserve">the early part of </w:t>
      </w:r>
      <w:r>
        <w:t xml:space="preserve">the </w:t>
      </w:r>
      <w:r w:rsidRPr="00551D33">
        <w:t xml:space="preserve">enamel (EDJ zone), as well as the upper part in contact with the sediment, </w:t>
      </w:r>
      <w:r>
        <w:t>were</w:t>
      </w:r>
      <w:r w:rsidRPr="00551D33">
        <w:t xml:space="preserve"> removed prior to the DRC measurements, the uranium contribution from both sections </w:t>
      </w:r>
      <w:r>
        <w:t>was</w:t>
      </w:r>
      <w:r w:rsidRPr="00551D33">
        <w:t xml:space="preserve"> </w:t>
      </w:r>
      <w:r>
        <w:t>excluded</w:t>
      </w:r>
      <w:r w:rsidRPr="00551D33">
        <w:t xml:space="preserve"> from the average enamel values calculation. </w:t>
      </w:r>
    </w:p>
    <w:p w14:paraId="7D5A922F" w14:textId="77777777" w:rsidR="009D5826" w:rsidRPr="00551D33" w:rsidRDefault="009D5826" w:rsidP="009D5826">
      <w:pPr>
        <w:spacing w:line="480" w:lineRule="auto"/>
      </w:pPr>
    </w:p>
    <w:p w14:paraId="16A7047F" w14:textId="77777777" w:rsidR="009D5826" w:rsidRPr="00551D33" w:rsidRDefault="009D5826" w:rsidP="009D5826">
      <w:pPr>
        <w:spacing w:line="480" w:lineRule="auto"/>
      </w:pPr>
      <w:r w:rsidRPr="00551D33">
        <w:t>Similarly, the complex deposition</w:t>
      </w:r>
      <w:r>
        <w:t>al</w:t>
      </w:r>
      <w:r w:rsidRPr="00551D33">
        <w:t xml:space="preserve"> history</w:t>
      </w:r>
      <w:r>
        <w:t xml:space="preserve"> at </w:t>
      </w:r>
      <w:proofErr w:type="spellStart"/>
      <w:r>
        <w:t>Calio</w:t>
      </w:r>
      <w:proofErr w:type="spellEnd"/>
      <w:r w:rsidRPr="00551D33">
        <w:t xml:space="preserve">, including depth and sediment remodelling, clearly impacts the annual dose assessment, </w:t>
      </w:r>
      <w:r>
        <w:t>necessitating</w:t>
      </w:r>
      <w:r w:rsidRPr="00551D33">
        <w:t xml:space="preserve"> the use of an external </w:t>
      </w:r>
      <w:r w:rsidRPr="00551D33">
        <w:lastRenderedPageBreak/>
        <w:t xml:space="preserve">dose contribution modelled on the sediment content and assuming a homogenous distribution. </w:t>
      </w:r>
      <w:r w:rsidRPr="003A4B49">
        <w:t xml:space="preserve">To model the depth accurately, we calculated the </w:t>
      </w:r>
      <w:r>
        <w:t>Cosmic Dose</w:t>
      </w:r>
      <w:r w:rsidRPr="003A4B49">
        <w:t xml:space="preserve"> Rate (CDR) for depths extending to several metr</w:t>
      </w:r>
      <w:r>
        <w:t>e</w:t>
      </w:r>
      <w:r w:rsidRPr="003A4B49">
        <w:t>s, using the mean value alongside maximum and minimum values to establish boundaries for our associated error. While this method increases our associated error, it enhances the accuracy of our dating results.</w:t>
      </w:r>
      <w:r>
        <w:t xml:space="preserve"> </w:t>
      </w:r>
      <w:r w:rsidRPr="00551D33">
        <w:t xml:space="preserve">The location of the </w:t>
      </w:r>
      <w:proofErr w:type="spellStart"/>
      <w:r w:rsidRPr="009C3025">
        <w:rPr>
          <w:i/>
          <w:iCs/>
        </w:rPr>
        <w:t>Celebochoerus</w:t>
      </w:r>
      <w:proofErr w:type="spellEnd"/>
      <w:r w:rsidRPr="009C3025">
        <w:rPr>
          <w:i/>
          <w:iCs/>
        </w:rPr>
        <w:t xml:space="preserve"> </w:t>
      </w:r>
      <w:r>
        <w:t xml:space="preserve">maxilla and </w:t>
      </w:r>
      <w:r w:rsidRPr="00551D33">
        <w:t>teeth, at 30</w:t>
      </w:r>
      <w:r>
        <w:t xml:space="preserve"> </w:t>
      </w:r>
      <w:r w:rsidRPr="00551D33">
        <w:t>cm</w:t>
      </w:r>
      <w:r>
        <w:t xml:space="preserve"> depth below the present-day ground surface</w:t>
      </w:r>
      <w:r w:rsidRPr="00551D33">
        <w:t xml:space="preserve">, does not represent the burial deposition of the sample, with several </w:t>
      </w:r>
      <w:r>
        <w:t>metres</w:t>
      </w:r>
      <w:r w:rsidRPr="00551D33">
        <w:t xml:space="preserve"> of sediment likely to have eroded over time. The exact thickness of denuded sediment above the sample is </w:t>
      </w:r>
      <w:r>
        <w:t>difficult</w:t>
      </w:r>
      <w:r w:rsidRPr="00551D33">
        <w:t xml:space="preserve"> to estimate. </w:t>
      </w:r>
      <w:r>
        <w:t xml:space="preserve">Therefore, to maintain a conservative approach in our age calculation, we have used </w:t>
      </w:r>
      <w:r w:rsidRPr="00551D33">
        <w:t xml:space="preserve">the cosmic dose rate </w:t>
      </w:r>
      <w:r>
        <w:t>relevant to</w:t>
      </w:r>
      <w:r w:rsidRPr="00551D33">
        <w:t xml:space="preserve"> the current </w:t>
      </w:r>
      <w:r>
        <w:t>depth</w:t>
      </w:r>
      <w:r w:rsidRPr="00551D33">
        <w:t xml:space="preserve"> of 30</w:t>
      </w:r>
      <w:r>
        <w:t xml:space="preserve"> </w:t>
      </w:r>
      <w:r w:rsidRPr="00551D33">
        <w:t xml:space="preserve">cm. The </w:t>
      </w:r>
      <w:r>
        <w:t>age</w:t>
      </w:r>
      <w:r w:rsidRPr="00551D33">
        <w:t xml:space="preserve"> corresponds to </w:t>
      </w:r>
      <w:r>
        <w:t>the</w:t>
      </w:r>
      <w:r w:rsidRPr="00551D33">
        <w:t xml:space="preserve"> minimum possible age for the </w:t>
      </w:r>
      <w:r>
        <w:t>dated fossil teeth with regards to the cosmic dose rate</w:t>
      </w:r>
      <w:r w:rsidRPr="00551D33">
        <w:t xml:space="preserve">, yet still above 1 </w:t>
      </w:r>
      <w:r>
        <w:t>Ma</w:t>
      </w:r>
      <w:r w:rsidRPr="00551D33">
        <w:t xml:space="preserve"> for both samples</w:t>
      </w:r>
      <w:r>
        <w:t xml:space="preserve">. Therefore, in any scenario (30 cm or deeper), the age obtained </w:t>
      </w:r>
      <w:r w:rsidRPr="0024358B">
        <w:t>systematically support</w:t>
      </w:r>
      <w:r>
        <w:t>s</w:t>
      </w:r>
      <w:r w:rsidRPr="0024358B">
        <w:t xml:space="preserve"> the Early Pleistocene antiquity of the </w:t>
      </w:r>
      <w:proofErr w:type="spellStart"/>
      <w:r w:rsidRPr="009C3025">
        <w:rPr>
          <w:i/>
          <w:iCs/>
        </w:rPr>
        <w:t>Celebochoerus</w:t>
      </w:r>
      <w:proofErr w:type="spellEnd"/>
      <w:r w:rsidRPr="009C3025">
        <w:rPr>
          <w:i/>
          <w:iCs/>
        </w:rPr>
        <w:t xml:space="preserve"> </w:t>
      </w:r>
      <w:r w:rsidRPr="0024358B">
        <w:t>fossil.</w:t>
      </w:r>
    </w:p>
    <w:p w14:paraId="20643383" w14:textId="77777777" w:rsidR="009D5826" w:rsidRPr="00551D33" w:rsidRDefault="009D5826" w:rsidP="009D5826">
      <w:pPr>
        <w:spacing w:line="480" w:lineRule="auto"/>
      </w:pPr>
    </w:p>
    <w:p w14:paraId="3F18E4FC" w14:textId="77777777" w:rsidR="009D5826" w:rsidRPr="00551D33" w:rsidRDefault="009D5826" w:rsidP="009D5826">
      <w:pPr>
        <w:spacing w:line="480" w:lineRule="auto"/>
      </w:pPr>
      <w:r w:rsidRPr="00551D33">
        <w:t>This complex deposition</w:t>
      </w:r>
      <w:r>
        <w:t>al</w:t>
      </w:r>
      <w:r w:rsidRPr="00551D33">
        <w:t xml:space="preserve"> history </w:t>
      </w:r>
      <w:r>
        <w:t>a</w:t>
      </w:r>
      <w:r w:rsidRPr="00551D33">
        <w:t>nd the heterogeneous nature of the sediment surrounding the sample also h</w:t>
      </w:r>
      <w:r>
        <w:t>ave</w:t>
      </w:r>
      <w:r w:rsidRPr="00551D33">
        <w:t xml:space="preserve"> important implications on U, Th and K distribution and calculation of the external dose rate. Since </w:t>
      </w:r>
      <w:r w:rsidRPr="009C3025">
        <w:rPr>
          <w:i/>
          <w:iCs/>
        </w:rPr>
        <w:t>in</w:t>
      </w:r>
      <w:r>
        <w:rPr>
          <w:i/>
          <w:iCs/>
        </w:rPr>
        <w:t xml:space="preserve"> </w:t>
      </w:r>
      <w:r w:rsidRPr="009C3025">
        <w:rPr>
          <w:i/>
          <w:iCs/>
        </w:rPr>
        <w:t>situ</w:t>
      </w:r>
      <w:r w:rsidRPr="00551D33">
        <w:t xml:space="preserve"> dosimetry could not be performed (and regardless, it is not without limit</w:t>
      </w:r>
      <w:r>
        <w:t>ations</w:t>
      </w:r>
      <w:r w:rsidRPr="00551D33">
        <w:t>), we had to favour the use of a large amount of breccia</w:t>
      </w:r>
      <w:r>
        <w:t>—</w:t>
      </w:r>
      <w:r w:rsidRPr="00551D33">
        <w:t>about 35</w:t>
      </w:r>
      <w:r>
        <w:t>-</w:t>
      </w:r>
      <w:r w:rsidRPr="00551D33">
        <w:t>cm</w:t>
      </w:r>
      <w:r>
        <w:t>-thick</w:t>
      </w:r>
      <w:r w:rsidRPr="00551D33">
        <w:t xml:space="preserve"> blocks directly encasing the fossil</w:t>
      </w:r>
      <w:r>
        <w:t>—</w:t>
      </w:r>
      <w:r w:rsidRPr="00551D33">
        <w:t xml:space="preserve">to estimate the sediment content. A large </w:t>
      </w:r>
      <w:r>
        <w:t>portion</w:t>
      </w:r>
      <w:r w:rsidRPr="00551D33">
        <w:t xml:space="preserve"> (30%) of bulk heterogenous breccia was pulverised and homogenised before being divided into three batches </w:t>
      </w:r>
      <w:r>
        <w:t xml:space="preserve">that were then </w:t>
      </w:r>
      <w:r w:rsidRPr="00551D33">
        <w:t xml:space="preserve">analysed by ICPMS. The </w:t>
      </w:r>
      <w:r>
        <w:t xml:space="preserve">resultant </w:t>
      </w:r>
      <w:r w:rsidRPr="00551D33">
        <w:t>values were averaged and used to extrapolate the radionuclide content and the external dose rate component assuming a 4</w:t>
      </w:r>
      <w:r w:rsidRPr="00551D33">
        <w:rPr>
          <w:rFonts w:ascii="coptic" w:hAnsi="coptic"/>
        </w:rPr>
        <w:t xml:space="preserve">π </w:t>
      </w:r>
      <w:r w:rsidRPr="009C3025">
        <w:t>geometry</w:t>
      </w:r>
      <w:r w:rsidRPr="00551D33">
        <w:t>.</w:t>
      </w:r>
      <w:r>
        <w:t xml:space="preserve"> </w:t>
      </w:r>
      <w:r w:rsidRPr="009E5C9F">
        <w:rPr>
          <w:spacing w:val="-2"/>
        </w:rPr>
        <w:t xml:space="preserve">The heterogeneity of the </w:t>
      </w:r>
      <w:r>
        <w:rPr>
          <w:spacing w:val="-2"/>
        </w:rPr>
        <w:t xml:space="preserve">sediment </w:t>
      </w:r>
      <w:r w:rsidRPr="009E5C9F">
        <w:rPr>
          <w:spacing w:val="-2"/>
        </w:rPr>
        <w:t>samples varies across elements, with potassium (3.</w:t>
      </w:r>
      <w:r>
        <w:rPr>
          <w:spacing w:val="-2"/>
        </w:rPr>
        <w:t>9</w:t>
      </w:r>
      <w:r w:rsidRPr="009E5C9F">
        <w:rPr>
          <w:spacing w:val="-2"/>
        </w:rPr>
        <w:t xml:space="preserve">%) </w:t>
      </w:r>
      <w:r>
        <w:rPr>
          <w:spacing w:val="-2"/>
        </w:rPr>
        <w:t xml:space="preserve">and </w:t>
      </w:r>
      <w:r w:rsidRPr="009E5C9F">
        <w:rPr>
          <w:spacing w:val="-2"/>
        </w:rPr>
        <w:t>thorium (5.</w:t>
      </w:r>
      <w:r>
        <w:rPr>
          <w:spacing w:val="-2"/>
        </w:rPr>
        <w:t>5</w:t>
      </w:r>
      <w:r w:rsidRPr="009E5C9F">
        <w:rPr>
          <w:spacing w:val="-2"/>
        </w:rPr>
        <w:t xml:space="preserve">6%) showing low variability and relative homogeneity, </w:t>
      </w:r>
      <w:r>
        <w:rPr>
          <w:spacing w:val="-2"/>
        </w:rPr>
        <w:t>while</w:t>
      </w:r>
      <w:r w:rsidRPr="009E5C9F">
        <w:rPr>
          <w:spacing w:val="-2"/>
        </w:rPr>
        <w:t xml:space="preserve"> uranium (22.</w:t>
      </w:r>
      <w:r>
        <w:rPr>
          <w:spacing w:val="-2"/>
        </w:rPr>
        <w:t>7</w:t>
      </w:r>
      <w:r w:rsidRPr="009E5C9F">
        <w:rPr>
          <w:spacing w:val="-2"/>
        </w:rPr>
        <w:t>%) exhibit</w:t>
      </w:r>
      <w:r>
        <w:rPr>
          <w:spacing w:val="-2"/>
        </w:rPr>
        <w:t>s</w:t>
      </w:r>
      <w:r w:rsidRPr="009E5C9F">
        <w:rPr>
          <w:spacing w:val="-2"/>
        </w:rPr>
        <w:t xml:space="preserve"> </w:t>
      </w:r>
      <w:r>
        <w:rPr>
          <w:spacing w:val="-2"/>
        </w:rPr>
        <w:t xml:space="preserve">moderate to </w:t>
      </w:r>
      <w:r w:rsidRPr="009E5C9F">
        <w:rPr>
          <w:spacing w:val="-2"/>
        </w:rPr>
        <w:t>high variability among the samples.</w:t>
      </w:r>
    </w:p>
    <w:p w14:paraId="39155A75" w14:textId="77777777" w:rsidR="009D5826" w:rsidRPr="00551D33" w:rsidRDefault="009D5826" w:rsidP="009D5826">
      <w:pPr>
        <w:spacing w:line="480" w:lineRule="auto"/>
      </w:pPr>
    </w:p>
    <w:p w14:paraId="033C1C37" w14:textId="77777777" w:rsidR="009D5826" w:rsidRPr="00551D33" w:rsidRDefault="009D5826" w:rsidP="009D5826">
      <w:pPr>
        <w:spacing w:line="480" w:lineRule="auto"/>
      </w:pPr>
    </w:p>
    <w:p w14:paraId="34131810" w14:textId="77777777" w:rsidR="009D5826" w:rsidRDefault="009D5826" w:rsidP="009D5826">
      <w:pPr>
        <w:spacing w:line="480" w:lineRule="auto"/>
        <w:rPr>
          <w:spacing w:val="-2"/>
        </w:rPr>
      </w:pPr>
      <w:r>
        <w:t>Finally</w:t>
      </w:r>
      <w:r w:rsidRPr="00551D33">
        <w:t xml:space="preserve">, the ESR signal and the associated equivalent dose estimation have limits that require some </w:t>
      </w:r>
      <w:r>
        <w:t>consideration</w:t>
      </w:r>
      <w:r w:rsidRPr="00551D33">
        <w:t xml:space="preserve">. Firstly, two separate approaches were used in this study to estimate the dose equivalent. A multi-aliquot additive dose method was applied to the enamel powder for the molar, and a single-aliquot additive method was applied to an enamel fragment of the premolar. Both have merits and limits. First, multi-aliquot powder irradiated with gamma is a well-established protocol that has been proven reliable </w:t>
      </w:r>
      <w:r w:rsidRPr="00250ACE">
        <w:t xml:space="preserve">against other dating techniques. Yet, NOCORs concentration cannot be estimated using this method and can lead to </w:t>
      </w:r>
      <w:r>
        <w:t xml:space="preserve">significant </w:t>
      </w:r>
      <w:r w:rsidRPr="00250ACE">
        <w:t>underestimation of the equivalent dose and subsequent age calculation (</w:t>
      </w:r>
      <w:proofErr w:type="spellStart"/>
      <w:r w:rsidRPr="00A319FE">
        <w:rPr>
          <w:color w:val="191718"/>
          <w:lang w:val="en-GB"/>
        </w:rPr>
        <w:t>Grün</w:t>
      </w:r>
      <w:proofErr w:type="spellEnd"/>
      <w:r w:rsidRPr="00A319FE">
        <w:rPr>
          <w:color w:val="191718"/>
          <w:lang w:val="en-GB"/>
        </w:rPr>
        <w:t xml:space="preserve"> 2011</w:t>
      </w:r>
      <w:r w:rsidRPr="00250ACE">
        <w:t xml:space="preserve">). </w:t>
      </w:r>
      <w:r>
        <w:t xml:space="preserve">However, the bias is not systematic but instead strongly sample dependant </w:t>
      </w:r>
      <w:r w:rsidRPr="00AC379D">
        <w:t>(</w:t>
      </w:r>
      <w:proofErr w:type="spellStart"/>
      <w:r w:rsidRPr="00AC379D">
        <w:rPr>
          <w:color w:val="191718"/>
        </w:rPr>
        <w:t>Grün</w:t>
      </w:r>
      <w:proofErr w:type="spellEnd"/>
      <w:r w:rsidRPr="00AC379D">
        <w:rPr>
          <w:color w:val="191718"/>
          <w:spacing w:val="-1"/>
        </w:rPr>
        <w:t xml:space="preserve"> </w:t>
      </w:r>
      <w:r w:rsidRPr="00AC379D">
        <w:rPr>
          <w:color w:val="191718"/>
          <w:spacing w:val="-2"/>
        </w:rPr>
        <w:t xml:space="preserve">2011; </w:t>
      </w:r>
      <w:proofErr w:type="spellStart"/>
      <w:r w:rsidRPr="00AC379D">
        <w:rPr>
          <w:color w:val="191718"/>
          <w:spacing w:val="-2"/>
        </w:rPr>
        <w:t>Joannes-Boyau</w:t>
      </w:r>
      <w:proofErr w:type="spellEnd"/>
      <w:r w:rsidRPr="00AC379D">
        <w:rPr>
          <w:color w:val="191718"/>
          <w:spacing w:val="-2"/>
        </w:rPr>
        <w:t xml:space="preserve"> et al., 2010a and b)</w:t>
      </w:r>
      <w:r>
        <w:t xml:space="preserve">. </w:t>
      </w:r>
      <w:r w:rsidRPr="00250ACE">
        <w:t xml:space="preserve">On the other hand, protocols using irradiated fragments have been used in the past decade successfully and </w:t>
      </w:r>
      <w:r>
        <w:t>provide a way of</w:t>
      </w:r>
      <w:r w:rsidRPr="00250ACE">
        <w:t xml:space="preserve"> estimat</w:t>
      </w:r>
      <w:r>
        <w:t>ing</w:t>
      </w:r>
      <w:r w:rsidRPr="00250ACE">
        <w:t xml:space="preserve"> and correct</w:t>
      </w:r>
      <w:r>
        <w:t>ing</w:t>
      </w:r>
      <w:r w:rsidRPr="00250ACE">
        <w:t xml:space="preserve"> for unstable radicals (Zhang et al</w:t>
      </w:r>
      <w:r>
        <w:t>.,</w:t>
      </w:r>
      <w:r w:rsidRPr="00250ACE">
        <w:t xml:space="preserve"> 2024; </w:t>
      </w:r>
      <w:proofErr w:type="spellStart"/>
      <w:r w:rsidRPr="00250ACE">
        <w:t>Freidline</w:t>
      </w:r>
      <w:proofErr w:type="spellEnd"/>
      <w:r w:rsidRPr="00250ACE">
        <w:t xml:space="preserve"> et al</w:t>
      </w:r>
      <w:r>
        <w:t>., 2023</w:t>
      </w:r>
      <w:r w:rsidRPr="00250ACE">
        <w:t>). However, using x-rays as an irradiation source does not create unstable radicals to the proportion of gamma, and the mechanism behind them is still poorly understood (Yu et al</w:t>
      </w:r>
      <w:r>
        <w:t>., 2022</w:t>
      </w:r>
      <w:r w:rsidRPr="00250ACE">
        <w:t xml:space="preserve">). Additionally, the use of highly anisotropic fragments propagates errors from the imperfect merged spectra approximating powder signal. Altogether, by simultaneously conducting both approaches we can be more confident in the age estimation </w:t>
      </w:r>
      <w:r>
        <w:t>for</w:t>
      </w:r>
      <w:r w:rsidRPr="00250ACE">
        <w:t xml:space="preserve"> the</w:t>
      </w:r>
      <w:r>
        <w:t xml:space="preserve"> </w:t>
      </w:r>
      <w:proofErr w:type="spellStart"/>
      <w:r>
        <w:t>Calio</w:t>
      </w:r>
      <w:proofErr w:type="spellEnd"/>
      <w:r w:rsidRPr="00250ACE">
        <w:t xml:space="preserve"> site. The US-ESR ages obtained from powder could be underestimated by a factor proportional to the number of unstable radicals created by gamma irradiation. </w:t>
      </w:r>
      <w:r>
        <w:t>T</w:t>
      </w:r>
      <w:r w:rsidRPr="00250ACE">
        <w:t>he percentage varies from sample to sample, with values observed as low as 10% (</w:t>
      </w:r>
      <w:proofErr w:type="spellStart"/>
      <w:r w:rsidRPr="00A319FE">
        <w:rPr>
          <w:color w:val="191718"/>
          <w:lang w:val="en-GB"/>
        </w:rPr>
        <w:t>Grün</w:t>
      </w:r>
      <w:proofErr w:type="spellEnd"/>
      <w:r w:rsidRPr="00A319FE">
        <w:rPr>
          <w:color w:val="191718"/>
          <w:lang w:val="en-GB"/>
        </w:rPr>
        <w:t xml:space="preserve"> 2011</w:t>
      </w:r>
      <w:r w:rsidRPr="00250ACE">
        <w:t xml:space="preserve">) and up to 30% and over </w:t>
      </w:r>
      <w:r w:rsidRPr="00A319FE">
        <w:rPr>
          <w:color w:val="000000" w:themeColor="text1"/>
        </w:rPr>
        <w:t xml:space="preserve">(Richter et al., 2017). Since </w:t>
      </w:r>
      <w:r w:rsidRPr="00250ACE">
        <w:t>x-ray does not trigger the creation of unstable radicals in the fragment, no correction is required. The age difference between the two methods</w:t>
      </w:r>
      <w:r>
        <w:t xml:space="preserve"> (</w:t>
      </w:r>
      <w:r w:rsidRPr="00250ACE">
        <w:t>M</w:t>
      </w:r>
      <w:r w:rsidRPr="00250ACE">
        <w:rPr>
          <w:vertAlign w:val="superscript"/>
        </w:rPr>
        <w:t>3</w:t>
      </w:r>
      <w:r w:rsidRPr="00250ACE">
        <w:t xml:space="preserve"> = 1</w:t>
      </w:r>
      <w:r>
        <w:t xml:space="preserve">202 </w:t>
      </w:r>
      <w:r w:rsidRPr="00250ACE">
        <w:t>±</w:t>
      </w:r>
      <w:r>
        <w:t xml:space="preserve"> </w:t>
      </w:r>
      <w:r w:rsidRPr="00250ACE">
        <w:t>1</w:t>
      </w:r>
      <w:r>
        <w:t>76</w:t>
      </w:r>
      <w:r w:rsidRPr="00250ACE">
        <w:t xml:space="preserve"> ka and P</w:t>
      </w:r>
      <w:r w:rsidRPr="00250ACE">
        <w:rPr>
          <w:vertAlign w:val="superscript"/>
        </w:rPr>
        <w:t>4</w:t>
      </w:r>
      <w:r w:rsidRPr="00250ACE">
        <w:t xml:space="preserve"> = 1</w:t>
      </w:r>
      <w:r>
        <w:t xml:space="preserve">428 </w:t>
      </w:r>
      <w:r w:rsidRPr="00250ACE">
        <w:t>±</w:t>
      </w:r>
      <w:r>
        <w:t xml:space="preserve"> </w:t>
      </w:r>
      <w:r w:rsidRPr="00250ACE">
        <w:t>2</w:t>
      </w:r>
      <w:r>
        <w:t>08</w:t>
      </w:r>
      <w:r w:rsidRPr="00250ACE">
        <w:t xml:space="preserve"> ka</w:t>
      </w:r>
      <w:r>
        <w:t xml:space="preserve">) </w:t>
      </w:r>
      <w:r w:rsidRPr="00250ACE">
        <w:t>could be explained</w:t>
      </w:r>
      <w:r>
        <w:t xml:space="preserve">, </w:t>
      </w:r>
      <w:r w:rsidRPr="0024358B">
        <w:t>at least partly</w:t>
      </w:r>
      <w:r>
        <w:t>,</w:t>
      </w:r>
      <w:r w:rsidRPr="00250ACE">
        <w:t xml:space="preserve"> by NOCORs created by gamma irradiation. In this </w:t>
      </w:r>
      <w:r w:rsidRPr="00250ACE">
        <w:lastRenderedPageBreak/>
        <w:t>case, this would approximately correspond to a total of ~15% to 20% unstable component, a value frequently observed in bovid teeth (</w:t>
      </w:r>
      <w:proofErr w:type="spellStart"/>
      <w:r w:rsidRPr="00A319FE">
        <w:rPr>
          <w:color w:val="1A1718"/>
          <w:lang w:val="en-GB"/>
        </w:rPr>
        <w:t>Joannes-Boyau</w:t>
      </w:r>
      <w:proofErr w:type="spellEnd"/>
      <w:r w:rsidRPr="00A319FE">
        <w:rPr>
          <w:color w:val="1A1718"/>
          <w:lang w:val="en-GB"/>
        </w:rPr>
        <w:t xml:space="preserve"> et al., 2010a-b</w:t>
      </w:r>
      <w:r w:rsidRPr="00250ACE">
        <w:t>). That said, both ages are largely overlapping (</w:t>
      </w:r>
      <w:r>
        <w:t>M</w:t>
      </w:r>
      <w:r>
        <w:rPr>
          <w:vertAlign w:val="superscript"/>
        </w:rPr>
        <w:t>3</w:t>
      </w:r>
      <w:r w:rsidRPr="00250ACE">
        <w:t xml:space="preserve"> ages range from </w:t>
      </w:r>
      <w:r w:rsidRPr="000C25AA">
        <w:t>10</w:t>
      </w:r>
      <w:r>
        <w:t>26</w:t>
      </w:r>
      <w:r w:rsidRPr="000C25AA">
        <w:t xml:space="preserve"> ka to 1</w:t>
      </w:r>
      <w:r>
        <w:t>378</w:t>
      </w:r>
      <w:r w:rsidRPr="000C25AA">
        <w:t xml:space="preserve"> ka</w:t>
      </w:r>
      <w:r>
        <w:t xml:space="preserve"> </w:t>
      </w:r>
      <w:r w:rsidRPr="00F626A8">
        <w:rPr>
          <w:color w:val="000000" w:themeColor="text1"/>
        </w:rPr>
        <w:t>(1σ)</w:t>
      </w:r>
      <w:r>
        <w:rPr>
          <w:color w:val="000000" w:themeColor="text1"/>
        </w:rPr>
        <w:t xml:space="preserve">, while </w:t>
      </w:r>
      <w:r w:rsidRPr="00250ACE">
        <w:t>P</w:t>
      </w:r>
      <w:r w:rsidRPr="00250ACE">
        <w:rPr>
          <w:vertAlign w:val="superscript"/>
        </w:rPr>
        <w:t>4</w:t>
      </w:r>
      <w:r w:rsidRPr="00250ACE">
        <w:t xml:space="preserve"> ages range from </w:t>
      </w:r>
      <w:r w:rsidRPr="000C25AA">
        <w:t>1</w:t>
      </w:r>
      <w:r>
        <w:t>220</w:t>
      </w:r>
      <w:r w:rsidRPr="000C25AA">
        <w:t xml:space="preserve"> ka to 1</w:t>
      </w:r>
      <w:r>
        <w:t>636</w:t>
      </w:r>
      <w:r w:rsidRPr="000C25AA">
        <w:t xml:space="preserve"> ka</w:t>
      </w:r>
      <w:r>
        <w:t xml:space="preserve"> </w:t>
      </w:r>
      <w:r w:rsidRPr="00302F48">
        <w:rPr>
          <w:color w:val="000000" w:themeColor="text1"/>
        </w:rPr>
        <w:t>(1σ)</w:t>
      </w:r>
      <w:r w:rsidRPr="00F626A8">
        <w:rPr>
          <w:color w:val="000000" w:themeColor="text1"/>
        </w:rPr>
        <w:t xml:space="preserve">), </w:t>
      </w:r>
      <w:r w:rsidRPr="00250ACE">
        <w:t xml:space="preserve">advocating for the robustness of the age calculated by two separate approaches of two distinct teeth belonging to the same specimen. A mean value of </w:t>
      </w:r>
      <w:r w:rsidRPr="00250ACE">
        <w:rPr>
          <w:color w:val="000000" w:themeColor="text1"/>
        </w:rPr>
        <w:t>1.</w:t>
      </w:r>
      <w:r>
        <w:rPr>
          <w:color w:val="000000" w:themeColor="text1"/>
        </w:rPr>
        <w:t>26</w:t>
      </w:r>
      <w:r w:rsidRPr="00250ACE">
        <w:rPr>
          <w:color w:val="000000" w:themeColor="text1"/>
        </w:rPr>
        <w:t xml:space="preserve"> ± 0.22 Ma can be estimated by averaging the ages calculated on both </w:t>
      </w:r>
      <w:proofErr w:type="spellStart"/>
      <w:r w:rsidRPr="00F626A8">
        <w:rPr>
          <w:i/>
          <w:iCs/>
          <w:color w:val="000000" w:themeColor="text1"/>
        </w:rPr>
        <w:t>Celebochoerus</w:t>
      </w:r>
      <w:proofErr w:type="spellEnd"/>
      <w:r>
        <w:rPr>
          <w:color w:val="000000" w:themeColor="text1"/>
        </w:rPr>
        <w:t xml:space="preserve"> </w:t>
      </w:r>
      <w:r w:rsidRPr="00250ACE">
        <w:rPr>
          <w:color w:val="000000" w:themeColor="text1"/>
        </w:rPr>
        <w:t xml:space="preserve">teeth using the two US-ESR programs and propagating the error using the square root of each </w:t>
      </w:r>
      <w:r>
        <w:rPr>
          <w:spacing w:val="-1"/>
        </w:rPr>
        <w:t>relative</w:t>
      </w:r>
      <w:r w:rsidRPr="00250ACE">
        <w:rPr>
          <w:color w:val="000000" w:themeColor="text1"/>
        </w:rPr>
        <w:t xml:space="preserve"> error squared</w:t>
      </w:r>
      <w:r>
        <w:t xml:space="preserve">, </w:t>
      </w:r>
      <w:r w:rsidRPr="00460DBC">
        <w:t xml:space="preserve">particularly </w:t>
      </w:r>
      <w:r>
        <w:t xml:space="preserve">suited </w:t>
      </w:r>
      <w:r w:rsidRPr="00460DBC">
        <w:t>to combine the uncertainties from multiple independent measurements with asymmetrical associated errors</w:t>
      </w:r>
      <w:r w:rsidRPr="00250ACE">
        <w:rPr>
          <w:color w:val="000000" w:themeColor="text1"/>
        </w:rPr>
        <w:t>. This combined value indicates a high probability of representing the correct age of the fossil and its deposition.</w:t>
      </w:r>
      <w:r>
        <w:rPr>
          <w:color w:val="000000" w:themeColor="text1"/>
        </w:rPr>
        <w:t xml:space="preserve"> </w:t>
      </w:r>
      <w:r w:rsidRPr="00C40598">
        <w:rPr>
          <w:spacing w:val="-2"/>
        </w:rPr>
        <w:t>The ages calculated by both the USESR and DATA programs are very similar, which is expected given that they are based on the same underlying algorithm for US-ESR age determination. The key difference lies in the fact that US</w:t>
      </w:r>
      <w:r>
        <w:rPr>
          <w:spacing w:val="-2"/>
        </w:rPr>
        <w:t>-</w:t>
      </w:r>
      <w:r w:rsidRPr="00C40598">
        <w:rPr>
          <w:spacing w:val="-2"/>
        </w:rPr>
        <w:t>ESR uses a Monte Carlo method, which refines the estimation of uncertainty, while DATA uses an iteration process. Tests on numerous samples have shown that both US-ESR and DATA produce reliable age estimates. Yet, US</w:t>
      </w:r>
      <w:r>
        <w:rPr>
          <w:spacing w:val="-2"/>
        </w:rPr>
        <w:t>-</w:t>
      </w:r>
      <w:r w:rsidRPr="00C40598">
        <w:rPr>
          <w:spacing w:val="-2"/>
        </w:rPr>
        <w:t>ESR also tolerates U-series disequilibrium better than the other program. In essence, while both programs deliver comparable results under normal conditions, US</w:t>
      </w:r>
      <w:r>
        <w:rPr>
          <w:spacing w:val="-2"/>
        </w:rPr>
        <w:t>-</w:t>
      </w:r>
      <w:r w:rsidRPr="00C40598">
        <w:rPr>
          <w:spacing w:val="-2"/>
        </w:rPr>
        <w:t xml:space="preserve">ESR appears to be more robust when dealing with more challenging disequilibrium scenarios, which could explain some of the minor discrepancies we see </w:t>
      </w:r>
      <w:r>
        <w:rPr>
          <w:spacing w:val="-2"/>
        </w:rPr>
        <w:t>in this study</w:t>
      </w:r>
      <w:r w:rsidRPr="00C40598">
        <w:rPr>
          <w:spacing w:val="-2"/>
        </w:rPr>
        <w:t>.</w:t>
      </w:r>
    </w:p>
    <w:p w14:paraId="5B8EEC7D" w14:textId="77777777" w:rsidR="009D5826" w:rsidRDefault="009D5826" w:rsidP="009D5826">
      <w:pPr>
        <w:spacing w:line="480" w:lineRule="auto"/>
        <w:rPr>
          <w:spacing w:val="-2"/>
        </w:rPr>
      </w:pPr>
    </w:p>
    <w:tbl>
      <w:tblPr>
        <w:tblW w:w="0" w:type="auto"/>
        <w:tblInd w:w="117" w:type="dxa"/>
        <w:tblLayout w:type="fixed"/>
        <w:tblCellMar>
          <w:left w:w="0" w:type="dxa"/>
          <w:right w:w="0" w:type="dxa"/>
        </w:tblCellMar>
        <w:tblLook w:val="01E0" w:firstRow="1" w:lastRow="1" w:firstColumn="1" w:lastColumn="1" w:noHBand="0" w:noVBand="0"/>
      </w:tblPr>
      <w:tblGrid>
        <w:gridCol w:w="9218"/>
      </w:tblGrid>
      <w:tr w:rsidR="009D5826" w14:paraId="18CBE421" w14:textId="77777777" w:rsidTr="00C841FA">
        <w:trPr>
          <w:trHeight w:val="408"/>
        </w:trPr>
        <w:tc>
          <w:tcPr>
            <w:tcW w:w="9218" w:type="dxa"/>
          </w:tcPr>
          <w:p w14:paraId="15135D9E" w14:textId="77777777" w:rsidR="009D5826" w:rsidRDefault="009D5826" w:rsidP="00C841FA">
            <w:pPr>
              <w:tabs>
                <w:tab w:val="left" w:pos="993"/>
              </w:tabs>
              <w:rPr>
                <w:spacing w:val="-2"/>
              </w:rPr>
            </w:pPr>
          </w:p>
          <w:p w14:paraId="22FB2096" w14:textId="77777777" w:rsidR="009D5826" w:rsidRDefault="009D5826" w:rsidP="00C841FA">
            <w:pPr>
              <w:spacing w:before="90"/>
              <w:ind w:left="160"/>
              <w:rPr>
                <w:b/>
              </w:rPr>
            </w:pPr>
            <w:r>
              <w:rPr>
                <w:b/>
              </w:rPr>
              <w:t>Supplementary</w:t>
            </w:r>
            <w:r>
              <w:rPr>
                <w:b/>
                <w:spacing w:val="-5"/>
              </w:rPr>
              <w:t xml:space="preserve"> </w:t>
            </w:r>
            <w:r>
              <w:rPr>
                <w:b/>
              </w:rPr>
              <w:t>Information</w:t>
            </w:r>
            <w:r>
              <w:rPr>
                <w:b/>
                <w:spacing w:val="-2"/>
              </w:rPr>
              <w:t xml:space="preserve"> </w:t>
            </w:r>
            <w:r>
              <w:rPr>
                <w:b/>
              </w:rPr>
              <w:t>Table</w:t>
            </w:r>
            <w:r>
              <w:rPr>
                <w:b/>
                <w:spacing w:val="-3"/>
              </w:rPr>
              <w:t xml:space="preserve"> </w:t>
            </w:r>
            <w:r>
              <w:rPr>
                <w:b/>
              </w:rPr>
              <w:t>2:</w:t>
            </w:r>
            <w:r>
              <w:rPr>
                <w:b/>
                <w:spacing w:val="-3"/>
              </w:rPr>
              <w:t xml:space="preserve"> </w:t>
            </w:r>
            <w:r>
              <w:rPr>
                <w:b/>
              </w:rPr>
              <w:t xml:space="preserve">Calculation of average age for the </w:t>
            </w:r>
            <w:proofErr w:type="spellStart"/>
            <w:r>
              <w:rPr>
                <w:b/>
              </w:rPr>
              <w:t>Calio</w:t>
            </w:r>
            <w:proofErr w:type="spellEnd"/>
            <w:r>
              <w:rPr>
                <w:b/>
              </w:rPr>
              <w:t xml:space="preserve"> site</w:t>
            </w:r>
            <w:r>
              <w:rPr>
                <w:b/>
                <w:spacing w:val="-2"/>
              </w:rPr>
              <w:t>.</w:t>
            </w:r>
          </w:p>
          <w:p w14:paraId="171DD816" w14:textId="77777777" w:rsidR="009D5826" w:rsidRPr="00DF51DF" w:rsidRDefault="009D5826" w:rsidP="00C841FA">
            <w:pPr>
              <w:tabs>
                <w:tab w:val="left" w:pos="993"/>
              </w:tabs>
            </w:pPr>
          </w:p>
          <w:tbl>
            <w:tblPr>
              <w:tblStyle w:val="TableGrid"/>
              <w:tblW w:w="9010" w:type="dxa"/>
              <w:tblInd w:w="392" w:type="dxa"/>
              <w:tblLayout w:type="fixed"/>
              <w:tblLook w:val="04A0" w:firstRow="1" w:lastRow="0" w:firstColumn="1" w:lastColumn="0" w:noHBand="0" w:noVBand="1"/>
            </w:tblPr>
            <w:tblGrid>
              <w:gridCol w:w="1419"/>
              <w:gridCol w:w="1407"/>
              <w:gridCol w:w="1408"/>
              <w:gridCol w:w="1715"/>
              <w:gridCol w:w="1592"/>
              <w:gridCol w:w="1469"/>
            </w:tblGrid>
            <w:tr w:rsidR="009D5826" w:rsidRPr="00DF51DF" w14:paraId="080E25FF" w14:textId="77777777" w:rsidTr="00C841FA">
              <w:tc>
                <w:tcPr>
                  <w:tcW w:w="1419" w:type="dxa"/>
                </w:tcPr>
                <w:p w14:paraId="6EF7834E" w14:textId="77777777" w:rsidR="009D5826" w:rsidRPr="00DF51DF" w:rsidRDefault="009D5826" w:rsidP="00C841FA">
                  <w:pPr>
                    <w:widowControl w:val="0"/>
                    <w:tabs>
                      <w:tab w:val="left" w:pos="993"/>
                    </w:tabs>
                    <w:autoSpaceDE w:val="0"/>
                    <w:autoSpaceDN w:val="0"/>
                    <w:rPr>
                      <w:b/>
                      <w:bCs/>
                    </w:rPr>
                  </w:pPr>
                  <w:r w:rsidRPr="00DF51DF">
                    <w:rPr>
                      <w:b/>
                      <w:bCs/>
                    </w:rPr>
                    <w:t>US-ESR Ages (ka)</w:t>
                  </w:r>
                </w:p>
              </w:tc>
              <w:tc>
                <w:tcPr>
                  <w:tcW w:w="1407" w:type="dxa"/>
                </w:tcPr>
                <w:p w14:paraId="287533D5" w14:textId="77777777" w:rsidR="009D5826" w:rsidRPr="00DF51DF" w:rsidRDefault="009D5826" w:rsidP="00C841FA">
                  <w:pPr>
                    <w:widowControl w:val="0"/>
                    <w:tabs>
                      <w:tab w:val="left" w:pos="993"/>
                    </w:tabs>
                    <w:autoSpaceDE w:val="0"/>
                    <w:autoSpaceDN w:val="0"/>
                    <w:rPr>
                      <w:b/>
                      <w:bCs/>
                    </w:rPr>
                  </w:pPr>
                  <w:r w:rsidRPr="00DF51DF">
                    <w:rPr>
                      <w:b/>
                      <w:bCs/>
                    </w:rPr>
                    <w:t>+ err (ka)</w:t>
                  </w:r>
                </w:p>
              </w:tc>
              <w:tc>
                <w:tcPr>
                  <w:tcW w:w="1408" w:type="dxa"/>
                </w:tcPr>
                <w:p w14:paraId="33524CD2" w14:textId="77777777" w:rsidR="009D5826" w:rsidRPr="00DF51DF" w:rsidRDefault="009D5826" w:rsidP="00C841FA">
                  <w:pPr>
                    <w:widowControl w:val="0"/>
                    <w:tabs>
                      <w:tab w:val="left" w:pos="993"/>
                    </w:tabs>
                    <w:autoSpaceDE w:val="0"/>
                    <w:autoSpaceDN w:val="0"/>
                    <w:rPr>
                      <w:b/>
                      <w:bCs/>
                    </w:rPr>
                  </w:pPr>
                  <w:r w:rsidRPr="00DF51DF">
                    <w:rPr>
                      <w:b/>
                      <w:bCs/>
                    </w:rPr>
                    <w:t>- err (ka)</w:t>
                  </w:r>
                </w:p>
              </w:tc>
              <w:tc>
                <w:tcPr>
                  <w:tcW w:w="1715" w:type="dxa"/>
                </w:tcPr>
                <w:p w14:paraId="7759D0FA" w14:textId="77777777" w:rsidR="009D5826" w:rsidRPr="00DF51DF" w:rsidRDefault="009D5826" w:rsidP="00C841FA">
                  <w:pPr>
                    <w:widowControl w:val="0"/>
                    <w:tabs>
                      <w:tab w:val="left" w:pos="993"/>
                    </w:tabs>
                    <w:autoSpaceDE w:val="0"/>
                    <w:autoSpaceDN w:val="0"/>
                    <w:rPr>
                      <w:b/>
                      <w:bCs/>
                    </w:rPr>
                  </w:pPr>
                  <w:r w:rsidRPr="00DF51DF">
                    <w:rPr>
                      <w:b/>
                      <w:bCs/>
                    </w:rPr>
                    <w:t xml:space="preserve">Central </w:t>
                  </w:r>
                  <w:r>
                    <w:rPr>
                      <w:b/>
                      <w:bCs/>
                    </w:rPr>
                    <w:t>v</w:t>
                  </w:r>
                  <w:r w:rsidRPr="00DF51DF">
                    <w:rPr>
                      <w:b/>
                      <w:bCs/>
                    </w:rPr>
                    <w:t>alues</w:t>
                  </w:r>
                </w:p>
                <w:p w14:paraId="4BB30BF8" w14:textId="77777777" w:rsidR="009D5826" w:rsidRPr="00DF51DF" w:rsidRDefault="009D5826" w:rsidP="00C841FA">
                  <w:pPr>
                    <w:widowControl w:val="0"/>
                    <w:tabs>
                      <w:tab w:val="left" w:pos="993"/>
                    </w:tabs>
                    <w:autoSpaceDE w:val="0"/>
                    <w:autoSpaceDN w:val="0"/>
                    <w:rPr>
                      <w:b/>
                      <w:bCs/>
                    </w:rPr>
                  </w:pPr>
                  <w:r w:rsidRPr="00DF51DF">
                    <w:rPr>
                      <w:b/>
                      <w:bCs/>
                    </w:rPr>
                    <w:t>(ka)</w:t>
                  </w:r>
                </w:p>
              </w:tc>
              <w:tc>
                <w:tcPr>
                  <w:tcW w:w="1592" w:type="dxa"/>
                </w:tcPr>
                <w:p w14:paraId="2EDEFA64" w14:textId="77777777" w:rsidR="009D5826" w:rsidRPr="00DF51DF" w:rsidRDefault="009D5826" w:rsidP="00C841FA">
                  <w:pPr>
                    <w:widowControl w:val="0"/>
                    <w:tabs>
                      <w:tab w:val="left" w:pos="993"/>
                    </w:tabs>
                    <w:autoSpaceDE w:val="0"/>
                    <w:autoSpaceDN w:val="0"/>
                    <w:rPr>
                      <w:b/>
                      <w:bCs/>
                    </w:rPr>
                  </w:pPr>
                  <w:r w:rsidRPr="00DF51DF">
                    <w:rPr>
                      <w:b/>
                      <w:bCs/>
                    </w:rPr>
                    <w:t xml:space="preserve">CV </w:t>
                  </w:r>
                  <w:r>
                    <w:rPr>
                      <w:b/>
                      <w:bCs/>
                    </w:rPr>
                    <w:t>±</w:t>
                  </w:r>
                  <w:r w:rsidRPr="00DF51DF">
                    <w:rPr>
                      <w:b/>
                      <w:bCs/>
                    </w:rPr>
                    <w:t xml:space="preserve"> error (ka)</w:t>
                  </w:r>
                </w:p>
              </w:tc>
              <w:tc>
                <w:tcPr>
                  <w:tcW w:w="1469" w:type="dxa"/>
                </w:tcPr>
                <w:p w14:paraId="3B38AB3D" w14:textId="77777777" w:rsidR="009D5826" w:rsidRPr="00DF51DF" w:rsidRDefault="009D5826" w:rsidP="00C841FA">
                  <w:pPr>
                    <w:widowControl w:val="0"/>
                    <w:tabs>
                      <w:tab w:val="left" w:pos="993"/>
                    </w:tabs>
                    <w:autoSpaceDE w:val="0"/>
                    <w:autoSpaceDN w:val="0"/>
                    <w:rPr>
                      <w:b/>
                      <w:bCs/>
                    </w:rPr>
                  </w:pPr>
                  <w:r>
                    <w:rPr>
                      <w:b/>
                      <w:bCs/>
                    </w:rPr>
                    <w:t>R</w:t>
                  </w:r>
                  <w:r w:rsidRPr="00DF51DF">
                    <w:rPr>
                      <w:b/>
                      <w:bCs/>
                    </w:rPr>
                    <w:t>elative error squared</w:t>
                  </w:r>
                </w:p>
              </w:tc>
            </w:tr>
            <w:tr w:rsidR="009D5826" w:rsidRPr="00DF51DF" w14:paraId="7BAB0711" w14:textId="77777777" w:rsidTr="00C841FA">
              <w:tc>
                <w:tcPr>
                  <w:tcW w:w="1419" w:type="dxa"/>
                  <w:vAlign w:val="bottom"/>
                </w:tcPr>
                <w:p w14:paraId="21D44B28" w14:textId="77777777" w:rsidR="009D5826" w:rsidRPr="00DF51DF" w:rsidRDefault="009D5826" w:rsidP="00C841FA">
                  <w:pPr>
                    <w:widowControl w:val="0"/>
                    <w:tabs>
                      <w:tab w:val="left" w:pos="993"/>
                    </w:tabs>
                    <w:autoSpaceDE w:val="0"/>
                    <w:autoSpaceDN w:val="0"/>
                  </w:pPr>
                  <w:r w:rsidRPr="00DF51DF">
                    <w:t>1140</w:t>
                  </w:r>
                </w:p>
              </w:tc>
              <w:tc>
                <w:tcPr>
                  <w:tcW w:w="1407" w:type="dxa"/>
                  <w:vAlign w:val="bottom"/>
                </w:tcPr>
                <w:p w14:paraId="6853F4C0" w14:textId="77777777" w:rsidR="009D5826" w:rsidRPr="00DF51DF" w:rsidRDefault="009D5826" w:rsidP="00C841FA">
                  <w:pPr>
                    <w:widowControl w:val="0"/>
                    <w:tabs>
                      <w:tab w:val="left" w:pos="993"/>
                    </w:tabs>
                    <w:autoSpaceDE w:val="0"/>
                    <w:autoSpaceDN w:val="0"/>
                  </w:pPr>
                  <w:r w:rsidRPr="00DF51DF">
                    <w:t>155</w:t>
                  </w:r>
                </w:p>
              </w:tc>
              <w:tc>
                <w:tcPr>
                  <w:tcW w:w="1408" w:type="dxa"/>
                  <w:vAlign w:val="bottom"/>
                </w:tcPr>
                <w:p w14:paraId="77E164EE" w14:textId="77777777" w:rsidR="009D5826" w:rsidRPr="00DF51DF" w:rsidRDefault="009D5826" w:rsidP="00C841FA">
                  <w:pPr>
                    <w:widowControl w:val="0"/>
                    <w:tabs>
                      <w:tab w:val="left" w:pos="993"/>
                    </w:tabs>
                    <w:autoSpaceDE w:val="0"/>
                    <w:autoSpaceDN w:val="0"/>
                  </w:pPr>
                  <w:r w:rsidRPr="00DF51DF">
                    <w:t>273</w:t>
                  </w:r>
                </w:p>
              </w:tc>
              <w:tc>
                <w:tcPr>
                  <w:tcW w:w="1715" w:type="dxa"/>
                  <w:vAlign w:val="bottom"/>
                </w:tcPr>
                <w:p w14:paraId="1CE9EFFB" w14:textId="77777777" w:rsidR="009D5826" w:rsidRPr="00DF51DF" w:rsidRDefault="009D5826" w:rsidP="00C841FA">
                  <w:pPr>
                    <w:widowControl w:val="0"/>
                    <w:tabs>
                      <w:tab w:val="left" w:pos="993"/>
                    </w:tabs>
                    <w:autoSpaceDE w:val="0"/>
                    <w:autoSpaceDN w:val="0"/>
                  </w:pPr>
                  <w:r w:rsidRPr="00DF51DF">
                    <w:t>1081</w:t>
                  </w:r>
                </w:p>
              </w:tc>
              <w:tc>
                <w:tcPr>
                  <w:tcW w:w="1592" w:type="dxa"/>
                  <w:vAlign w:val="bottom"/>
                </w:tcPr>
                <w:p w14:paraId="55A82ADA" w14:textId="77777777" w:rsidR="009D5826" w:rsidRPr="00DF51DF" w:rsidRDefault="009D5826" w:rsidP="00C841FA">
                  <w:pPr>
                    <w:widowControl w:val="0"/>
                    <w:tabs>
                      <w:tab w:val="left" w:pos="993"/>
                    </w:tabs>
                    <w:autoSpaceDE w:val="0"/>
                    <w:autoSpaceDN w:val="0"/>
                  </w:pPr>
                  <w:r w:rsidRPr="00DF51DF">
                    <w:t>214</w:t>
                  </w:r>
                </w:p>
              </w:tc>
              <w:tc>
                <w:tcPr>
                  <w:tcW w:w="1469" w:type="dxa"/>
                  <w:vAlign w:val="bottom"/>
                </w:tcPr>
                <w:p w14:paraId="2F80CFA7" w14:textId="77777777" w:rsidR="009D5826" w:rsidRPr="00DF51DF" w:rsidRDefault="009D5826" w:rsidP="00C841FA">
                  <w:pPr>
                    <w:widowControl w:val="0"/>
                    <w:tabs>
                      <w:tab w:val="left" w:pos="993"/>
                    </w:tabs>
                    <w:autoSpaceDE w:val="0"/>
                    <w:autoSpaceDN w:val="0"/>
                  </w:pPr>
                  <w:r w:rsidRPr="00DF51DF">
                    <w:t>0.039</w:t>
                  </w:r>
                </w:p>
              </w:tc>
            </w:tr>
            <w:tr w:rsidR="009D5826" w:rsidRPr="00DF51DF" w14:paraId="14017A74" w14:textId="77777777" w:rsidTr="00C841FA">
              <w:tc>
                <w:tcPr>
                  <w:tcW w:w="1419" w:type="dxa"/>
                  <w:vAlign w:val="bottom"/>
                </w:tcPr>
                <w:p w14:paraId="6B3B095D" w14:textId="77777777" w:rsidR="009D5826" w:rsidRPr="00DF51DF" w:rsidRDefault="009D5826" w:rsidP="00C841FA">
                  <w:pPr>
                    <w:widowControl w:val="0"/>
                    <w:tabs>
                      <w:tab w:val="left" w:pos="993"/>
                    </w:tabs>
                    <w:autoSpaceDE w:val="0"/>
                    <w:autoSpaceDN w:val="0"/>
                  </w:pPr>
                  <w:r w:rsidRPr="00DF51DF">
                    <w:t>1202</w:t>
                  </w:r>
                </w:p>
              </w:tc>
              <w:tc>
                <w:tcPr>
                  <w:tcW w:w="1407" w:type="dxa"/>
                  <w:vAlign w:val="bottom"/>
                </w:tcPr>
                <w:p w14:paraId="52E32E18" w14:textId="77777777" w:rsidR="009D5826" w:rsidRPr="00DF51DF" w:rsidRDefault="009D5826" w:rsidP="00C841FA">
                  <w:pPr>
                    <w:widowControl w:val="0"/>
                    <w:tabs>
                      <w:tab w:val="left" w:pos="993"/>
                    </w:tabs>
                    <w:autoSpaceDE w:val="0"/>
                    <w:autoSpaceDN w:val="0"/>
                  </w:pPr>
                  <w:r w:rsidRPr="00DF51DF">
                    <w:t>176</w:t>
                  </w:r>
                </w:p>
              </w:tc>
              <w:tc>
                <w:tcPr>
                  <w:tcW w:w="1408" w:type="dxa"/>
                  <w:vAlign w:val="bottom"/>
                </w:tcPr>
                <w:p w14:paraId="706C2B8D" w14:textId="77777777" w:rsidR="009D5826" w:rsidRPr="00DF51DF" w:rsidRDefault="009D5826" w:rsidP="00C841FA">
                  <w:pPr>
                    <w:widowControl w:val="0"/>
                    <w:tabs>
                      <w:tab w:val="left" w:pos="993"/>
                    </w:tabs>
                    <w:autoSpaceDE w:val="0"/>
                    <w:autoSpaceDN w:val="0"/>
                  </w:pPr>
                  <w:r w:rsidRPr="00DF51DF">
                    <w:t>176</w:t>
                  </w:r>
                </w:p>
              </w:tc>
              <w:tc>
                <w:tcPr>
                  <w:tcW w:w="1715" w:type="dxa"/>
                  <w:vAlign w:val="bottom"/>
                </w:tcPr>
                <w:p w14:paraId="00CFC274" w14:textId="77777777" w:rsidR="009D5826" w:rsidRPr="00DF51DF" w:rsidRDefault="009D5826" w:rsidP="00C841FA">
                  <w:pPr>
                    <w:widowControl w:val="0"/>
                    <w:tabs>
                      <w:tab w:val="left" w:pos="993"/>
                    </w:tabs>
                    <w:autoSpaceDE w:val="0"/>
                    <w:autoSpaceDN w:val="0"/>
                  </w:pPr>
                  <w:r w:rsidRPr="00DF51DF">
                    <w:t>1202</w:t>
                  </w:r>
                </w:p>
              </w:tc>
              <w:tc>
                <w:tcPr>
                  <w:tcW w:w="1592" w:type="dxa"/>
                  <w:vAlign w:val="bottom"/>
                </w:tcPr>
                <w:p w14:paraId="3D6383EE" w14:textId="77777777" w:rsidR="009D5826" w:rsidRPr="00DF51DF" w:rsidRDefault="009D5826" w:rsidP="00C841FA">
                  <w:pPr>
                    <w:widowControl w:val="0"/>
                    <w:tabs>
                      <w:tab w:val="left" w:pos="993"/>
                    </w:tabs>
                    <w:autoSpaceDE w:val="0"/>
                    <w:autoSpaceDN w:val="0"/>
                  </w:pPr>
                  <w:r w:rsidRPr="00DF51DF">
                    <w:t>176</w:t>
                  </w:r>
                </w:p>
              </w:tc>
              <w:tc>
                <w:tcPr>
                  <w:tcW w:w="1469" w:type="dxa"/>
                  <w:vAlign w:val="bottom"/>
                </w:tcPr>
                <w:p w14:paraId="2DC9063F" w14:textId="77777777" w:rsidR="009D5826" w:rsidRPr="00DF51DF" w:rsidRDefault="009D5826" w:rsidP="00C841FA">
                  <w:pPr>
                    <w:widowControl w:val="0"/>
                    <w:tabs>
                      <w:tab w:val="left" w:pos="993"/>
                    </w:tabs>
                    <w:autoSpaceDE w:val="0"/>
                    <w:autoSpaceDN w:val="0"/>
                  </w:pPr>
                  <w:r w:rsidRPr="00DF51DF">
                    <w:t>0.021</w:t>
                  </w:r>
                </w:p>
              </w:tc>
            </w:tr>
            <w:tr w:rsidR="009D5826" w:rsidRPr="00DF51DF" w14:paraId="57B903E5" w14:textId="77777777" w:rsidTr="00C841FA">
              <w:tc>
                <w:tcPr>
                  <w:tcW w:w="1419" w:type="dxa"/>
                  <w:vAlign w:val="bottom"/>
                </w:tcPr>
                <w:p w14:paraId="17C36645" w14:textId="77777777" w:rsidR="009D5826" w:rsidRPr="00DF51DF" w:rsidRDefault="009D5826" w:rsidP="00C841FA">
                  <w:pPr>
                    <w:widowControl w:val="0"/>
                    <w:tabs>
                      <w:tab w:val="left" w:pos="993"/>
                    </w:tabs>
                    <w:autoSpaceDE w:val="0"/>
                    <w:autoSpaceDN w:val="0"/>
                  </w:pPr>
                  <w:r w:rsidRPr="00DF51DF">
                    <w:t>1368</w:t>
                  </w:r>
                </w:p>
              </w:tc>
              <w:tc>
                <w:tcPr>
                  <w:tcW w:w="1407" w:type="dxa"/>
                  <w:vAlign w:val="bottom"/>
                </w:tcPr>
                <w:p w14:paraId="3E372C66" w14:textId="77777777" w:rsidR="009D5826" w:rsidRPr="00DF51DF" w:rsidRDefault="009D5826" w:rsidP="00C841FA">
                  <w:pPr>
                    <w:widowControl w:val="0"/>
                    <w:tabs>
                      <w:tab w:val="left" w:pos="993"/>
                    </w:tabs>
                    <w:autoSpaceDE w:val="0"/>
                    <w:autoSpaceDN w:val="0"/>
                  </w:pPr>
                  <w:r w:rsidRPr="00DF51DF">
                    <w:t>207</w:t>
                  </w:r>
                </w:p>
              </w:tc>
              <w:tc>
                <w:tcPr>
                  <w:tcW w:w="1408" w:type="dxa"/>
                  <w:vAlign w:val="bottom"/>
                </w:tcPr>
                <w:p w14:paraId="65AF1BE5" w14:textId="77777777" w:rsidR="009D5826" w:rsidRPr="00DF51DF" w:rsidRDefault="009D5826" w:rsidP="00C841FA">
                  <w:pPr>
                    <w:widowControl w:val="0"/>
                    <w:tabs>
                      <w:tab w:val="left" w:pos="993"/>
                    </w:tabs>
                    <w:autoSpaceDE w:val="0"/>
                    <w:autoSpaceDN w:val="0"/>
                  </w:pPr>
                  <w:r w:rsidRPr="00DF51DF">
                    <w:t>306</w:t>
                  </w:r>
                </w:p>
              </w:tc>
              <w:tc>
                <w:tcPr>
                  <w:tcW w:w="1715" w:type="dxa"/>
                  <w:vAlign w:val="bottom"/>
                </w:tcPr>
                <w:p w14:paraId="09CE0E0A" w14:textId="77777777" w:rsidR="009D5826" w:rsidRPr="00DF51DF" w:rsidRDefault="009D5826" w:rsidP="00C841FA">
                  <w:pPr>
                    <w:widowControl w:val="0"/>
                    <w:tabs>
                      <w:tab w:val="left" w:pos="993"/>
                    </w:tabs>
                    <w:autoSpaceDE w:val="0"/>
                    <w:autoSpaceDN w:val="0"/>
                  </w:pPr>
                  <w:r w:rsidRPr="00DF51DF">
                    <w:t>131</w:t>
                  </w:r>
                  <w:r>
                    <w:t>9</w:t>
                  </w:r>
                </w:p>
              </w:tc>
              <w:tc>
                <w:tcPr>
                  <w:tcW w:w="1592" w:type="dxa"/>
                  <w:vAlign w:val="bottom"/>
                </w:tcPr>
                <w:p w14:paraId="40FD540C" w14:textId="77777777" w:rsidR="009D5826" w:rsidRPr="00DF51DF" w:rsidRDefault="009D5826" w:rsidP="00C841FA">
                  <w:pPr>
                    <w:widowControl w:val="0"/>
                    <w:tabs>
                      <w:tab w:val="left" w:pos="993"/>
                    </w:tabs>
                    <w:autoSpaceDE w:val="0"/>
                    <w:autoSpaceDN w:val="0"/>
                  </w:pPr>
                  <w:r w:rsidRPr="00DF51DF">
                    <w:t>25</w:t>
                  </w:r>
                  <w:r>
                    <w:t>7</w:t>
                  </w:r>
                </w:p>
              </w:tc>
              <w:tc>
                <w:tcPr>
                  <w:tcW w:w="1469" w:type="dxa"/>
                  <w:vAlign w:val="bottom"/>
                </w:tcPr>
                <w:p w14:paraId="518E35F6" w14:textId="77777777" w:rsidR="009D5826" w:rsidRPr="00DF51DF" w:rsidRDefault="009D5826" w:rsidP="00C841FA">
                  <w:pPr>
                    <w:widowControl w:val="0"/>
                    <w:tabs>
                      <w:tab w:val="left" w:pos="993"/>
                    </w:tabs>
                    <w:autoSpaceDE w:val="0"/>
                    <w:autoSpaceDN w:val="0"/>
                  </w:pPr>
                  <w:r w:rsidRPr="00DF51DF">
                    <w:t>0.03</w:t>
                  </w:r>
                  <w:r>
                    <w:t>8</w:t>
                  </w:r>
                </w:p>
              </w:tc>
            </w:tr>
            <w:tr w:rsidR="009D5826" w:rsidRPr="00DF51DF" w14:paraId="7C631C20" w14:textId="77777777" w:rsidTr="00C841FA">
              <w:tc>
                <w:tcPr>
                  <w:tcW w:w="1419" w:type="dxa"/>
                  <w:vAlign w:val="bottom"/>
                </w:tcPr>
                <w:p w14:paraId="6FD746C0" w14:textId="77777777" w:rsidR="009D5826" w:rsidRPr="00DF51DF" w:rsidRDefault="009D5826" w:rsidP="00C841FA">
                  <w:pPr>
                    <w:widowControl w:val="0"/>
                    <w:tabs>
                      <w:tab w:val="left" w:pos="993"/>
                    </w:tabs>
                    <w:autoSpaceDE w:val="0"/>
                    <w:autoSpaceDN w:val="0"/>
                  </w:pPr>
                  <w:r w:rsidRPr="00DF51DF">
                    <w:t>1428</w:t>
                  </w:r>
                </w:p>
              </w:tc>
              <w:tc>
                <w:tcPr>
                  <w:tcW w:w="1407" w:type="dxa"/>
                  <w:vAlign w:val="bottom"/>
                </w:tcPr>
                <w:p w14:paraId="30C2166F" w14:textId="77777777" w:rsidR="009D5826" w:rsidRPr="00DF51DF" w:rsidRDefault="009D5826" w:rsidP="00C841FA">
                  <w:pPr>
                    <w:widowControl w:val="0"/>
                    <w:tabs>
                      <w:tab w:val="left" w:pos="993"/>
                    </w:tabs>
                    <w:autoSpaceDE w:val="0"/>
                    <w:autoSpaceDN w:val="0"/>
                  </w:pPr>
                  <w:r w:rsidRPr="00DF51DF">
                    <w:t>208</w:t>
                  </w:r>
                </w:p>
              </w:tc>
              <w:tc>
                <w:tcPr>
                  <w:tcW w:w="1408" w:type="dxa"/>
                  <w:vAlign w:val="bottom"/>
                </w:tcPr>
                <w:p w14:paraId="20E35C58" w14:textId="77777777" w:rsidR="009D5826" w:rsidRPr="00DF51DF" w:rsidRDefault="009D5826" w:rsidP="00C841FA">
                  <w:pPr>
                    <w:widowControl w:val="0"/>
                    <w:tabs>
                      <w:tab w:val="left" w:pos="993"/>
                    </w:tabs>
                    <w:autoSpaceDE w:val="0"/>
                    <w:autoSpaceDN w:val="0"/>
                  </w:pPr>
                  <w:r w:rsidRPr="00DF51DF">
                    <w:t>208</w:t>
                  </w:r>
                </w:p>
              </w:tc>
              <w:tc>
                <w:tcPr>
                  <w:tcW w:w="1715" w:type="dxa"/>
                  <w:vAlign w:val="bottom"/>
                </w:tcPr>
                <w:p w14:paraId="4D5A6267" w14:textId="77777777" w:rsidR="009D5826" w:rsidRPr="00DF51DF" w:rsidRDefault="009D5826" w:rsidP="00C841FA">
                  <w:pPr>
                    <w:widowControl w:val="0"/>
                    <w:tabs>
                      <w:tab w:val="left" w:pos="993"/>
                    </w:tabs>
                    <w:autoSpaceDE w:val="0"/>
                    <w:autoSpaceDN w:val="0"/>
                  </w:pPr>
                  <w:r w:rsidRPr="00DF51DF">
                    <w:t>1428</w:t>
                  </w:r>
                </w:p>
              </w:tc>
              <w:tc>
                <w:tcPr>
                  <w:tcW w:w="1592" w:type="dxa"/>
                  <w:vAlign w:val="bottom"/>
                </w:tcPr>
                <w:p w14:paraId="1F7DD95E" w14:textId="77777777" w:rsidR="009D5826" w:rsidRPr="00DF51DF" w:rsidRDefault="009D5826" w:rsidP="00C841FA">
                  <w:pPr>
                    <w:widowControl w:val="0"/>
                    <w:tabs>
                      <w:tab w:val="left" w:pos="993"/>
                    </w:tabs>
                    <w:autoSpaceDE w:val="0"/>
                    <w:autoSpaceDN w:val="0"/>
                  </w:pPr>
                  <w:r w:rsidRPr="00DF51DF">
                    <w:t>208</w:t>
                  </w:r>
                </w:p>
              </w:tc>
              <w:tc>
                <w:tcPr>
                  <w:tcW w:w="1469" w:type="dxa"/>
                  <w:vAlign w:val="bottom"/>
                </w:tcPr>
                <w:p w14:paraId="3A08BDB8" w14:textId="77777777" w:rsidR="009D5826" w:rsidRPr="00DF51DF" w:rsidRDefault="009D5826" w:rsidP="00C841FA">
                  <w:pPr>
                    <w:widowControl w:val="0"/>
                    <w:tabs>
                      <w:tab w:val="left" w:pos="993"/>
                    </w:tabs>
                    <w:autoSpaceDE w:val="0"/>
                    <w:autoSpaceDN w:val="0"/>
                  </w:pPr>
                  <w:r w:rsidRPr="00DF51DF">
                    <w:t>0.021</w:t>
                  </w:r>
                </w:p>
              </w:tc>
            </w:tr>
            <w:tr w:rsidR="009D5826" w:rsidRPr="00DF51DF" w14:paraId="3021FC2C" w14:textId="77777777" w:rsidTr="00C841FA">
              <w:tc>
                <w:tcPr>
                  <w:tcW w:w="1419" w:type="dxa"/>
                  <w:shd w:val="clear" w:color="auto" w:fill="D9D9D9" w:themeFill="background1" w:themeFillShade="D9"/>
                </w:tcPr>
                <w:p w14:paraId="013AE121" w14:textId="77777777" w:rsidR="009D5826" w:rsidRPr="00DF51DF" w:rsidRDefault="009D5826" w:rsidP="00C841FA">
                  <w:pPr>
                    <w:widowControl w:val="0"/>
                    <w:tabs>
                      <w:tab w:val="left" w:pos="993"/>
                    </w:tabs>
                    <w:autoSpaceDE w:val="0"/>
                    <w:autoSpaceDN w:val="0"/>
                  </w:pPr>
                </w:p>
              </w:tc>
              <w:tc>
                <w:tcPr>
                  <w:tcW w:w="1407" w:type="dxa"/>
                  <w:shd w:val="clear" w:color="auto" w:fill="D9D9D9" w:themeFill="background1" w:themeFillShade="D9"/>
                </w:tcPr>
                <w:p w14:paraId="4ADB58DF" w14:textId="77777777" w:rsidR="009D5826" w:rsidRPr="00DF51DF" w:rsidRDefault="009D5826" w:rsidP="00C841FA">
                  <w:pPr>
                    <w:widowControl w:val="0"/>
                    <w:tabs>
                      <w:tab w:val="left" w:pos="993"/>
                    </w:tabs>
                    <w:autoSpaceDE w:val="0"/>
                    <w:autoSpaceDN w:val="0"/>
                  </w:pPr>
                </w:p>
              </w:tc>
              <w:tc>
                <w:tcPr>
                  <w:tcW w:w="1408" w:type="dxa"/>
                  <w:shd w:val="clear" w:color="auto" w:fill="D9D9D9" w:themeFill="background1" w:themeFillShade="D9"/>
                </w:tcPr>
                <w:p w14:paraId="5BED5175" w14:textId="77777777" w:rsidR="009D5826" w:rsidRPr="00DF51DF" w:rsidRDefault="009D5826" w:rsidP="00C841FA">
                  <w:pPr>
                    <w:widowControl w:val="0"/>
                    <w:tabs>
                      <w:tab w:val="left" w:pos="993"/>
                    </w:tabs>
                    <w:autoSpaceDE w:val="0"/>
                    <w:autoSpaceDN w:val="0"/>
                  </w:pPr>
                </w:p>
              </w:tc>
              <w:tc>
                <w:tcPr>
                  <w:tcW w:w="1715" w:type="dxa"/>
                  <w:shd w:val="clear" w:color="auto" w:fill="D9D9D9" w:themeFill="background1" w:themeFillShade="D9"/>
                </w:tcPr>
                <w:p w14:paraId="3A5AD0C4" w14:textId="77777777" w:rsidR="009D5826" w:rsidRPr="00DF51DF" w:rsidRDefault="009D5826" w:rsidP="00C841FA">
                  <w:pPr>
                    <w:widowControl w:val="0"/>
                    <w:tabs>
                      <w:tab w:val="left" w:pos="993"/>
                    </w:tabs>
                    <w:autoSpaceDE w:val="0"/>
                    <w:autoSpaceDN w:val="0"/>
                  </w:pPr>
                </w:p>
              </w:tc>
              <w:tc>
                <w:tcPr>
                  <w:tcW w:w="1592" w:type="dxa"/>
                  <w:shd w:val="clear" w:color="auto" w:fill="D9D9D9" w:themeFill="background1" w:themeFillShade="D9"/>
                </w:tcPr>
                <w:p w14:paraId="4907D22F" w14:textId="77777777" w:rsidR="009D5826" w:rsidRPr="00DF51DF" w:rsidRDefault="009D5826" w:rsidP="00C841FA">
                  <w:pPr>
                    <w:widowControl w:val="0"/>
                    <w:tabs>
                      <w:tab w:val="left" w:pos="993"/>
                    </w:tabs>
                    <w:autoSpaceDE w:val="0"/>
                    <w:autoSpaceDN w:val="0"/>
                  </w:pPr>
                </w:p>
              </w:tc>
              <w:tc>
                <w:tcPr>
                  <w:tcW w:w="1469" w:type="dxa"/>
                  <w:shd w:val="clear" w:color="auto" w:fill="D9D9D9" w:themeFill="background1" w:themeFillShade="D9"/>
                </w:tcPr>
                <w:p w14:paraId="4C172CE4" w14:textId="77777777" w:rsidR="009D5826" w:rsidRPr="00DF51DF" w:rsidRDefault="009D5826" w:rsidP="00C841FA">
                  <w:pPr>
                    <w:widowControl w:val="0"/>
                    <w:tabs>
                      <w:tab w:val="left" w:pos="993"/>
                    </w:tabs>
                    <w:autoSpaceDE w:val="0"/>
                    <w:autoSpaceDN w:val="0"/>
                  </w:pPr>
                </w:p>
              </w:tc>
            </w:tr>
            <w:tr w:rsidR="009D5826" w:rsidRPr="00DF51DF" w14:paraId="4C9678ED" w14:textId="77777777" w:rsidTr="00C841FA">
              <w:tc>
                <w:tcPr>
                  <w:tcW w:w="4234" w:type="dxa"/>
                  <w:gridSpan w:val="3"/>
                </w:tcPr>
                <w:p w14:paraId="22D3F98E" w14:textId="77777777" w:rsidR="009D5826" w:rsidRPr="00DF51DF" w:rsidRDefault="009D5826" w:rsidP="00C841FA">
                  <w:pPr>
                    <w:widowControl w:val="0"/>
                    <w:tabs>
                      <w:tab w:val="left" w:pos="993"/>
                    </w:tabs>
                    <w:autoSpaceDE w:val="0"/>
                    <w:autoSpaceDN w:val="0"/>
                  </w:pPr>
                  <w:r w:rsidRPr="00DF51DF">
                    <w:t>Average age</w:t>
                  </w:r>
                </w:p>
              </w:tc>
              <w:tc>
                <w:tcPr>
                  <w:tcW w:w="1715" w:type="dxa"/>
                  <w:vAlign w:val="bottom"/>
                </w:tcPr>
                <w:p w14:paraId="391980B2" w14:textId="77777777" w:rsidR="009D5826" w:rsidRPr="00DF51DF" w:rsidRDefault="009D5826" w:rsidP="00C841FA">
                  <w:pPr>
                    <w:widowControl w:val="0"/>
                    <w:tabs>
                      <w:tab w:val="left" w:pos="993"/>
                    </w:tabs>
                    <w:autoSpaceDE w:val="0"/>
                    <w:autoSpaceDN w:val="0"/>
                  </w:pPr>
                  <w:r w:rsidRPr="00DF51DF">
                    <w:t>1257*</w:t>
                  </w:r>
                </w:p>
              </w:tc>
              <w:tc>
                <w:tcPr>
                  <w:tcW w:w="1592" w:type="dxa"/>
                  <w:vAlign w:val="bottom"/>
                </w:tcPr>
                <w:p w14:paraId="226B0AC7" w14:textId="77777777" w:rsidR="009D5826" w:rsidRPr="00DF51DF" w:rsidRDefault="009D5826" w:rsidP="00C841FA">
                  <w:pPr>
                    <w:widowControl w:val="0"/>
                    <w:tabs>
                      <w:tab w:val="left" w:pos="993"/>
                    </w:tabs>
                    <w:autoSpaceDE w:val="0"/>
                    <w:autoSpaceDN w:val="0"/>
                  </w:pPr>
                  <w:r w:rsidRPr="00DF51DF">
                    <w:t>218**</w:t>
                  </w:r>
                </w:p>
              </w:tc>
              <w:tc>
                <w:tcPr>
                  <w:tcW w:w="1469" w:type="dxa"/>
                  <w:shd w:val="clear" w:color="auto" w:fill="D9D9D9" w:themeFill="background1" w:themeFillShade="D9"/>
                </w:tcPr>
                <w:p w14:paraId="7F892D29" w14:textId="77777777" w:rsidR="009D5826" w:rsidRPr="00DF51DF" w:rsidRDefault="009D5826" w:rsidP="00C841FA">
                  <w:pPr>
                    <w:widowControl w:val="0"/>
                    <w:tabs>
                      <w:tab w:val="left" w:pos="993"/>
                    </w:tabs>
                    <w:autoSpaceDE w:val="0"/>
                    <w:autoSpaceDN w:val="0"/>
                  </w:pPr>
                </w:p>
              </w:tc>
            </w:tr>
          </w:tbl>
          <w:p w14:paraId="43A9FFD4" w14:textId="77777777" w:rsidR="009D5826" w:rsidRPr="00DF51DF" w:rsidRDefault="009D5826" w:rsidP="00C841FA">
            <w:pPr>
              <w:tabs>
                <w:tab w:val="left" w:pos="993"/>
              </w:tabs>
            </w:pPr>
          </w:p>
          <w:p w14:paraId="6BC838C9" w14:textId="77777777" w:rsidR="009D5826" w:rsidRPr="00DF51DF" w:rsidRDefault="009D5826" w:rsidP="00C841FA">
            <w:pPr>
              <w:tabs>
                <w:tab w:val="left" w:pos="993"/>
              </w:tabs>
              <w:ind w:left="284"/>
            </w:pPr>
            <w:r w:rsidRPr="00DF51DF">
              <w:t>* Obtained by calculating the average of the CV ages</w:t>
            </w:r>
            <w:r>
              <w:t>.</w:t>
            </w:r>
          </w:p>
          <w:p w14:paraId="7B376FE0" w14:textId="77777777" w:rsidR="009D5826" w:rsidRDefault="009D5826" w:rsidP="00C841FA">
            <w:pPr>
              <w:pStyle w:val="TableParagraph"/>
              <w:spacing w:before="133" w:line="256" w:lineRule="exact"/>
              <w:ind w:left="180"/>
              <w:jc w:val="left"/>
              <w:rPr>
                <w:sz w:val="24"/>
              </w:rPr>
            </w:pPr>
            <w:r w:rsidRPr="00DF51DF">
              <w:rPr>
                <w:lang w:val="en-AU"/>
              </w:rPr>
              <w:t>** Obtained by calculating the square root of the sum of all the squared relative errors, multiplied by the average age, and divided by two</w:t>
            </w:r>
            <w:r>
              <w:rPr>
                <w:rFonts w:ascii="Cambria Math" w:hAnsi="Cambria Math"/>
                <w:i/>
                <w:lang w:val="en-AU"/>
              </w:rPr>
              <w:t xml:space="preserve">. </w:t>
            </w:r>
            <m:oMath>
              <m:f>
                <m:fPr>
                  <m:type m:val="lin"/>
                  <m:ctrlPr>
                    <w:rPr>
                      <w:rFonts w:ascii="Cambria Math" w:hAnsi="Cambria Math"/>
                      <w:i/>
                      <w:lang w:val="en-AU"/>
                    </w:rPr>
                  </m:ctrlPr>
                </m:fPr>
                <m:num>
                  <m:rad>
                    <m:radPr>
                      <m:degHide m:val="1"/>
                      <m:ctrlPr>
                        <w:rPr>
                          <w:rFonts w:ascii="Cambria Math" w:hAnsi="Cambria Math"/>
                          <w:i/>
                          <w:lang w:val="en-AU"/>
                        </w:rPr>
                      </m:ctrlPr>
                    </m:radPr>
                    <m:deg/>
                    <m:e>
                      <m:r>
                        <w:rPr>
                          <w:rFonts w:ascii="Cambria Math" w:hAnsi="Cambria Math"/>
                          <w:lang w:val="en-AU"/>
                        </w:rPr>
                        <m:t>(sum of the squared relative error*average age)</m:t>
                      </m:r>
                    </m:e>
                  </m:rad>
                </m:num>
                <m:den>
                  <m:r>
                    <w:rPr>
                      <w:rFonts w:ascii="Cambria Math" w:hAnsi="Cambria Math"/>
                      <w:lang w:val="en-AU"/>
                    </w:rPr>
                    <m:t>2</m:t>
                  </m:r>
                </m:den>
              </m:f>
            </m:oMath>
          </w:p>
        </w:tc>
      </w:tr>
    </w:tbl>
    <w:p w14:paraId="60FB9449" w14:textId="77777777" w:rsidR="009D5826" w:rsidRDefault="009D5826" w:rsidP="009D5826">
      <w:pPr>
        <w:spacing w:line="480" w:lineRule="auto"/>
        <w:rPr>
          <w:spacing w:val="-2"/>
        </w:rPr>
      </w:pPr>
    </w:p>
    <w:p w14:paraId="2E74AD9B" w14:textId="77777777" w:rsidR="009D5826" w:rsidRPr="000E01E5" w:rsidRDefault="009D5826" w:rsidP="009D5826">
      <w:pPr>
        <w:spacing w:line="480" w:lineRule="auto"/>
        <w:rPr>
          <w:color w:val="000000" w:themeColor="text1"/>
        </w:rPr>
      </w:pPr>
      <w:r w:rsidRPr="000E01E5">
        <w:rPr>
          <w:color w:val="000000" w:themeColor="text1"/>
        </w:rPr>
        <w:br w:type="page"/>
      </w:r>
    </w:p>
    <w:p w14:paraId="4D34DB2A" w14:textId="77777777" w:rsidR="009D5826" w:rsidRPr="00F82FFD" w:rsidRDefault="009D5826" w:rsidP="009D5826">
      <w:pPr>
        <w:spacing w:line="480" w:lineRule="auto"/>
        <w:rPr>
          <w:b/>
          <w:bCs/>
          <w:color w:val="000000" w:themeColor="text1"/>
          <w:lang w:val="en-GB"/>
        </w:rPr>
      </w:pPr>
      <w:r w:rsidRPr="00F82FFD">
        <w:rPr>
          <w:b/>
          <w:bCs/>
          <w:color w:val="000000" w:themeColor="text1"/>
          <w:lang w:val="en-GB"/>
        </w:rPr>
        <w:lastRenderedPageBreak/>
        <w:t>References</w:t>
      </w:r>
    </w:p>
    <w:p w14:paraId="7FC8BB83" w14:textId="77777777" w:rsidR="009D5826" w:rsidRPr="00AC60F1" w:rsidRDefault="009D5826" w:rsidP="009D58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lang w:val="en-GB"/>
        </w:rPr>
      </w:pPr>
      <w:proofErr w:type="spellStart"/>
      <w:r w:rsidRPr="00FF3D66">
        <w:rPr>
          <w:color w:val="000000" w:themeColor="text1"/>
          <w:lang w:val="en-GB"/>
        </w:rPr>
        <w:t>Freidline</w:t>
      </w:r>
      <w:proofErr w:type="spellEnd"/>
      <w:r>
        <w:rPr>
          <w:color w:val="000000" w:themeColor="text1"/>
          <w:lang w:val="en-GB"/>
        </w:rPr>
        <w:t xml:space="preserve">, S.E., et al. </w:t>
      </w:r>
      <w:r w:rsidRPr="00AC60F1">
        <w:rPr>
          <w:color w:val="000000" w:themeColor="text1"/>
          <w:lang w:val="en-GB"/>
        </w:rPr>
        <w:t xml:space="preserve">Early presence of </w:t>
      </w:r>
      <w:r w:rsidRPr="00AC60F1">
        <w:rPr>
          <w:i/>
          <w:iCs/>
          <w:color w:val="000000" w:themeColor="text1"/>
          <w:lang w:val="en-GB"/>
        </w:rPr>
        <w:t>Homo sapiens</w:t>
      </w:r>
      <w:r w:rsidRPr="00AC60F1">
        <w:rPr>
          <w:color w:val="000000" w:themeColor="text1"/>
          <w:lang w:val="en-GB"/>
        </w:rPr>
        <w:t xml:space="preserve"> in Southeast Asia by 86–68 </w:t>
      </w:r>
      <w:proofErr w:type="spellStart"/>
      <w:r w:rsidRPr="00AC60F1">
        <w:rPr>
          <w:color w:val="000000" w:themeColor="text1"/>
          <w:lang w:val="en-GB"/>
        </w:rPr>
        <w:t>kyr</w:t>
      </w:r>
      <w:proofErr w:type="spellEnd"/>
      <w:r w:rsidRPr="00AC60F1">
        <w:rPr>
          <w:color w:val="000000" w:themeColor="text1"/>
          <w:lang w:val="en-GB"/>
        </w:rPr>
        <w:t xml:space="preserve"> at Tam </w:t>
      </w:r>
      <w:proofErr w:type="spellStart"/>
      <w:r w:rsidRPr="00AC60F1">
        <w:rPr>
          <w:color w:val="000000" w:themeColor="text1"/>
          <w:lang w:val="en-GB"/>
        </w:rPr>
        <w:t>Pà</w:t>
      </w:r>
      <w:proofErr w:type="spellEnd"/>
      <w:r w:rsidRPr="00AC60F1">
        <w:rPr>
          <w:color w:val="000000" w:themeColor="text1"/>
          <w:lang w:val="en-GB"/>
        </w:rPr>
        <w:t xml:space="preserve"> Ling, Northern Laos</w:t>
      </w:r>
      <w:r>
        <w:rPr>
          <w:color w:val="000000" w:themeColor="text1"/>
          <w:lang w:val="en-GB"/>
        </w:rPr>
        <w:t xml:space="preserve">. </w:t>
      </w:r>
      <w:r w:rsidRPr="00AC60F1">
        <w:rPr>
          <w:i/>
          <w:iCs/>
          <w:color w:val="000000" w:themeColor="text1"/>
          <w:lang w:val="en-GB"/>
        </w:rPr>
        <w:t xml:space="preserve">Nature </w:t>
      </w:r>
      <w:r>
        <w:rPr>
          <w:i/>
          <w:iCs/>
          <w:color w:val="000000" w:themeColor="text1"/>
          <w:lang w:val="en-GB"/>
        </w:rPr>
        <w:t>C</w:t>
      </w:r>
      <w:r w:rsidRPr="00AC60F1">
        <w:rPr>
          <w:i/>
          <w:iCs/>
          <w:color w:val="000000" w:themeColor="text1"/>
          <w:lang w:val="en-GB"/>
        </w:rPr>
        <w:t>ommunications</w:t>
      </w:r>
      <w:r w:rsidRPr="00AC60F1">
        <w:rPr>
          <w:color w:val="000000" w:themeColor="text1"/>
          <w:lang w:val="en-GB"/>
        </w:rPr>
        <w:t xml:space="preserve"> </w:t>
      </w:r>
      <w:r w:rsidRPr="00AC60F1">
        <w:rPr>
          <w:b/>
          <w:bCs/>
          <w:color w:val="000000" w:themeColor="text1"/>
          <w:lang w:val="en-GB"/>
        </w:rPr>
        <w:t>14</w:t>
      </w:r>
      <w:r w:rsidRPr="00AC60F1">
        <w:rPr>
          <w:color w:val="000000" w:themeColor="text1"/>
          <w:lang w:val="en-GB"/>
        </w:rPr>
        <w:t>(1), 3193</w:t>
      </w:r>
      <w:r>
        <w:rPr>
          <w:color w:val="000000" w:themeColor="text1"/>
          <w:lang w:val="en-GB"/>
        </w:rPr>
        <w:t xml:space="preserve"> (2023).</w:t>
      </w:r>
    </w:p>
    <w:p w14:paraId="52CE87F3" w14:textId="77777777" w:rsidR="009D5826" w:rsidRDefault="009D5826" w:rsidP="009D5826">
      <w:pPr>
        <w:spacing w:line="480" w:lineRule="auto"/>
        <w:rPr>
          <w:color w:val="000000" w:themeColor="text1"/>
          <w:lang w:val="en-GB"/>
        </w:rPr>
      </w:pPr>
    </w:p>
    <w:p w14:paraId="58425CC1" w14:textId="77777777" w:rsidR="009D5826" w:rsidRPr="00AC60F1" w:rsidRDefault="009D5826" w:rsidP="009D5826">
      <w:pPr>
        <w:spacing w:line="480" w:lineRule="auto"/>
        <w:rPr>
          <w:color w:val="000000" w:themeColor="text1"/>
          <w:lang w:val="en-GB"/>
        </w:rPr>
      </w:pPr>
      <w:proofErr w:type="spellStart"/>
      <w:r w:rsidRPr="00AC60F1">
        <w:rPr>
          <w:color w:val="000000" w:themeColor="text1"/>
          <w:lang w:val="en-GB"/>
        </w:rPr>
        <w:t>Grün</w:t>
      </w:r>
      <w:proofErr w:type="spellEnd"/>
      <w:r w:rsidRPr="00AC60F1">
        <w:rPr>
          <w:color w:val="000000" w:themeColor="text1"/>
          <w:lang w:val="en-GB"/>
        </w:rPr>
        <w:t xml:space="preserve">, R. A comprehensive model for CO2− radicals in fossil tooth enamel: Implications for ESR dating. </w:t>
      </w:r>
      <w:r w:rsidRPr="00AC60F1">
        <w:rPr>
          <w:i/>
          <w:iCs/>
          <w:color w:val="000000" w:themeColor="text1"/>
          <w:lang w:val="en-GB"/>
        </w:rPr>
        <w:t>Quaternary Geochronology</w:t>
      </w:r>
      <w:r w:rsidRPr="00AC60F1">
        <w:rPr>
          <w:color w:val="000000" w:themeColor="text1"/>
          <w:lang w:val="en-GB"/>
        </w:rPr>
        <w:t xml:space="preserve"> </w:t>
      </w:r>
      <w:r w:rsidRPr="00AC60F1">
        <w:rPr>
          <w:b/>
          <w:bCs/>
          <w:color w:val="000000" w:themeColor="text1"/>
          <w:lang w:val="en-GB"/>
        </w:rPr>
        <w:t>6</w:t>
      </w:r>
      <w:r w:rsidRPr="00AC60F1">
        <w:rPr>
          <w:color w:val="000000" w:themeColor="text1"/>
          <w:lang w:val="en-GB"/>
        </w:rPr>
        <w:t>, 82</w:t>
      </w:r>
      <w:r w:rsidRPr="00C66080">
        <w:rPr>
          <w:color w:val="000000"/>
        </w:rPr>
        <w:t>–</w:t>
      </w:r>
      <w:r w:rsidRPr="00AC60F1">
        <w:rPr>
          <w:color w:val="000000" w:themeColor="text1"/>
          <w:lang w:val="en-GB"/>
        </w:rPr>
        <w:t>97</w:t>
      </w:r>
      <w:r w:rsidRPr="00716120">
        <w:rPr>
          <w:color w:val="000000" w:themeColor="text1"/>
          <w:lang w:val="en-GB"/>
        </w:rPr>
        <w:t xml:space="preserve"> </w:t>
      </w:r>
      <w:r w:rsidRPr="00A10FA7">
        <w:rPr>
          <w:color w:val="000000" w:themeColor="text1"/>
          <w:lang w:val="en-GB"/>
        </w:rPr>
        <w:t>(2011).</w:t>
      </w:r>
    </w:p>
    <w:p w14:paraId="04ED2C09" w14:textId="77777777" w:rsidR="009D5826" w:rsidRDefault="009D5826" w:rsidP="009D58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lang w:val="en-GB"/>
        </w:rPr>
      </w:pPr>
    </w:p>
    <w:p w14:paraId="19BF1988" w14:textId="77777777" w:rsidR="009D5826" w:rsidRPr="00AC60F1" w:rsidRDefault="009D5826" w:rsidP="009D58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lang w:val="en-GB"/>
        </w:rPr>
      </w:pPr>
      <w:proofErr w:type="spellStart"/>
      <w:r w:rsidRPr="00AC60F1">
        <w:rPr>
          <w:color w:val="000000" w:themeColor="text1"/>
          <w:lang w:val="en-GB"/>
        </w:rPr>
        <w:t>Joannes-Boyau</w:t>
      </w:r>
      <w:proofErr w:type="spellEnd"/>
      <w:r w:rsidRPr="00AC60F1">
        <w:rPr>
          <w:color w:val="000000" w:themeColor="text1"/>
          <w:lang w:val="en-GB"/>
        </w:rPr>
        <w:t xml:space="preserve">, R. </w:t>
      </w:r>
      <w:r>
        <w:rPr>
          <w:color w:val="000000" w:themeColor="text1"/>
          <w:lang w:val="en-GB"/>
        </w:rPr>
        <w:t>et al</w:t>
      </w:r>
      <w:r w:rsidRPr="00AC60F1">
        <w:rPr>
          <w:color w:val="000000" w:themeColor="text1"/>
          <w:lang w:val="en-GB"/>
        </w:rPr>
        <w:t xml:space="preserve">. Decomposition of the angular ESR spectra of fossil tooth enamel fragments. </w:t>
      </w:r>
      <w:r w:rsidRPr="00AC60F1">
        <w:rPr>
          <w:i/>
          <w:iCs/>
          <w:color w:val="000000" w:themeColor="text1"/>
          <w:lang w:val="en-GB"/>
        </w:rPr>
        <w:t>Radiation Measurements</w:t>
      </w:r>
      <w:r w:rsidRPr="00AC60F1">
        <w:rPr>
          <w:color w:val="000000" w:themeColor="text1"/>
          <w:lang w:val="en-GB"/>
        </w:rPr>
        <w:t xml:space="preserve"> </w:t>
      </w:r>
      <w:r w:rsidRPr="00AC60F1">
        <w:rPr>
          <w:b/>
          <w:bCs/>
          <w:color w:val="000000" w:themeColor="text1"/>
          <w:lang w:val="en-GB"/>
        </w:rPr>
        <w:t>45</w:t>
      </w:r>
      <w:r w:rsidRPr="00AC60F1">
        <w:rPr>
          <w:color w:val="000000" w:themeColor="text1"/>
          <w:lang w:val="en-GB"/>
        </w:rPr>
        <w:t>, 887</w:t>
      </w:r>
      <w:r w:rsidRPr="001E43FF">
        <w:rPr>
          <w:color w:val="000000" w:themeColor="text1"/>
          <w:lang w:val="en-GB"/>
        </w:rPr>
        <w:t>–</w:t>
      </w:r>
      <w:r w:rsidRPr="00AC60F1">
        <w:rPr>
          <w:color w:val="000000" w:themeColor="text1"/>
          <w:lang w:val="en-GB"/>
        </w:rPr>
        <w:t>898</w:t>
      </w:r>
      <w:r>
        <w:rPr>
          <w:color w:val="000000" w:themeColor="text1"/>
          <w:lang w:val="en-GB"/>
        </w:rPr>
        <w:t xml:space="preserve"> </w:t>
      </w:r>
      <w:r w:rsidRPr="004B13BA">
        <w:rPr>
          <w:color w:val="000000" w:themeColor="text1"/>
          <w:lang w:val="en-GB"/>
        </w:rPr>
        <w:t>(2010</w:t>
      </w:r>
      <w:r w:rsidRPr="00EC12BA">
        <w:rPr>
          <w:color w:val="000000" w:themeColor="text1"/>
          <w:lang w:val="en-GB"/>
        </w:rPr>
        <w:t>a</w:t>
      </w:r>
      <w:r w:rsidRPr="004B13BA">
        <w:rPr>
          <w:color w:val="000000" w:themeColor="text1"/>
          <w:lang w:val="en-GB"/>
        </w:rPr>
        <w:t>)</w:t>
      </w:r>
      <w:r w:rsidRPr="00AC60F1">
        <w:rPr>
          <w:color w:val="000000" w:themeColor="text1"/>
          <w:lang w:val="en-GB"/>
        </w:rPr>
        <w:t>.</w:t>
      </w:r>
    </w:p>
    <w:p w14:paraId="53433C17" w14:textId="77777777" w:rsidR="009D5826" w:rsidRPr="00AC60F1" w:rsidRDefault="009D5826" w:rsidP="009D58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lang w:val="en-GB"/>
        </w:rPr>
      </w:pPr>
      <w:r w:rsidRPr="00AC60F1">
        <w:rPr>
          <w:color w:val="000000" w:themeColor="text1"/>
          <w:lang w:val="en-GB"/>
        </w:rPr>
        <w:t> </w:t>
      </w:r>
    </w:p>
    <w:p w14:paraId="55651559" w14:textId="77777777" w:rsidR="009D5826" w:rsidRPr="00AC60F1" w:rsidRDefault="009D5826" w:rsidP="009D58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lang w:val="en-GB"/>
        </w:rPr>
      </w:pPr>
      <w:proofErr w:type="spellStart"/>
      <w:r w:rsidRPr="00AC60F1">
        <w:rPr>
          <w:color w:val="000000" w:themeColor="text1"/>
          <w:lang w:val="en-GB"/>
        </w:rPr>
        <w:t>Joannes-Boyau</w:t>
      </w:r>
      <w:proofErr w:type="spellEnd"/>
      <w:r w:rsidRPr="00AC60F1">
        <w:rPr>
          <w:color w:val="000000" w:themeColor="text1"/>
          <w:lang w:val="en-GB"/>
        </w:rPr>
        <w:t xml:space="preserve">, R. </w:t>
      </w:r>
      <w:r>
        <w:rPr>
          <w:color w:val="000000" w:themeColor="text1"/>
          <w:lang w:val="en-GB"/>
        </w:rPr>
        <w:t>et al.</w:t>
      </w:r>
      <w:r w:rsidRPr="00AC60F1">
        <w:rPr>
          <w:color w:val="000000" w:themeColor="text1"/>
          <w:lang w:val="en-GB"/>
        </w:rPr>
        <w:t xml:space="preserve"> Decomposition of the laboratory irradiation component of angular ESR spectra of fossil tooth enamel fragments. </w:t>
      </w:r>
      <w:r w:rsidRPr="00AC60F1">
        <w:rPr>
          <w:i/>
          <w:iCs/>
          <w:color w:val="000000" w:themeColor="text1"/>
          <w:lang w:val="en-GB"/>
        </w:rPr>
        <w:t>Applied Radiation and Isotopes</w:t>
      </w:r>
      <w:r w:rsidRPr="00AC60F1">
        <w:rPr>
          <w:color w:val="000000" w:themeColor="text1"/>
          <w:lang w:val="en-GB"/>
        </w:rPr>
        <w:t xml:space="preserve"> </w:t>
      </w:r>
      <w:r w:rsidRPr="00AC60F1">
        <w:rPr>
          <w:b/>
          <w:bCs/>
          <w:color w:val="000000" w:themeColor="text1"/>
          <w:lang w:val="en-GB"/>
        </w:rPr>
        <w:t>68</w:t>
      </w:r>
      <w:r w:rsidRPr="00AC60F1">
        <w:rPr>
          <w:color w:val="000000" w:themeColor="text1"/>
          <w:lang w:val="en-GB"/>
        </w:rPr>
        <w:t>, 1798</w:t>
      </w:r>
      <w:r w:rsidRPr="001E43FF">
        <w:rPr>
          <w:color w:val="000000" w:themeColor="text1"/>
          <w:lang w:val="en-GB"/>
        </w:rPr>
        <w:t>–</w:t>
      </w:r>
      <w:r w:rsidRPr="00AC60F1">
        <w:rPr>
          <w:color w:val="000000" w:themeColor="text1"/>
          <w:lang w:val="en-GB"/>
        </w:rPr>
        <w:t>1808</w:t>
      </w:r>
      <w:r>
        <w:rPr>
          <w:color w:val="000000" w:themeColor="text1"/>
          <w:lang w:val="en-GB"/>
        </w:rPr>
        <w:t xml:space="preserve"> </w:t>
      </w:r>
      <w:r w:rsidRPr="00017D32">
        <w:rPr>
          <w:color w:val="000000" w:themeColor="text1"/>
          <w:lang w:val="en-GB"/>
        </w:rPr>
        <w:t>(2010</w:t>
      </w:r>
      <w:r>
        <w:rPr>
          <w:color w:val="000000" w:themeColor="text1"/>
          <w:lang w:val="en-GB"/>
        </w:rPr>
        <w:t>b</w:t>
      </w:r>
      <w:r w:rsidRPr="00017D32">
        <w:rPr>
          <w:color w:val="000000" w:themeColor="text1"/>
          <w:lang w:val="en-GB"/>
        </w:rPr>
        <w:t>)</w:t>
      </w:r>
      <w:r w:rsidRPr="00AC60F1">
        <w:rPr>
          <w:color w:val="000000" w:themeColor="text1"/>
          <w:lang w:val="en-GB"/>
        </w:rPr>
        <w:t>.</w:t>
      </w:r>
    </w:p>
    <w:p w14:paraId="21F0CCC1" w14:textId="77777777" w:rsidR="009D5826" w:rsidRDefault="009D5826" w:rsidP="009D58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lang w:val="en-GB"/>
        </w:rPr>
      </w:pPr>
    </w:p>
    <w:p w14:paraId="2DEBBE4A" w14:textId="77777777" w:rsidR="009D5826" w:rsidRPr="00AC60F1" w:rsidRDefault="009D5826" w:rsidP="009D58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lang w:val="en-GB"/>
        </w:rPr>
      </w:pPr>
      <w:r w:rsidRPr="00AC60F1">
        <w:rPr>
          <w:color w:val="000000" w:themeColor="text1"/>
          <w:lang w:val="en-GB"/>
        </w:rPr>
        <w:t xml:space="preserve">Richter, D. </w:t>
      </w:r>
      <w:r>
        <w:rPr>
          <w:color w:val="000000" w:themeColor="text1"/>
          <w:lang w:val="en-GB"/>
        </w:rPr>
        <w:t>et al</w:t>
      </w:r>
      <w:r w:rsidRPr="00AC60F1">
        <w:rPr>
          <w:color w:val="000000" w:themeColor="text1"/>
          <w:lang w:val="en-GB"/>
        </w:rPr>
        <w:t xml:space="preserve">. The Age of the Jebel </w:t>
      </w:r>
      <w:proofErr w:type="spellStart"/>
      <w:r w:rsidRPr="00AC60F1">
        <w:rPr>
          <w:color w:val="000000" w:themeColor="text1"/>
          <w:lang w:val="en-GB"/>
        </w:rPr>
        <w:t>Irhoud</w:t>
      </w:r>
      <w:proofErr w:type="spellEnd"/>
      <w:r w:rsidRPr="00AC60F1">
        <w:rPr>
          <w:color w:val="000000" w:themeColor="text1"/>
          <w:lang w:val="en-GB"/>
        </w:rPr>
        <w:t xml:space="preserve"> (Morocco) hominins and the origins of the Middle Stone Age. </w:t>
      </w:r>
      <w:r w:rsidRPr="00AC60F1">
        <w:rPr>
          <w:i/>
          <w:iCs/>
          <w:color w:val="000000" w:themeColor="text1"/>
          <w:lang w:val="en-GB"/>
        </w:rPr>
        <w:t>Nature</w:t>
      </w:r>
      <w:r w:rsidRPr="00AC60F1">
        <w:rPr>
          <w:color w:val="000000" w:themeColor="text1"/>
          <w:lang w:val="en-GB"/>
        </w:rPr>
        <w:t xml:space="preserve"> </w:t>
      </w:r>
      <w:r w:rsidRPr="00F626A8">
        <w:rPr>
          <w:b/>
          <w:bCs/>
          <w:color w:val="000000" w:themeColor="text1"/>
          <w:lang w:val="en-GB"/>
        </w:rPr>
        <w:t>546</w:t>
      </w:r>
      <w:r w:rsidRPr="00AC60F1">
        <w:rPr>
          <w:color w:val="000000" w:themeColor="text1"/>
          <w:lang w:val="en-GB"/>
        </w:rPr>
        <w:t>, 293–296</w:t>
      </w:r>
      <w:r>
        <w:rPr>
          <w:color w:val="000000" w:themeColor="text1"/>
          <w:lang w:val="en-GB"/>
        </w:rPr>
        <w:t xml:space="preserve"> (</w:t>
      </w:r>
      <w:r w:rsidRPr="00446FA5">
        <w:rPr>
          <w:color w:val="000000" w:themeColor="text1"/>
          <w:lang w:val="en-GB"/>
        </w:rPr>
        <w:t>2017</w:t>
      </w:r>
      <w:r>
        <w:rPr>
          <w:color w:val="000000" w:themeColor="text1"/>
          <w:lang w:val="en-GB"/>
        </w:rPr>
        <w:t>)</w:t>
      </w:r>
      <w:r w:rsidRPr="00AC60F1">
        <w:rPr>
          <w:color w:val="000000" w:themeColor="text1"/>
          <w:lang w:val="en-GB"/>
        </w:rPr>
        <w:t>.</w:t>
      </w:r>
    </w:p>
    <w:p w14:paraId="47EFDCDF" w14:textId="77777777" w:rsidR="009D5826" w:rsidRDefault="009D5826" w:rsidP="009D58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lang w:val="en-GB"/>
        </w:rPr>
      </w:pPr>
    </w:p>
    <w:p w14:paraId="57F9357F" w14:textId="77777777" w:rsidR="009D5826" w:rsidRPr="00AC60F1" w:rsidRDefault="009D5826" w:rsidP="009D58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lang w:val="en-GB"/>
        </w:rPr>
      </w:pPr>
      <w:r w:rsidRPr="00F9122C">
        <w:rPr>
          <w:color w:val="000000" w:themeColor="text1"/>
          <w:lang w:val="en-GB"/>
        </w:rPr>
        <w:t>Yu</w:t>
      </w:r>
      <w:r>
        <w:rPr>
          <w:color w:val="000000" w:themeColor="text1"/>
          <w:lang w:val="en-GB"/>
        </w:rPr>
        <w:t>,</w:t>
      </w:r>
      <w:r w:rsidRPr="00412F12">
        <w:rPr>
          <w:color w:val="000000" w:themeColor="text1"/>
          <w:lang w:val="en-GB"/>
        </w:rPr>
        <w:t xml:space="preserve"> </w:t>
      </w:r>
      <w:r w:rsidRPr="00F9122C">
        <w:rPr>
          <w:color w:val="000000" w:themeColor="text1"/>
          <w:lang w:val="en-GB"/>
        </w:rPr>
        <w:t>W</w:t>
      </w:r>
      <w:r>
        <w:rPr>
          <w:color w:val="000000" w:themeColor="text1"/>
          <w:lang w:val="en-GB"/>
        </w:rPr>
        <w:t>, et al.</w:t>
      </w:r>
      <w:r w:rsidRPr="00F9122C">
        <w:rPr>
          <w:color w:val="000000" w:themeColor="text1"/>
          <w:lang w:val="en-GB"/>
        </w:rPr>
        <w:t xml:space="preserve"> </w:t>
      </w:r>
      <w:r w:rsidRPr="00AC60F1">
        <w:rPr>
          <w:color w:val="000000" w:themeColor="text1"/>
          <w:lang w:val="en-GB"/>
        </w:rPr>
        <w:t>Using X-rays as an irradiation source for direct ESR dating of fossil teeth</w:t>
      </w:r>
    </w:p>
    <w:p w14:paraId="0E8624DA" w14:textId="77777777" w:rsidR="009D5826" w:rsidRPr="00AC60F1" w:rsidRDefault="009D5826" w:rsidP="009D5826">
      <w:pPr>
        <w:spacing w:line="480" w:lineRule="auto"/>
        <w:rPr>
          <w:color w:val="000000" w:themeColor="text1"/>
          <w:lang w:val="en-GB"/>
        </w:rPr>
      </w:pPr>
      <w:r w:rsidRPr="00AC60F1">
        <w:rPr>
          <w:i/>
          <w:iCs/>
          <w:color w:val="000000" w:themeColor="text1"/>
          <w:lang w:val="en-GB"/>
        </w:rPr>
        <w:t>Quaternary Geochronology</w:t>
      </w:r>
      <w:r w:rsidRPr="00AC60F1">
        <w:rPr>
          <w:color w:val="000000" w:themeColor="text1"/>
          <w:lang w:val="en-GB"/>
        </w:rPr>
        <w:t xml:space="preserve"> </w:t>
      </w:r>
      <w:r w:rsidRPr="00AC60F1">
        <w:rPr>
          <w:b/>
          <w:bCs/>
          <w:color w:val="000000" w:themeColor="text1"/>
          <w:lang w:val="en-GB"/>
        </w:rPr>
        <w:t>72</w:t>
      </w:r>
      <w:r w:rsidRPr="00AC60F1">
        <w:rPr>
          <w:color w:val="000000" w:themeColor="text1"/>
          <w:lang w:val="en-GB"/>
        </w:rPr>
        <w:t>, 101372</w:t>
      </w:r>
      <w:r>
        <w:rPr>
          <w:color w:val="000000" w:themeColor="text1"/>
          <w:lang w:val="en-GB"/>
        </w:rPr>
        <w:t xml:space="preserve"> (2022).</w:t>
      </w:r>
    </w:p>
    <w:p w14:paraId="4B407F42" w14:textId="77777777" w:rsidR="009D5826" w:rsidRPr="00AC60F1" w:rsidRDefault="009D5826" w:rsidP="009D5826">
      <w:pPr>
        <w:spacing w:line="480" w:lineRule="auto"/>
        <w:rPr>
          <w:color w:val="000000" w:themeColor="text1"/>
          <w:lang w:val="en-GB"/>
        </w:rPr>
      </w:pPr>
    </w:p>
    <w:p w14:paraId="045EEC6F" w14:textId="77777777" w:rsidR="009D5826" w:rsidRPr="00AC60F1" w:rsidRDefault="009D5826" w:rsidP="009D5826">
      <w:pPr>
        <w:spacing w:line="480" w:lineRule="auto"/>
        <w:rPr>
          <w:color w:val="000000" w:themeColor="text1"/>
          <w:lang w:val="en-GB"/>
        </w:rPr>
      </w:pPr>
      <w:r w:rsidRPr="00AC60F1">
        <w:rPr>
          <w:color w:val="000000" w:themeColor="text1"/>
          <w:lang w:val="en-GB"/>
        </w:rPr>
        <w:t xml:space="preserve">Zhang, </w:t>
      </w:r>
      <w:r>
        <w:rPr>
          <w:color w:val="000000" w:themeColor="text1"/>
          <w:lang w:val="en-GB"/>
        </w:rPr>
        <w:t>Y. et al.</w:t>
      </w:r>
      <w:r w:rsidRPr="00AC60F1">
        <w:rPr>
          <w:color w:val="000000" w:themeColor="text1"/>
          <w:lang w:val="en-GB"/>
        </w:rPr>
        <w:t xml:space="preserve"> </w:t>
      </w:r>
      <w:r w:rsidRPr="00637599">
        <w:rPr>
          <w:color w:val="000000" w:themeColor="text1"/>
          <w:lang w:val="en-GB"/>
        </w:rPr>
        <w:t xml:space="preserve">The demise of the giant ape </w:t>
      </w:r>
      <w:r w:rsidRPr="00AC60F1">
        <w:rPr>
          <w:i/>
          <w:iCs/>
          <w:color w:val="000000" w:themeColor="text1"/>
          <w:lang w:val="en-GB"/>
        </w:rPr>
        <w:t xml:space="preserve">Gigantopithecus </w:t>
      </w:r>
      <w:proofErr w:type="spellStart"/>
      <w:r w:rsidRPr="00AC60F1">
        <w:rPr>
          <w:i/>
          <w:iCs/>
          <w:color w:val="000000" w:themeColor="text1"/>
          <w:lang w:val="en-GB"/>
        </w:rPr>
        <w:t>blacki</w:t>
      </w:r>
      <w:proofErr w:type="spellEnd"/>
      <w:r>
        <w:rPr>
          <w:color w:val="000000" w:themeColor="text1"/>
          <w:lang w:val="en-GB"/>
        </w:rPr>
        <w:t xml:space="preserve">. </w:t>
      </w:r>
      <w:r w:rsidRPr="00AC60F1">
        <w:rPr>
          <w:i/>
          <w:iCs/>
          <w:color w:val="000000" w:themeColor="text1"/>
          <w:lang w:val="en-GB"/>
        </w:rPr>
        <w:t>Nature</w:t>
      </w:r>
      <w:r w:rsidRPr="00AC60F1">
        <w:rPr>
          <w:color w:val="000000" w:themeColor="text1"/>
          <w:lang w:val="en-GB"/>
        </w:rPr>
        <w:t xml:space="preserve"> </w:t>
      </w:r>
      <w:r w:rsidRPr="00AC60F1">
        <w:rPr>
          <w:b/>
          <w:bCs/>
          <w:color w:val="000000" w:themeColor="text1"/>
          <w:lang w:val="en-GB"/>
        </w:rPr>
        <w:t>625</w:t>
      </w:r>
      <w:r w:rsidRPr="00AC60F1">
        <w:rPr>
          <w:color w:val="000000" w:themeColor="text1"/>
          <w:lang w:val="en-GB"/>
        </w:rPr>
        <w:t xml:space="preserve"> (7995), 535</w:t>
      </w:r>
      <w:r w:rsidRPr="00C66080">
        <w:rPr>
          <w:color w:val="000000"/>
        </w:rPr>
        <w:t>–</w:t>
      </w:r>
      <w:r w:rsidRPr="00AC60F1">
        <w:rPr>
          <w:color w:val="000000" w:themeColor="text1"/>
          <w:lang w:val="en-GB"/>
        </w:rPr>
        <w:t>539</w:t>
      </w:r>
      <w:r>
        <w:rPr>
          <w:color w:val="000000" w:themeColor="text1"/>
          <w:lang w:val="en-GB"/>
        </w:rPr>
        <w:t xml:space="preserve"> (2024).</w:t>
      </w:r>
    </w:p>
    <w:p w14:paraId="48A10F8D" w14:textId="77777777" w:rsidR="009D5826" w:rsidRPr="009C3025" w:rsidRDefault="009D5826" w:rsidP="009D5826">
      <w:pPr>
        <w:spacing w:line="480" w:lineRule="auto"/>
      </w:pPr>
    </w:p>
    <w:p w14:paraId="65DE7B06" w14:textId="77777777" w:rsidR="009D5826" w:rsidRPr="00863BB6" w:rsidRDefault="009D5826" w:rsidP="009D5826">
      <w:pPr>
        <w:spacing w:line="480" w:lineRule="auto"/>
      </w:pPr>
    </w:p>
    <w:p w14:paraId="79EA09FA" w14:textId="77777777" w:rsidR="003C2CDE" w:rsidRDefault="008D106D"/>
    <w:sectPr w:rsidR="003C2CDE" w:rsidSect="00B653BE">
      <w:footerReference w:type="even" r:id="rId21"/>
      <w:footerReference w:type="default" r:id="rId22"/>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C61FC6" w14:textId="77777777" w:rsidR="008D106D" w:rsidRDefault="008D106D">
      <w:r>
        <w:separator/>
      </w:r>
    </w:p>
  </w:endnote>
  <w:endnote w:type="continuationSeparator" w:id="0">
    <w:p w14:paraId="439AF5ED" w14:textId="77777777" w:rsidR="008D106D" w:rsidRDefault="008D1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ptic">
    <w:altName w:val="Cambria"/>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43310229"/>
      <w:docPartObj>
        <w:docPartGallery w:val="Page Numbers (Bottom of Page)"/>
        <w:docPartUnique/>
      </w:docPartObj>
    </w:sdtPr>
    <w:sdtEndPr>
      <w:rPr>
        <w:rStyle w:val="PageNumber"/>
      </w:rPr>
    </w:sdtEndPr>
    <w:sdtContent>
      <w:p w14:paraId="6AD0563F" w14:textId="77777777" w:rsidR="00845593" w:rsidRPr="00863BB6" w:rsidRDefault="009D5826" w:rsidP="0055380E">
        <w:pPr>
          <w:pStyle w:val="Footer"/>
          <w:framePr w:wrap="none" w:vAnchor="text" w:hAnchor="margin" w:xAlign="right" w:y="1"/>
          <w:rPr>
            <w:rStyle w:val="PageNumber"/>
          </w:rPr>
        </w:pPr>
        <w:r w:rsidRPr="00863BB6">
          <w:rPr>
            <w:rStyle w:val="PageNumber"/>
          </w:rPr>
          <w:fldChar w:fldCharType="begin"/>
        </w:r>
        <w:r w:rsidRPr="00863BB6">
          <w:rPr>
            <w:rStyle w:val="PageNumber"/>
          </w:rPr>
          <w:instrText xml:space="preserve"> PAGE </w:instrText>
        </w:r>
        <w:r w:rsidRPr="00863BB6">
          <w:rPr>
            <w:rStyle w:val="PageNumber"/>
          </w:rPr>
          <w:fldChar w:fldCharType="end"/>
        </w:r>
      </w:p>
    </w:sdtContent>
  </w:sdt>
  <w:p w14:paraId="5589ACFD" w14:textId="77777777" w:rsidR="00845593" w:rsidRPr="00863BB6" w:rsidRDefault="008D106D" w:rsidP="000E58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41188111"/>
      <w:docPartObj>
        <w:docPartGallery w:val="Page Numbers (Bottom of Page)"/>
        <w:docPartUnique/>
      </w:docPartObj>
    </w:sdtPr>
    <w:sdtEndPr>
      <w:rPr>
        <w:rStyle w:val="PageNumber"/>
      </w:rPr>
    </w:sdtEndPr>
    <w:sdtContent>
      <w:p w14:paraId="2AAB4BDE" w14:textId="77777777" w:rsidR="00845593" w:rsidRPr="00863BB6" w:rsidRDefault="009D5826" w:rsidP="0055380E">
        <w:pPr>
          <w:pStyle w:val="Footer"/>
          <w:framePr w:wrap="none" w:vAnchor="text" w:hAnchor="margin" w:xAlign="right" w:y="1"/>
          <w:rPr>
            <w:rStyle w:val="PageNumber"/>
          </w:rPr>
        </w:pPr>
        <w:r w:rsidRPr="00863BB6">
          <w:rPr>
            <w:rStyle w:val="PageNumber"/>
          </w:rPr>
          <w:fldChar w:fldCharType="begin"/>
        </w:r>
        <w:r w:rsidRPr="00863BB6">
          <w:rPr>
            <w:rStyle w:val="PageNumber"/>
          </w:rPr>
          <w:instrText xml:space="preserve"> PAGE </w:instrText>
        </w:r>
        <w:r w:rsidRPr="00863BB6">
          <w:rPr>
            <w:rStyle w:val="PageNumber"/>
          </w:rPr>
          <w:fldChar w:fldCharType="separate"/>
        </w:r>
        <w:r w:rsidRPr="00863BB6">
          <w:rPr>
            <w:rStyle w:val="PageNumber"/>
          </w:rPr>
          <w:t>1</w:t>
        </w:r>
        <w:r w:rsidRPr="00863BB6">
          <w:rPr>
            <w:rStyle w:val="PageNumber"/>
          </w:rPr>
          <w:fldChar w:fldCharType="end"/>
        </w:r>
      </w:p>
    </w:sdtContent>
  </w:sdt>
  <w:p w14:paraId="088A4344" w14:textId="77777777" w:rsidR="00845593" w:rsidRPr="00863BB6" w:rsidRDefault="008D106D" w:rsidP="000E589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2A2E93" w14:textId="77777777" w:rsidR="008D106D" w:rsidRDefault="008D106D">
      <w:r>
        <w:separator/>
      </w:r>
    </w:p>
  </w:footnote>
  <w:footnote w:type="continuationSeparator" w:id="0">
    <w:p w14:paraId="1C75CBA2" w14:textId="77777777" w:rsidR="008D106D" w:rsidRDefault="008D10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826"/>
    <w:rsid w:val="000368FD"/>
    <w:rsid w:val="001431CE"/>
    <w:rsid w:val="002B0D2F"/>
    <w:rsid w:val="003B19DA"/>
    <w:rsid w:val="00596C7E"/>
    <w:rsid w:val="005E69EA"/>
    <w:rsid w:val="008D106D"/>
    <w:rsid w:val="009D5826"/>
    <w:rsid w:val="00AE7FCD"/>
    <w:rsid w:val="00AF0EA2"/>
    <w:rsid w:val="00EF4D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222878C"/>
  <w15:chartTrackingRefBased/>
  <w15:docId w15:val="{5EDD931A-6C59-1546-8A47-0E0753685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826"/>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9D5826"/>
    <w:pPr>
      <w:spacing w:before="120" w:after="120"/>
      <w:jc w:val="center"/>
    </w:pPr>
    <w:rPr>
      <w:rFonts w:eastAsia="Calibri"/>
      <w:bCs/>
      <w:sz w:val="22"/>
      <w:szCs w:val="18"/>
      <w:lang w:val="en-US" w:eastAsia="en-US"/>
    </w:rPr>
  </w:style>
  <w:style w:type="character" w:styleId="Hyperlink">
    <w:name w:val="Hyperlink"/>
    <w:basedOn w:val="DefaultParagraphFont"/>
    <w:unhideWhenUsed/>
    <w:rsid w:val="009D5826"/>
    <w:rPr>
      <w:color w:val="0563C1" w:themeColor="hyperlink"/>
      <w:u w:val="single"/>
    </w:rPr>
  </w:style>
  <w:style w:type="paragraph" w:styleId="Footer">
    <w:name w:val="footer"/>
    <w:basedOn w:val="Normal"/>
    <w:link w:val="FooterChar"/>
    <w:uiPriority w:val="99"/>
    <w:unhideWhenUsed/>
    <w:rsid w:val="009D5826"/>
    <w:pPr>
      <w:tabs>
        <w:tab w:val="center" w:pos="4680"/>
        <w:tab w:val="right" w:pos="9360"/>
      </w:tabs>
    </w:pPr>
  </w:style>
  <w:style w:type="character" w:customStyle="1" w:styleId="FooterChar">
    <w:name w:val="Footer Char"/>
    <w:basedOn w:val="DefaultParagraphFont"/>
    <w:link w:val="Footer"/>
    <w:uiPriority w:val="99"/>
    <w:rsid w:val="009D5826"/>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9D5826"/>
  </w:style>
  <w:style w:type="table" w:styleId="TableGrid">
    <w:name w:val="Table Grid"/>
    <w:basedOn w:val="TableNormal"/>
    <w:uiPriority w:val="39"/>
    <w:rsid w:val="009D582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D5826"/>
    <w:pPr>
      <w:widowControl w:val="0"/>
      <w:autoSpaceDE w:val="0"/>
      <w:autoSpaceDN w:val="0"/>
      <w:jc w:val="center"/>
    </w:pPr>
    <w:rPr>
      <w:sz w:val="22"/>
      <w:szCs w:val="22"/>
      <w:lang w:val="en-US" w:eastAsia="en-US"/>
    </w:rPr>
  </w:style>
  <w:style w:type="character" w:styleId="LineNumber">
    <w:name w:val="line number"/>
    <w:basedOn w:val="DefaultParagraphFont"/>
    <w:uiPriority w:val="99"/>
    <w:semiHidden/>
    <w:unhideWhenUsed/>
    <w:rsid w:val="009D5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une.pedestal3d.com/r/2PmfBjVkhs" TargetMode="External"/><Relationship Id="rId18" Type="http://schemas.openxmlformats.org/officeDocument/2006/relationships/image" Target="media/image7.jp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https://une.pedestal3d.com/r/vinlHbuezr" TargetMode="External"/><Relationship Id="rId12" Type="http://schemas.openxmlformats.org/officeDocument/2006/relationships/image" Target="media/image4.jpg"/><Relationship Id="rId17" Type="http://schemas.openxmlformats.org/officeDocument/2006/relationships/hyperlink" Target="https://une.pedestal3d.com/r/NHDyYLMuim" TargetMode="External"/><Relationship Id="rId2" Type="http://schemas.openxmlformats.org/officeDocument/2006/relationships/settings" Target="settings.xml"/><Relationship Id="rId16" Type="http://schemas.openxmlformats.org/officeDocument/2006/relationships/image" Target="media/image6.jpg"/><Relationship Id="rId20" Type="http://schemas.openxmlformats.org/officeDocument/2006/relationships/chart" Target="charts/chart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s://une.pedestal3d.com/r/F7ADyINJr_"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une.pedestal3d.com/r/_euR_RjhW6" TargetMode="External"/><Relationship Id="rId23"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hyperlink" Target="https://une.pedestal3d.com/r/2eTBhL0tkC" TargetMode="External"/><Relationship Id="rId4" Type="http://schemas.openxmlformats.org/officeDocument/2006/relationships/footnotes" Target="footnotes.xml"/><Relationship Id="rId9" Type="http://schemas.openxmlformats.org/officeDocument/2006/relationships/hyperlink" Target="https://une.pedestal3d.com/r/eOCKQIpLH_" TargetMode="External"/><Relationship Id="rId14" Type="http://schemas.openxmlformats.org/officeDocument/2006/relationships/image" Target="media/image5.jpg"/><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5129448\Dropbox\my%20documents\writing\...co-author\Nature%20-%20Calio\updated%20stats\Calio%20lithics%20-%20M's%20artefact%20data%20and%20S's%20noncult%20dat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158162508658276E-2"/>
          <c:y val="4.4229995979091274E-2"/>
          <c:w val="0.76656186589572384"/>
          <c:h val="0.78496180136710891"/>
        </c:manualLayout>
      </c:layout>
      <c:scatterChart>
        <c:scatterStyle val="lineMarker"/>
        <c:varyColors val="0"/>
        <c:ser>
          <c:idx val="0"/>
          <c:order val="0"/>
          <c:tx>
            <c:v>Non-cultural</c:v>
          </c:tx>
          <c:spPr>
            <a:ln w="19050" cap="rnd">
              <a:noFill/>
              <a:round/>
            </a:ln>
            <a:effectLst/>
          </c:spPr>
          <c:marker>
            <c:symbol val="square"/>
            <c:size val="5"/>
            <c:spPr>
              <a:solidFill>
                <a:srgbClr val="00B050"/>
              </a:solidFill>
              <a:ln w="9525">
                <a:solidFill>
                  <a:schemeClr val="tx2"/>
                </a:solidFill>
              </a:ln>
              <a:effectLst/>
            </c:spPr>
          </c:marker>
          <c:xVal>
            <c:numRef>
              <c:f>Sheet2!$B$9:$B$187</c:f>
              <c:numCache>
                <c:formatCode>General</c:formatCode>
                <c:ptCount val="179"/>
                <c:pt idx="0">
                  <c:v>50.81</c:v>
                </c:pt>
                <c:pt idx="1">
                  <c:v>35.18</c:v>
                </c:pt>
                <c:pt idx="2">
                  <c:v>20.03</c:v>
                </c:pt>
                <c:pt idx="3">
                  <c:v>22.31</c:v>
                </c:pt>
                <c:pt idx="4">
                  <c:v>18.29</c:v>
                </c:pt>
                <c:pt idx="5">
                  <c:v>15.83</c:v>
                </c:pt>
                <c:pt idx="6">
                  <c:v>10.54</c:v>
                </c:pt>
                <c:pt idx="7">
                  <c:v>7.9</c:v>
                </c:pt>
                <c:pt idx="8">
                  <c:v>36.81</c:v>
                </c:pt>
                <c:pt idx="9">
                  <c:v>34.380000000000003</c:v>
                </c:pt>
                <c:pt idx="10">
                  <c:v>31.72</c:v>
                </c:pt>
                <c:pt idx="11">
                  <c:v>17.95</c:v>
                </c:pt>
                <c:pt idx="12">
                  <c:v>23.66</c:v>
                </c:pt>
                <c:pt idx="13">
                  <c:v>23.43</c:v>
                </c:pt>
                <c:pt idx="14">
                  <c:v>17.52</c:v>
                </c:pt>
                <c:pt idx="15">
                  <c:v>19.420000000000002</c:v>
                </c:pt>
                <c:pt idx="16">
                  <c:v>16.62</c:v>
                </c:pt>
                <c:pt idx="17">
                  <c:v>14.75</c:v>
                </c:pt>
                <c:pt idx="18">
                  <c:v>30.12</c:v>
                </c:pt>
                <c:pt idx="19">
                  <c:v>19.170000000000002</c:v>
                </c:pt>
                <c:pt idx="20">
                  <c:v>20.34</c:v>
                </c:pt>
                <c:pt idx="21">
                  <c:v>22.79</c:v>
                </c:pt>
                <c:pt idx="22">
                  <c:v>47.9</c:v>
                </c:pt>
                <c:pt idx="23">
                  <c:v>20.76</c:v>
                </c:pt>
                <c:pt idx="24">
                  <c:v>16.989999999999998</c:v>
                </c:pt>
                <c:pt idx="25">
                  <c:v>17.170000000000002</c:v>
                </c:pt>
                <c:pt idx="26">
                  <c:v>13.25</c:v>
                </c:pt>
                <c:pt idx="27">
                  <c:v>13.61</c:v>
                </c:pt>
                <c:pt idx="28">
                  <c:v>29.57</c:v>
                </c:pt>
                <c:pt idx="29">
                  <c:v>15.85</c:v>
                </c:pt>
                <c:pt idx="30">
                  <c:v>15.27</c:v>
                </c:pt>
                <c:pt idx="31">
                  <c:v>13.28</c:v>
                </c:pt>
                <c:pt idx="32">
                  <c:v>17.36</c:v>
                </c:pt>
                <c:pt idx="33">
                  <c:v>12.85</c:v>
                </c:pt>
                <c:pt idx="34">
                  <c:v>20.77</c:v>
                </c:pt>
                <c:pt idx="35">
                  <c:v>11.76</c:v>
                </c:pt>
                <c:pt idx="36">
                  <c:v>23.67</c:v>
                </c:pt>
                <c:pt idx="37">
                  <c:v>18.95</c:v>
                </c:pt>
                <c:pt idx="38">
                  <c:v>49.02</c:v>
                </c:pt>
                <c:pt idx="39">
                  <c:v>7.13</c:v>
                </c:pt>
                <c:pt idx="40">
                  <c:v>11.75</c:v>
                </c:pt>
                <c:pt idx="41">
                  <c:v>11.61</c:v>
                </c:pt>
                <c:pt idx="42">
                  <c:v>12.99</c:v>
                </c:pt>
                <c:pt idx="43">
                  <c:v>20.45</c:v>
                </c:pt>
                <c:pt idx="44">
                  <c:v>9.3800000000000008</c:v>
                </c:pt>
                <c:pt idx="45">
                  <c:v>13.73</c:v>
                </c:pt>
                <c:pt idx="46">
                  <c:v>55.52</c:v>
                </c:pt>
                <c:pt idx="47">
                  <c:v>30.88</c:v>
                </c:pt>
                <c:pt idx="48">
                  <c:v>24.53</c:v>
                </c:pt>
                <c:pt idx="49">
                  <c:v>22.93</c:v>
                </c:pt>
                <c:pt idx="50">
                  <c:v>25.54</c:v>
                </c:pt>
                <c:pt idx="51">
                  <c:v>19.43</c:v>
                </c:pt>
                <c:pt idx="52">
                  <c:v>22.85</c:v>
                </c:pt>
                <c:pt idx="53">
                  <c:v>15.16</c:v>
                </c:pt>
                <c:pt idx="54">
                  <c:v>10.65</c:v>
                </c:pt>
                <c:pt idx="55">
                  <c:v>17.329999999999998</c:v>
                </c:pt>
                <c:pt idx="56">
                  <c:v>9.2100000000000009</c:v>
                </c:pt>
                <c:pt idx="57">
                  <c:v>6.99</c:v>
                </c:pt>
                <c:pt idx="58">
                  <c:v>13.21</c:v>
                </c:pt>
                <c:pt idx="59">
                  <c:v>21.19</c:v>
                </c:pt>
                <c:pt idx="60">
                  <c:v>15.43</c:v>
                </c:pt>
                <c:pt idx="61">
                  <c:v>26.97</c:v>
                </c:pt>
                <c:pt idx="62">
                  <c:v>28.04</c:v>
                </c:pt>
                <c:pt idx="63">
                  <c:v>22.08</c:v>
                </c:pt>
                <c:pt idx="64">
                  <c:v>16.399999999999999</c:v>
                </c:pt>
                <c:pt idx="65">
                  <c:v>17.73</c:v>
                </c:pt>
                <c:pt idx="66">
                  <c:v>17.649999999999999</c:v>
                </c:pt>
                <c:pt idx="67">
                  <c:v>11.64</c:v>
                </c:pt>
                <c:pt idx="68">
                  <c:v>9.73</c:v>
                </c:pt>
                <c:pt idx="69">
                  <c:v>25.81</c:v>
                </c:pt>
                <c:pt idx="70">
                  <c:v>18.75</c:v>
                </c:pt>
                <c:pt idx="71">
                  <c:v>20.76</c:v>
                </c:pt>
                <c:pt idx="72">
                  <c:v>14.82</c:v>
                </c:pt>
                <c:pt idx="73">
                  <c:v>11.91</c:v>
                </c:pt>
                <c:pt idx="74">
                  <c:v>17.510000000000002</c:v>
                </c:pt>
                <c:pt idx="75">
                  <c:v>11.28</c:v>
                </c:pt>
                <c:pt idx="76">
                  <c:v>23.65</c:v>
                </c:pt>
                <c:pt idx="77">
                  <c:v>13.91</c:v>
                </c:pt>
                <c:pt idx="78">
                  <c:v>29.24</c:v>
                </c:pt>
                <c:pt idx="79">
                  <c:v>34.97</c:v>
                </c:pt>
                <c:pt idx="80">
                  <c:v>25.05</c:v>
                </c:pt>
                <c:pt idx="81">
                  <c:v>11.86</c:v>
                </c:pt>
                <c:pt idx="82">
                  <c:v>13.97</c:v>
                </c:pt>
                <c:pt idx="83">
                  <c:v>13.87</c:v>
                </c:pt>
                <c:pt idx="84">
                  <c:v>11.44</c:v>
                </c:pt>
                <c:pt idx="85">
                  <c:v>8.08</c:v>
                </c:pt>
                <c:pt idx="86">
                  <c:v>7.16</c:v>
                </c:pt>
                <c:pt idx="87">
                  <c:v>17.34</c:v>
                </c:pt>
                <c:pt idx="88">
                  <c:v>16.57</c:v>
                </c:pt>
                <c:pt idx="89">
                  <c:v>19.350000000000001</c:v>
                </c:pt>
                <c:pt idx="90">
                  <c:v>24.94</c:v>
                </c:pt>
                <c:pt idx="91">
                  <c:v>7.08</c:v>
                </c:pt>
                <c:pt idx="92">
                  <c:v>12.08</c:v>
                </c:pt>
                <c:pt idx="93">
                  <c:v>10.92</c:v>
                </c:pt>
                <c:pt idx="94">
                  <c:v>7.62</c:v>
                </c:pt>
                <c:pt idx="95">
                  <c:v>8.67</c:v>
                </c:pt>
                <c:pt idx="96">
                  <c:v>10.74</c:v>
                </c:pt>
                <c:pt idx="97">
                  <c:v>8.83</c:v>
                </c:pt>
                <c:pt idx="98">
                  <c:v>6.47</c:v>
                </c:pt>
                <c:pt idx="99">
                  <c:v>8.18</c:v>
                </c:pt>
                <c:pt idx="100">
                  <c:v>24.57</c:v>
                </c:pt>
                <c:pt idx="101">
                  <c:v>20.69</c:v>
                </c:pt>
                <c:pt idx="102">
                  <c:v>16.97</c:v>
                </c:pt>
                <c:pt idx="103">
                  <c:v>21.93</c:v>
                </c:pt>
                <c:pt idx="104">
                  <c:v>12.62</c:v>
                </c:pt>
                <c:pt idx="105">
                  <c:v>8.86</c:v>
                </c:pt>
                <c:pt idx="106">
                  <c:v>20.12</c:v>
                </c:pt>
                <c:pt idx="107">
                  <c:v>6.39</c:v>
                </c:pt>
                <c:pt idx="108">
                  <c:v>27.51</c:v>
                </c:pt>
                <c:pt idx="109">
                  <c:v>19.690000000000001</c:v>
                </c:pt>
                <c:pt idx="110">
                  <c:v>16.760000000000002</c:v>
                </c:pt>
                <c:pt idx="111">
                  <c:v>15.7</c:v>
                </c:pt>
                <c:pt idx="112">
                  <c:v>18.420000000000002</c:v>
                </c:pt>
                <c:pt idx="113">
                  <c:v>17.5</c:v>
                </c:pt>
                <c:pt idx="114">
                  <c:v>48.95</c:v>
                </c:pt>
                <c:pt idx="115">
                  <c:v>34.28</c:v>
                </c:pt>
                <c:pt idx="116">
                  <c:v>29.75</c:v>
                </c:pt>
                <c:pt idx="117">
                  <c:v>26.58</c:v>
                </c:pt>
                <c:pt idx="118">
                  <c:v>24.05</c:v>
                </c:pt>
                <c:pt idx="119">
                  <c:v>22.1</c:v>
                </c:pt>
                <c:pt idx="120">
                  <c:v>17.3</c:v>
                </c:pt>
                <c:pt idx="121">
                  <c:v>16.850000000000001</c:v>
                </c:pt>
                <c:pt idx="122">
                  <c:v>11.67</c:v>
                </c:pt>
                <c:pt idx="123">
                  <c:v>25.28</c:v>
                </c:pt>
                <c:pt idx="124">
                  <c:v>30.84</c:v>
                </c:pt>
                <c:pt idx="125">
                  <c:v>17.809999999999999</c:v>
                </c:pt>
                <c:pt idx="126">
                  <c:v>16.5</c:v>
                </c:pt>
                <c:pt idx="127">
                  <c:v>19.13</c:v>
                </c:pt>
                <c:pt idx="128">
                  <c:v>15.97</c:v>
                </c:pt>
                <c:pt idx="129">
                  <c:v>14.17</c:v>
                </c:pt>
                <c:pt idx="130">
                  <c:v>12.55</c:v>
                </c:pt>
                <c:pt idx="131">
                  <c:v>9.6300000000000008</c:v>
                </c:pt>
                <c:pt idx="132">
                  <c:v>9.9700000000000006</c:v>
                </c:pt>
                <c:pt idx="133">
                  <c:v>11.78</c:v>
                </c:pt>
                <c:pt idx="134">
                  <c:v>10.1</c:v>
                </c:pt>
                <c:pt idx="135">
                  <c:v>11.75</c:v>
                </c:pt>
                <c:pt idx="136">
                  <c:v>9.5</c:v>
                </c:pt>
                <c:pt idx="137">
                  <c:v>10.210000000000001</c:v>
                </c:pt>
                <c:pt idx="138">
                  <c:v>9.89</c:v>
                </c:pt>
                <c:pt idx="139">
                  <c:v>9.14</c:v>
                </c:pt>
                <c:pt idx="140">
                  <c:v>9.59</c:v>
                </c:pt>
                <c:pt idx="141">
                  <c:v>20.25</c:v>
                </c:pt>
                <c:pt idx="142">
                  <c:v>16.13</c:v>
                </c:pt>
                <c:pt idx="143">
                  <c:v>17.760000000000002</c:v>
                </c:pt>
                <c:pt idx="144">
                  <c:v>13.24</c:v>
                </c:pt>
                <c:pt idx="145">
                  <c:v>23.81</c:v>
                </c:pt>
                <c:pt idx="146">
                  <c:v>13.98</c:v>
                </c:pt>
                <c:pt idx="147">
                  <c:v>13.11</c:v>
                </c:pt>
                <c:pt idx="148">
                  <c:v>8.3699999999999992</c:v>
                </c:pt>
                <c:pt idx="149">
                  <c:v>13.28</c:v>
                </c:pt>
                <c:pt idx="150">
                  <c:v>11.99</c:v>
                </c:pt>
                <c:pt idx="151">
                  <c:v>45.26</c:v>
                </c:pt>
                <c:pt idx="152">
                  <c:v>15.84</c:v>
                </c:pt>
                <c:pt idx="153">
                  <c:v>11.27</c:v>
                </c:pt>
                <c:pt idx="154">
                  <c:v>41.67</c:v>
                </c:pt>
                <c:pt idx="155">
                  <c:v>37.340000000000003</c:v>
                </c:pt>
                <c:pt idx="156">
                  <c:v>20.059999999999999</c:v>
                </c:pt>
                <c:pt idx="157">
                  <c:v>24.06</c:v>
                </c:pt>
                <c:pt idx="158">
                  <c:v>18.45</c:v>
                </c:pt>
                <c:pt idx="159">
                  <c:v>15.24</c:v>
                </c:pt>
                <c:pt idx="160">
                  <c:v>13.09</c:v>
                </c:pt>
                <c:pt idx="161">
                  <c:v>16.12</c:v>
                </c:pt>
                <c:pt idx="162">
                  <c:v>16.239999999999998</c:v>
                </c:pt>
                <c:pt idx="163">
                  <c:v>13.38</c:v>
                </c:pt>
                <c:pt idx="164">
                  <c:v>15.75</c:v>
                </c:pt>
                <c:pt idx="165">
                  <c:v>21.45</c:v>
                </c:pt>
                <c:pt idx="166">
                  <c:v>15.04</c:v>
                </c:pt>
                <c:pt idx="167">
                  <c:v>12.77</c:v>
                </c:pt>
                <c:pt idx="168">
                  <c:v>18.97</c:v>
                </c:pt>
                <c:pt idx="169">
                  <c:v>18.350000000000001</c:v>
                </c:pt>
                <c:pt idx="170">
                  <c:v>8.86</c:v>
                </c:pt>
                <c:pt idx="171">
                  <c:v>29.34</c:v>
                </c:pt>
                <c:pt idx="172">
                  <c:v>20.32</c:v>
                </c:pt>
                <c:pt idx="173">
                  <c:v>12.93</c:v>
                </c:pt>
                <c:pt idx="174">
                  <c:v>13.78</c:v>
                </c:pt>
                <c:pt idx="175">
                  <c:v>10.71</c:v>
                </c:pt>
                <c:pt idx="176">
                  <c:v>18.100000000000001</c:v>
                </c:pt>
                <c:pt idx="177">
                  <c:v>12.43</c:v>
                </c:pt>
                <c:pt idx="178">
                  <c:v>14.72</c:v>
                </c:pt>
              </c:numCache>
            </c:numRef>
          </c:xVal>
          <c:yVal>
            <c:numRef>
              <c:f>Sheet2!$C$9:$C$187</c:f>
              <c:numCache>
                <c:formatCode>General</c:formatCode>
                <c:ptCount val="179"/>
                <c:pt idx="0">
                  <c:v>33.76</c:v>
                </c:pt>
                <c:pt idx="1">
                  <c:v>18.88</c:v>
                </c:pt>
                <c:pt idx="2">
                  <c:v>14.64</c:v>
                </c:pt>
                <c:pt idx="3">
                  <c:v>20.88</c:v>
                </c:pt>
                <c:pt idx="4">
                  <c:v>14.72</c:v>
                </c:pt>
                <c:pt idx="5">
                  <c:v>15.17</c:v>
                </c:pt>
                <c:pt idx="6">
                  <c:v>9.6199999999999992</c:v>
                </c:pt>
                <c:pt idx="7">
                  <c:v>6.19</c:v>
                </c:pt>
                <c:pt idx="8">
                  <c:v>33.770000000000003</c:v>
                </c:pt>
                <c:pt idx="9">
                  <c:v>30.51</c:v>
                </c:pt>
                <c:pt idx="10">
                  <c:v>29.27</c:v>
                </c:pt>
                <c:pt idx="11">
                  <c:v>12.51</c:v>
                </c:pt>
                <c:pt idx="12">
                  <c:v>16.55</c:v>
                </c:pt>
                <c:pt idx="13">
                  <c:v>19.18</c:v>
                </c:pt>
                <c:pt idx="14">
                  <c:v>12.98</c:v>
                </c:pt>
                <c:pt idx="15">
                  <c:v>15.82</c:v>
                </c:pt>
                <c:pt idx="16">
                  <c:v>10.06</c:v>
                </c:pt>
                <c:pt idx="17">
                  <c:v>11.84</c:v>
                </c:pt>
                <c:pt idx="18">
                  <c:v>27.29</c:v>
                </c:pt>
                <c:pt idx="19">
                  <c:v>15.89</c:v>
                </c:pt>
                <c:pt idx="20">
                  <c:v>14.75</c:v>
                </c:pt>
                <c:pt idx="21">
                  <c:v>12.26</c:v>
                </c:pt>
                <c:pt idx="22">
                  <c:v>33.700000000000003</c:v>
                </c:pt>
                <c:pt idx="23">
                  <c:v>14.89</c:v>
                </c:pt>
                <c:pt idx="24">
                  <c:v>9.24</c:v>
                </c:pt>
                <c:pt idx="25">
                  <c:v>9.36</c:v>
                </c:pt>
                <c:pt idx="26">
                  <c:v>10.6</c:v>
                </c:pt>
                <c:pt idx="27">
                  <c:v>10.11</c:v>
                </c:pt>
                <c:pt idx="28">
                  <c:v>19.96</c:v>
                </c:pt>
                <c:pt idx="29">
                  <c:v>10.02</c:v>
                </c:pt>
                <c:pt idx="30">
                  <c:v>15.27</c:v>
                </c:pt>
                <c:pt idx="31">
                  <c:v>10.24</c:v>
                </c:pt>
                <c:pt idx="32">
                  <c:v>13.23</c:v>
                </c:pt>
                <c:pt idx="33">
                  <c:v>10.72</c:v>
                </c:pt>
                <c:pt idx="34">
                  <c:v>15.32</c:v>
                </c:pt>
                <c:pt idx="35">
                  <c:v>9.73</c:v>
                </c:pt>
                <c:pt idx="36">
                  <c:v>14.38</c:v>
                </c:pt>
                <c:pt idx="37">
                  <c:v>11.6</c:v>
                </c:pt>
                <c:pt idx="38">
                  <c:v>26.57</c:v>
                </c:pt>
                <c:pt idx="39">
                  <c:v>4.53</c:v>
                </c:pt>
                <c:pt idx="40">
                  <c:v>7.7</c:v>
                </c:pt>
                <c:pt idx="41">
                  <c:v>10.27</c:v>
                </c:pt>
                <c:pt idx="42">
                  <c:v>6.15</c:v>
                </c:pt>
                <c:pt idx="43">
                  <c:v>13.59</c:v>
                </c:pt>
                <c:pt idx="44">
                  <c:v>7.8</c:v>
                </c:pt>
                <c:pt idx="45">
                  <c:v>11.27</c:v>
                </c:pt>
                <c:pt idx="46">
                  <c:v>30.23</c:v>
                </c:pt>
                <c:pt idx="47">
                  <c:v>19.920000000000002</c:v>
                </c:pt>
                <c:pt idx="48">
                  <c:v>16.420000000000002</c:v>
                </c:pt>
                <c:pt idx="49">
                  <c:v>19.93</c:v>
                </c:pt>
                <c:pt idx="50">
                  <c:v>14.56</c:v>
                </c:pt>
                <c:pt idx="51">
                  <c:v>15.71</c:v>
                </c:pt>
                <c:pt idx="52">
                  <c:v>13.03</c:v>
                </c:pt>
                <c:pt idx="53">
                  <c:v>9.7899999999999991</c:v>
                </c:pt>
                <c:pt idx="54">
                  <c:v>10.02</c:v>
                </c:pt>
                <c:pt idx="55">
                  <c:v>10.87</c:v>
                </c:pt>
                <c:pt idx="56">
                  <c:v>6.19</c:v>
                </c:pt>
                <c:pt idx="57">
                  <c:v>4.29</c:v>
                </c:pt>
                <c:pt idx="58">
                  <c:v>11.19</c:v>
                </c:pt>
                <c:pt idx="59">
                  <c:v>9.83</c:v>
                </c:pt>
                <c:pt idx="60">
                  <c:v>4.9800000000000004</c:v>
                </c:pt>
                <c:pt idx="61">
                  <c:v>19.66</c:v>
                </c:pt>
                <c:pt idx="62">
                  <c:v>8.44</c:v>
                </c:pt>
                <c:pt idx="63">
                  <c:v>12.03</c:v>
                </c:pt>
                <c:pt idx="64">
                  <c:v>15.88</c:v>
                </c:pt>
                <c:pt idx="65">
                  <c:v>13.77</c:v>
                </c:pt>
                <c:pt idx="66">
                  <c:v>8.93</c:v>
                </c:pt>
                <c:pt idx="67">
                  <c:v>7.27</c:v>
                </c:pt>
                <c:pt idx="68">
                  <c:v>7.94</c:v>
                </c:pt>
                <c:pt idx="69">
                  <c:v>14.44</c:v>
                </c:pt>
                <c:pt idx="70">
                  <c:v>14.43</c:v>
                </c:pt>
                <c:pt idx="71">
                  <c:v>10.67</c:v>
                </c:pt>
                <c:pt idx="72">
                  <c:v>10.37</c:v>
                </c:pt>
                <c:pt idx="73">
                  <c:v>10.23</c:v>
                </c:pt>
                <c:pt idx="74">
                  <c:v>10.62</c:v>
                </c:pt>
                <c:pt idx="75">
                  <c:v>8.76</c:v>
                </c:pt>
                <c:pt idx="76">
                  <c:v>11.52</c:v>
                </c:pt>
                <c:pt idx="77">
                  <c:v>4.9800000000000004</c:v>
                </c:pt>
                <c:pt idx="78">
                  <c:v>16.23</c:v>
                </c:pt>
                <c:pt idx="79">
                  <c:v>26.2</c:v>
                </c:pt>
                <c:pt idx="80">
                  <c:v>12.2</c:v>
                </c:pt>
                <c:pt idx="81">
                  <c:v>5.54</c:v>
                </c:pt>
                <c:pt idx="82">
                  <c:v>10.6</c:v>
                </c:pt>
                <c:pt idx="83">
                  <c:v>8.6300000000000008</c:v>
                </c:pt>
                <c:pt idx="84">
                  <c:v>4.0199999999999996</c:v>
                </c:pt>
                <c:pt idx="85">
                  <c:v>6.91</c:v>
                </c:pt>
                <c:pt idx="86">
                  <c:v>5.69</c:v>
                </c:pt>
                <c:pt idx="87">
                  <c:v>7.94</c:v>
                </c:pt>
                <c:pt idx="88">
                  <c:v>10.49</c:v>
                </c:pt>
                <c:pt idx="89">
                  <c:v>9.32</c:v>
                </c:pt>
                <c:pt idx="90">
                  <c:v>14.18</c:v>
                </c:pt>
                <c:pt idx="91">
                  <c:v>4.9800000000000004</c:v>
                </c:pt>
                <c:pt idx="92">
                  <c:v>11.29</c:v>
                </c:pt>
                <c:pt idx="93">
                  <c:v>5.93</c:v>
                </c:pt>
                <c:pt idx="94">
                  <c:v>4.72</c:v>
                </c:pt>
                <c:pt idx="95">
                  <c:v>7.22</c:v>
                </c:pt>
                <c:pt idx="96">
                  <c:v>5.44</c:v>
                </c:pt>
                <c:pt idx="97">
                  <c:v>6.53</c:v>
                </c:pt>
                <c:pt idx="98">
                  <c:v>4.47</c:v>
                </c:pt>
                <c:pt idx="99">
                  <c:v>6.34</c:v>
                </c:pt>
                <c:pt idx="100">
                  <c:v>17.07</c:v>
                </c:pt>
                <c:pt idx="101">
                  <c:v>15</c:v>
                </c:pt>
                <c:pt idx="102">
                  <c:v>8.1999999999999993</c:v>
                </c:pt>
                <c:pt idx="103">
                  <c:v>11.62</c:v>
                </c:pt>
                <c:pt idx="104">
                  <c:v>8.6</c:v>
                </c:pt>
                <c:pt idx="105">
                  <c:v>4.26</c:v>
                </c:pt>
                <c:pt idx="106">
                  <c:v>10.4</c:v>
                </c:pt>
                <c:pt idx="107">
                  <c:v>3.91</c:v>
                </c:pt>
                <c:pt idx="108">
                  <c:v>21.49</c:v>
                </c:pt>
                <c:pt idx="109">
                  <c:v>6.92</c:v>
                </c:pt>
                <c:pt idx="110">
                  <c:v>9.36</c:v>
                </c:pt>
                <c:pt idx="111">
                  <c:v>13.32</c:v>
                </c:pt>
                <c:pt idx="112">
                  <c:v>9.27</c:v>
                </c:pt>
                <c:pt idx="113">
                  <c:v>9.2899999999999991</c:v>
                </c:pt>
                <c:pt idx="114">
                  <c:v>35.69</c:v>
                </c:pt>
                <c:pt idx="115">
                  <c:v>22.89</c:v>
                </c:pt>
                <c:pt idx="116">
                  <c:v>16.350000000000001</c:v>
                </c:pt>
                <c:pt idx="117">
                  <c:v>19.37</c:v>
                </c:pt>
                <c:pt idx="118">
                  <c:v>19.61</c:v>
                </c:pt>
                <c:pt idx="119">
                  <c:v>10.27</c:v>
                </c:pt>
                <c:pt idx="120">
                  <c:v>11.48</c:v>
                </c:pt>
                <c:pt idx="121">
                  <c:v>10.9</c:v>
                </c:pt>
                <c:pt idx="122">
                  <c:v>6.99</c:v>
                </c:pt>
                <c:pt idx="123">
                  <c:v>10.34</c:v>
                </c:pt>
                <c:pt idx="124">
                  <c:v>14.46</c:v>
                </c:pt>
                <c:pt idx="125">
                  <c:v>4.43</c:v>
                </c:pt>
                <c:pt idx="126">
                  <c:v>14.25</c:v>
                </c:pt>
                <c:pt idx="127">
                  <c:v>13.73</c:v>
                </c:pt>
                <c:pt idx="128">
                  <c:v>10.81</c:v>
                </c:pt>
                <c:pt idx="129">
                  <c:v>5.96</c:v>
                </c:pt>
                <c:pt idx="130">
                  <c:v>9.35</c:v>
                </c:pt>
                <c:pt idx="131">
                  <c:v>7.68</c:v>
                </c:pt>
                <c:pt idx="132">
                  <c:v>8.1999999999999993</c:v>
                </c:pt>
                <c:pt idx="133">
                  <c:v>5.95</c:v>
                </c:pt>
                <c:pt idx="134">
                  <c:v>9.31</c:v>
                </c:pt>
                <c:pt idx="135">
                  <c:v>8.26</c:v>
                </c:pt>
                <c:pt idx="136">
                  <c:v>7.01</c:v>
                </c:pt>
                <c:pt idx="137">
                  <c:v>3.7</c:v>
                </c:pt>
                <c:pt idx="138">
                  <c:v>3.77</c:v>
                </c:pt>
                <c:pt idx="139">
                  <c:v>5.79</c:v>
                </c:pt>
                <c:pt idx="140">
                  <c:v>3.61</c:v>
                </c:pt>
                <c:pt idx="141">
                  <c:v>11.4</c:v>
                </c:pt>
                <c:pt idx="142">
                  <c:v>10.050000000000001</c:v>
                </c:pt>
                <c:pt idx="143">
                  <c:v>11.57</c:v>
                </c:pt>
                <c:pt idx="144">
                  <c:v>7.88</c:v>
                </c:pt>
                <c:pt idx="145">
                  <c:v>16.350000000000001</c:v>
                </c:pt>
                <c:pt idx="146">
                  <c:v>4.7</c:v>
                </c:pt>
                <c:pt idx="147">
                  <c:v>4.53</c:v>
                </c:pt>
                <c:pt idx="148">
                  <c:v>4.9800000000000004</c:v>
                </c:pt>
                <c:pt idx="149">
                  <c:v>9.85</c:v>
                </c:pt>
                <c:pt idx="150">
                  <c:v>7.54</c:v>
                </c:pt>
                <c:pt idx="151">
                  <c:v>31.94</c:v>
                </c:pt>
                <c:pt idx="152">
                  <c:v>5.79</c:v>
                </c:pt>
                <c:pt idx="153">
                  <c:v>2.88</c:v>
                </c:pt>
                <c:pt idx="154">
                  <c:v>19.05</c:v>
                </c:pt>
                <c:pt idx="155">
                  <c:v>22.15</c:v>
                </c:pt>
                <c:pt idx="156">
                  <c:v>17.05</c:v>
                </c:pt>
                <c:pt idx="157">
                  <c:v>9.9700000000000006</c:v>
                </c:pt>
                <c:pt idx="158">
                  <c:v>8.7200000000000006</c:v>
                </c:pt>
                <c:pt idx="159">
                  <c:v>10.55</c:v>
                </c:pt>
                <c:pt idx="160">
                  <c:v>7.49</c:v>
                </c:pt>
                <c:pt idx="161">
                  <c:v>9.4499999999999993</c:v>
                </c:pt>
                <c:pt idx="162">
                  <c:v>7.71</c:v>
                </c:pt>
                <c:pt idx="163">
                  <c:v>12.73</c:v>
                </c:pt>
                <c:pt idx="164">
                  <c:v>12.58</c:v>
                </c:pt>
                <c:pt idx="165">
                  <c:v>9.35</c:v>
                </c:pt>
                <c:pt idx="166">
                  <c:v>7.65</c:v>
                </c:pt>
                <c:pt idx="167">
                  <c:v>6.41</c:v>
                </c:pt>
                <c:pt idx="168">
                  <c:v>14.25</c:v>
                </c:pt>
                <c:pt idx="169">
                  <c:v>11.31</c:v>
                </c:pt>
                <c:pt idx="170">
                  <c:v>7.72</c:v>
                </c:pt>
                <c:pt idx="171">
                  <c:v>14.74</c:v>
                </c:pt>
                <c:pt idx="172">
                  <c:v>10.32</c:v>
                </c:pt>
                <c:pt idx="173">
                  <c:v>5.65</c:v>
                </c:pt>
                <c:pt idx="174">
                  <c:v>7.81</c:v>
                </c:pt>
                <c:pt idx="175">
                  <c:v>7.36</c:v>
                </c:pt>
                <c:pt idx="176">
                  <c:v>6.15</c:v>
                </c:pt>
                <c:pt idx="177">
                  <c:v>8.32</c:v>
                </c:pt>
                <c:pt idx="178">
                  <c:v>8.1300000000000008</c:v>
                </c:pt>
              </c:numCache>
            </c:numRef>
          </c:yVal>
          <c:smooth val="0"/>
          <c:extLst>
            <c:ext xmlns:c16="http://schemas.microsoft.com/office/drawing/2014/chart" uri="{C3380CC4-5D6E-409C-BE32-E72D297353CC}">
              <c16:uniqueId val="{00000000-37C3-0C44-ABD8-3B391315A838}"/>
            </c:ext>
          </c:extLst>
        </c:ser>
        <c:ser>
          <c:idx val="1"/>
          <c:order val="1"/>
          <c:tx>
            <c:v>Broken flake</c:v>
          </c:tx>
          <c:spPr>
            <a:ln w="25400" cap="rnd">
              <a:noFill/>
              <a:round/>
            </a:ln>
            <a:effectLst/>
          </c:spPr>
          <c:marker>
            <c:symbol val="triangle"/>
            <c:size val="5"/>
            <c:spPr>
              <a:solidFill>
                <a:schemeClr val="accent4"/>
              </a:solidFill>
              <a:ln w="9525">
                <a:solidFill>
                  <a:schemeClr val="tx2"/>
                </a:solidFill>
              </a:ln>
              <a:effectLst/>
            </c:spPr>
          </c:marker>
          <c:xVal>
            <c:numRef>
              <c:f>Sheet3!$B$6:$B$8</c:f>
              <c:numCache>
                <c:formatCode>General</c:formatCode>
                <c:ptCount val="3"/>
                <c:pt idx="0">
                  <c:v>25.6</c:v>
                </c:pt>
                <c:pt idx="1">
                  <c:v>32.82</c:v>
                </c:pt>
                <c:pt idx="2">
                  <c:v>51.69</c:v>
                </c:pt>
              </c:numCache>
            </c:numRef>
          </c:xVal>
          <c:yVal>
            <c:numRef>
              <c:f>Sheet3!$C$6:$C$8</c:f>
              <c:numCache>
                <c:formatCode>General</c:formatCode>
                <c:ptCount val="3"/>
                <c:pt idx="0">
                  <c:v>17.66</c:v>
                </c:pt>
                <c:pt idx="1">
                  <c:v>25.16</c:v>
                </c:pt>
                <c:pt idx="2">
                  <c:v>32.97</c:v>
                </c:pt>
              </c:numCache>
            </c:numRef>
          </c:yVal>
          <c:smooth val="0"/>
          <c:extLst>
            <c:ext xmlns:c16="http://schemas.microsoft.com/office/drawing/2014/chart" uri="{C3380CC4-5D6E-409C-BE32-E72D297353CC}">
              <c16:uniqueId val="{00000001-37C3-0C44-ABD8-3B391315A838}"/>
            </c:ext>
          </c:extLst>
        </c:ser>
        <c:ser>
          <c:idx val="3"/>
          <c:order val="2"/>
          <c:tx>
            <c:v>Complete flake</c:v>
          </c:tx>
          <c:spPr>
            <a:ln w="25400" cap="rnd">
              <a:noFill/>
              <a:round/>
            </a:ln>
            <a:effectLst/>
          </c:spPr>
          <c:marker>
            <c:symbol val="circle"/>
            <c:size val="5"/>
            <c:spPr>
              <a:solidFill>
                <a:srgbClr val="FF0000"/>
              </a:solidFill>
              <a:ln w="9525">
                <a:solidFill>
                  <a:schemeClr val="tx2"/>
                </a:solidFill>
              </a:ln>
              <a:effectLst/>
            </c:spPr>
          </c:marker>
          <c:xVal>
            <c:numRef>
              <c:f>Sheet3!$B$2:$B$4</c:f>
              <c:numCache>
                <c:formatCode>General</c:formatCode>
                <c:ptCount val="3"/>
                <c:pt idx="0">
                  <c:v>68.790000000000006</c:v>
                </c:pt>
                <c:pt idx="1">
                  <c:v>22.73</c:v>
                </c:pt>
                <c:pt idx="2">
                  <c:v>45.25</c:v>
                </c:pt>
              </c:numCache>
            </c:numRef>
          </c:xVal>
          <c:yVal>
            <c:numRef>
              <c:f>Sheet3!$C$2:$C$4</c:f>
              <c:numCache>
                <c:formatCode>General</c:formatCode>
                <c:ptCount val="3"/>
                <c:pt idx="0">
                  <c:v>40.700000000000003</c:v>
                </c:pt>
                <c:pt idx="1">
                  <c:v>18.52</c:v>
                </c:pt>
                <c:pt idx="2">
                  <c:v>30.6</c:v>
                </c:pt>
              </c:numCache>
            </c:numRef>
          </c:yVal>
          <c:smooth val="0"/>
          <c:extLst>
            <c:ext xmlns:c16="http://schemas.microsoft.com/office/drawing/2014/chart" uri="{C3380CC4-5D6E-409C-BE32-E72D297353CC}">
              <c16:uniqueId val="{00000002-37C3-0C44-ABD8-3B391315A838}"/>
            </c:ext>
          </c:extLst>
        </c:ser>
        <c:ser>
          <c:idx val="2"/>
          <c:order val="3"/>
          <c:tx>
            <c:v>Broken retouched flake</c:v>
          </c:tx>
          <c:spPr>
            <a:ln w="25400" cap="rnd">
              <a:noFill/>
              <a:round/>
            </a:ln>
            <a:effectLst/>
          </c:spPr>
          <c:marker>
            <c:symbol val="circle"/>
            <c:size val="5"/>
            <c:spPr>
              <a:solidFill>
                <a:srgbClr val="CC99FF"/>
              </a:solidFill>
              <a:ln w="9525">
                <a:solidFill>
                  <a:schemeClr val="tx2">
                    <a:lumMod val="50000"/>
                  </a:schemeClr>
                </a:solidFill>
              </a:ln>
              <a:effectLst/>
            </c:spPr>
          </c:marker>
          <c:dPt>
            <c:idx val="0"/>
            <c:marker>
              <c:symbol val="circle"/>
              <c:size val="5"/>
              <c:spPr>
                <a:solidFill>
                  <a:srgbClr val="CC99FF"/>
                </a:solidFill>
                <a:ln w="9525">
                  <a:solidFill>
                    <a:schemeClr val="tx2">
                      <a:lumMod val="50000"/>
                    </a:schemeClr>
                  </a:solidFill>
                </a:ln>
                <a:effectLst/>
              </c:spPr>
            </c:marker>
            <c:bubble3D val="0"/>
            <c:spPr>
              <a:ln w="25400" cap="rnd">
                <a:noFill/>
                <a:round/>
              </a:ln>
              <a:effectLst/>
            </c:spPr>
            <c:extLst>
              <c:ext xmlns:c16="http://schemas.microsoft.com/office/drawing/2014/chart" uri="{C3380CC4-5D6E-409C-BE32-E72D297353CC}">
                <c16:uniqueId val="{00000004-37C3-0C44-ABD8-3B391315A838}"/>
              </c:ext>
            </c:extLst>
          </c:dPt>
          <c:xVal>
            <c:numRef>
              <c:f>Sheet3!$B$5</c:f>
              <c:numCache>
                <c:formatCode>General</c:formatCode>
                <c:ptCount val="1"/>
                <c:pt idx="0">
                  <c:v>42.41</c:v>
                </c:pt>
              </c:numCache>
            </c:numRef>
          </c:xVal>
          <c:yVal>
            <c:numRef>
              <c:f>Sheet3!$C$5</c:f>
              <c:numCache>
                <c:formatCode>General</c:formatCode>
                <c:ptCount val="1"/>
                <c:pt idx="0">
                  <c:v>32.659999999999997</c:v>
                </c:pt>
              </c:numCache>
            </c:numRef>
          </c:yVal>
          <c:smooth val="0"/>
          <c:extLst>
            <c:ext xmlns:c16="http://schemas.microsoft.com/office/drawing/2014/chart" uri="{C3380CC4-5D6E-409C-BE32-E72D297353CC}">
              <c16:uniqueId val="{00000005-37C3-0C44-ABD8-3B391315A838}"/>
            </c:ext>
          </c:extLst>
        </c:ser>
        <c:dLbls>
          <c:showLegendKey val="0"/>
          <c:showVal val="0"/>
          <c:showCatName val="0"/>
          <c:showSerName val="0"/>
          <c:showPercent val="0"/>
          <c:showBubbleSize val="0"/>
        </c:dLbls>
        <c:axId val="771966376"/>
        <c:axId val="771967816"/>
      </c:scatterChart>
      <c:valAx>
        <c:axId val="771966376"/>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Longest dimension (mm)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71967816"/>
        <c:crosses val="autoZero"/>
        <c:crossBetween val="midCat"/>
        <c:majorUnit val="5"/>
      </c:valAx>
      <c:valAx>
        <c:axId val="771967816"/>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Second longest dimension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Arial" panose="020B0604020202020204" pitchFamily="34" charset="0"/>
              </a:defRPr>
            </a:pPr>
            <a:endParaRPr lang="en-US"/>
          </a:p>
        </c:txPr>
        <c:crossAx val="771966376"/>
        <c:crosses val="autoZero"/>
        <c:crossBetween val="midCat"/>
      </c:valAx>
      <c:spPr>
        <a:noFill/>
        <a:ln>
          <a:solidFill>
            <a:schemeClr val="accent3"/>
          </a:solidFill>
        </a:ln>
        <a:effectLst/>
      </c:spPr>
    </c:plotArea>
    <c:legend>
      <c:legendPos val="r"/>
      <c:layout>
        <c:manualLayout>
          <c:xMode val="edge"/>
          <c:yMode val="edge"/>
          <c:x val="0.59318504198719002"/>
          <c:y val="0.53257315995934762"/>
          <c:w val="0.2384125649261713"/>
          <c:h val="0.25652637811105938"/>
        </c:manualLayout>
      </c:layout>
      <c:overlay val="0"/>
      <c:spPr>
        <a:noFill/>
        <a:ln w="3175">
          <a:solidFill>
            <a:schemeClr val="tx1"/>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2800</Words>
  <Characters>15966</Characters>
  <Application>Microsoft Office Word</Application>
  <DocSecurity>0</DocSecurity>
  <Lines>133</Lines>
  <Paragraphs>37</Paragraphs>
  <ScaleCrop>false</ScaleCrop>
  <Company/>
  <LinksUpToDate>false</LinksUpToDate>
  <CharactersWithSpaces>18729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Brumm</dc:creator>
  <cp:keywords/>
  <dc:description/>
  <cp:lastModifiedBy>Adam Brumm</cp:lastModifiedBy>
  <cp:revision>2</cp:revision>
  <dcterms:created xsi:type="dcterms:W3CDTF">2025-05-23T03:45:00Z</dcterms:created>
  <dcterms:modified xsi:type="dcterms:W3CDTF">2025-05-23T04:22:00Z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07654c-1543-47e1-81c5-300c2627be14_Enabled">
    <vt:lpwstr>true</vt:lpwstr>
  </property>
  <property fmtid="{D5CDD505-2E9C-101B-9397-08002B2CF9AE}" pid="3" name="MSIP_Label_0507654c-1543-47e1-81c5-300c2627be14_SetDate">
    <vt:lpwstr>2025-05-23T03:45:26Z</vt:lpwstr>
  </property>
  <property fmtid="{D5CDD505-2E9C-101B-9397-08002B2CF9AE}" pid="4" name="MSIP_Label_0507654c-1543-47e1-81c5-300c2627be14_Method">
    <vt:lpwstr>Standard</vt:lpwstr>
  </property>
  <property fmtid="{D5CDD505-2E9C-101B-9397-08002B2CF9AE}" pid="5" name="MSIP_Label_0507654c-1543-47e1-81c5-300c2627be14_Name">
    <vt:lpwstr>OFFICIAL (Unrestricted - Anyone)</vt:lpwstr>
  </property>
  <property fmtid="{D5CDD505-2E9C-101B-9397-08002B2CF9AE}" pid="6" name="MSIP_Label_0507654c-1543-47e1-81c5-300c2627be14_SiteId">
    <vt:lpwstr>5a7cc8ab-a4dc-4f9b-bf60-66714049ad62</vt:lpwstr>
  </property>
  <property fmtid="{D5CDD505-2E9C-101B-9397-08002B2CF9AE}" pid="7" name="MSIP_Label_0507654c-1543-47e1-81c5-300c2627be14_ActionId">
    <vt:lpwstr>6c793615-c826-4e24-904e-08a1036a5cc8</vt:lpwstr>
  </property>
  <property fmtid="{D5CDD505-2E9C-101B-9397-08002B2CF9AE}" pid="8" name="MSIP_Label_0507654c-1543-47e1-81c5-300c2627be14_ContentBits">
    <vt:lpwstr>0</vt:lpwstr>
  </property>
</Properties>
</file>