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22ABC" w14:textId="101F83B0" w:rsidR="00B11AD0" w:rsidRDefault="00270BDE" w:rsidP="00B11AD0">
      <w:pPr>
        <w:pStyle w:val="Head"/>
      </w:pPr>
      <w:r>
        <w:t>Supplemental Information</w:t>
      </w:r>
      <w:r w:rsidR="0094545D">
        <w:t xml:space="preserve"> for </w:t>
      </w:r>
      <w:r w:rsidR="0075440C" w:rsidRPr="546C3693">
        <w:rPr>
          <w:i/>
          <w:iCs/>
        </w:rPr>
        <w:t xml:space="preserve">A prudent planetary </w:t>
      </w:r>
      <w:r w:rsidR="36CBE2C4" w:rsidRPr="546C3693">
        <w:rPr>
          <w:i/>
          <w:iCs/>
        </w:rPr>
        <w:t xml:space="preserve">limit </w:t>
      </w:r>
      <w:r w:rsidR="0075440C" w:rsidRPr="546C3693">
        <w:rPr>
          <w:i/>
          <w:iCs/>
        </w:rPr>
        <w:t>for geologic carbon storage</w:t>
      </w:r>
    </w:p>
    <w:p w14:paraId="66CE395F" w14:textId="77777777" w:rsidR="00B11AD0" w:rsidRPr="0075440C" w:rsidRDefault="00B11AD0" w:rsidP="00B11AD0">
      <w:pPr>
        <w:pStyle w:val="Authors"/>
      </w:pPr>
      <w:r w:rsidRPr="4EFAA1FB">
        <w:rPr>
          <w:b/>
          <w:bCs/>
        </w:rPr>
        <w:t xml:space="preserve">Authors: </w:t>
      </w:r>
      <w:r w:rsidRPr="4EFAA1FB">
        <w:rPr>
          <w:color w:val="000000" w:themeColor="text1"/>
        </w:rPr>
        <w:t>Matthew J. Gidden</w:t>
      </w:r>
      <w:r w:rsidRPr="4EFAA1FB">
        <w:rPr>
          <w:color w:val="000000" w:themeColor="text1"/>
          <w:vertAlign w:val="superscript"/>
        </w:rPr>
        <w:t>1,</w:t>
      </w:r>
      <w:proofErr w:type="gramStart"/>
      <w:r>
        <w:rPr>
          <w:color w:val="000000" w:themeColor="text1"/>
          <w:vertAlign w:val="superscript"/>
        </w:rPr>
        <w:t>2,</w:t>
      </w:r>
      <w:r w:rsidRPr="4EFAA1FB">
        <w:rPr>
          <w:vertAlign w:val="superscript"/>
        </w:rPr>
        <w:t>*</w:t>
      </w:r>
      <w:proofErr w:type="gramEnd"/>
      <w:r w:rsidRPr="4EFAA1FB">
        <w:rPr>
          <w:color w:val="000000" w:themeColor="text1"/>
        </w:rPr>
        <w:t>, Siddharth Joshi</w:t>
      </w:r>
      <w:r w:rsidRPr="4EFAA1FB">
        <w:rPr>
          <w:color w:val="000000" w:themeColor="text1"/>
          <w:vertAlign w:val="superscript"/>
        </w:rPr>
        <w:t>1</w:t>
      </w:r>
      <w:r w:rsidRPr="4EFAA1FB">
        <w:rPr>
          <w:color w:val="000000" w:themeColor="text1"/>
        </w:rPr>
        <w:t>, John J. Armitage</w:t>
      </w:r>
      <w:r>
        <w:rPr>
          <w:color w:val="000000" w:themeColor="text1"/>
          <w:vertAlign w:val="superscript"/>
        </w:rPr>
        <w:t>3</w:t>
      </w:r>
      <w:r w:rsidRPr="4EFAA1FB">
        <w:rPr>
          <w:color w:val="000000" w:themeColor="text1"/>
        </w:rPr>
        <w:t>, Alina-Berenice Christ</w:t>
      </w:r>
      <w:r>
        <w:rPr>
          <w:color w:val="000000" w:themeColor="text1"/>
          <w:vertAlign w:val="superscript"/>
        </w:rPr>
        <w:t>3</w:t>
      </w:r>
      <w:r w:rsidRPr="4EFAA1FB">
        <w:rPr>
          <w:color w:val="000000" w:themeColor="text1"/>
        </w:rPr>
        <w:t>, Miranda Boettcher</w:t>
      </w:r>
      <w:r>
        <w:rPr>
          <w:color w:val="000000" w:themeColor="text1"/>
          <w:vertAlign w:val="superscript"/>
        </w:rPr>
        <w:t>4</w:t>
      </w:r>
      <w:r w:rsidRPr="4EFAA1FB">
        <w:rPr>
          <w:color w:val="000000" w:themeColor="text1"/>
          <w:vertAlign w:val="superscript"/>
        </w:rPr>
        <w:t>,</w:t>
      </w:r>
      <w:r>
        <w:rPr>
          <w:color w:val="000000" w:themeColor="text1"/>
          <w:vertAlign w:val="superscript"/>
        </w:rPr>
        <w:t>5</w:t>
      </w:r>
      <w:r w:rsidRPr="4EFAA1FB">
        <w:rPr>
          <w:color w:val="000000" w:themeColor="text1"/>
        </w:rPr>
        <w:t>, Elina Brutschin</w:t>
      </w:r>
      <w:r w:rsidRPr="4EFAA1FB">
        <w:rPr>
          <w:color w:val="000000" w:themeColor="text1"/>
          <w:vertAlign w:val="superscript"/>
        </w:rPr>
        <w:t>1</w:t>
      </w:r>
      <w:r w:rsidRPr="4EFAA1FB">
        <w:rPr>
          <w:color w:val="000000" w:themeColor="text1"/>
        </w:rPr>
        <w:t>, Alexandre C. Köberle</w:t>
      </w:r>
      <w:r>
        <w:rPr>
          <w:color w:val="000000" w:themeColor="text1"/>
          <w:vertAlign w:val="superscript"/>
        </w:rPr>
        <w:t>6</w:t>
      </w:r>
      <w:r w:rsidRPr="4EFAA1FB">
        <w:rPr>
          <w:color w:val="000000" w:themeColor="text1"/>
          <w:vertAlign w:val="superscript"/>
        </w:rPr>
        <w:t>,</w:t>
      </w:r>
      <w:r>
        <w:rPr>
          <w:color w:val="000000" w:themeColor="text1"/>
          <w:vertAlign w:val="superscript"/>
        </w:rPr>
        <w:t>7</w:t>
      </w:r>
      <w:r w:rsidRPr="4EFAA1FB">
        <w:rPr>
          <w:color w:val="000000" w:themeColor="text1"/>
        </w:rPr>
        <w:t>, Keywan Riahi</w:t>
      </w:r>
      <w:r w:rsidRPr="4EFAA1FB">
        <w:rPr>
          <w:color w:val="000000" w:themeColor="text1"/>
          <w:vertAlign w:val="superscript"/>
        </w:rPr>
        <w:t>1</w:t>
      </w:r>
      <w:r w:rsidRPr="4EFAA1FB">
        <w:rPr>
          <w:color w:val="000000" w:themeColor="text1"/>
        </w:rPr>
        <w:t>, Hans Joachim Schellnhuber</w:t>
      </w:r>
      <w:r w:rsidRPr="4EFAA1FB">
        <w:rPr>
          <w:color w:val="000000" w:themeColor="text1"/>
          <w:vertAlign w:val="superscript"/>
        </w:rPr>
        <w:t>1</w:t>
      </w:r>
      <w:r w:rsidRPr="4EFAA1FB">
        <w:rPr>
          <w:color w:val="000000" w:themeColor="text1"/>
        </w:rPr>
        <w:t>, Carl-Friedrich Schleussner</w:t>
      </w:r>
      <w:r w:rsidRPr="4EFAA1FB">
        <w:rPr>
          <w:color w:val="000000" w:themeColor="text1"/>
          <w:vertAlign w:val="superscript"/>
        </w:rPr>
        <w:t>1,</w:t>
      </w:r>
      <w:r>
        <w:rPr>
          <w:color w:val="000000" w:themeColor="text1"/>
          <w:vertAlign w:val="superscript"/>
        </w:rPr>
        <w:t>8</w:t>
      </w:r>
      <w:r w:rsidRPr="4EFAA1FB">
        <w:rPr>
          <w:color w:val="000000" w:themeColor="text1"/>
        </w:rPr>
        <w:t>,</w:t>
      </w:r>
      <w:r w:rsidRPr="4EFAA1FB">
        <w:rPr>
          <w:color w:val="000000" w:themeColor="text1"/>
          <w:vertAlign w:val="superscript"/>
        </w:rPr>
        <w:t xml:space="preserve"> </w:t>
      </w:r>
      <w:r w:rsidRPr="4EFAA1FB">
        <w:rPr>
          <w:color w:val="000000" w:themeColor="text1"/>
        </w:rPr>
        <w:t>Joeri Rogelj</w:t>
      </w:r>
      <w:r w:rsidRPr="4EFAA1FB">
        <w:rPr>
          <w:color w:val="000000" w:themeColor="text1"/>
          <w:vertAlign w:val="superscript"/>
        </w:rPr>
        <w:t>1,</w:t>
      </w:r>
      <w:r>
        <w:rPr>
          <w:color w:val="000000" w:themeColor="text1"/>
          <w:vertAlign w:val="superscript"/>
        </w:rPr>
        <w:t>9</w:t>
      </w:r>
    </w:p>
    <w:p w14:paraId="107BF1DE" w14:textId="77777777" w:rsidR="00B11AD0" w:rsidRPr="0075440C" w:rsidRDefault="00B11AD0" w:rsidP="00B11AD0">
      <w:pPr>
        <w:pStyle w:val="Paragraph"/>
        <w:tabs>
          <w:tab w:val="left" w:pos="8130"/>
        </w:tabs>
        <w:ind w:firstLine="0"/>
        <w:rPr>
          <w:b/>
        </w:rPr>
      </w:pPr>
      <w:r w:rsidRPr="0075440C">
        <w:rPr>
          <w:b/>
        </w:rPr>
        <w:t>Affiliations:</w:t>
      </w:r>
      <w:r w:rsidRPr="0075440C">
        <w:rPr>
          <w:b/>
        </w:rPr>
        <w:tab/>
      </w:r>
    </w:p>
    <w:p w14:paraId="7DFA8AE4" w14:textId="77777777" w:rsidR="00B11AD0" w:rsidRPr="0075440C" w:rsidRDefault="00B11AD0" w:rsidP="00B11AD0">
      <w:pPr>
        <w:rPr>
          <w:rFonts w:ascii="Times New Roman" w:hAnsi="Times New Roman" w:cs="Times New Roman"/>
          <w:sz w:val="24"/>
          <w:szCs w:val="24"/>
          <w:lang w:val="en-US"/>
        </w:rPr>
      </w:pPr>
      <w:r w:rsidRPr="0075440C">
        <w:rPr>
          <w:rFonts w:ascii="Times New Roman" w:hAnsi="Times New Roman" w:cs="Times New Roman"/>
          <w:sz w:val="24"/>
          <w:szCs w:val="24"/>
          <w:vertAlign w:val="superscript"/>
          <w:lang w:val="en-US"/>
        </w:rPr>
        <w:t>1</w:t>
      </w:r>
      <w:r w:rsidRPr="0075440C">
        <w:rPr>
          <w:rFonts w:ascii="Times New Roman" w:hAnsi="Times New Roman" w:cs="Times New Roman"/>
          <w:sz w:val="24"/>
          <w:szCs w:val="24"/>
          <w:lang w:val="en-US"/>
        </w:rPr>
        <w:t xml:space="preserve"> International Institute for Applied Systems Analysis, Laxenburg, Austria</w:t>
      </w:r>
    </w:p>
    <w:p w14:paraId="0FAF4458" w14:textId="77777777" w:rsidR="00B11AD0" w:rsidRPr="001A2223" w:rsidRDefault="00B11AD0" w:rsidP="00B11AD0">
      <w:pPr>
        <w:rPr>
          <w:rFonts w:ascii="Times New Roman" w:hAnsi="Times New Roman" w:cs="Times New Roman"/>
          <w:color w:val="000000"/>
          <w:sz w:val="24"/>
          <w:szCs w:val="24"/>
          <w:lang w:val="en-US"/>
        </w:rPr>
      </w:pPr>
      <w:r w:rsidRPr="0075440C">
        <w:rPr>
          <w:rFonts w:ascii="Times New Roman" w:hAnsi="Times New Roman" w:cs="Times New Roman"/>
          <w:sz w:val="24"/>
          <w:szCs w:val="24"/>
          <w:vertAlign w:val="superscript"/>
          <w:lang w:val="en-US"/>
        </w:rPr>
        <w:t xml:space="preserve">2 </w:t>
      </w:r>
      <w:r>
        <w:rPr>
          <w:rFonts w:ascii="Times New Roman" w:hAnsi="Times New Roman" w:cs="Times New Roman"/>
          <w:color w:val="000000" w:themeColor="text1"/>
          <w:sz w:val="24"/>
          <w:szCs w:val="24"/>
          <w:lang w:val="en-US"/>
        </w:rPr>
        <w:t>Center for Global Sustainability, University of Maryland, College Park, USA</w:t>
      </w:r>
    </w:p>
    <w:p w14:paraId="51DD8CA7" w14:textId="77777777" w:rsidR="00B11AD0" w:rsidRPr="0075440C" w:rsidRDefault="00B11AD0" w:rsidP="00B11AD0">
      <w:pPr>
        <w:rPr>
          <w:rFonts w:ascii="Times New Roman" w:hAnsi="Times New Roman" w:cs="Times New Roman"/>
          <w:color w:val="000000"/>
          <w:sz w:val="24"/>
          <w:szCs w:val="24"/>
          <w:lang w:val="en-US"/>
        </w:rPr>
      </w:pPr>
      <w:r>
        <w:rPr>
          <w:rFonts w:ascii="Times New Roman" w:hAnsi="Times New Roman" w:cs="Times New Roman"/>
          <w:sz w:val="24"/>
          <w:szCs w:val="24"/>
          <w:vertAlign w:val="superscript"/>
          <w:lang w:val="en-US"/>
        </w:rPr>
        <w:t>3</w:t>
      </w:r>
      <w:r w:rsidRPr="0075440C">
        <w:rPr>
          <w:rFonts w:ascii="Times New Roman" w:hAnsi="Times New Roman" w:cs="Times New Roman"/>
          <w:sz w:val="24"/>
          <w:szCs w:val="24"/>
          <w:vertAlign w:val="superscript"/>
          <w:lang w:val="en-US"/>
        </w:rPr>
        <w:t xml:space="preserve"> </w:t>
      </w:r>
      <w:r w:rsidRPr="0075440C">
        <w:rPr>
          <w:rFonts w:ascii="Times New Roman" w:hAnsi="Times New Roman" w:cs="Times New Roman"/>
          <w:color w:val="000000" w:themeColor="text1"/>
          <w:sz w:val="24"/>
          <w:szCs w:val="24"/>
          <w:lang w:val="en-US"/>
        </w:rPr>
        <w:t xml:space="preserve">IFP Energies </w:t>
      </w:r>
      <w:proofErr w:type="spellStart"/>
      <w:r w:rsidRPr="0075440C">
        <w:rPr>
          <w:rFonts w:ascii="Times New Roman" w:hAnsi="Times New Roman" w:cs="Times New Roman"/>
          <w:color w:val="000000" w:themeColor="text1"/>
          <w:sz w:val="24"/>
          <w:szCs w:val="24"/>
          <w:lang w:val="en-US"/>
        </w:rPr>
        <w:t>nouvelles</w:t>
      </w:r>
      <w:proofErr w:type="spellEnd"/>
      <w:r w:rsidRPr="0075440C">
        <w:rPr>
          <w:rFonts w:ascii="Times New Roman" w:hAnsi="Times New Roman" w:cs="Times New Roman"/>
          <w:color w:val="000000" w:themeColor="text1"/>
          <w:sz w:val="24"/>
          <w:szCs w:val="24"/>
          <w:lang w:val="en-US"/>
        </w:rPr>
        <w:t>, Rueil-Malmaison, France</w:t>
      </w:r>
    </w:p>
    <w:p w14:paraId="3B69D4B6" w14:textId="77777777" w:rsidR="00B11AD0" w:rsidRPr="0075440C" w:rsidRDefault="00B11AD0" w:rsidP="00B11AD0">
      <w:pPr>
        <w:rPr>
          <w:rFonts w:ascii="Times New Roman" w:hAnsi="Times New Roman" w:cs="Times New Roman"/>
          <w:color w:val="000000"/>
          <w:sz w:val="24"/>
          <w:szCs w:val="24"/>
        </w:rPr>
      </w:pPr>
      <w:r>
        <w:rPr>
          <w:rFonts w:ascii="Times New Roman" w:hAnsi="Times New Roman" w:cs="Times New Roman"/>
          <w:sz w:val="24"/>
          <w:szCs w:val="24"/>
          <w:vertAlign w:val="superscript"/>
          <w:lang w:val="en-US"/>
        </w:rPr>
        <w:t>4</w:t>
      </w:r>
      <w:r w:rsidRPr="0075440C">
        <w:rPr>
          <w:rFonts w:ascii="Times New Roman" w:hAnsi="Times New Roman" w:cs="Times New Roman"/>
          <w:sz w:val="24"/>
          <w:szCs w:val="24"/>
          <w:vertAlign w:val="superscript"/>
          <w:lang w:val="en-US"/>
        </w:rPr>
        <w:t xml:space="preserve"> </w:t>
      </w:r>
      <w:r w:rsidRPr="0075440C">
        <w:rPr>
          <w:rFonts w:ascii="Times New Roman" w:hAnsi="Times New Roman" w:cs="Times New Roman"/>
          <w:color w:val="000000" w:themeColor="text1"/>
          <w:sz w:val="24"/>
          <w:szCs w:val="24"/>
          <w:lang w:val="en-US"/>
        </w:rPr>
        <w:t>German Institute for International &amp; Security Affairs (SWP), Berlin, Germany</w:t>
      </w:r>
    </w:p>
    <w:p w14:paraId="66120F20" w14:textId="77777777" w:rsidR="00B11AD0" w:rsidRPr="0075440C" w:rsidRDefault="00B11AD0" w:rsidP="00B11AD0">
      <w:pPr>
        <w:rPr>
          <w:rFonts w:ascii="Times New Roman" w:hAnsi="Times New Roman" w:cs="Times New Roman"/>
          <w:color w:val="000000"/>
          <w:sz w:val="24"/>
          <w:szCs w:val="24"/>
        </w:rPr>
      </w:pPr>
      <w:r>
        <w:rPr>
          <w:rFonts w:ascii="Times New Roman" w:hAnsi="Times New Roman" w:cs="Times New Roman"/>
          <w:color w:val="000000" w:themeColor="text1"/>
          <w:sz w:val="24"/>
          <w:szCs w:val="24"/>
          <w:vertAlign w:val="superscript"/>
        </w:rPr>
        <w:t>5</w:t>
      </w:r>
      <w:r w:rsidRPr="0075440C">
        <w:rPr>
          <w:rFonts w:ascii="Times New Roman" w:hAnsi="Times New Roman" w:cs="Times New Roman"/>
          <w:color w:val="000000" w:themeColor="text1"/>
          <w:sz w:val="24"/>
          <w:szCs w:val="24"/>
          <w:lang w:val="en-US"/>
        </w:rPr>
        <w:t xml:space="preserve"> Copernicus Institute of Sustainable Development, Utrecht University, Utrecht, the Netherlands</w:t>
      </w:r>
    </w:p>
    <w:p w14:paraId="5DDB23A0" w14:textId="77777777" w:rsidR="00B11AD0" w:rsidRPr="0075440C" w:rsidRDefault="00B11AD0" w:rsidP="00B11AD0">
      <w:pPr>
        <w:rPr>
          <w:rFonts w:ascii="Times New Roman" w:hAnsi="Times New Roman" w:cs="Times New Roman"/>
          <w:color w:val="000000"/>
          <w:sz w:val="24"/>
          <w:szCs w:val="24"/>
          <w:lang w:val="pt-BR"/>
        </w:rPr>
      </w:pPr>
      <w:proofErr w:type="gramStart"/>
      <w:r>
        <w:rPr>
          <w:rFonts w:ascii="Times New Roman" w:hAnsi="Times New Roman" w:cs="Times New Roman"/>
          <w:sz w:val="24"/>
          <w:szCs w:val="24"/>
          <w:vertAlign w:val="superscript"/>
          <w:lang w:val="pt-BR"/>
        </w:rPr>
        <w:t>6</w:t>
      </w:r>
      <w:r w:rsidRPr="0075440C">
        <w:rPr>
          <w:rFonts w:ascii="Times New Roman" w:hAnsi="Times New Roman" w:cs="Times New Roman"/>
          <w:sz w:val="24"/>
          <w:szCs w:val="24"/>
          <w:vertAlign w:val="superscript"/>
          <w:lang w:val="pt-BR"/>
        </w:rPr>
        <w:t xml:space="preserve"> </w:t>
      </w:r>
      <w:r w:rsidRPr="0075440C">
        <w:rPr>
          <w:rFonts w:ascii="Times New Roman" w:hAnsi="Times New Roman" w:cs="Times New Roman"/>
          <w:color w:val="000000" w:themeColor="text1"/>
          <w:sz w:val="24"/>
          <w:szCs w:val="24"/>
          <w:lang w:val="pt-BR"/>
        </w:rPr>
        <w:t xml:space="preserve"> Instituto</w:t>
      </w:r>
      <w:proofErr w:type="gramEnd"/>
      <w:r w:rsidRPr="0075440C">
        <w:rPr>
          <w:rFonts w:ascii="Times New Roman" w:hAnsi="Times New Roman" w:cs="Times New Roman"/>
          <w:color w:val="000000" w:themeColor="text1"/>
          <w:sz w:val="24"/>
          <w:szCs w:val="24"/>
          <w:lang w:val="pt-BR"/>
        </w:rPr>
        <w:t xml:space="preserve"> Dom Luiz (IDL), Faculdade de Ciências, Universidade de Lisboa, Lisboa, Portugal</w:t>
      </w:r>
    </w:p>
    <w:p w14:paraId="3AF2ABA2" w14:textId="77777777" w:rsidR="00B11AD0" w:rsidRPr="0075440C" w:rsidRDefault="00B11AD0" w:rsidP="00B11AD0">
      <w:pPr>
        <w:rPr>
          <w:rFonts w:ascii="Times New Roman" w:hAnsi="Times New Roman" w:cs="Times New Roman"/>
          <w:color w:val="000000" w:themeColor="text1"/>
          <w:sz w:val="24"/>
          <w:szCs w:val="24"/>
          <w:vertAlign w:val="superscript"/>
        </w:rPr>
      </w:pPr>
      <w:r>
        <w:rPr>
          <w:rFonts w:ascii="Times New Roman" w:hAnsi="Times New Roman" w:cs="Times New Roman"/>
          <w:sz w:val="24"/>
          <w:szCs w:val="24"/>
          <w:vertAlign w:val="superscript"/>
        </w:rPr>
        <w:t>7</w:t>
      </w:r>
      <w:r w:rsidRPr="0075440C">
        <w:rPr>
          <w:rFonts w:ascii="Times New Roman" w:hAnsi="Times New Roman" w:cs="Times New Roman"/>
          <w:sz w:val="24"/>
          <w:szCs w:val="24"/>
          <w:vertAlign w:val="superscript"/>
        </w:rPr>
        <w:t xml:space="preserve"> </w:t>
      </w:r>
      <w:r w:rsidRPr="0075440C">
        <w:rPr>
          <w:rFonts w:ascii="Times New Roman" w:hAnsi="Times New Roman" w:cs="Times New Roman"/>
          <w:color w:val="000000"/>
          <w:sz w:val="24"/>
          <w:szCs w:val="24"/>
        </w:rPr>
        <w:t>Potsdam Institute for Climate Impact Research, Potsdam, Germany</w:t>
      </w:r>
    </w:p>
    <w:p w14:paraId="0AAF3F05" w14:textId="77777777" w:rsidR="00B11AD0" w:rsidRPr="0075440C" w:rsidRDefault="00B11AD0" w:rsidP="00B11AD0">
      <w:pPr>
        <w:rPr>
          <w:rFonts w:ascii="Times New Roman" w:hAnsi="Times New Roman" w:cs="Times New Roman"/>
          <w:color w:val="000000"/>
          <w:sz w:val="24"/>
          <w:szCs w:val="24"/>
        </w:rPr>
      </w:pPr>
      <w:r>
        <w:rPr>
          <w:rFonts w:ascii="Times New Roman" w:hAnsi="Times New Roman" w:cs="Times New Roman"/>
          <w:color w:val="000000" w:themeColor="text1"/>
          <w:sz w:val="24"/>
          <w:szCs w:val="24"/>
          <w:vertAlign w:val="superscript"/>
          <w:lang w:val="en-US"/>
        </w:rPr>
        <w:t>8</w:t>
      </w:r>
      <w:r w:rsidRPr="0075440C">
        <w:rPr>
          <w:rFonts w:ascii="Times New Roman" w:hAnsi="Times New Roman" w:cs="Times New Roman"/>
          <w:color w:val="000000" w:themeColor="text1"/>
          <w:sz w:val="24"/>
          <w:szCs w:val="24"/>
          <w:lang w:val="en-US"/>
        </w:rPr>
        <w:t xml:space="preserve"> Geography Department and </w:t>
      </w:r>
      <w:proofErr w:type="spellStart"/>
      <w:r w:rsidRPr="0075440C">
        <w:rPr>
          <w:rFonts w:ascii="Times New Roman" w:hAnsi="Times New Roman" w:cs="Times New Roman"/>
          <w:color w:val="000000" w:themeColor="text1"/>
          <w:sz w:val="24"/>
          <w:szCs w:val="24"/>
          <w:lang w:val="en-US"/>
        </w:rPr>
        <w:t>IRITHESys</w:t>
      </w:r>
      <w:proofErr w:type="spellEnd"/>
      <w:r w:rsidRPr="0075440C">
        <w:rPr>
          <w:rFonts w:ascii="Times New Roman" w:hAnsi="Times New Roman" w:cs="Times New Roman"/>
          <w:color w:val="000000" w:themeColor="text1"/>
          <w:sz w:val="24"/>
          <w:szCs w:val="24"/>
          <w:lang w:val="en-US"/>
        </w:rPr>
        <w:t xml:space="preserve"> Institute, Humboldt-Universität </w:t>
      </w:r>
      <w:proofErr w:type="spellStart"/>
      <w:r w:rsidRPr="0075440C">
        <w:rPr>
          <w:rFonts w:ascii="Times New Roman" w:hAnsi="Times New Roman" w:cs="Times New Roman"/>
          <w:color w:val="000000" w:themeColor="text1"/>
          <w:sz w:val="24"/>
          <w:szCs w:val="24"/>
          <w:lang w:val="en-US"/>
        </w:rPr>
        <w:t>zu</w:t>
      </w:r>
      <w:proofErr w:type="spellEnd"/>
      <w:r w:rsidRPr="0075440C">
        <w:rPr>
          <w:rFonts w:ascii="Times New Roman" w:hAnsi="Times New Roman" w:cs="Times New Roman"/>
          <w:color w:val="000000" w:themeColor="text1"/>
          <w:sz w:val="24"/>
          <w:szCs w:val="24"/>
          <w:lang w:val="en-US"/>
        </w:rPr>
        <w:t xml:space="preserve"> Berlin, Berlin, Germany</w:t>
      </w:r>
    </w:p>
    <w:p w14:paraId="00115C24" w14:textId="77777777" w:rsidR="00B11AD0" w:rsidRPr="0075440C" w:rsidRDefault="00B11AD0" w:rsidP="00B11AD0">
      <w:pPr>
        <w:rPr>
          <w:rFonts w:ascii="Times New Roman" w:hAnsi="Times New Roman" w:cs="Times New Roman"/>
          <w:color w:val="000000"/>
          <w:sz w:val="24"/>
          <w:szCs w:val="24"/>
        </w:rPr>
      </w:pPr>
      <w:r>
        <w:rPr>
          <w:rFonts w:ascii="Times New Roman" w:hAnsi="Times New Roman" w:cs="Times New Roman"/>
          <w:sz w:val="24"/>
          <w:szCs w:val="24"/>
          <w:vertAlign w:val="superscript"/>
        </w:rPr>
        <w:t>9</w:t>
      </w:r>
      <w:r w:rsidRPr="0075440C">
        <w:rPr>
          <w:rFonts w:ascii="Times New Roman" w:hAnsi="Times New Roman" w:cs="Times New Roman"/>
          <w:sz w:val="24"/>
          <w:szCs w:val="24"/>
          <w:vertAlign w:val="superscript"/>
        </w:rPr>
        <w:t xml:space="preserve"> </w:t>
      </w:r>
      <w:r w:rsidRPr="0075440C">
        <w:rPr>
          <w:rFonts w:ascii="Times New Roman" w:hAnsi="Times New Roman" w:cs="Times New Roman"/>
          <w:color w:val="000000" w:themeColor="text1"/>
          <w:sz w:val="24"/>
          <w:szCs w:val="24"/>
        </w:rPr>
        <w:t>Centre for Environmental Policy and Grantham Institute – Climate Change and Environment, Imperial College London, London, UK</w:t>
      </w:r>
    </w:p>
    <w:p w14:paraId="350882D5" w14:textId="77777777" w:rsidR="00B11AD0" w:rsidRPr="0075440C" w:rsidRDefault="00B11AD0" w:rsidP="00B11AD0">
      <w:pPr>
        <w:rPr>
          <w:rFonts w:ascii="Times New Roman" w:hAnsi="Times New Roman" w:cs="Times New Roman"/>
          <w:color w:val="000000"/>
          <w:sz w:val="24"/>
          <w:szCs w:val="24"/>
        </w:rPr>
      </w:pPr>
    </w:p>
    <w:p w14:paraId="3C022723" w14:textId="10090AB8" w:rsidR="0075440C" w:rsidRPr="0075440C" w:rsidRDefault="00B11AD0" w:rsidP="0075440C">
      <w:pPr>
        <w:rPr>
          <w:rFonts w:ascii="Times New Roman" w:hAnsi="Times New Roman" w:cs="Times New Roman"/>
          <w:b/>
          <w:sz w:val="24"/>
          <w:szCs w:val="24"/>
        </w:rPr>
      </w:pPr>
      <w:r w:rsidRPr="0075440C">
        <w:t>* Corresponding author:</w:t>
      </w:r>
      <w:r>
        <w:t xml:space="preserve"> gidden@umd.edu</w:t>
      </w:r>
    </w:p>
    <w:p w14:paraId="39A44B6C" w14:textId="0F7F0A25" w:rsidR="0075440C" w:rsidRPr="0018695B" w:rsidRDefault="0075440C" w:rsidP="0075440C">
      <w:pPr>
        <w:rPr>
          <w:rFonts w:ascii="Times New Roman" w:hAnsi="Times New Roman" w:cs="Times New Roman"/>
          <w:sz w:val="24"/>
          <w:szCs w:val="24"/>
        </w:rPr>
      </w:pPr>
    </w:p>
    <w:p w14:paraId="1FA92FAB" w14:textId="44987157" w:rsidR="0075440C" w:rsidRDefault="0075440C">
      <w:pPr>
        <w:rPr>
          <w:rFonts w:ascii="Times New Roman" w:hAnsi="Times New Roman" w:cs="Times New Roman"/>
          <w:color w:val="434343"/>
          <w:sz w:val="24"/>
          <w:szCs w:val="24"/>
        </w:rPr>
      </w:pPr>
      <w:bookmarkStart w:id="0" w:name="_1yxkjsgu470n" w:colFirst="0" w:colLast="0"/>
      <w:bookmarkEnd w:id="0"/>
      <w:r>
        <w:rPr>
          <w:rFonts w:ascii="Times New Roman" w:hAnsi="Times New Roman" w:cs="Times New Roman"/>
          <w:sz w:val="24"/>
          <w:szCs w:val="24"/>
        </w:rPr>
        <w:br w:type="page"/>
      </w:r>
    </w:p>
    <w:p w14:paraId="19D32F82" w14:textId="7BAE6A95" w:rsidR="00445270" w:rsidRPr="002C4446" w:rsidRDefault="00445270" w:rsidP="002C4446">
      <w:pPr>
        <w:rPr>
          <w:rFonts w:ascii="Times New Roman" w:hAnsi="Times New Roman" w:cs="Times New Roman"/>
          <w:color w:val="434343"/>
          <w:sz w:val="24"/>
          <w:szCs w:val="24"/>
        </w:rPr>
      </w:pPr>
      <w:r w:rsidRPr="00576281">
        <w:rPr>
          <w:rFonts w:ascii="Times New Roman" w:hAnsi="Times New Roman" w:cs="Times New Roman"/>
          <w:noProof/>
          <w:sz w:val="24"/>
          <w:szCs w:val="24"/>
        </w:rPr>
        <w:lastRenderedPageBreak/>
        <w:drawing>
          <wp:inline distT="0" distB="0" distL="0" distR="0" wp14:anchorId="1AA55CFD" wp14:editId="54ED1F1D">
            <wp:extent cx="5731510" cy="3921125"/>
            <wp:effectExtent l="0" t="0" r="0" b="3175"/>
            <wp:docPr id="1602619335" name="Picture 1602619335" descr="A collage of different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51990" name="Picture 1" descr="A collage of different maps&#10;&#10;Description automatically generated"/>
                    <pic:cNvPicPr/>
                  </pic:nvPicPr>
                  <pic:blipFill>
                    <a:blip r:embed="rId6"/>
                    <a:stretch>
                      <a:fillRect/>
                    </a:stretch>
                  </pic:blipFill>
                  <pic:spPr>
                    <a:xfrm>
                      <a:off x="0" y="0"/>
                      <a:ext cx="5731510" cy="3921125"/>
                    </a:xfrm>
                    <a:prstGeom prst="rect">
                      <a:avLst/>
                    </a:prstGeom>
                  </pic:spPr>
                </pic:pic>
              </a:graphicData>
            </a:graphic>
          </wp:inline>
        </w:drawing>
      </w:r>
    </w:p>
    <w:p w14:paraId="61A8D5C7" w14:textId="62143DD5" w:rsidR="007F6446" w:rsidRPr="00502F10" w:rsidRDefault="0016264C" w:rsidP="007F6446">
      <w:pPr>
        <w:pStyle w:val="Heading3"/>
        <w:rPr>
          <w:rFonts w:ascii="Times New Roman" w:hAnsi="Times New Roman" w:cs="Times New Roman"/>
          <w:color w:val="0D0D0D" w:themeColor="text1" w:themeTint="F2"/>
          <w:sz w:val="24"/>
          <w:szCs w:val="24"/>
        </w:rPr>
      </w:pPr>
      <w:r w:rsidRPr="00502F10">
        <w:rPr>
          <w:rFonts w:ascii="Times New Roman" w:hAnsi="Times New Roman" w:cs="Times New Roman"/>
          <w:color w:val="0D0D0D" w:themeColor="text1" w:themeTint="F2"/>
          <w:sz w:val="24"/>
          <w:szCs w:val="24"/>
          <w:lang w:val="en-US"/>
        </w:rPr>
        <w:t>F</w:t>
      </w:r>
      <w:r w:rsidR="00445270" w:rsidRPr="00502F10">
        <w:rPr>
          <w:rFonts w:ascii="Times New Roman" w:hAnsi="Times New Roman" w:cs="Times New Roman"/>
          <w:color w:val="0D0D0D" w:themeColor="text1" w:themeTint="F2"/>
          <w:sz w:val="24"/>
          <w:szCs w:val="24"/>
          <w:lang w:val="en-US"/>
        </w:rPr>
        <w:t xml:space="preserve">ig S1. </w:t>
      </w:r>
      <w:proofErr w:type="gramStart"/>
      <w:r w:rsidR="00901C15" w:rsidRPr="00502F10">
        <w:rPr>
          <w:rFonts w:ascii="Times New Roman" w:hAnsi="Times New Roman" w:cs="Times New Roman"/>
          <w:b/>
          <w:color w:val="0D0D0D" w:themeColor="text1" w:themeTint="F2"/>
          <w:sz w:val="24"/>
          <w:szCs w:val="24"/>
        </w:rPr>
        <w:t>a,</w:t>
      </w:r>
      <w:proofErr w:type="gramEnd"/>
      <w:r w:rsidR="00901C15" w:rsidRPr="00502F10">
        <w:rPr>
          <w:rFonts w:ascii="Times New Roman" w:hAnsi="Times New Roman" w:cs="Times New Roman"/>
          <w:color w:val="0D0D0D" w:themeColor="text1" w:themeTint="F2"/>
          <w:sz w:val="24"/>
          <w:szCs w:val="24"/>
        </w:rPr>
        <w:t xml:space="preserve"> </w:t>
      </w:r>
      <w:r w:rsidR="005E3A67" w:rsidRPr="00502F10">
        <w:rPr>
          <w:rFonts w:ascii="Times New Roman" w:hAnsi="Times New Roman" w:cs="Times New Roman"/>
          <w:color w:val="0D0D0D" w:themeColor="text1" w:themeTint="F2"/>
          <w:sz w:val="24"/>
          <w:szCs w:val="24"/>
        </w:rPr>
        <w:t>v</w:t>
      </w:r>
      <w:r w:rsidR="00901C15" w:rsidRPr="00502F10">
        <w:rPr>
          <w:rFonts w:ascii="Times New Roman" w:hAnsi="Times New Roman" w:cs="Times New Roman"/>
          <w:color w:val="0D0D0D" w:themeColor="text1" w:themeTint="F2"/>
          <w:sz w:val="24"/>
          <w:szCs w:val="24"/>
        </w:rPr>
        <w:t xml:space="preserve">isual depiction of protected areas overlayed over offshore and onshore sedimentary deposits. </w:t>
      </w:r>
      <w:r w:rsidR="00901C15" w:rsidRPr="00502F10">
        <w:rPr>
          <w:rFonts w:ascii="Times New Roman" w:hAnsi="Times New Roman" w:cs="Times New Roman"/>
          <w:b/>
          <w:color w:val="0D0D0D" w:themeColor="text1" w:themeTint="F2"/>
          <w:sz w:val="24"/>
          <w:szCs w:val="24"/>
        </w:rPr>
        <w:t>b,</w:t>
      </w:r>
      <w:r w:rsidR="00901C15" w:rsidRPr="00502F10">
        <w:rPr>
          <w:rFonts w:ascii="Times New Roman" w:hAnsi="Times New Roman" w:cs="Times New Roman"/>
          <w:color w:val="0D0D0D" w:themeColor="text1" w:themeTint="F2"/>
          <w:sz w:val="24"/>
          <w:szCs w:val="24"/>
        </w:rPr>
        <w:t xml:space="preserve"> </w:t>
      </w:r>
      <w:r w:rsidR="005E3A67" w:rsidRPr="00502F10">
        <w:rPr>
          <w:rFonts w:ascii="Times New Roman" w:hAnsi="Times New Roman" w:cs="Times New Roman"/>
          <w:color w:val="0D0D0D" w:themeColor="text1" w:themeTint="F2"/>
          <w:sz w:val="24"/>
          <w:szCs w:val="24"/>
        </w:rPr>
        <w:t>v</w:t>
      </w:r>
      <w:r w:rsidR="00901C15" w:rsidRPr="00502F10">
        <w:rPr>
          <w:rFonts w:ascii="Times New Roman" w:hAnsi="Times New Roman" w:cs="Times New Roman"/>
          <w:color w:val="0D0D0D" w:themeColor="text1" w:themeTint="F2"/>
          <w:sz w:val="24"/>
          <w:szCs w:val="24"/>
        </w:rPr>
        <w:t xml:space="preserve">isual depiction of global EEZ boundaries. </w:t>
      </w:r>
      <w:r w:rsidR="00901C15" w:rsidRPr="00502F10">
        <w:rPr>
          <w:rFonts w:ascii="Times New Roman" w:hAnsi="Times New Roman" w:cs="Times New Roman"/>
          <w:b/>
          <w:color w:val="0D0D0D" w:themeColor="text1" w:themeTint="F2"/>
          <w:sz w:val="24"/>
          <w:szCs w:val="24"/>
        </w:rPr>
        <w:t>c,</w:t>
      </w:r>
      <w:r w:rsidR="00901C15" w:rsidRPr="00502F10">
        <w:rPr>
          <w:rFonts w:ascii="Times New Roman" w:hAnsi="Times New Roman" w:cs="Times New Roman"/>
          <w:color w:val="0D0D0D" w:themeColor="text1" w:themeTint="F2"/>
          <w:sz w:val="24"/>
          <w:szCs w:val="24"/>
        </w:rPr>
        <w:t xml:space="preserve"> visual depiction of global contested maritime exclusive economic zones, with zoomed in view of South China Sea, </w:t>
      </w:r>
      <w:r w:rsidR="00901C15" w:rsidRPr="00502F10">
        <w:rPr>
          <w:rFonts w:ascii="Times New Roman" w:hAnsi="Times New Roman" w:cs="Times New Roman"/>
          <w:b/>
          <w:color w:val="0D0D0D" w:themeColor="text1" w:themeTint="F2"/>
          <w:sz w:val="24"/>
          <w:szCs w:val="24"/>
        </w:rPr>
        <w:t>d</w:t>
      </w:r>
      <w:r w:rsidR="00901C15" w:rsidRPr="00502F10">
        <w:rPr>
          <w:rFonts w:ascii="Times New Roman" w:hAnsi="Times New Roman" w:cs="Times New Roman"/>
          <w:color w:val="0D0D0D" w:themeColor="text1" w:themeTint="F2"/>
          <w:sz w:val="24"/>
          <w:szCs w:val="24"/>
        </w:rPr>
        <w:t xml:space="preserve">. </w:t>
      </w:r>
      <w:r w:rsidR="00901C15" w:rsidRPr="00502F10">
        <w:rPr>
          <w:rFonts w:ascii="Times New Roman" w:hAnsi="Times New Roman" w:cs="Times New Roman"/>
          <w:b/>
          <w:color w:val="0D0D0D" w:themeColor="text1" w:themeTint="F2"/>
          <w:sz w:val="24"/>
          <w:szCs w:val="24"/>
        </w:rPr>
        <w:t>e</w:t>
      </w:r>
      <w:r w:rsidR="00901C15" w:rsidRPr="00502F10">
        <w:rPr>
          <w:rFonts w:ascii="Times New Roman" w:hAnsi="Times New Roman" w:cs="Times New Roman"/>
          <w:color w:val="0D0D0D" w:themeColor="text1" w:themeTint="F2"/>
          <w:sz w:val="24"/>
          <w:szCs w:val="24"/>
        </w:rPr>
        <w:t>, Visual depiction of polar circles at a global level. We assume that the sedimentary deposits north of Arctic circle and south of Antarctic circle are excluded from the analysis.</w:t>
      </w:r>
    </w:p>
    <w:p w14:paraId="30A0B307" w14:textId="77777777" w:rsidR="006D6E12" w:rsidRDefault="006D6E12">
      <w:pPr>
        <w:rPr>
          <w:rFonts w:ascii="Times New Roman" w:hAnsi="Times New Roman" w:cs="Times New Roman"/>
          <w:color w:val="404040" w:themeColor="text1" w:themeTint="BF"/>
          <w:sz w:val="24"/>
          <w:szCs w:val="24"/>
          <w:lang w:val="en-US"/>
        </w:rPr>
      </w:pPr>
    </w:p>
    <w:p w14:paraId="5DCDC3B6" w14:textId="77777777" w:rsidR="006D6E12" w:rsidRDefault="006D6E12">
      <w:pPr>
        <w:rPr>
          <w:rFonts w:ascii="Times New Roman" w:hAnsi="Times New Roman" w:cs="Times New Roman"/>
          <w:color w:val="404040" w:themeColor="text1" w:themeTint="BF"/>
          <w:sz w:val="24"/>
          <w:szCs w:val="24"/>
          <w:lang w:val="en-US"/>
        </w:rPr>
      </w:pPr>
    </w:p>
    <w:p w14:paraId="7EA98FB5" w14:textId="77777777" w:rsidR="006D6E12" w:rsidRDefault="006D6E12">
      <w:pPr>
        <w:rPr>
          <w:rFonts w:ascii="Times New Roman" w:hAnsi="Times New Roman" w:cs="Times New Roman"/>
          <w:color w:val="404040" w:themeColor="text1" w:themeTint="BF"/>
          <w:sz w:val="24"/>
          <w:szCs w:val="24"/>
          <w:lang w:val="en-US"/>
        </w:rPr>
      </w:pPr>
    </w:p>
    <w:p w14:paraId="41FE9C90" w14:textId="77777777" w:rsidR="006D6E12" w:rsidRDefault="006D6E12">
      <w:pPr>
        <w:rPr>
          <w:rFonts w:ascii="Times New Roman" w:hAnsi="Times New Roman" w:cs="Times New Roman"/>
          <w:color w:val="404040" w:themeColor="text1" w:themeTint="BF"/>
          <w:sz w:val="24"/>
          <w:szCs w:val="24"/>
          <w:lang w:val="en-US"/>
        </w:rPr>
      </w:pPr>
    </w:p>
    <w:p w14:paraId="3ECC950F" w14:textId="77777777" w:rsidR="006D6E12" w:rsidRDefault="006D6E12">
      <w:pPr>
        <w:rPr>
          <w:rFonts w:ascii="Times New Roman" w:hAnsi="Times New Roman" w:cs="Times New Roman"/>
          <w:color w:val="404040" w:themeColor="text1" w:themeTint="BF"/>
          <w:sz w:val="24"/>
          <w:szCs w:val="24"/>
          <w:lang w:val="en-US"/>
        </w:rPr>
      </w:pPr>
    </w:p>
    <w:p w14:paraId="308D1ED3" w14:textId="77777777" w:rsidR="006D6E12" w:rsidRDefault="006D6E12">
      <w:pPr>
        <w:rPr>
          <w:rFonts w:ascii="Times New Roman" w:hAnsi="Times New Roman" w:cs="Times New Roman"/>
          <w:color w:val="404040" w:themeColor="text1" w:themeTint="BF"/>
          <w:sz w:val="24"/>
          <w:szCs w:val="24"/>
          <w:lang w:val="en-US"/>
        </w:rPr>
      </w:pPr>
    </w:p>
    <w:p w14:paraId="415AD85B" w14:textId="77777777" w:rsidR="006D6E12" w:rsidRDefault="006D6E12">
      <w:pPr>
        <w:rPr>
          <w:rFonts w:ascii="Times New Roman" w:hAnsi="Times New Roman" w:cs="Times New Roman"/>
          <w:color w:val="404040" w:themeColor="text1" w:themeTint="BF"/>
          <w:sz w:val="24"/>
          <w:szCs w:val="24"/>
          <w:lang w:val="en-US"/>
        </w:rPr>
      </w:pPr>
    </w:p>
    <w:p w14:paraId="6A10A399" w14:textId="77777777" w:rsidR="006D6E12" w:rsidRDefault="006D6E12">
      <w:pPr>
        <w:rPr>
          <w:rFonts w:ascii="Times New Roman" w:hAnsi="Times New Roman" w:cs="Times New Roman"/>
          <w:color w:val="404040" w:themeColor="text1" w:themeTint="BF"/>
          <w:sz w:val="24"/>
          <w:szCs w:val="24"/>
          <w:lang w:val="en-US"/>
        </w:rPr>
      </w:pPr>
    </w:p>
    <w:p w14:paraId="76578103" w14:textId="77777777" w:rsidR="006D6E12" w:rsidRDefault="006D6E12">
      <w:pPr>
        <w:rPr>
          <w:rFonts w:ascii="Times New Roman" w:hAnsi="Times New Roman" w:cs="Times New Roman"/>
          <w:color w:val="404040" w:themeColor="text1" w:themeTint="BF"/>
          <w:sz w:val="24"/>
          <w:szCs w:val="24"/>
          <w:lang w:val="en-US"/>
        </w:rPr>
      </w:pPr>
    </w:p>
    <w:p w14:paraId="2F325F1F" w14:textId="77777777" w:rsidR="006D6E12" w:rsidRDefault="006D6E12">
      <w:pPr>
        <w:rPr>
          <w:rFonts w:ascii="Times New Roman" w:hAnsi="Times New Roman" w:cs="Times New Roman"/>
          <w:color w:val="404040" w:themeColor="text1" w:themeTint="BF"/>
          <w:sz w:val="24"/>
          <w:szCs w:val="24"/>
          <w:lang w:val="en-US"/>
        </w:rPr>
      </w:pPr>
    </w:p>
    <w:p w14:paraId="27716294" w14:textId="77777777" w:rsidR="006D6E12" w:rsidRDefault="006D6E12">
      <w:pPr>
        <w:rPr>
          <w:rFonts w:ascii="Times New Roman" w:hAnsi="Times New Roman" w:cs="Times New Roman"/>
          <w:color w:val="404040" w:themeColor="text1" w:themeTint="BF"/>
          <w:sz w:val="24"/>
          <w:szCs w:val="24"/>
          <w:lang w:val="en-US"/>
        </w:rPr>
      </w:pPr>
    </w:p>
    <w:p w14:paraId="72594ABB" w14:textId="77777777" w:rsidR="006D6E12" w:rsidRDefault="006D6E12">
      <w:pPr>
        <w:rPr>
          <w:rFonts w:ascii="Times New Roman" w:hAnsi="Times New Roman" w:cs="Times New Roman"/>
          <w:color w:val="404040" w:themeColor="text1" w:themeTint="BF"/>
          <w:sz w:val="24"/>
          <w:szCs w:val="24"/>
          <w:lang w:val="en-US"/>
        </w:rPr>
      </w:pPr>
    </w:p>
    <w:p w14:paraId="79BFB6B4" w14:textId="77777777" w:rsidR="006D6E12" w:rsidRDefault="006D6E12">
      <w:pPr>
        <w:rPr>
          <w:rFonts w:ascii="Times New Roman" w:hAnsi="Times New Roman" w:cs="Times New Roman"/>
          <w:color w:val="404040" w:themeColor="text1" w:themeTint="BF"/>
          <w:sz w:val="24"/>
          <w:szCs w:val="24"/>
          <w:lang w:val="en-US"/>
        </w:rPr>
      </w:pPr>
    </w:p>
    <w:p w14:paraId="502A2EEB" w14:textId="6C6531F1" w:rsidR="006D6E12" w:rsidRDefault="006D6E12">
      <w:pPr>
        <w:rPr>
          <w:rFonts w:ascii="Times New Roman" w:hAnsi="Times New Roman" w:cs="Times New Roman"/>
          <w:color w:val="404040" w:themeColor="text1" w:themeTint="BF"/>
          <w:sz w:val="24"/>
          <w:szCs w:val="24"/>
          <w:lang w:val="en-US"/>
        </w:rPr>
      </w:pPr>
      <w:r w:rsidRPr="00F6745C">
        <w:rPr>
          <w:rFonts w:ascii="Times New Roman" w:hAnsi="Times New Roman" w:cs="Times New Roman"/>
          <w:noProof/>
          <w:sz w:val="24"/>
          <w:szCs w:val="24"/>
          <w:lang w:val="en-US"/>
        </w:rPr>
        <w:lastRenderedPageBreak/>
        <w:drawing>
          <wp:inline distT="0" distB="0" distL="0" distR="0" wp14:anchorId="0139ECDB" wp14:editId="1C51E00F">
            <wp:extent cx="4754621" cy="5768342"/>
            <wp:effectExtent l="0" t="0" r="0" b="0"/>
            <wp:docPr id="1618717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7384" name="Picture 1"/>
                    <pic:cNvPicPr/>
                  </pic:nvPicPr>
                  <pic:blipFill>
                    <a:blip r:embed="rId7"/>
                    <a:stretch>
                      <a:fillRect/>
                    </a:stretch>
                  </pic:blipFill>
                  <pic:spPr>
                    <a:xfrm>
                      <a:off x="0" y="0"/>
                      <a:ext cx="4754621" cy="5768342"/>
                    </a:xfrm>
                    <a:prstGeom prst="rect">
                      <a:avLst/>
                    </a:prstGeom>
                  </pic:spPr>
                </pic:pic>
              </a:graphicData>
            </a:graphic>
          </wp:inline>
        </w:drawing>
      </w:r>
    </w:p>
    <w:p w14:paraId="5535AB93" w14:textId="7040769C" w:rsidR="0002764C" w:rsidRPr="00502F10" w:rsidRDefault="006D6E12">
      <w:pPr>
        <w:rPr>
          <w:rFonts w:ascii="Times New Roman" w:hAnsi="Times New Roman" w:cs="Times New Roman"/>
          <w:color w:val="0D0D0D" w:themeColor="text1" w:themeTint="F2"/>
          <w:sz w:val="24"/>
          <w:szCs w:val="24"/>
        </w:rPr>
      </w:pPr>
      <w:r w:rsidRPr="00502F10">
        <w:rPr>
          <w:rFonts w:ascii="Times New Roman" w:hAnsi="Times New Roman" w:cs="Times New Roman"/>
          <w:color w:val="0D0D0D" w:themeColor="text1" w:themeTint="F2"/>
          <w:sz w:val="24"/>
          <w:szCs w:val="24"/>
          <w:lang w:val="en-US"/>
        </w:rPr>
        <w:t xml:space="preserve">Fig S2. </w:t>
      </w:r>
      <w:r w:rsidRPr="00502F10">
        <w:rPr>
          <w:rFonts w:ascii="Times New Roman" w:hAnsi="Times New Roman" w:cs="Times New Roman"/>
          <w:color w:val="0D0D0D" w:themeColor="text1" w:themeTint="F2"/>
          <w:sz w:val="24"/>
          <w:szCs w:val="24"/>
        </w:rPr>
        <w:t>Visual depiction of sedimentary deposits excluded from analysis due to seismic hazard caused to PGA &gt;0.115g (Moderate intensity),</w:t>
      </w:r>
      <w:r w:rsidRPr="00502F10">
        <w:rPr>
          <w:rFonts w:ascii="Times New Roman" w:hAnsi="Times New Roman" w:cs="Times New Roman"/>
          <w:b/>
          <w:color w:val="0D0D0D" w:themeColor="text1" w:themeTint="F2"/>
          <w:sz w:val="24"/>
          <w:szCs w:val="24"/>
        </w:rPr>
        <w:t xml:space="preserve"> a</w:t>
      </w:r>
      <w:r w:rsidRPr="00502F10">
        <w:rPr>
          <w:rFonts w:ascii="Times New Roman" w:hAnsi="Times New Roman" w:cs="Times New Roman"/>
          <w:color w:val="0D0D0D" w:themeColor="text1" w:themeTint="F2"/>
          <w:sz w:val="24"/>
          <w:szCs w:val="24"/>
        </w:rPr>
        <w:t xml:space="preserve"> and &gt;0.401g (Severe intensity), </w:t>
      </w:r>
      <w:r w:rsidRPr="00502F10">
        <w:rPr>
          <w:rFonts w:ascii="Times New Roman" w:hAnsi="Times New Roman" w:cs="Times New Roman"/>
          <w:b/>
          <w:color w:val="0D0D0D" w:themeColor="text1" w:themeTint="F2"/>
          <w:sz w:val="24"/>
          <w:szCs w:val="24"/>
        </w:rPr>
        <w:t>b</w:t>
      </w:r>
      <w:r w:rsidRPr="00502F10">
        <w:rPr>
          <w:rFonts w:ascii="Times New Roman" w:hAnsi="Times New Roman" w:cs="Times New Roman"/>
          <w:color w:val="0D0D0D" w:themeColor="text1" w:themeTint="F2"/>
          <w:sz w:val="24"/>
          <w:szCs w:val="24"/>
        </w:rPr>
        <w:t xml:space="preserve">. </w:t>
      </w:r>
      <w:r w:rsidR="00F31011" w:rsidRPr="00502F10">
        <w:rPr>
          <w:rFonts w:ascii="Times New Roman" w:hAnsi="Times New Roman" w:cs="Times New Roman"/>
          <w:b/>
          <w:color w:val="0D0D0D" w:themeColor="text1" w:themeTint="F2"/>
          <w:sz w:val="24"/>
          <w:szCs w:val="24"/>
        </w:rPr>
        <w:t>c,</w:t>
      </w:r>
      <w:r w:rsidR="00F31011" w:rsidRPr="00502F10">
        <w:rPr>
          <w:rFonts w:ascii="Times New Roman" w:hAnsi="Times New Roman" w:cs="Times New Roman"/>
          <w:color w:val="0D0D0D" w:themeColor="text1" w:themeTint="F2"/>
          <w:sz w:val="24"/>
          <w:szCs w:val="24"/>
        </w:rPr>
        <w:t xml:space="preserve"> </w:t>
      </w:r>
      <w:r w:rsidRPr="00502F10">
        <w:rPr>
          <w:rFonts w:ascii="Times New Roman" w:hAnsi="Times New Roman" w:cs="Times New Roman"/>
          <w:color w:val="0D0D0D" w:themeColor="text1" w:themeTint="F2"/>
          <w:sz w:val="24"/>
          <w:szCs w:val="24"/>
        </w:rPr>
        <w:t xml:space="preserve">Visual depiction of overlay of both the seismic hazard zones on the offshore and onshore sedimentary deposit basins in South America. </w:t>
      </w:r>
    </w:p>
    <w:p w14:paraId="278C38A3" w14:textId="5E3957A0" w:rsidR="005F77E5" w:rsidRPr="00576281" w:rsidRDefault="005F77E5" w:rsidP="005F77E5">
      <w:pPr>
        <w:rPr>
          <w:rFonts w:ascii="Times New Roman" w:hAnsi="Times New Roman" w:cs="Times New Roman"/>
          <w:sz w:val="24"/>
          <w:szCs w:val="24"/>
        </w:rPr>
      </w:pPr>
    </w:p>
    <w:p w14:paraId="50F10F79" w14:textId="6858E1C8" w:rsidR="00C251B2" w:rsidRPr="00502F10" w:rsidRDefault="74649BBE" w:rsidP="005F77E5">
      <w:pPr>
        <w:rPr>
          <w:rFonts w:ascii="Times New Roman" w:hAnsi="Times New Roman" w:cs="Times New Roman"/>
          <w:color w:val="404040" w:themeColor="text1" w:themeTint="BF"/>
          <w:sz w:val="24"/>
          <w:szCs w:val="24"/>
        </w:rPr>
      </w:pPr>
      <w:r>
        <w:rPr>
          <w:noProof/>
        </w:rPr>
        <w:lastRenderedPageBreak/>
        <w:drawing>
          <wp:inline distT="0" distB="0" distL="0" distR="0" wp14:anchorId="3FBF2F2B" wp14:editId="70EE0036">
            <wp:extent cx="5943600" cy="7214870"/>
            <wp:effectExtent l="0" t="0" r="0" b="0"/>
            <wp:docPr id="1454007188"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7214870"/>
                    </a:xfrm>
                    <a:prstGeom prst="rect">
                      <a:avLst/>
                    </a:prstGeom>
                  </pic:spPr>
                </pic:pic>
              </a:graphicData>
            </a:graphic>
          </wp:inline>
        </w:drawing>
      </w:r>
      <w:r w:rsidR="39042B4A" w:rsidRPr="00502F10">
        <w:rPr>
          <w:rFonts w:ascii="Times New Roman" w:hAnsi="Times New Roman" w:cs="Times New Roman"/>
          <w:color w:val="0D0D0D" w:themeColor="text1" w:themeTint="F2"/>
          <w:sz w:val="24"/>
          <w:szCs w:val="24"/>
          <w:lang w:val="en-US"/>
        </w:rPr>
        <w:t xml:space="preserve">Fig S3. </w:t>
      </w:r>
      <w:proofErr w:type="gramStart"/>
      <w:r w:rsidR="6D0D5043" w:rsidRPr="00502F10">
        <w:rPr>
          <w:rFonts w:ascii="Times New Roman" w:hAnsi="Times New Roman" w:cs="Times New Roman"/>
          <w:b/>
          <w:color w:val="0D0D0D" w:themeColor="text1" w:themeTint="F2"/>
          <w:sz w:val="24"/>
          <w:szCs w:val="24"/>
          <w:lang w:val="en-US"/>
        </w:rPr>
        <w:t>a</w:t>
      </w:r>
      <w:r w:rsidR="6D0D5043" w:rsidRPr="00502F10">
        <w:rPr>
          <w:rFonts w:ascii="Times New Roman" w:hAnsi="Times New Roman" w:cs="Times New Roman"/>
          <w:color w:val="0D0D0D" w:themeColor="text1" w:themeTint="F2"/>
          <w:sz w:val="24"/>
          <w:szCs w:val="24"/>
          <w:lang w:val="en-US"/>
        </w:rPr>
        <w:t>,</w:t>
      </w:r>
      <w:proofErr w:type="gramEnd"/>
      <w:r w:rsidR="6D0D5043" w:rsidRPr="00502F10">
        <w:rPr>
          <w:rFonts w:ascii="Times New Roman" w:hAnsi="Times New Roman" w:cs="Times New Roman"/>
          <w:color w:val="0D0D0D" w:themeColor="text1" w:themeTint="F2"/>
          <w:sz w:val="24"/>
          <w:szCs w:val="24"/>
          <w:lang w:val="en-US"/>
        </w:rPr>
        <w:t xml:space="preserve"> </w:t>
      </w:r>
      <w:r w:rsidR="562CE3D1" w:rsidRPr="00502F10">
        <w:rPr>
          <w:rFonts w:ascii="Times New Roman" w:hAnsi="Times New Roman" w:cs="Times New Roman"/>
          <w:color w:val="0D0D0D" w:themeColor="text1" w:themeTint="F2"/>
          <w:sz w:val="24"/>
          <w:szCs w:val="24"/>
        </w:rPr>
        <w:t xml:space="preserve">Visual depiction </w:t>
      </w:r>
      <w:r w:rsidRPr="00502F10">
        <w:rPr>
          <w:rFonts w:ascii="Times New Roman" w:hAnsi="Times New Roman" w:cs="Times New Roman"/>
          <w:color w:val="0D0D0D" w:themeColor="text1" w:themeTint="F2"/>
          <w:sz w:val="24"/>
          <w:szCs w:val="24"/>
        </w:rPr>
        <w:t xml:space="preserve">of </w:t>
      </w:r>
      <w:r w:rsidR="6D0D5043" w:rsidRPr="00502F10">
        <w:rPr>
          <w:rFonts w:ascii="Times New Roman" w:hAnsi="Times New Roman" w:cs="Times New Roman"/>
          <w:color w:val="0D0D0D" w:themeColor="text1" w:themeTint="F2"/>
          <w:sz w:val="24"/>
          <w:szCs w:val="24"/>
        </w:rPr>
        <w:t>built-up areas in</w:t>
      </w:r>
      <w:r w:rsidR="562CE3D1" w:rsidRPr="00502F10">
        <w:rPr>
          <w:rFonts w:ascii="Times New Roman" w:hAnsi="Times New Roman" w:cs="Times New Roman"/>
          <w:color w:val="0D0D0D" w:themeColor="text1" w:themeTint="F2"/>
          <w:sz w:val="24"/>
          <w:szCs w:val="24"/>
        </w:rPr>
        <w:t xml:space="preserve"> 2100 for </w:t>
      </w:r>
      <w:r w:rsidR="0AFA3939" w:rsidRPr="00502F10">
        <w:rPr>
          <w:rFonts w:ascii="Times New Roman" w:hAnsi="Times New Roman" w:cs="Times New Roman"/>
          <w:color w:val="0D0D0D" w:themeColor="text1" w:themeTint="F2"/>
          <w:sz w:val="24"/>
          <w:szCs w:val="24"/>
        </w:rPr>
        <w:t xml:space="preserve">under </w:t>
      </w:r>
      <w:r w:rsidR="562CE3D1" w:rsidRPr="00502F10">
        <w:rPr>
          <w:rFonts w:ascii="Times New Roman" w:hAnsi="Times New Roman" w:cs="Times New Roman"/>
          <w:color w:val="0D0D0D" w:themeColor="text1" w:themeTint="F2"/>
          <w:sz w:val="24"/>
          <w:szCs w:val="24"/>
        </w:rPr>
        <w:t xml:space="preserve">SSP5 growth narrative. </w:t>
      </w:r>
      <w:r w:rsidR="6D0D5043" w:rsidRPr="00502F10">
        <w:rPr>
          <w:rFonts w:ascii="Times New Roman" w:hAnsi="Times New Roman" w:cs="Times New Roman"/>
          <w:b/>
          <w:color w:val="0D0D0D" w:themeColor="text1" w:themeTint="F2"/>
          <w:sz w:val="24"/>
          <w:szCs w:val="24"/>
        </w:rPr>
        <w:t>b</w:t>
      </w:r>
      <w:r w:rsidR="562CE3D1" w:rsidRPr="00502F10">
        <w:rPr>
          <w:rFonts w:ascii="Times New Roman" w:hAnsi="Times New Roman" w:cs="Times New Roman"/>
          <w:b/>
          <w:color w:val="0D0D0D" w:themeColor="text1" w:themeTint="F2"/>
          <w:sz w:val="24"/>
          <w:szCs w:val="24"/>
        </w:rPr>
        <w:t>,</w:t>
      </w:r>
      <w:r w:rsidR="562CE3D1" w:rsidRPr="00502F10">
        <w:rPr>
          <w:rFonts w:ascii="Times New Roman" w:hAnsi="Times New Roman" w:cs="Times New Roman"/>
          <w:color w:val="0D0D0D" w:themeColor="text1" w:themeTint="F2"/>
          <w:sz w:val="24"/>
          <w:szCs w:val="24"/>
        </w:rPr>
        <w:t xml:space="preserve"> </w:t>
      </w:r>
      <w:r w:rsidR="6D0D5043" w:rsidRPr="00502F10">
        <w:rPr>
          <w:rFonts w:ascii="Times New Roman" w:hAnsi="Times New Roman" w:cs="Times New Roman"/>
          <w:color w:val="0D0D0D" w:themeColor="text1" w:themeTint="F2"/>
          <w:sz w:val="24"/>
          <w:szCs w:val="24"/>
        </w:rPr>
        <w:t>v</w:t>
      </w:r>
      <w:r w:rsidR="562CE3D1" w:rsidRPr="00502F10">
        <w:rPr>
          <w:rFonts w:ascii="Times New Roman" w:hAnsi="Times New Roman" w:cs="Times New Roman"/>
          <w:color w:val="0D0D0D" w:themeColor="text1" w:themeTint="F2"/>
          <w:sz w:val="24"/>
          <w:szCs w:val="24"/>
        </w:rPr>
        <w:t xml:space="preserve">isual depiction of overlay of </w:t>
      </w:r>
      <w:r w:rsidR="6D0D5043" w:rsidRPr="00502F10">
        <w:rPr>
          <w:rFonts w:ascii="Times New Roman" w:hAnsi="Times New Roman" w:cs="Times New Roman"/>
          <w:color w:val="0D0D0D" w:themeColor="text1" w:themeTint="F2"/>
          <w:sz w:val="24"/>
          <w:szCs w:val="24"/>
        </w:rPr>
        <w:t xml:space="preserve">5km, 25km buffers, </w:t>
      </w:r>
      <w:r w:rsidR="562CE3D1" w:rsidRPr="00502F10">
        <w:rPr>
          <w:rFonts w:ascii="Times New Roman" w:hAnsi="Times New Roman" w:cs="Times New Roman"/>
          <w:color w:val="0D0D0D" w:themeColor="text1" w:themeTint="F2"/>
          <w:sz w:val="24"/>
          <w:szCs w:val="24"/>
        </w:rPr>
        <w:t xml:space="preserve">and 2100 urban boundaries over </w:t>
      </w:r>
      <w:r w:rsidR="5C36A7A1" w:rsidRPr="00502F10">
        <w:rPr>
          <w:rFonts w:ascii="Times New Roman" w:hAnsi="Times New Roman" w:cs="Times New Roman"/>
          <w:color w:val="0D0D0D" w:themeColor="text1" w:themeTint="F2"/>
          <w:sz w:val="24"/>
          <w:szCs w:val="24"/>
        </w:rPr>
        <w:t xml:space="preserve">portions of </w:t>
      </w:r>
      <w:r w:rsidR="562CE3D1" w:rsidRPr="00502F10">
        <w:rPr>
          <w:rFonts w:ascii="Times New Roman" w:hAnsi="Times New Roman" w:cs="Times New Roman"/>
          <w:color w:val="0D0D0D" w:themeColor="text1" w:themeTint="F2"/>
          <w:sz w:val="24"/>
          <w:szCs w:val="24"/>
        </w:rPr>
        <w:t>Egypt</w:t>
      </w:r>
      <w:r w:rsidR="37F8FCB7" w:rsidRPr="00502F10">
        <w:rPr>
          <w:rFonts w:ascii="Times New Roman" w:hAnsi="Times New Roman" w:cs="Times New Roman"/>
          <w:color w:val="0D0D0D" w:themeColor="text1" w:themeTint="F2"/>
          <w:sz w:val="24"/>
          <w:szCs w:val="24"/>
        </w:rPr>
        <w:t xml:space="preserve"> and the Levant</w:t>
      </w:r>
      <w:r w:rsidR="562CE3D1" w:rsidRPr="00502F10">
        <w:rPr>
          <w:rFonts w:ascii="Times New Roman" w:hAnsi="Times New Roman" w:cs="Times New Roman"/>
          <w:color w:val="0D0D0D" w:themeColor="text1" w:themeTint="F2"/>
          <w:sz w:val="24"/>
          <w:szCs w:val="24"/>
        </w:rPr>
        <w:t>.</w:t>
      </w:r>
    </w:p>
    <w:p w14:paraId="78A42369" w14:textId="77777777" w:rsidR="00C251B2" w:rsidRPr="00502F10" w:rsidRDefault="00C251B2">
      <w:pPr>
        <w:rPr>
          <w:rFonts w:ascii="Times New Roman" w:hAnsi="Times New Roman" w:cs="Times New Roman"/>
          <w:color w:val="404040" w:themeColor="text1" w:themeTint="BF"/>
          <w:sz w:val="24"/>
          <w:szCs w:val="24"/>
        </w:rPr>
      </w:pPr>
      <w:r w:rsidRPr="00502F10">
        <w:rPr>
          <w:rFonts w:ascii="Times New Roman" w:hAnsi="Times New Roman" w:cs="Times New Roman"/>
          <w:color w:val="404040" w:themeColor="text1" w:themeTint="BF"/>
          <w:sz w:val="24"/>
          <w:szCs w:val="24"/>
        </w:rPr>
        <w:br w:type="page"/>
      </w:r>
    </w:p>
    <w:p w14:paraId="4E38A3CF" w14:textId="069B6921" w:rsidR="001A08F1" w:rsidRDefault="001A08F1">
      <w:pPr>
        <w:rPr>
          <w:rFonts w:ascii="Times New Roman" w:hAnsi="Times New Roman" w:cs="Times New Roman"/>
          <w:sz w:val="24"/>
          <w:szCs w:val="24"/>
        </w:rPr>
      </w:pPr>
    </w:p>
    <w:p w14:paraId="36E26C7A" w14:textId="34DA921F" w:rsidR="001A08F1" w:rsidRPr="00576281" w:rsidRDefault="004F7B7B" w:rsidP="001A08F1">
      <w:pPr>
        <w:pStyle w:val="Heading3"/>
        <w:rPr>
          <w:rFonts w:ascii="Times New Roman" w:hAnsi="Times New Roman" w:cs="Times New Roman"/>
          <w:sz w:val="24"/>
          <w:szCs w:val="24"/>
        </w:rPr>
      </w:pPr>
      <w:r w:rsidRPr="004F7B7B">
        <w:rPr>
          <w:rFonts w:ascii="Times New Roman" w:hAnsi="Times New Roman" w:cs="Times New Roman"/>
          <w:noProof/>
          <w:sz w:val="24"/>
          <w:szCs w:val="24"/>
        </w:rPr>
        <w:drawing>
          <wp:inline distT="0" distB="0" distL="0" distR="0" wp14:anchorId="0E73051F" wp14:editId="44EA1491">
            <wp:extent cx="5943600" cy="4448810"/>
            <wp:effectExtent l="0" t="0" r="0" b="0"/>
            <wp:docPr id="1995347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47052" name=""/>
                    <pic:cNvPicPr/>
                  </pic:nvPicPr>
                  <pic:blipFill>
                    <a:blip r:embed="rId9"/>
                    <a:stretch>
                      <a:fillRect/>
                    </a:stretch>
                  </pic:blipFill>
                  <pic:spPr>
                    <a:xfrm>
                      <a:off x="0" y="0"/>
                      <a:ext cx="5943600" cy="4448810"/>
                    </a:xfrm>
                    <a:prstGeom prst="rect">
                      <a:avLst/>
                    </a:prstGeom>
                  </pic:spPr>
                </pic:pic>
              </a:graphicData>
            </a:graphic>
          </wp:inline>
        </w:drawing>
      </w:r>
    </w:p>
    <w:p w14:paraId="2768643B" w14:textId="03CFC2C9" w:rsidR="001A08F1" w:rsidRPr="00502F10" w:rsidRDefault="00097D66" w:rsidP="001A08F1">
      <w:pPr>
        <w:rPr>
          <w:rFonts w:ascii="Times New Roman" w:hAnsi="Times New Roman" w:cs="Times New Roman"/>
          <w:color w:val="0D0D0D" w:themeColor="text1" w:themeTint="F2"/>
          <w:sz w:val="24"/>
          <w:szCs w:val="24"/>
        </w:rPr>
      </w:pPr>
      <w:r w:rsidRPr="00502F10">
        <w:rPr>
          <w:rFonts w:ascii="Times New Roman" w:hAnsi="Times New Roman" w:cs="Times New Roman"/>
          <w:color w:val="0D0D0D" w:themeColor="text1" w:themeTint="F2"/>
          <w:sz w:val="24"/>
          <w:szCs w:val="24"/>
          <w:lang w:val="en-US"/>
        </w:rPr>
        <w:t xml:space="preserve">Fig S4. </w:t>
      </w:r>
      <w:proofErr w:type="gramStart"/>
      <w:r w:rsidR="00C079FE" w:rsidRPr="00502F10">
        <w:rPr>
          <w:rFonts w:ascii="Times New Roman" w:hAnsi="Times New Roman" w:cs="Times New Roman"/>
          <w:b/>
          <w:color w:val="0D0D0D" w:themeColor="text1" w:themeTint="F2"/>
          <w:sz w:val="24"/>
          <w:szCs w:val="24"/>
          <w:lang w:val="en-US"/>
        </w:rPr>
        <w:t>a</w:t>
      </w:r>
      <w:r w:rsidR="00C079FE" w:rsidRPr="00502F10">
        <w:rPr>
          <w:rFonts w:ascii="Times New Roman" w:hAnsi="Times New Roman" w:cs="Times New Roman"/>
          <w:color w:val="0D0D0D" w:themeColor="text1" w:themeTint="F2"/>
          <w:sz w:val="24"/>
          <w:szCs w:val="24"/>
          <w:lang w:val="en-US"/>
        </w:rPr>
        <w:t>,</w:t>
      </w:r>
      <w:proofErr w:type="gramEnd"/>
      <w:r w:rsidR="00C079FE" w:rsidRPr="00502F10">
        <w:rPr>
          <w:rFonts w:ascii="Times New Roman" w:hAnsi="Times New Roman" w:cs="Times New Roman"/>
          <w:color w:val="0D0D0D" w:themeColor="text1" w:themeTint="F2"/>
          <w:sz w:val="24"/>
          <w:szCs w:val="24"/>
          <w:lang w:val="en-US"/>
        </w:rPr>
        <w:t xml:space="preserve"> </w:t>
      </w:r>
      <w:r w:rsidR="00684999" w:rsidRPr="00502F10">
        <w:rPr>
          <w:rFonts w:ascii="Times New Roman" w:hAnsi="Times New Roman" w:cs="Times New Roman"/>
          <w:color w:val="0D0D0D" w:themeColor="text1" w:themeTint="F2"/>
          <w:sz w:val="24"/>
          <w:szCs w:val="24"/>
          <w:lang w:val="en-US"/>
        </w:rPr>
        <w:t xml:space="preserve">global map of offshore sedimentary deposit boundaries and water depth. </w:t>
      </w:r>
      <w:r w:rsidR="00A379F7" w:rsidRPr="00502F10">
        <w:rPr>
          <w:rFonts w:ascii="Times New Roman" w:hAnsi="Times New Roman" w:cs="Times New Roman"/>
          <w:b/>
          <w:color w:val="0D0D0D" w:themeColor="text1" w:themeTint="F2"/>
          <w:sz w:val="24"/>
          <w:szCs w:val="24"/>
          <w:lang w:val="en-US"/>
        </w:rPr>
        <w:t>b,</w:t>
      </w:r>
      <w:r w:rsidR="00A379F7" w:rsidRPr="00502F10">
        <w:rPr>
          <w:rFonts w:ascii="Times New Roman" w:hAnsi="Times New Roman" w:cs="Times New Roman"/>
          <w:color w:val="0D0D0D" w:themeColor="text1" w:themeTint="F2"/>
          <w:sz w:val="24"/>
          <w:szCs w:val="24"/>
          <w:lang w:val="en-US"/>
        </w:rPr>
        <w:t xml:space="preserve"> global map of offshore sedimentary deposit boundaries and offshore oil and gas explorations</w:t>
      </w:r>
      <w:r w:rsidR="006A49FD" w:rsidRPr="00502F10">
        <w:rPr>
          <w:rFonts w:ascii="Times New Roman" w:hAnsi="Times New Roman" w:cs="Times New Roman"/>
          <w:color w:val="0D0D0D" w:themeColor="text1" w:themeTint="F2"/>
          <w:sz w:val="24"/>
          <w:szCs w:val="24"/>
          <w:lang w:val="en-US"/>
        </w:rPr>
        <w:t xml:space="preserve"> (blue)</w:t>
      </w:r>
      <w:r w:rsidR="00A379F7" w:rsidRPr="00502F10">
        <w:rPr>
          <w:rFonts w:ascii="Times New Roman" w:hAnsi="Times New Roman" w:cs="Times New Roman"/>
          <w:color w:val="0D0D0D" w:themeColor="text1" w:themeTint="F2"/>
          <w:sz w:val="24"/>
          <w:szCs w:val="24"/>
          <w:lang w:val="en-US"/>
        </w:rPr>
        <w:t xml:space="preserve">. </w:t>
      </w:r>
      <w:r w:rsidR="00445AFB" w:rsidRPr="00502F10">
        <w:rPr>
          <w:rFonts w:ascii="Times New Roman" w:hAnsi="Times New Roman" w:cs="Times New Roman"/>
          <w:color w:val="0D0D0D" w:themeColor="text1" w:themeTint="F2"/>
          <w:sz w:val="24"/>
          <w:szCs w:val="24"/>
          <w:lang w:val="en-US"/>
        </w:rPr>
        <w:t xml:space="preserve">            </w:t>
      </w:r>
      <w:r w:rsidR="00445AFB" w:rsidRPr="00502F10">
        <w:rPr>
          <w:rFonts w:ascii="Times New Roman" w:hAnsi="Times New Roman" w:cs="Times New Roman"/>
          <w:b/>
          <w:color w:val="0D0D0D" w:themeColor="text1" w:themeTint="F2"/>
          <w:sz w:val="24"/>
          <w:szCs w:val="24"/>
          <w:lang w:val="en-US"/>
        </w:rPr>
        <w:t>c</w:t>
      </w:r>
      <w:r w:rsidR="004F7B7B" w:rsidRPr="00502F10">
        <w:rPr>
          <w:rFonts w:ascii="Times New Roman" w:hAnsi="Times New Roman" w:cs="Times New Roman"/>
          <w:color w:val="0D0D0D" w:themeColor="text1" w:themeTint="F2"/>
          <w:sz w:val="24"/>
          <w:szCs w:val="24"/>
          <w:lang w:val="en-US"/>
        </w:rPr>
        <w:t xml:space="preserve">, </w:t>
      </w:r>
      <w:r w:rsidR="004F7B7B" w:rsidRPr="00502F10">
        <w:rPr>
          <w:rFonts w:ascii="Times New Roman" w:hAnsi="Times New Roman" w:cs="Times New Roman"/>
          <w:color w:val="0D0D0D" w:themeColor="text1" w:themeTint="F2"/>
          <w:sz w:val="24"/>
          <w:szCs w:val="24"/>
        </w:rPr>
        <w:t xml:space="preserve">zoomed in view overlaying offshore and onshore oil and gas infrastructure locations in </w:t>
      </w:r>
      <w:r w:rsidR="00160AA1" w:rsidRPr="00502F10">
        <w:rPr>
          <w:rFonts w:ascii="Times New Roman" w:hAnsi="Times New Roman" w:cs="Times New Roman"/>
          <w:color w:val="0D0D0D" w:themeColor="text1" w:themeTint="F2"/>
          <w:sz w:val="24"/>
          <w:szCs w:val="24"/>
        </w:rPr>
        <w:t>the North Sea</w:t>
      </w:r>
      <w:r w:rsidR="004F7B7B" w:rsidRPr="00502F10">
        <w:rPr>
          <w:rFonts w:ascii="Times New Roman" w:hAnsi="Times New Roman" w:cs="Times New Roman"/>
          <w:color w:val="0D0D0D" w:themeColor="text1" w:themeTint="F2"/>
          <w:sz w:val="24"/>
          <w:szCs w:val="24"/>
        </w:rPr>
        <w:t xml:space="preserve"> on top of 1500m and 300m </w:t>
      </w:r>
      <w:r w:rsidR="00160AA1" w:rsidRPr="00502F10">
        <w:rPr>
          <w:rFonts w:ascii="Times New Roman" w:hAnsi="Times New Roman" w:cs="Times New Roman"/>
          <w:color w:val="0D0D0D" w:themeColor="text1" w:themeTint="F2"/>
          <w:sz w:val="24"/>
          <w:szCs w:val="24"/>
        </w:rPr>
        <w:t xml:space="preserve">water depth </w:t>
      </w:r>
      <w:r w:rsidR="004F7B7B" w:rsidRPr="00502F10">
        <w:rPr>
          <w:rFonts w:ascii="Times New Roman" w:hAnsi="Times New Roman" w:cs="Times New Roman"/>
          <w:color w:val="0D0D0D" w:themeColor="text1" w:themeTint="F2"/>
          <w:sz w:val="24"/>
          <w:szCs w:val="24"/>
        </w:rPr>
        <w:t>assessment boundaries</w:t>
      </w:r>
      <w:r w:rsidR="00634DF7" w:rsidRPr="00502F10">
        <w:rPr>
          <w:rFonts w:ascii="Times New Roman" w:hAnsi="Times New Roman" w:cs="Times New Roman"/>
          <w:color w:val="0D0D0D" w:themeColor="text1" w:themeTint="F2"/>
          <w:sz w:val="24"/>
          <w:szCs w:val="24"/>
        </w:rPr>
        <w:t xml:space="preserve">. </w:t>
      </w:r>
      <w:r w:rsidR="00634DF7" w:rsidRPr="00502F10">
        <w:rPr>
          <w:rFonts w:ascii="Times New Roman" w:hAnsi="Times New Roman" w:cs="Times New Roman"/>
          <w:b/>
          <w:color w:val="0D0D0D" w:themeColor="text1" w:themeTint="F2"/>
          <w:sz w:val="24"/>
          <w:szCs w:val="24"/>
        </w:rPr>
        <w:t>d</w:t>
      </w:r>
      <w:r w:rsidR="00634DF7" w:rsidRPr="00502F10">
        <w:rPr>
          <w:rFonts w:ascii="Times New Roman" w:hAnsi="Times New Roman" w:cs="Times New Roman"/>
          <w:color w:val="0D0D0D" w:themeColor="text1" w:themeTint="F2"/>
          <w:sz w:val="24"/>
          <w:szCs w:val="24"/>
        </w:rPr>
        <w:t xml:space="preserve">, histogram of count of offshore </w:t>
      </w:r>
      <w:r w:rsidR="005F06DE" w:rsidRPr="00502F10">
        <w:rPr>
          <w:rFonts w:ascii="Times New Roman" w:hAnsi="Times New Roman" w:cs="Times New Roman"/>
          <w:color w:val="0D0D0D" w:themeColor="text1" w:themeTint="F2"/>
          <w:sz w:val="24"/>
          <w:szCs w:val="24"/>
        </w:rPr>
        <w:t>oil and gas installations for discrete underlying water depth</w:t>
      </w:r>
      <w:r w:rsidR="00242C7C" w:rsidRPr="00502F10">
        <w:rPr>
          <w:rFonts w:ascii="Times New Roman" w:hAnsi="Times New Roman" w:cs="Times New Roman"/>
          <w:color w:val="0D0D0D" w:themeColor="text1" w:themeTint="F2"/>
          <w:sz w:val="24"/>
          <w:szCs w:val="24"/>
        </w:rPr>
        <w:t xml:space="preserve"> (n=</w:t>
      </w:r>
      <w:r w:rsidR="00242C7C" w:rsidRPr="00502F10">
        <w:rPr>
          <w:rFonts w:ascii="Fira Code" w:hAnsi="Fira Code" w:cs="Fira Code"/>
          <w:color w:val="0D0D0D" w:themeColor="text1" w:themeTint="F2"/>
          <w:sz w:val="18"/>
          <w:szCs w:val="18"/>
        </w:rPr>
        <w:t>121,717)</w:t>
      </w:r>
      <w:r w:rsidR="00F90825" w:rsidRPr="00502F10">
        <w:rPr>
          <w:rFonts w:ascii="Times New Roman" w:hAnsi="Times New Roman" w:cs="Times New Roman"/>
          <w:color w:val="0D0D0D" w:themeColor="text1" w:themeTint="F2"/>
          <w:sz w:val="24"/>
          <w:szCs w:val="24"/>
        </w:rPr>
        <w:t xml:space="preserve">. </w:t>
      </w:r>
    </w:p>
    <w:p w14:paraId="3AB6E545" w14:textId="77777777" w:rsidR="00445AFB" w:rsidRDefault="00445AFB" w:rsidP="001A08F1">
      <w:pPr>
        <w:rPr>
          <w:rFonts w:ascii="Times New Roman" w:hAnsi="Times New Roman" w:cs="Times New Roman"/>
          <w:color w:val="262626" w:themeColor="text1" w:themeTint="D9"/>
          <w:sz w:val="24"/>
          <w:szCs w:val="24"/>
        </w:rPr>
      </w:pPr>
    </w:p>
    <w:p w14:paraId="205B1537" w14:textId="77777777" w:rsidR="00445AFB" w:rsidRDefault="00445AFB" w:rsidP="001A08F1">
      <w:pPr>
        <w:rPr>
          <w:rFonts w:ascii="Times New Roman" w:hAnsi="Times New Roman" w:cs="Times New Roman"/>
          <w:color w:val="262626" w:themeColor="text1" w:themeTint="D9"/>
          <w:sz w:val="24"/>
          <w:szCs w:val="24"/>
        </w:rPr>
      </w:pPr>
    </w:p>
    <w:p w14:paraId="7F8D2AA6" w14:textId="796C9757" w:rsidR="00445AFB" w:rsidRPr="00502F10" w:rsidRDefault="00EF3A79" w:rsidP="001A08F1">
      <w:pPr>
        <w:rPr>
          <w:rFonts w:ascii="Times New Roman" w:hAnsi="Times New Roman" w:cs="Times New Roman"/>
          <w:color w:val="262626" w:themeColor="text1" w:themeTint="D9"/>
          <w:sz w:val="24"/>
          <w:szCs w:val="24"/>
        </w:rPr>
      </w:pPr>
      <w:r w:rsidRPr="00EF3A79">
        <w:rPr>
          <w:rFonts w:ascii="Times New Roman" w:hAnsi="Times New Roman" w:cs="Times New Roman"/>
          <w:noProof/>
          <w:color w:val="262626" w:themeColor="text1" w:themeTint="D9"/>
          <w:sz w:val="24"/>
          <w:szCs w:val="24"/>
        </w:rPr>
        <w:lastRenderedPageBreak/>
        <w:drawing>
          <wp:inline distT="0" distB="0" distL="0" distR="0" wp14:anchorId="55F6E8EE" wp14:editId="201FB958">
            <wp:extent cx="5762897" cy="5042535"/>
            <wp:effectExtent l="0" t="0" r="3175" b="0"/>
            <wp:docPr id="92021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16306" name="Picture 1"/>
                    <pic:cNvPicPr/>
                  </pic:nvPicPr>
                  <pic:blipFill>
                    <a:blip r:embed="rId10"/>
                    <a:stretch>
                      <a:fillRect/>
                    </a:stretch>
                  </pic:blipFill>
                  <pic:spPr>
                    <a:xfrm>
                      <a:off x="0" y="0"/>
                      <a:ext cx="5762897" cy="5042535"/>
                    </a:xfrm>
                    <a:prstGeom prst="rect">
                      <a:avLst/>
                    </a:prstGeom>
                  </pic:spPr>
                </pic:pic>
              </a:graphicData>
            </a:graphic>
          </wp:inline>
        </w:drawing>
      </w:r>
    </w:p>
    <w:p w14:paraId="21E802C7" w14:textId="65AC9B56" w:rsidR="00EF3A79" w:rsidRPr="00502F10" w:rsidRDefault="00EF3A79" w:rsidP="00EF3A79">
      <w:pPr>
        <w:rPr>
          <w:rFonts w:ascii="Times New Roman" w:hAnsi="Times New Roman" w:cs="Times New Roman"/>
          <w:color w:val="0D0D0D" w:themeColor="text1" w:themeTint="F2"/>
          <w:sz w:val="24"/>
          <w:szCs w:val="24"/>
        </w:rPr>
      </w:pPr>
      <w:r w:rsidRPr="00502F10">
        <w:rPr>
          <w:rFonts w:ascii="Times New Roman" w:hAnsi="Times New Roman" w:cs="Times New Roman"/>
          <w:color w:val="0D0D0D" w:themeColor="text1" w:themeTint="F2"/>
          <w:sz w:val="24"/>
          <w:szCs w:val="24"/>
          <w:lang w:val="en-US"/>
        </w:rPr>
        <w:t xml:space="preserve">Fig S5. </w:t>
      </w:r>
      <w:proofErr w:type="gramStart"/>
      <w:r w:rsidRPr="00502F10">
        <w:rPr>
          <w:rFonts w:ascii="Times New Roman" w:hAnsi="Times New Roman" w:cs="Times New Roman"/>
          <w:b/>
          <w:color w:val="0D0D0D" w:themeColor="text1" w:themeTint="F2"/>
          <w:sz w:val="24"/>
          <w:szCs w:val="24"/>
          <w:lang w:val="en-US"/>
        </w:rPr>
        <w:t>a</w:t>
      </w:r>
      <w:r w:rsidRPr="00502F10">
        <w:rPr>
          <w:rFonts w:ascii="Times New Roman" w:hAnsi="Times New Roman" w:cs="Times New Roman"/>
          <w:color w:val="0D0D0D" w:themeColor="text1" w:themeTint="F2"/>
          <w:sz w:val="24"/>
          <w:szCs w:val="24"/>
          <w:lang w:val="en-US"/>
        </w:rPr>
        <w:t>,</w:t>
      </w:r>
      <w:proofErr w:type="gramEnd"/>
      <w:r w:rsidRPr="00502F10">
        <w:rPr>
          <w:rFonts w:ascii="Times New Roman" w:hAnsi="Times New Roman" w:cs="Times New Roman"/>
          <w:color w:val="0D0D0D" w:themeColor="text1" w:themeTint="F2"/>
          <w:sz w:val="24"/>
          <w:szCs w:val="24"/>
          <w:lang w:val="en-US"/>
        </w:rPr>
        <w:t xml:space="preserve"> global map of offshore </w:t>
      </w:r>
      <w:r w:rsidR="00641613" w:rsidRPr="00502F10">
        <w:rPr>
          <w:rFonts w:ascii="Times New Roman" w:hAnsi="Times New Roman" w:cs="Times New Roman"/>
          <w:color w:val="0D0D0D" w:themeColor="text1" w:themeTint="F2"/>
          <w:sz w:val="24"/>
          <w:szCs w:val="24"/>
          <w:lang w:val="en-US"/>
        </w:rPr>
        <w:t xml:space="preserve">and onshore </w:t>
      </w:r>
      <w:r w:rsidRPr="00502F10">
        <w:rPr>
          <w:rFonts w:ascii="Times New Roman" w:hAnsi="Times New Roman" w:cs="Times New Roman"/>
          <w:color w:val="0D0D0D" w:themeColor="text1" w:themeTint="F2"/>
          <w:sz w:val="24"/>
          <w:szCs w:val="24"/>
          <w:lang w:val="en-US"/>
        </w:rPr>
        <w:t xml:space="preserve">sedimentary deposit </w:t>
      </w:r>
      <w:r w:rsidR="00641613" w:rsidRPr="00502F10">
        <w:rPr>
          <w:rFonts w:ascii="Times New Roman" w:hAnsi="Times New Roman" w:cs="Times New Roman"/>
          <w:color w:val="0D0D0D" w:themeColor="text1" w:themeTint="F2"/>
          <w:sz w:val="24"/>
          <w:szCs w:val="24"/>
          <w:lang w:val="en-US"/>
        </w:rPr>
        <w:t>depths</w:t>
      </w:r>
      <w:r w:rsidRPr="00502F10">
        <w:rPr>
          <w:rFonts w:ascii="Times New Roman" w:hAnsi="Times New Roman" w:cs="Times New Roman"/>
          <w:color w:val="0D0D0D" w:themeColor="text1" w:themeTint="F2"/>
          <w:sz w:val="24"/>
          <w:szCs w:val="24"/>
          <w:lang w:val="en-US"/>
        </w:rPr>
        <w:t xml:space="preserve">. </w:t>
      </w:r>
      <w:r w:rsidR="00641613" w:rsidRPr="00502F10">
        <w:rPr>
          <w:rFonts w:ascii="Times New Roman" w:hAnsi="Times New Roman" w:cs="Times New Roman"/>
          <w:color w:val="0D0D0D" w:themeColor="text1" w:themeTint="F2"/>
          <w:sz w:val="24"/>
          <w:szCs w:val="24"/>
          <w:lang w:val="en-US"/>
        </w:rPr>
        <w:t xml:space="preserve">The histograms on the right are depicting the distribution of onshore and offshore sedimentary depths for a </w:t>
      </w:r>
      <w:r w:rsidR="00A81261" w:rsidRPr="00502F10">
        <w:rPr>
          <w:rFonts w:ascii="Times New Roman" w:hAnsi="Times New Roman" w:cs="Times New Roman"/>
          <w:color w:val="0D0D0D" w:themeColor="text1" w:themeTint="F2"/>
          <w:sz w:val="24"/>
          <w:szCs w:val="24"/>
          <w:lang w:val="en-US"/>
        </w:rPr>
        <w:t xml:space="preserve">1 decimal degree global grid. </w:t>
      </w:r>
      <w:r w:rsidRPr="00502F10">
        <w:rPr>
          <w:rFonts w:ascii="Times New Roman" w:hAnsi="Times New Roman" w:cs="Times New Roman"/>
          <w:b/>
          <w:color w:val="0D0D0D" w:themeColor="text1" w:themeTint="F2"/>
          <w:sz w:val="24"/>
          <w:szCs w:val="24"/>
          <w:lang w:val="en-US"/>
        </w:rPr>
        <w:t>b,</w:t>
      </w:r>
      <w:r w:rsidRPr="00502F10">
        <w:rPr>
          <w:rFonts w:ascii="Times New Roman" w:hAnsi="Times New Roman" w:cs="Times New Roman"/>
          <w:color w:val="0D0D0D" w:themeColor="text1" w:themeTint="F2"/>
          <w:sz w:val="24"/>
          <w:szCs w:val="24"/>
          <w:lang w:val="en-US"/>
        </w:rPr>
        <w:t xml:space="preserve"> </w:t>
      </w:r>
      <w:r w:rsidR="004A5453" w:rsidRPr="00502F10">
        <w:rPr>
          <w:rFonts w:ascii="Times New Roman" w:hAnsi="Times New Roman" w:cs="Times New Roman"/>
          <w:color w:val="0D0D0D" w:themeColor="text1" w:themeTint="F2"/>
          <w:sz w:val="24"/>
          <w:szCs w:val="24"/>
          <w:lang w:val="en-US"/>
        </w:rPr>
        <w:t xml:space="preserve">range of calculations for different combinations of minimum and maximum depth </w:t>
      </w:r>
      <w:r w:rsidR="00156D27" w:rsidRPr="00502F10">
        <w:rPr>
          <w:rFonts w:ascii="Times New Roman" w:hAnsi="Times New Roman" w:cs="Times New Roman"/>
          <w:color w:val="0D0D0D" w:themeColor="text1" w:themeTint="F2"/>
          <w:sz w:val="24"/>
          <w:szCs w:val="24"/>
          <w:lang w:val="en-US"/>
        </w:rPr>
        <w:t xml:space="preserve">values </w:t>
      </w:r>
      <w:r w:rsidR="001D3654" w:rsidRPr="00502F10">
        <w:rPr>
          <w:rFonts w:ascii="Times New Roman" w:hAnsi="Times New Roman" w:cs="Times New Roman"/>
          <w:color w:val="0D0D0D" w:themeColor="text1" w:themeTint="F2"/>
          <w:sz w:val="24"/>
          <w:szCs w:val="24"/>
          <w:lang w:val="en-US"/>
        </w:rPr>
        <w:t xml:space="preserve">for onshore sedimentary basin </w:t>
      </w:r>
      <w:r w:rsidR="00156D27" w:rsidRPr="00502F10">
        <w:rPr>
          <w:rFonts w:ascii="Times New Roman" w:hAnsi="Times New Roman" w:cs="Times New Roman"/>
          <w:color w:val="0D0D0D" w:themeColor="text1" w:themeTint="F2"/>
          <w:sz w:val="24"/>
          <w:szCs w:val="24"/>
          <w:lang w:val="en-US"/>
        </w:rPr>
        <w:t>for our central case. The vertical line is depicting the maximum assessed injection depth based on literature survey</w:t>
      </w:r>
      <w:r w:rsidR="00F73103" w:rsidRPr="00502F10">
        <w:rPr>
          <w:rFonts w:ascii="Times New Roman" w:hAnsi="Times New Roman" w:cs="Times New Roman"/>
          <w:color w:val="0D0D0D" w:themeColor="text1" w:themeTint="F2"/>
          <w:sz w:val="24"/>
          <w:szCs w:val="24"/>
          <w:lang w:val="en-US"/>
        </w:rPr>
        <w:t>.</w:t>
      </w:r>
      <w:r w:rsidRPr="00502F10">
        <w:rPr>
          <w:rFonts w:ascii="Times New Roman" w:hAnsi="Times New Roman" w:cs="Times New Roman"/>
          <w:color w:val="0D0D0D" w:themeColor="text1" w:themeTint="F2"/>
          <w:sz w:val="24"/>
          <w:szCs w:val="24"/>
          <w:lang w:val="en-US"/>
        </w:rPr>
        <w:t xml:space="preserve"> </w:t>
      </w:r>
      <w:r w:rsidRPr="00502F10">
        <w:rPr>
          <w:rFonts w:ascii="Times New Roman" w:hAnsi="Times New Roman" w:cs="Times New Roman"/>
          <w:b/>
          <w:color w:val="0D0D0D" w:themeColor="text1" w:themeTint="F2"/>
          <w:sz w:val="24"/>
          <w:szCs w:val="24"/>
          <w:lang w:val="en-US"/>
        </w:rPr>
        <w:t>c</w:t>
      </w:r>
      <w:r w:rsidRPr="00502F10">
        <w:rPr>
          <w:rFonts w:ascii="Times New Roman" w:hAnsi="Times New Roman" w:cs="Times New Roman"/>
          <w:color w:val="0D0D0D" w:themeColor="text1" w:themeTint="F2"/>
          <w:sz w:val="24"/>
          <w:szCs w:val="24"/>
          <w:lang w:val="en-US"/>
        </w:rPr>
        <w:t xml:space="preserve">, </w:t>
      </w:r>
      <w:r w:rsidR="00F73103" w:rsidRPr="00502F10">
        <w:rPr>
          <w:rFonts w:ascii="Times New Roman" w:hAnsi="Times New Roman" w:cs="Times New Roman"/>
          <w:color w:val="0D0D0D" w:themeColor="text1" w:themeTint="F2"/>
          <w:sz w:val="24"/>
          <w:szCs w:val="24"/>
          <w:lang w:val="en-US"/>
        </w:rPr>
        <w:t xml:space="preserve">heatmap of </w:t>
      </w:r>
      <w:r w:rsidR="00F73103" w:rsidRPr="00502F10">
        <w:rPr>
          <w:rFonts w:ascii="Times New Roman" w:hAnsi="Times New Roman" w:cs="Times New Roman"/>
          <w:color w:val="0D0D0D" w:themeColor="text1" w:themeTint="F2"/>
          <w:sz w:val="24"/>
          <w:szCs w:val="24"/>
        </w:rPr>
        <w:t xml:space="preserve">representative values </w:t>
      </w:r>
      <w:r w:rsidR="00507A65" w:rsidRPr="00502F10">
        <w:rPr>
          <w:rFonts w:ascii="Times New Roman" w:hAnsi="Times New Roman" w:cs="Times New Roman"/>
          <w:color w:val="0D0D0D" w:themeColor="text1" w:themeTint="F2"/>
          <w:sz w:val="24"/>
          <w:szCs w:val="24"/>
        </w:rPr>
        <w:t xml:space="preserve">of </w:t>
      </w:r>
      <w:r w:rsidR="00E05FFC" w:rsidRPr="00502F10">
        <w:rPr>
          <w:rFonts w:ascii="Times New Roman" w:hAnsi="Times New Roman" w:cs="Times New Roman"/>
          <w:color w:val="0D0D0D" w:themeColor="text1" w:themeTint="F2"/>
          <w:sz w:val="24"/>
          <w:szCs w:val="24"/>
        </w:rPr>
        <w:t>assessed geological potential in G</w:t>
      </w:r>
      <w:r w:rsidR="00A8057C" w:rsidRPr="00502F10">
        <w:rPr>
          <w:rFonts w:ascii="Times New Roman" w:hAnsi="Times New Roman" w:cs="Times New Roman"/>
          <w:color w:val="0D0D0D" w:themeColor="text1" w:themeTint="F2"/>
          <w:sz w:val="24"/>
          <w:szCs w:val="24"/>
        </w:rPr>
        <w:t>t</w:t>
      </w:r>
      <w:r w:rsidR="00E05FFC" w:rsidRPr="00502F10">
        <w:rPr>
          <w:rFonts w:ascii="Times New Roman" w:hAnsi="Times New Roman" w:cs="Times New Roman"/>
          <w:color w:val="0D0D0D" w:themeColor="text1" w:themeTint="F2"/>
          <w:sz w:val="24"/>
          <w:szCs w:val="24"/>
        </w:rPr>
        <w:t xml:space="preserve"> CO</w:t>
      </w:r>
      <w:r w:rsidR="00E05FFC" w:rsidRPr="00502F10">
        <w:rPr>
          <w:rFonts w:ascii="Times New Roman" w:hAnsi="Times New Roman" w:cs="Times New Roman"/>
          <w:color w:val="0D0D0D" w:themeColor="text1" w:themeTint="F2"/>
          <w:sz w:val="24"/>
          <w:szCs w:val="24"/>
          <w:vertAlign w:val="subscript"/>
        </w:rPr>
        <w:t xml:space="preserve">2 </w:t>
      </w:r>
      <w:r w:rsidR="00507A65" w:rsidRPr="00502F10">
        <w:rPr>
          <w:rFonts w:ascii="Times New Roman" w:hAnsi="Times New Roman" w:cs="Times New Roman"/>
          <w:color w:val="0D0D0D" w:themeColor="text1" w:themeTint="F2"/>
          <w:sz w:val="24"/>
          <w:szCs w:val="24"/>
        </w:rPr>
        <w:t xml:space="preserve">for a combination </w:t>
      </w:r>
      <w:r w:rsidR="00507A65" w:rsidRPr="00502F10">
        <w:rPr>
          <w:rFonts w:ascii="Times New Roman" w:hAnsi="Times New Roman" w:cs="Times New Roman"/>
          <w:color w:val="0D0D0D" w:themeColor="text1" w:themeTint="F2"/>
          <w:sz w:val="24"/>
          <w:szCs w:val="24"/>
          <w:lang w:val="en-US"/>
        </w:rPr>
        <w:t xml:space="preserve">of minimum and maximum depth values </w:t>
      </w:r>
      <w:r w:rsidR="006157BE" w:rsidRPr="00502F10">
        <w:rPr>
          <w:rFonts w:ascii="Times New Roman" w:hAnsi="Times New Roman" w:cs="Times New Roman"/>
          <w:color w:val="0D0D0D" w:themeColor="text1" w:themeTint="F2"/>
          <w:sz w:val="24"/>
          <w:szCs w:val="24"/>
          <w:lang w:val="en-US"/>
        </w:rPr>
        <w:t xml:space="preserve">for onshore sedimentary basin </w:t>
      </w:r>
      <w:r w:rsidR="00507A65" w:rsidRPr="00502F10">
        <w:rPr>
          <w:rFonts w:ascii="Times New Roman" w:hAnsi="Times New Roman" w:cs="Times New Roman"/>
          <w:color w:val="0D0D0D" w:themeColor="text1" w:themeTint="F2"/>
          <w:sz w:val="24"/>
          <w:szCs w:val="24"/>
          <w:lang w:val="en-US"/>
        </w:rPr>
        <w:t>for our central case. The black colored box is representative of our central case and the</w:t>
      </w:r>
      <w:r w:rsidR="00E05FFC" w:rsidRPr="00502F10">
        <w:rPr>
          <w:rFonts w:ascii="Times New Roman" w:hAnsi="Times New Roman" w:cs="Times New Roman"/>
          <w:color w:val="0D0D0D" w:themeColor="text1" w:themeTint="F2"/>
          <w:sz w:val="24"/>
          <w:szCs w:val="24"/>
          <w:lang w:val="en-US"/>
        </w:rPr>
        <w:t xml:space="preserve"> yellow-colored box is representative of minimum and maximum injection depth</w:t>
      </w:r>
      <w:r w:rsidR="00507A65" w:rsidRPr="00502F10">
        <w:rPr>
          <w:rFonts w:ascii="Times New Roman" w:hAnsi="Times New Roman" w:cs="Times New Roman"/>
          <w:color w:val="0D0D0D" w:themeColor="text1" w:themeTint="F2"/>
          <w:sz w:val="24"/>
          <w:szCs w:val="24"/>
          <w:lang w:val="en-US"/>
        </w:rPr>
        <w:t xml:space="preserve"> </w:t>
      </w:r>
      <w:r w:rsidR="00E05FFC" w:rsidRPr="00502F10">
        <w:rPr>
          <w:rFonts w:ascii="Times New Roman" w:hAnsi="Times New Roman" w:cs="Times New Roman"/>
          <w:color w:val="0D0D0D" w:themeColor="text1" w:themeTint="F2"/>
          <w:sz w:val="24"/>
          <w:szCs w:val="24"/>
          <w:lang w:val="en-US"/>
        </w:rPr>
        <w:t xml:space="preserve">based on literature survey. </w:t>
      </w:r>
    </w:p>
    <w:p w14:paraId="1D4E1C0A" w14:textId="77777777" w:rsidR="00573928" w:rsidRDefault="00573928" w:rsidP="00573928">
      <w:pPr>
        <w:rPr>
          <w:rFonts w:ascii="Times New Roman" w:hAnsi="Times New Roman" w:cs="Times New Roman"/>
          <w:color w:val="262626" w:themeColor="text1" w:themeTint="D9"/>
          <w:sz w:val="24"/>
          <w:szCs w:val="24"/>
          <w:lang w:val="en-US"/>
        </w:rPr>
      </w:pPr>
    </w:p>
    <w:p w14:paraId="5CE98072" w14:textId="77777777" w:rsidR="00573928" w:rsidRDefault="00573928" w:rsidP="00573928">
      <w:pPr>
        <w:rPr>
          <w:rFonts w:ascii="Times New Roman" w:hAnsi="Times New Roman" w:cs="Times New Roman"/>
          <w:color w:val="262626" w:themeColor="text1" w:themeTint="D9"/>
          <w:sz w:val="24"/>
          <w:szCs w:val="24"/>
          <w:lang w:val="en-US"/>
        </w:rPr>
      </w:pPr>
    </w:p>
    <w:p w14:paraId="3E6DF4F7" w14:textId="77777777" w:rsidR="00573928" w:rsidRDefault="00573928" w:rsidP="00573928">
      <w:pPr>
        <w:rPr>
          <w:rFonts w:ascii="Times New Roman" w:hAnsi="Times New Roman" w:cs="Times New Roman"/>
          <w:color w:val="262626" w:themeColor="text1" w:themeTint="D9"/>
          <w:sz w:val="24"/>
          <w:szCs w:val="24"/>
          <w:lang w:val="en-US"/>
        </w:rPr>
      </w:pPr>
    </w:p>
    <w:p w14:paraId="201674C2" w14:textId="77777777" w:rsidR="00573928" w:rsidRDefault="00573928" w:rsidP="00573928">
      <w:pPr>
        <w:rPr>
          <w:rFonts w:ascii="Times New Roman" w:hAnsi="Times New Roman" w:cs="Times New Roman"/>
          <w:color w:val="262626" w:themeColor="text1" w:themeTint="D9"/>
          <w:sz w:val="24"/>
          <w:szCs w:val="24"/>
          <w:lang w:val="en-US"/>
        </w:rPr>
      </w:pPr>
    </w:p>
    <w:p w14:paraId="01A48E3D" w14:textId="77777777" w:rsidR="00573928" w:rsidRDefault="00573928" w:rsidP="00573928">
      <w:pPr>
        <w:rPr>
          <w:rFonts w:ascii="Times New Roman" w:hAnsi="Times New Roman" w:cs="Times New Roman"/>
          <w:color w:val="262626" w:themeColor="text1" w:themeTint="D9"/>
          <w:sz w:val="24"/>
          <w:szCs w:val="24"/>
          <w:lang w:val="en-US"/>
        </w:rPr>
      </w:pPr>
    </w:p>
    <w:p w14:paraId="4ACAA634" w14:textId="600D8CCB" w:rsidR="00573928" w:rsidRPr="00D2620E" w:rsidRDefault="00573928" w:rsidP="00573928">
      <w:pPr>
        <w:rPr>
          <w:rFonts w:ascii="Times New Roman" w:hAnsi="Times New Roman" w:cs="Times New Roman"/>
          <w:color w:val="262626" w:themeColor="text1" w:themeTint="D9"/>
          <w:sz w:val="24"/>
          <w:szCs w:val="24"/>
        </w:rPr>
      </w:pPr>
      <w:r>
        <w:rPr>
          <w:rFonts w:ascii="Times New Roman" w:hAnsi="Times New Roman" w:cs="Times New Roman"/>
          <w:noProof/>
          <w:sz w:val="24"/>
          <w:szCs w:val="24"/>
        </w:rPr>
        <w:lastRenderedPageBreak/>
        <w:drawing>
          <wp:inline distT="0" distB="0" distL="0" distR="0" wp14:anchorId="7DF81A17" wp14:editId="2A4368E9">
            <wp:extent cx="5943600" cy="4106545"/>
            <wp:effectExtent l="0" t="0" r="0" b="0"/>
            <wp:docPr id="292321063" name="Picture 4"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21063" name="Picture 4" descr="A map of the middle eas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106545"/>
                    </a:xfrm>
                    <a:prstGeom prst="rect">
                      <a:avLst/>
                    </a:prstGeom>
                  </pic:spPr>
                </pic:pic>
              </a:graphicData>
            </a:graphic>
          </wp:inline>
        </w:drawing>
      </w:r>
      <w:r w:rsidRPr="00502F10">
        <w:rPr>
          <w:rFonts w:ascii="Times New Roman" w:hAnsi="Times New Roman" w:cs="Times New Roman"/>
          <w:color w:val="0D0D0D" w:themeColor="text1" w:themeTint="F2"/>
          <w:sz w:val="24"/>
          <w:szCs w:val="24"/>
          <w:lang w:val="en-US"/>
        </w:rPr>
        <w:t xml:space="preserve">Fig S6. </w:t>
      </w:r>
      <w:r w:rsidR="000C7692" w:rsidRPr="00502F10">
        <w:rPr>
          <w:rFonts w:ascii="Times New Roman" w:hAnsi="Times New Roman" w:cs="Times New Roman"/>
          <w:color w:val="0D0D0D" w:themeColor="text1" w:themeTint="F2"/>
          <w:sz w:val="24"/>
          <w:szCs w:val="24"/>
          <w:lang w:val="en-US"/>
        </w:rPr>
        <w:t xml:space="preserve">Visual depiction of terrestrial </w:t>
      </w:r>
      <w:r w:rsidR="00D2620E" w:rsidRPr="00502F10">
        <w:rPr>
          <w:rFonts w:ascii="Times New Roman" w:hAnsi="Times New Roman" w:cs="Times New Roman"/>
          <w:color w:val="0D0D0D" w:themeColor="text1" w:themeTint="F2"/>
          <w:sz w:val="24"/>
          <w:szCs w:val="24"/>
          <w:lang w:val="en-US"/>
        </w:rPr>
        <w:t>transboundary</w:t>
      </w:r>
      <w:r w:rsidR="000C7692" w:rsidRPr="00502F10">
        <w:rPr>
          <w:rFonts w:ascii="Times New Roman" w:hAnsi="Times New Roman" w:cs="Times New Roman"/>
          <w:color w:val="0D0D0D" w:themeColor="text1" w:themeTint="F2"/>
          <w:sz w:val="24"/>
          <w:szCs w:val="24"/>
          <w:lang w:val="en-US"/>
        </w:rPr>
        <w:t xml:space="preserve"> buffers. The inset figure is a </w:t>
      </w:r>
      <w:r w:rsidR="00D2620E" w:rsidRPr="00502F10">
        <w:rPr>
          <w:rFonts w:ascii="Times New Roman" w:hAnsi="Times New Roman" w:cs="Times New Roman"/>
          <w:color w:val="0D0D0D" w:themeColor="text1" w:themeTint="F2"/>
          <w:sz w:val="24"/>
          <w:szCs w:val="24"/>
          <w:lang w:val="en-US"/>
        </w:rPr>
        <w:t>zoomed</w:t>
      </w:r>
      <w:r w:rsidR="000C7692" w:rsidRPr="00502F10">
        <w:rPr>
          <w:rFonts w:ascii="Times New Roman" w:hAnsi="Times New Roman" w:cs="Times New Roman"/>
          <w:color w:val="0D0D0D" w:themeColor="text1" w:themeTint="F2"/>
          <w:sz w:val="24"/>
          <w:szCs w:val="24"/>
          <w:lang w:val="en-US"/>
        </w:rPr>
        <w:t xml:space="preserve"> in view of the </w:t>
      </w:r>
      <w:r w:rsidR="00D2620E" w:rsidRPr="00502F10">
        <w:rPr>
          <w:rFonts w:ascii="Times New Roman" w:hAnsi="Times New Roman" w:cs="Times New Roman"/>
          <w:color w:val="0D0D0D" w:themeColor="text1" w:themeTint="F2"/>
          <w:sz w:val="24"/>
          <w:szCs w:val="24"/>
          <w:lang w:val="en-US"/>
        </w:rPr>
        <w:t>buffers</w:t>
      </w:r>
      <w:r w:rsidR="000C7692" w:rsidRPr="00502F10">
        <w:rPr>
          <w:rFonts w:ascii="Times New Roman" w:hAnsi="Times New Roman" w:cs="Times New Roman"/>
          <w:color w:val="0D0D0D" w:themeColor="text1" w:themeTint="F2"/>
          <w:sz w:val="24"/>
          <w:szCs w:val="24"/>
          <w:lang w:val="en-US"/>
        </w:rPr>
        <w:t xml:space="preserve"> o</w:t>
      </w:r>
      <w:r w:rsidR="00D2620E" w:rsidRPr="00502F10">
        <w:rPr>
          <w:rFonts w:ascii="Times New Roman" w:hAnsi="Times New Roman" w:cs="Times New Roman"/>
          <w:color w:val="0D0D0D" w:themeColor="text1" w:themeTint="F2"/>
          <w:sz w:val="24"/>
          <w:szCs w:val="24"/>
          <w:lang w:val="en-US"/>
        </w:rPr>
        <w:t>n a boundary between Yemen and Saudi Arabia</w:t>
      </w:r>
      <w:r w:rsidR="00B94E63">
        <w:rPr>
          <w:rFonts w:ascii="Times New Roman" w:hAnsi="Times New Roman" w:cs="Times New Roman"/>
          <w:color w:val="0D0D0D" w:themeColor="text1" w:themeTint="F2"/>
          <w:sz w:val="24"/>
          <w:szCs w:val="24"/>
          <w:lang w:val="en-US"/>
        </w:rPr>
        <w:t>.</w:t>
      </w:r>
    </w:p>
    <w:p w14:paraId="21E88E40" w14:textId="5279525C" w:rsidR="002E4844" w:rsidRDefault="002E4844">
      <w:pPr>
        <w:rPr>
          <w:rFonts w:ascii="Times New Roman" w:hAnsi="Times New Roman" w:cs="Times New Roman"/>
          <w:sz w:val="24"/>
          <w:szCs w:val="24"/>
        </w:rPr>
      </w:pPr>
      <w:r>
        <w:rPr>
          <w:rFonts w:ascii="Times New Roman" w:hAnsi="Times New Roman" w:cs="Times New Roman"/>
          <w:sz w:val="24"/>
          <w:szCs w:val="24"/>
        </w:rPr>
        <w:br w:type="page"/>
      </w:r>
    </w:p>
    <w:p w14:paraId="673F0BB2" w14:textId="1B39F9ED" w:rsidR="00360F77" w:rsidRPr="00360F77" w:rsidRDefault="00360F77" w:rsidP="00360F77">
      <w:pPr>
        <w:rPr>
          <w:rFonts w:ascii="Times New Roman" w:hAnsi="Times New Roman" w:cs="Times New Roman"/>
          <w:sz w:val="24"/>
          <w:szCs w:val="24"/>
        </w:rPr>
      </w:pPr>
      <w:r w:rsidRPr="00360F77">
        <w:rPr>
          <w:rFonts w:ascii="Times New Roman" w:hAnsi="Times New Roman" w:cs="Times New Roman"/>
          <w:noProof/>
          <w:sz w:val="24"/>
          <w:szCs w:val="24"/>
        </w:rPr>
        <w:lastRenderedPageBreak/>
        <w:drawing>
          <wp:inline distT="0" distB="0" distL="0" distR="0" wp14:anchorId="24302D1A" wp14:editId="078DB4D6">
            <wp:extent cx="5724525" cy="3438525"/>
            <wp:effectExtent l="0" t="0" r="9525" b="9525"/>
            <wp:docPr id="1233552767" name="Picture 4" descr="A chart with multiple colore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52767" name="Picture 4" descr="A chart with multiple colored box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438525"/>
                    </a:xfrm>
                    <a:prstGeom prst="rect">
                      <a:avLst/>
                    </a:prstGeom>
                    <a:noFill/>
                    <a:ln>
                      <a:noFill/>
                    </a:ln>
                  </pic:spPr>
                </pic:pic>
              </a:graphicData>
            </a:graphic>
          </wp:inline>
        </w:drawing>
      </w:r>
    </w:p>
    <w:p w14:paraId="78B08FEA" w14:textId="53808355" w:rsidR="00360F77" w:rsidRPr="00502F10" w:rsidRDefault="00F676A0" w:rsidP="00360F77">
      <w:pPr>
        <w:rPr>
          <w:rFonts w:ascii="Times New Roman" w:hAnsi="Times New Roman" w:cs="Times New Roman"/>
          <w:sz w:val="24"/>
          <w:szCs w:val="24"/>
        </w:rPr>
      </w:pPr>
      <w:r w:rsidRPr="00502F10">
        <w:rPr>
          <w:rFonts w:ascii="Times New Roman" w:hAnsi="Times New Roman" w:cs="Times New Roman"/>
          <w:sz w:val="24"/>
          <w:szCs w:val="24"/>
          <w:lang w:val="en-US"/>
        </w:rPr>
        <w:t>Fig S</w:t>
      </w:r>
      <w:r w:rsidR="00A27798">
        <w:rPr>
          <w:rFonts w:ascii="Times New Roman" w:hAnsi="Times New Roman" w:cs="Times New Roman"/>
          <w:sz w:val="24"/>
          <w:szCs w:val="24"/>
          <w:lang w:val="en-US"/>
        </w:rPr>
        <w:t>7</w:t>
      </w:r>
      <w:r w:rsidRPr="00502F10">
        <w:rPr>
          <w:rFonts w:ascii="Times New Roman" w:hAnsi="Times New Roman" w:cs="Times New Roman"/>
          <w:sz w:val="24"/>
          <w:szCs w:val="24"/>
          <w:lang w:val="en-US"/>
        </w:rPr>
        <w:t>.</w:t>
      </w:r>
      <w:r w:rsidR="00360F77" w:rsidRPr="00502F10">
        <w:rPr>
          <w:rFonts w:ascii="Times New Roman" w:hAnsi="Times New Roman" w:cs="Times New Roman"/>
          <w:sz w:val="24"/>
          <w:szCs w:val="24"/>
        </w:rPr>
        <w:t xml:space="preserve"> Distribution of carbon sequestration technologies by type, shown as share </w:t>
      </w:r>
      <w:r w:rsidR="00075D6B">
        <w:rPr>
          <w:rFonts w:ascii="Times New Roman" w:hAnsi="Times New Roman" w:cs="Times New Roman"/>
          <w:sz w:val="24"/>
          <w:szCs w:val="24"/>
          <w:lang w:val="en-US"/>
        </w:rPr>
        <w:t xml:space="preserve">of cumulative storage </w:t>
      </w:r>
      <w:r w:rsidR="00360F77" w:rsidRPr="00502F10">
        <w:rPr>
          <w:rFonts w:ascii="Times New Roman" w:hAnsi="Times New Roman" w:cs="Times New Roman"/>
          <w:sz w:val="24"/>
          <w:szCs w:val="24"/>
        </w:rPr>
        <w:t xml:space="preserve">(2020-2100). Boxplots illustrate the variation across scenarios, highlighting the relative contributions of fossil CCS, industrial CCS, BECCS, and DACCS. Data are drawn from an unstructured scenario ensemble in the AR6 database, including only scenarios reporting carbon sequestration variables for </w:t>
      </w:r>
      <w:r w:rsidR="003A5EB2">
        <w:rPr>
          <w:rFonts w:ascii="Times New Roman" w:hAnsi="Times New Roman" w:cs="Times New Roman"/>
          <w:sz w:val="24"/>
          <w:szCs w:val="24"/>
          <w:lang w:val="en-US"/>
        </w:rPr>
        <w:t xml:space="preserve">at least </w:t>
      </w:r>
      <w:r w:rsidR="00360F77" w:rsidRPr="00502F10">
        <w:rPr>
          <w:rFonts w:ascii="Times New Roman" w:hAnsi="Times New Roman" w:cs="Times New Roman"/>
          <w:sz w:val="24"/>
          <w:szCs w:val="24"/>
        </w:rPr>
        <w:t xml:space="preserve">fossil fuels, biomass and industrial processes. </w:t>
      </w:r>
    </w:p>
    <w:p w14:paraId="14036A3E" w14:textId="7B9E73EB" w:rsidR="002E4844" w:rsidRDefault="002E4844">
      <w:pPr>
        <w:rPr>
          <w:rFonts w:ascii="Times New Roman" w:hAnsi="Times New Roman" w:cs="Times New Roman"/>
          <w:sz w:val="24"/>
          <w:szCs w:val="24"/>
        </w:rPr>
      </w:pPr>
      <w:r>
        <w:rPr>
          <w:rFonts w:ascii="Times New Roman" w:hAnsi="Times New Roman" w:cs="Times New Roman"/>
          <w:sz w:val="24"/>
          <w:szCs w:val="24"/>
        </w:rPr>
        <w:br w:type="page"/>
      </w:r>
    </w:p>
    <w:p w14:paraId="08D1E8C6" w14:textId="77777777" w:rsidR="001A08F1" w:rsidRPr="00576281" w:rsidRDefault="001A08F1">
      <w:pPr>
        <w:rPr>
          <w:rFonts w:ascii="Times New Roman" w:hAnsi="Times New Roman" w:cs="Times New Roman"/>
          <w:sz w:val="24"/>
          <w:szCs w:val="24"/>
        </w:rPr>
      </w:pPr>
    </w:p>
    <w:p w14:paraId="1B68C1D5" w14:textId="264B65E0" w:rsidR="00BF5846" w:rsidRPr="00576281" w:rsidRDefault="00291910" w:rsidP="005F77E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73F936" wp14:editId="0FE7EFD9">
            <wp:extent cx="4456853" cy="6400800"/>
            <wp:effectExtent l="0" t="0" r="1270" b="0"/>
            <wp:docPr id="1753257772" name="Picture 5"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57772" name="Picture 5" descr="A diagram of a 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56853" cy="6400800"/>
                    </a:xfrm>
                    <a:prstGeom prst="rect">
                      <a:avLst/>
                    </a:prstGeom>
                  </pic:spPr>
                </pic:pic>
              </a:graphicData>
            </a:graphic>
          </wp:inline>
        </w:drawing>
      </w:r>
    </w:p>
    <w:p w14:paraId="24839F1A" w14:textId="77777777" w:rsidR="00C251B2" w:rsidRPr="00576281" w:rsidRDefault="00C251B2">
      <w:pPr>
        <w:rPr>
          <w:rFonts w:ascii="Times New Roman" w:hAnsi="Times New Roman" w:cs="Times New Roman"/>
          <w:sz w:val="24"/>
          <w:szCs w:val="24"/>
          <w:lang w:val="en-US"/>
        </w:rPr>
      </w:pPr>
    </w:p>
    <w:p w14:paraId="10FF6A97" w14:textId="21BE175B" w:rsidR="00111DAB" w:rsidRPr="00576281" w:rsidRDefault="00C251B2">
      <w:pPr>
        <w:rPr>
          <w:rFonts w:ascii="Times New Roman" w:hAnsi="Times New Roman" w:cs="Times New Roman"/>
          <w:sz w:val="24"/>
          <w:szCs w:val="24"/>
        </w:rPr>
      </w:pPr>
      <w:r w:rsidRPr="00576281">
        <w:rPr>
          <w:rFonts w:ascii="Times New Roman" w:hAnsi="Times New Roman" w:cs="Times New Roman"/>
          <w:sz w:val="24"/>
          <w:szCs w:val="24"/>
          <w:lang w:val="en-US"/>
        </w:rPr>
        <w:t>Fig S</w:t>
      </w:r>
      <w:r w:rsidR="0033514C">
        <w:rPr>
          <w:rFonts w:ascii="Times New Roman" w:hAnsi="Times New Roman" w:cs="Times New Roman"/>
          <w:sz w:val="24"/>
          <w:szCs w:val="24"/>
          <w:lang w:val="en-US"/>
        </w:rPr>
        <w:t>8</w:t>
      </w:r>
      <w:r w:rsidRPr="00576281">
        <w:rPr>
          <w:rFonts w:ascii="Times New Roman" w:hAnsi="Times New Roman" w:cs="Times New Roman"/>
          <w:sz w:val="24"/>
          <w:szCs w:val="24"/>
          <w:lang w:val="en-US"/>
        </w:rPr>
        <w:t xml:space="preserve">. </w:t>
      </w:r>
      <w:r w:rsidR="00D44B0A" w:rsidRPr="00576281">
        <w:rPr>
          <w:rFonts w:ascii="Times New Roman" w:hAnsi="Times New Roman" w:cs="Times New Roman"/>
          <w:sz w:val="24"/>
          <w:szCs w:val="24"/>
        </w:rPr>
        <w:t xml:space="preserve">Cumulative carbon storage used in scenarios in the R5ASIA region at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00D44B0A" w:rsidRPr="00576281">
        <w:rPr>
          <w:rFonts w:ascii="Times New Roman" w:hAnsi="Times New Roman" w:cs="Times New Roman"/>
          <w:sz w:val="24"/>
          <w:szCs w:val="24"/>
        </w:rPr>
        <w:t xml:space="preserve"> emissions and at the end of the century, </w:t>
      </w:r>
      <w:r w:rsidR="00D44B0A" w:rsidRPr="00576281">
        <w:rPr>
          <w:rFonts w:ascii="Times New Roman" w:hAnsi="Times New Roman" w:cs="Times New Roman"/>
          <w:b/>
          <w:bCs/>
          <w:sz w:val="24"/>
          <w:szCs w:val="24"/>
        </w:rPr>
        <w:t>a</w:t>
      </w:r>
      <w:r w:rsidR="00D44B0A" w:rsidRPr="00576281">
        <w:rPr>
          <w:rFonts w:ascii="Times New Roman" w:hAnsi="Times New Roman" w:cs="Times New Roman"/>
          <w:sz w:val="24"/>
          <w:szCs w:val="24"/>
        </w:rPr>
        <w:t xml:space="preserve">. </w:t>
      </w:r>
      <w:r w:rsidR="008C6E43" w:rsidRPr="00576281">
        <w:rPr>
          <w:rFonts w:ascii="Times New Roman" w:hAnsi="Times New Roman" w:cs="Times New Roman"/>
          <w:sz w:val="24"/>
          <w:szCs w:val="24"/>
        </w:rPr>
        <w:t xml:space="preserve">The time at which each regional threshold would be exceeded if yearly carbon storage is maintained at levels when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008C6E43" w:rsidRPr="00576281">
        <w:rPr>
          <w:rFonts w:ascii="Times New Roman" w:hAnsi="Times New Roman" w:cs="Times New Roman"/>
          <w:sz w:val="24"/>
          <w:szCs w:val="24"/>
        </w:rPr>
        <w:t xml:space="preserve"> emissions is reached</w:t>
      </w:r>
      <w:r w:rsidR="0070060D" w:rsidRPr="00576281">
        <w:rPr>
          <w:rFonts w:ascii="Times New Roman" w:hAnsi="Times New Roman" w:cs="Times New Roman"/>
          <w:sz w:val="24"/>
          <w:szCs w:val="24"/>
        </w:rPr>
        <w:t xml:space="preserve"> is shown, </w:t>
      </w:r>
      <w:r w:rsidR="0070060D" w:rsidRPr="00576281">
        <w:rPr>
          <w:rFonts w:ascii="Times New Roman" w:hAnsi="Times New Roman" w:cs="Times New Roman"/>
          <w:b/>
          <w:bCs/>
          <w:sz w:val="24"/>
          <w:szCs w:val="24"/>
        </w:rPr>
        <w:t>b</w:t>
      </w:r>
      <w:r w:rsidR="0070060D" w:rsidRPr="00576281">
        <w:rPr>
          <w:rFonts w:ascii="Times New Roman" w:hAnsi="Times New Roman" w:cs="Times New Roman"/>
          <w:sz w:val="24"/>
          <w:szCs w:val="24"/>
        </w:rPr>
        <w:t>, and the year in which each threshold would be exceeded if carbon storage values continue at the same pace after the end of the model horizon</w:t>
      </w:r>
      <w:r w:rsidR="00D401BF" w:rsidRPr="00576281">
        <w:rPr>
          <w:rFonts w:ascii="Times New Roman" w:hAnsi="Times New Roman" w:cs="Times New Roman"/>
          <w:sz w:val="24"/>
          <w:szCs w:val="24"/>
        </w:rPr>
        <w:t xml:space="preserve">, </w:t>
      </w:r>
      <w:r w:rsidR="00D401BF" w:rsidRPr="00576281">
        <w:rPr>
          <w:rFonts w:ascii="Times New Roman" w:hAnsi="Times New Roman" w:cs="Times New Roman"/>
          <w:b/>
          <w:bCs/>
          <w:sz w:val="24"/>
          <w:szCs w:val="24"/>
        </w:rPr>
        <w:t>c</w:t>
      </w:r>
      <w:r w:rsidR="00D401BF" w:rsidRPr="00576281">
        <w:rPr>
          <w:rFonts w:ascii="Times New Roman" w:hAnsi="Times New Roman" w:cs="Times New Roman"/>
          <w:sz w:val="24"/>
          <w:szCs w:val="24"/>
        </w:rPr>
        <w:t xml:space="preserve">. </w:t>
      </w:r>
    </w:p>
    <w:p w14:paraId="35C02637" w14:textId="77777777" w:rsidR="00111DAB" w:rsidRPr="00576281" w:rsidRDefault="00111DAB">
      <w:pPr>
        <w:rPr>
          <w:rFonts w:ascii="Times New Roman" w:hAnsi="Times New Roman" w:cs="Times New Roman"/>
          <w:sz w:val="24"/>
          <w:szCs w:val="24"/>
        </w:rPr>
      </w:pPr>
      <w:r w:rsidRPr="00576281">
        <w:rPr>
          <w:rFonts w:ascii="Times New Roman" w:hAnsi="Times New Roman" w:cs="Times New Roman"/>
          <w:sz w:val="24"/>
          <w:szCs w:val="24"/>
        </w:rPr>
        <w:br w:type="page"/>
      </w:r>
    </w:p>
    <w:p w14:paraId="1B95A0C1" w14:textId="1492D055" w:rsidR="00111DAB" w:rsidRPr="00576281" w:rsidRDefault="00E71ED0">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4EE1A22" wp14:editId="54BC574D">
            <wp:extent cx="4406971" cy="6400800"/>
            <wp:effectExtent l="0" t="0" r="0" b="0"/>
            <wp:docPr id="675669815" name="Picture 6" descr="A graph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9815" name="Picture 6" descr="A graph of different colored shap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06971" cy="6400800"/>
                    </a:xfrm>
                    <a:prstGeom prst="rect">
                      <a:avLst/>
                    </a:prstGeom>
                  </pic:spPr>
                </pic:pic>
              </a:graphicData>
            </a:graphic>
          </wp:inline>
        </w:drawing>
      </w:r>
    </w:p>
    <w:p w14:paraId="0F65D7FF" w14:textId="1ACD118D" w:rsidR="0004713E" w:rsidRPr="00576281" w:rsidRDefault="00111DAB">
      <w:pPr>
        <w:rPr>
          <w:rFonts w:ascii="Times New Roman" w:hAnsi="Times New Roman" w:cs="Times New Roman"/>
          <w:sz w:val="24"/>
          <w:szCs w:val="24"/>
        </w:rPr>
      </w:pPr>
      <w:r w:rsidRPr="00576281">
        <w:rPr>
          <w:rFonts w:ascii="Times New Roman" w:hAnsi="Times New Roman" w:cs="Times New Roman"/>
          <w:sz w:val="24"/>
          <w:szCs w:val="24"/>
          <w:lang w:val="en-US"/>
        </w:rPr>
        <w:t>Fig S</w:t>
      </w:r>
      <w:r w:rsidR="0033514C">
        <w:rPr>
          <w:rFonts w:ascii="Times New Roman" w:hAnsi="Times New Roman" w:cs="Times New Roman"/>
          <w:sz w:val="24"/>
          <w:szCs w:val="24"/>
          <w:lang w:val="en-US"/>
        </w:rPr>
        <w:t>9</w:t>
      </w:r>
      <w:r w:rsidR="00E71ED0">
        <w:rPr>
          <w:rFonts w:ascii="Times New Roman" w:hAnsi="Times New Roman" w:cs="Times New Roman"/>
          <w:sz w:val="24"/>
          <w:szCs w:val="24"/>
          <w:lang w:val="en-US"/>
        </w:rPr>
        <w:t>.</w:t>
      </w:r>
      <w:r w:rsidRPr="00576281">
        <w:rPr>
          <w:rFonts w:ascii="Times New Roman" w:hAnsi="Times New Roman" w:cs="Times New Roman"/>
          <w:sz w:val="24"/>
          <w:szCs w:val="24"/>
          <w:lang w:val="en-US"/>
        </w:rPr>
        <w:t xml:space="preserve"> </w:t>
      </w:r>
      <w:r w:rsidRPr="00576281">
        <w:rPr>
          <w:rFonts w:ascii="Times New Roman" w:hAnsi="Times New Roman" w:cs="Times New Roman"/>
          <w:sz w:val="24"/>
          <w:szCs w:val="24"/>
        </w:rPr>
        <w:t xml:space="preserve">Cumulative carbon storage used in scenarios in the R5LAM region at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and at the end of the century, </w:t>
      </w:r>
      <w:r w:rsidRPr="00576281">
        <w:rPr>
          <w:rFonts w:ascii="Times New Roman" w:hAnsi="Times New Roman" w:cs="Times New Roman"/>
          <w:b/>
          <w:bCs/>
          <w:sz w:val="24"/>
          <w:szCs w:val="24"/>
        </w:rPr>
        <w:t>a</w:t>
      </w:r>
      <w:r w:rsidRPr="00576281">
        <w:rPr>
          <w:rFonts w:ascii="Times New Roman" w:hAnsi="Times New Roman" w:cs="Times New Roman"/>
          <w:sz w:val="24"/>
          <w:szCs w:val="24"/>
        </w:rPr>
        <w:t xml:space="preserve">. The time at which each regional threshold would be exceeded if yearly carbon storage is maintained at levels when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is reached is shown, </w:t>
      </w:r>
      <w:r w:rsidRPr="00576281">
        <w:rPr>
          <w:rFonts w:ascii="Times New Roman" w:hAnsi="Times New Roman" w:cs="Times New Roman"/>
          <w:b/>
          <w:bCs/>
          <w:sz w:val="24"/>
          <w:szCs w:val="24"/>
        </w:rPr>
        <w:t>b</w:t>
      </w:r>
      <w:r w:rsidRPr="00576281">
        <w:rPr>
          <w:rFonts w:ascii="Times New Roman" w:hAnsi="Times New Roman" w:cs="Times New Roman"/>
          <w:sz w:val="24"/>
          <w:szCs w:val="24"/>
        </w:rPr>
        <w:t xml:space="preserve">, and the year in which each threshold would be exceeded if carbon storage values continue at the same pace after the end of the model horizon, </w:t>
      </w:r>
      <w:r w:rsidRPr="00576281">
        <w:rPr>
          <w:rFonts w:ascii="Times New Roman" w:hAnsi="Times New Roman" w:cs="Times New Roman"/>
          <w:b/>
          <w:bCs/>
          <w:sz w:val="24"/>
          <w:szCs w:val="24"/>
        </w:rPr>
        <w:t>c</w:t>
      </w:r>
      <w:r w:rsidRPr="00576281">
        <w:rPr>
          <w:rFonts w:ascii="Times New Roman" w:hAnsi="Times New Roman" w:cs="Times New Roman"/>
          <w:sz w:val="24"/>
          <w:szCs w:val="24"/>
        </w:rPr>
        <w:t xml:space="preserve">.  </w:t>
      </w:r>
    </w:p>
    <w:p w14:paraId="3A02E676" w14:textId="77777777" w:rsidR="0004713E" w:rsidRPr="00576281" w:rsidRDefault="0004713E">
      <w:pPr>
        <w:rPr>
          <w:rFonts w:ascii="Times New Roman" w:hAnsi="Times New Roman" w:cs="Times New Roman"/>
          <w:sz w:val="24"/>
          <w:szCs w:val="24"/>
        </w:rPr>
      </w:pPr>
      <w:r w:rsidRPr="00576281">
        <w:rPr>
          <w:rFonts w:ascii="Times New Roman" w:hAnsi="Times New Roman" w:cs="Times New Roman"/>
          <w:sz w:val="24"/>
          <w:szCs w:val="24"/>
        </w:rPr>
        <w:br w:type="page"/>
      </w:r>
    </w:p>
    <w:p w14:paraId="4DF8781A" w14:textId="482700E0" w:rsidR="0004713E" w:rsidRPr="00576281" w:rsidRDefault="00570E7A">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0030FDE3" wp14:editId="574D40E5">
            <wp:extent cx="4406971" cy="6400800"/>
            <wp:effectExtent l="0" t="0" r="0" b="0"/>
            <wp:docPr id="2040096996" name="Picture 7"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96996" name="Picture 7" descr="A graph of a graph&#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6971" cy="6400800"/>
                    </a:xfrm>
                    <a:prstGeom prst="rect">
                      <a:avLst/>
                    </a:prstGeom>
                  </pic:spPr>
                </pic:pic>
              </a:graphicData>
            </a:graphic>
          </wp:inline>
        </w:drawing>
      </w:r>
    </w:p>
    <w:p w14:paraId="506D68F8" w14:textId="3BABA7D9" w:rsidR="00FB365C" w:rsidRPr="00576281" w:rsidRDefault="0004713E">
      <w:pPr>
        <w:rPr>
          <w:rFonts w:ascii="Times New Roman" w:hAnsi="Times New Roman" w:cs="Times New Roman"/>
          <w:sz w:val="24"/>
          <w:szCs w:val="24"/>
        </w:rPr>
      </w:pPr>
      <w:r w:rsidRPr="00576281">
        <w:rPr>
          <w:rFonts w:ascii="Times New Roman" w:hAnsi="Times New Roman" w:cs="Times New Roman"/>
          <w:sz w:val="24"/>
          <w:szCs w:val="24"/>
          <w:lang w:val="en-US"/>
        </w:rPr>
        <w:t>Fig S</w:t>
      </w:r>
      <w:r w:rsidR="00570E7A">
        <w:rPr>
          <w:rFonts w:ascii="Times New Roman" w:hAnsi="Times New Roman" w:cs="Times New Roman"/>
          <w:sz w:val="24"/>
          <w:szCs w:val="24"/>
          <w:lang w:val="en-US"/>
        </w:rPr>
        <w:t>1</w:t>
      </w:r>
      <w:r w:rsidR="0033514C">
        <w:rPr>
          <w:rFonts w:ascii="Times New Roman" w:hAnsi="Times New Roman" w:cs="Times New Roman"/>
          <w:sz w:val="24"/>
          <w:szCs w:val="24"/>
          <w:lang w:val="en-US"/>
        </w:rPr>
        <w:t>0</w:t>
      </w:r>
      <w:r w:rsidRPr="00576281">
        <w:rPr>
          <w:rFonts w:ascii="Times New Roman" w:hAnsi="Times New Roman" w:cs="Times New Roman"/>
          <w:sz w:val="24"/>
          <w:szCs w:val="24"/>
          <w:lang w:val="en-US"/>
        </w:rPr>
        <w:t xml:space="preserve">. </w:t>
      </w:r>
      <w:r w:rsidRPr="00576281">
        <w:rPr>
          <w:rFonts w:ascii="Times New Roman" w:hAnsi="Times New Roman" w:cs="Times New Roman"/>
          <w:sz w:val="24"/>
          <w:szCs w:val="24"/>
        </w:rPr>
        <w:t xml:space="preserve">Cumulative carbon storage used in scenarios in the R5MAF region at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and at the end of the century, </w:t>
      </w:r>
      <w:r w:rsidRPr="00576281">
        <w:rPr>
          <w:rFonts w:ascii="Times New Roman" w:hAnsi="Times New Roman" w:cs="Times New Roman"/>
          <w:b/>
          <w:bCs/>
          <w:sz w:val="24"/>
          <w:szCs w:val="24"/>
        </w:rPr>
        <w:t>a</w:t>
      </w:r>
      <w:r w:rsidRPr="00576281">
        <w:rPr>
          <w:rFonts w:ascii="Times New Roman" w:hAnsi="Times New Roman" w:cs="Times New Roman"/>
          <w:sz w:val="24"/>
          <w:szCs w:val="24"/>
        </w:rPr>
        <w:t xml:space="preserve">. The time at which each regional threshold would be exceeded if yearly carbon storage is maintained at levels when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is reached is shown, </w:t>
      </w:r>
      <w:r w:rsidRPr="00576281">
        <w:rPr>
          <w:rFonts w:ascii="Times New Roman" w:hAnsi="Times New Roman" w:cs="Times New Roman"/>
          <w:b/>
          <w:bCs/>
          <w:sz w:val="24"/>
          <w:szCs w:val="24"/>
        </w:rPr>
        <w:t>b</w:t>
      </w:r>
      <w:r w:rsidRPr="00576281">
        <w:rPr>
          <w:rFonts w:ascii="Times New Roman" w:hAnsi="Times New Roman" w:cs="Times New Roman"/>
          <w:sz w:val="24"/>
          <w:szCs w:val="24"/>
        </w:rPr>
        <w:t xml:space="preserve">, and the year in which each threshold would be exceeded if carbon storage values continue at the same pace after the end of the model horizon, </w:t>
      </w:r>
      <w:r w:rsidRPr="00576281">
        <w:rPr>
          <w:rFonts w:ascii="Times New Roman" w:hAnsi="Times New Roman" w:cs="Times New Roman"/>
          <w:b/>
          <w:bCs/>
          <w:sz w:val="24"/>
          <w:szCs w:val="24"/>
        </w:rPr>
        <w:t>c</w:t>
      </w:r>
      <w:r w:rsidRPr="00576281">
        <w:rPr>
          <w:rFonts w:ascii="Times New Roman" w:hAnsi="Times New Roman" w:cs="Times New Roman"/>
          <w:sz w:val="24"/>
          <w:szCs w:val="24"/>
        </w:rPr>
        <w:t xml:space="preserve">. </w:t>
      </w:r>
    </w:p>
    <w:p w14:paraId="6CC9FE00" w14:textId="77777777" w:rsidR="00FB365C" w:rsidRPr="00576281" w:rsidRDefault="00FB365C">
      <w:pPr>
        <w:rPr>
          <w:rFonts w:ascii="Times New Roman" w:hAnsi="Times New Roman" w:cs="Times New Roman"/>
          <w:sz w:val="24"/>
          <w:szCs w:val="24"/>
        </w:rPr>
      </w:pPr>
      <w:r w:rsidRPr="00576281">
        <w:rPr>
          <w:rFonts w:ascii="Times New Roman" w:hAnsi="Times New Roman" w:cs="Times New Roman"/>
          <w:sz w:val="24"/>
          <w:szCs w:val="24"/>
        </w:rPr>
        <w:br w:type="page"/>
      </w:r>
    </w:p>
    <w:p w14:paraId="1EFAD5B7" w14:textId="43531343" w:rsidR="00FB365C" w:rsidRPr="00576281" w:rsidRDefault="00E803DA">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9E7F4ED" wp14:editId="1DEC0430">
            <wp:extent cx="4406971" cy="6400800"/>
            <wp:effectExtent l="0" t="0" r="0" b="0"/>
            <wp:docPr id="130624886" name="Picture 8" descr="A diagram of different colored f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4886" name="Picture 8" descr="A diagram of different colored fee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06971" cy="6400800"/>
                    </a:xfrm>
                    <a:prstGeom prst="rect">
                      <a:avLst/>
                    </a:prstGeom>
                  </pic:spPr>
                </pic:pic>
              </a:graphicData>
            </a:graphic>
          </wp:inline>
        </w:drawing>
      </w:r>
    </w:p>
    <w:p w14:paraId="297965F6" w14:textId="474B0AEB" w:rsidR="00A65055" w:rsidRPr="00576281" w:rsidRDefault="00FB365C">
      <w:pPr>
        <w:rPr>
          <w:rFonts w:ascii="Times New Roman" w:hAnsi="Times New Roman" w:cs="Times New Roman"/>
          <w:sz w:val="24"/>
          <w:szCs w:val="24"/>
        </w:rPr>
      </w:pPr>
      <w:r w:rsidRPr="00576281">
        <w:rPr>
          <w:rFonts w:ascii="Times New Roman" w:hAnsi="Times New Roman" w:cs="Times New Roman"/>
          <w:sz w:val="24"/>
          <w:szCs w:val="24"/>
          <w:lang w:val="en-US"/>
        </w:rPr>
        <w:t>Fig S</w:t>
      </w:r>
      <w:r w:rsidR="009175E3">
        <w:rPr>
          <w:rFonts w:ascii="Times New Roman" w:hAnsi="Times New Roman" w:cs="Times New Roman"/>
          <w:sz w:val="24"/>
          <w:szCs w:val="24"/>
          <w:lang w:val="en-US"/>
        </w:rPr>
        <w:t>1</w:t>
      </w:r>
      <w:r w:rsidR="0033514C">
        <w:rPr>
          <w:rFonts w:ascii="Times New Roman" w:hAnsi="Times New Roman" w:cs="Times New Roman"/>
          <w:sz w:val="24"/>
          <w:szCs w:val="24"/>
          <w:lang w:val="en-US"/>
        </w:rPr>
        <w:t>1</w:t>
      </w:r>
      <w:r w:rsidRPr="00576281">
        <w:rPr>
          <w:rFonts w:ascii="Times New Roman" w:hAnsi="Times New Roman" w:cs="Times New Roman"/>
          <w:sz w:val="24"/>
          <w:szCs w:val="24"/>
          <w:lang w:val="en-US"/>
        </w:rPr>
        <w:t xml:space="preserve">. </w:t>
      </w:r>
      <w:r w:rsidRPr="00576281">
        <w:rPr>
          <w:rFonts w:ascii="Times New Roman" w:hAnsi="Times New Roman" w:cs="Times New Roman"/>
          <w:sz w:val="24"/>
          <w:szCs w:val="24"/>
        </w:rPr>
        <w:t xml:space="preserve">Cumulative carbon storage used in scenarios in the R5OECD+EU region at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and at the end of the century, </w:t>
      </w:r>
      <w:r w:rsidRPr="00576281">
        <w:rPr>
          <w:rFonts w:ascii="Times New Roman" w:hAnsi="Times New Roman" w:cs="Times New Roman"/>
          <w:b/>
          <w:bCs/>
          <w:sz w:val="24"/>
          <w:szCs w:val="24"/>
        </w:rPr>
        <w:t>a</w:t>
      </w:r>
      <w:r w:rsidRPr="00576281">
        <w:rPr>
          <w:rFonts w:ascii="Times New Roman" w:hAnsi="Times New Roman" w:cs="Times New Roman"/>
          <w:sz w:val="24"/>
          <w:szCs w:val="24"/>
        </w:rPr>
        <w:t xml:space="preserve">. The time at which each regional threshold would be exceeded if yearly carbon storage is maintained at levels when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is reached is shown, </w:t>
      </w:r>
      <w:r w:rsidRPr="00576281">
        <w:rPr>
          <w:rFonts w:ascii="Times New Roman" w:hAnsi="Times New Roman" w:cs="Times New Roman"/>
          <w:b/>
          <w:bCs/>
          <w:sz w:val="24"/>
          <w:szCs w:val="24"/>
        </w:rPr>
        <w:t>b</w:t>
      </w:r>
      <w:r w:rsidRPr="00576281">
        <w:rPr>
          <w:rFonts w:ascii="Times New Roman" w:hAnsi="Times New Roman" w:cs="Times New Roman"/>
          <w:sz w:val="24"/>
          <w:szCs w:val="24"/>
        </w:rPr>
        <w:t xml:space="preserve">, and the year in which each threshold would be exceeded if carbon storage values continue at the same pace after the end of the model horizon, </w:t>
      </w:r>
      <w:r w:rsidRPr="00576281">
        <w:rPr>
          <w:rFonts w:ascii="Times New Roman" w:hAnsi="Times New Roman" w:cs="Times New Roman"/>
          <w:b/>
          <w:bCs/>
          <w:sz w:val="24"/>
          <w:szCs w:val="24"/>
        </w:rPr>
        <w:t>c</w:t>
      </w:r>
      <w:r w:rsidRPr="00576281">
        <w:rPr>
          <w:rFonts w:ascii="Times New Roman" w:hAnsi="Times New Roman" w:cs="Times New Roman"/>
          <w:sz w:val="24"/>
          <w:szCs w:val="24"/>
        </w:rPr>
        <w:t>.</w:t>
      </w:r>
    </w:p>
    <w:p w14:paraId="642A903A" w14:textId="77777777" w:rsidR="00A65055" w:rsidRPr="00576281" w:rsidRDefault="00A65055">
      <w:pPr>
        <w:rPr>
          <w:rFonts w:ascii="Times New Roman" w:hAnsi="Times New Roman" w:cs="Times New Roman"/>
          <w:sz w:val="24"/>
          <w:szCs w:val="24"/>
        </w:rPr>
      </w:pPr>
      <w:r w:rsidRPr="00576281">
        <w:rPr>
          <w:rFonts w:ascii="Times New Roman" w:hAnsi="Times New Roman" w:cs="Times New Roman"/>
          <w:sz w:val="24"/>
          <w:szCs w:val="24"/>
        </w:rPr>
        <w:br w:type="page"/>
      </w:r>
    </w:p>
    <w:p w14:paraId="02B04150" w14:textId="24EEB5E9" w:rsidR="00A65055" w:rsidRPr="00576281" w:rsidRDefault="009175E3">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F7E5C3D" wp14:editId="0B42D4D7">
            <wp:extent cx="4406971" cy="6400800"/>
            <wp:effectExtent l="0" t="0" r="0" b="0"/>
            <wp:docPr id="130732934" name="Picture 9" descr="A graph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2934" name="Picture 9" descr="A graph of a person's body&#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06971" cy="6400800"/>
                    </a:xfrm>
                    <a:prstGeom prst="rect">
                      <a:avLst/>
                    </a:prstGeom>
                  </pic:spPr>
                </pic:pic>
              </a:graphicData>
            </a:graphic>
          </wp:inline>
        </w:drawing>
      </w:r>
    </w:p>
    <w:p w14:paraId="7E398B7C" w14:textId="7667601C" w:rsidR="00A27798" w:rsidRDefault="00A65055">
      <w:pPr>
        <w:rPr>
          <w:rFonts w:ascii="Times New Roman" w:hAnsi="Times New Roman" w:cs="Times New Roman"/>
          <w:sz w:val="24"/>
          <w:szCs w:val="24"/>
        </w:rPr>
      </w:pPr>
      <w:r w:rsidRPr="00576281">
        <w:rPr>
          <w:rFonts w:ascii="Times New Roman" w:hAnsi="Times New Roman" w:cs="Times New Roman"/>
          <w:sz w:val="24"/>
          <w:szCs w:val="24"/>
          <w:lang w:val="en-US"/>
        </w:rPr>
        <w:t>Fig S</w:t>
      </w:r>
      <w:r w:rsidR="009175E3">
        <w:rPr>
          <w:rFonts w:ascii="Times New Roman" w:hAnsi="Times New Roman" w:cs="Times New Roman"/>
          <w:sz w:val="24"/>
          <w:szCs w:val="24"/>
          <w:lang w:val="en-US"/>
        </w:rPr>
        <w:t>1</w:t>
      </w:r>
      <w:r w:rsidR="0033514C">
        <w:rPr>
          <w:rFonts w:ascii="Times New Roman" w:hAnsi="Times New Roman" w:cs="Times New Roman"/>
          <w:sz w:val="24"/>
          <w:szCs w:val="24"/>
          <w:lang w:val="en-US"/>
        </w:rPr>
        <w:t>2</w:t>
      </w:r>
      <w:r w:rsidR="009175E3">
        <w:rPr>
          <w:rFonts w:ascii="Times New Roman" w:hAnsi="Times New Roman" w:cs="Times New Roman"/>
          <w:sz w:val="24"/>
          <w:szCs w:val="24"/>
          <w:lang w:val="en-US"/>
        </w:rPr>
        <w:t>.</w:t>
      </w:r>
      <w:r w:rsidRPr="00576281">
        <w:rPr>
          <w:rFonts w:ascii="Times New Roman" w:hAnsi="Times New Roman" w:cs="Times New Roman"/>
          <w:sz w:val="24"/>
          <w:szCs w:val="24"/>
          <w:lang w:val="en-US"/>
        </w:rPr>
        <w:t xml:space="preserve"> </w:t>
      </w:r>
      <w:r w:rsidRPr="00576281">
        <w:rPr>
          <w:rFonts w:ascii="Times New Roman" w:hAnsi="Times New Roman" w:cs="Times New Roman"/>
          <w:sz w:val="24"/>
          <w:szCs w:val="24"/>
        </w:rPr>
        <w:t xml:space="preserve">Cumulative carbon storage used in scenarios in the R5REF region at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and at the end of the century, </w:t>
      </w:r>
      <w:r w:rsidRPr="00576281">
        <w:rPr>
          <w:rFonts w:ascii="Times New Roman" w:hAnsi="Times New Roman" w:cs="Times New Roman"/>
          <w:b/>
          <w:bCs/>
          <w:sz w:val="24"/>
          <w:szCs w:val="24"/>
        </w:rPr>
        <w:t>a</w:t>
      </w:r>
      <w:r w:rsidRPr="00576281">
        <w:rPr>
          <w:rFonts w:ascii="Times New Roman" w:hAnsi="Times New Roman" w:cs="Times New Roman"/>
          <w:sz w:val="24"/>
          <w:szCs w:val="24"/>
        </w:rPr>
        <w:t xml:space="preserve">. The time at which each regional threshold would be exceeded if yearly carbon storage is maintained at levels when net-zero </w:t>
      </w:r>
      <w:r w:rsidR="0093661F" w:rsidRPr="00576281">
        <w:rPr>
          <w:rFonts w:ascii="Times New Roman" w:hAnsi="Times New Roman" w:cs="Times New Roman"/>
          <w:sz w:val="24"/>
          <w:szCs w:val="24"/>
        </w:rPr>
        <w:t>CO</w:t>
      </w:r>
      <w:r w:rsidR="0093661F" w:rsidRPr="00576281">
        <w:rPr>
          <w:rFonts w:ascii="Times New Roman" w:hAnsi="Times New Roman" w:cs="Times New Roman"/>
          <w:sz w:val="24"/>
          <w:szCs w:val="24"/>
          <w:vertAlign w:val="subscript"/>
        </w:rPr>
        <w:t>2</w:t>
      </w:r>
      <w:r w:rsidRPr="00576281">
        <w:rPr>
          <w:rFonts w:ascii="Times New Roman" w:hAnsi="Times New Roman" w:cs="Times New Roman"/>
          <w:sz w:val="24"/>
          <w:szCs w:val="24"/>
        </w:rPr>
        <w:t xml:space="preserve"> emissions is reached is shown, </w:t>
      </w:r>
      <w:r w:rsidRPr="00576281">
        <w:rPr>
          <w:rFonts w:ascii="Times New Roman" w:hAnsi="Times New Roman" w:cs="Times New Roman"/>
          <w:b/>
          <w:bCs/>
          <w:sz w:val="24"/>
          <w:szCs w:val="24"/>
        </w:rPr>
        <w:t>b</w:t>
      </w:r>
      <w:r w:rsidRPr="00576281">
        <w:rPr>
          <w:rFonts w:ascii="Times New Roman" w:hAnsi="Times New Roman" w:cs="Times New Roman"/>
          <w:sz w:val="24"/>
          <w:szCs w:val="24"/>
        </w:rPr>
        <w:t xml:space="preserve">, and the year in which each threshold would be exceeded if carbon storage values continue at the same pace after the end of the model horizon, </w:t>
      </w:r>
      <w:r w:rsidRPr="00576281">
        <w:rPr>
          <w:rFonts w:ascii="Times New Roman" w:hAnsi="Times New Roman" w:cs="Times New Roman"/>
          <w:b/>
          <w:bCs/>
          <w:sz w:val="24"/>
          <w:szCs w:val="24"/>
        </w:rPr>
        <w:t>c</w:t>
      </w:r>
      <w:r w:rsidRPr="00576281">
        <w:rPr>
          <w:rFonts w:ascii="Times New Roman" w:hAnsi="Times New Roman" w:cs="Times New Roman"/>
          <w:sz w:val="24"/>
          <w:szCs w:val="24"/>
        </w:rPr>
        <w:t xml:space="preserve">.  </w:t>
      </w:r>
      <w:r w:rsidR="00FB365C" w:rsidRPr="00576281">
        <w:rPr>
          <w:rFonts w:ascii="Times New Roman" w:hAnsi="Times New Roman" w:cs="Times New Roman"/>
          <w:sz w:val="24"/>
          <w:szCs w:val="24"/>
        </w:rPr>
        <w:t xml:space="preserve"> </w:t>
      </w:r>
      <w:r w:rsidR="0004713E" w:rsidRPr="00576281">
        <w:rPr>
          <w:rFonts w:ascii="Times New Roman" w:hAnsi="Times New Roman" w:cs="Times New Roman"/>
          <w:sz w:val="24"/>
          <w:szCs w:val="24"/>
        </w:rPr>
        <w:t xml:space="preserve"> </w:t>
      </w:r>
      <w:r w:rsidR="00C251B2" w:rsidRPr="00576281">
        <w:rPr>
          <w:rFonts w:ascii="Times New Roman" w:hAnsi="Times New Roman" w:cs="Times New Roman"/>
          <w:sz w:val="24"/>
          <w:szCs w:val="24"/>
        </w:rPr>
        <w:t xml:space="preserve"> </w:t>
      </w:r>
    </w:p>
    <w:p w14:paraId="71EAC806" w14:textId="77777777" w:rsidR="00A27798" w:rsidRDefault="00A27798">
      <w:pPr>
        <w:rPr>
          <w:rFonts w:ascii="Times New Roman" w:hAnsi="Times New Roman" w:cs="Times New Roman"/>
          <w:sz w:val="24"/>
          <w:szCs w:val="24"/>
        </w:rPr>
      </w:pPr>
      <w:r>
        <w:rPr>
          <w:rFonts w:ascii="Times New Roman" w:hAnsi="Times New Roman" w:cs="Times New Roman"/>
          <w:sz w:val="24"/>
          <w:szCs w:val="24"/>
        </w:rPr>
        <w:br w:type="page"/>
      </w:r>
    </w:p>
    <w:p w14:paraId="3DD4ECDC" w14:textId="77777777" w:rsidR="00A27798" w:rsidRPr="002E4844" w:rsidRDefault="00A27798" w:rsidP="00A27798">
      <w:pPr>
        <w:rPr>
          <w:rFonts w:ascii="Times New Roman" w:hAnsi="Times New Roman" w:cs="Times New Roman"/>
          <w:sz w:val="24"/>
          <w:szCs w:val="24"/>
        </w:rPr>
      </w:pPr>
      <w:r w:rsidRPr="002E4844">
        <w:rPr>
          <w:rFonts w:ascii="Times New Roman" w:hAnsi="Times New Roman" w:cs="Times New Roman"/>
          <w:noProof/>
          <w:sz w:val="24"/>
          <w:szCs w:val="24"/>
        </w:rPr>
        <w:lastRenderedPageBreak/>
        <w:drawing>
          <wp:inline distT="0" distB="0" distL="0" distR="0" wp14:anchorId="16C9025A" wp14:editId="386BE3F4">
            <wp:extent cx="5715000" cy="5715000"/>
            <wp:effectExtent l="0" t="0" r="0" b="0"/>
            <wp:docPr id="640120888" name="Picture 2" descr="Graph of graph showing carbon diox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20888" name="Picture 2" descr="Graph of graph showing carbon dioxid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2C8F76B0" w14:textId="6BD53C52" w:rsidR="00A27798" w:rsidRPr="00076BDA" w:rsidRDefault="00A27798" w:rsidP="00A27798">
      <w:pPr>
        <w:rPr>
          <w:rFonts w:ascii="Times New Roman" w:hAnsi="Times New Roman" w:cs="Times New Roman"/>
          <w:sz w:val="24"/>
          <w:szCs w:val="24"/>
        </w:rPr>
      </w:pPr>
      <w:r w:rsidRPr="00076BDA">
        <w:rPr>
          <w:rFonts w:ascii="Times New Roman" w:hAnsi="Times New Roman" w:cs="Times New Roman"/>
          <w:sz w:val="24"/>
          <w:szCs w:val="24"/>
          <w:lang w:val="en-US"/>
        </w:rPr>
        <w:t>Fig S</w:t>
      </w:r>
      <w:r w:rsidR="0033514C">
        <w:rPr>
          <w:rFonts w:ascii="Times New Roman" w:hAnsi="Times New Roman" w:cs="Times New Roman"/>
          <w:sz w:val="24"/>
          <w:szCs w:val="24"/>
          <w:lang w:val="en-US"/>
        </w:rPr>
        <w:t>13</w:t>
      </w:r>
      <w:r w:rsidRPr="00076BDA">
        <w:rPr>
          <w:rFonts w:ascii="Times New Roman" w:hAnsi="Times New Roman" w:cs="Times New Roman"/>
          <w:sz w:val="24"/>
          <w:szCs w:val="24"/>
          <w:lang w:val="en-US"/>
        </w:rPr>
        <w:t>.</w:t>
      </w:r>
      <w:r w:rsidRPr="00076BDA">
        <w:rPr>
          <w:rFonts w:ascii="Times New Roman" w:hAnsi="Times New Roman" w:cs="Times New Roman"/>
          <w:sz w:val="24"/>
          <w:szCs w:val="24"/>
        </w:rPr>
        <w:t xml:space="preserve"> Upscaling trajectories of geologic carbon storage across scenarios over time. Data are drawn from an unstructured scenario ensemble in the AR6 database, including only scenarios reporting carbon sequestration variables for fossil fuels, biomass, and industrial processes. Dashed lines represent optimistic upper bounds from the literature</w:t>
      </w:r>
      <w:r>
        <w:rPr>
          <w:rFonts w:ascii="Times New Roman" w:hAnsi="Times New Roman" w:cs="Times New Roman"/>
          <w:sz w:val="24"/>
          <w:szCs w:val="24"/>
          <w:lang w:val="en-US"/>
        </w:rPr>
        <w:t xml:space="preserve"> </w:t>
      </w:r>
      <w:r w:rsidRPr="00360F77">
        <w:rPr>
          <w:rFonts w:ascii="Times New Roman" w:hAnsi="Times New Roman" w:cs="Times New Roman"/>
          <w:sz w:val="24"/>
          <w:szCs w:val="24"/>
        </w:rPr>
        <w:fldChar w:fldCharType="begin"/>
      </w:r>
      <w:r w:rsidRPr="00076BDA">
        <w:rPr>
          <w:rFonts w:ascii="Times New Roman" w:hAnsi="Times New Roman" w:cs="Times New Roman"/>
          <w:sz w:val="24"/>
          <w:szCs w:val="24"/>
        </w:rPr>
        <w:instrText xml:space="preserve"> ADDIN ZOTERO_ITEM CSL_CITATION {"citationID":"4p1yimBl","properties":{"formattedCitation":"(Grant et al., 2022; Kazlou et al., 2024; Warszawski et al., 2021; Zhang et al., 2024)","plainCitation":"(Grant et al., 2022; Kazlou et al., 2024; Warszawski et al., 2021; Zhang et al., 2024)","noteIndex":0},"citationItems":[{"id":8852,"uris":["http://zotero.org/groups/4372748/items/ABJ7GP7X"],"itemData":{"id":8852,"type":"article-journal","abstract":"Most low-carbon scenarios produced by integrated assessment models deploy substantial amounts of carbon capture and storage (CCS). These models generally assume that CO2 storage is a low-cost and globally ubiquitous resource. Here we challenge this assumption, introducing a CO2 storage potential which accounts for the financial, contractual, and institutional barriers to CO2 storage, which we term the investable potential. We provide a first estimate of this investable potential and utilise a global energy system model to explore the implications for global and regional mitigation pathways. Our results suggest that low-carbon scenarios which assume abundant CO2 storage may substantially overestimate the role of CCS in deep decarbonisation, particularly in key regions such as China and India. Limited CO2 storage leads to mitigation pathways with faster emission reductions and greater reliance on renewable energy for decarbonisation. We demonstrate that the optimal use of CCS depends heavily on the availability of CO2 storage, with different use-cases prioritised at different scales of storage availability. Finally, we present exploratory analysis on the potential for cross-border trade in captured CO2 to match sources and sinks. The results of this analysis can help calibrate expectations and inform policy decisions around the role of CCS in addressing climate change.","container-title":"International Journal of Greenhouse Gas Control","DOI":"10.1016/j.ijggc.2022.103766","ISSN":"1750-5836","journalAbbreviation":"International Journal of Greenhouse Gas Control","language":"en","page":"103766","source":"ScienceDirect","title":"Enhancing the realism of decarbonisation scenarios with practicable regional constraints on CO2 storage capacity","URL":"https://www.sciencedirect.com/science/article/pii/S1750583622001840","volume":"120","author":[{"family":"Grant","given":"Neil"},{"family":"Gambhir","given":"Ajay"},{"family":"Mittal","given":"Shivika"},{"family":"Greig","given":"Chris"},{"family":"Köberle","given":"Alexandre C."}],"accessed":{"date-parts":[["2022",9,21]]},"issued":{"date-parts":[["2022",10,1]]}}},{"id":14678,"uris":["http://zotero.org/groups/5107889/items/Z9X86XTN"],"itemData":{"id":14678,"type":"article-journal","abstract":"Climate change mitigation requires the large-scale deployment of carbon capture and storage (CCS). Recent plans indicate an eight-fold increase in CCS capacity by 2030, yet the feasibility of CCS expansion is debated. Using historical growth of CCS and other policy-driven technologies, we show that if plans double between 2023 and 2025 and their failure rates decrease by half, CCS could reach 0.37 GtCO2 yr−1 by 2030—lower than most 1.5 °C pathways but higher than most 2 °C pathways. Staying on-track to 2 °C would require that in 2030–2040 CCS accelerates at least as fast as wind power did in the 2000s, and that after 2040, it grows faster than nuclear power did in the 1970s to 1980s. Only 10% of mitigation pathways meet these feasibility constraints, and virtually all of them depict &lt;600 GtCO2 captured and stored by 2100. Relaxing the constraints by assuming no failures of CCS plans and growth as fast as flue-gas desulfurization would approximately double this amount.","container-title":"Nature Climate Change","DOI":"10.1038/s41558-024-02104-0","ISSN":"1758-6798","issue":"10","journalAbbreviation":"Nat. Clim. Chang.","language":"en","license":"2024 The Author(s)","note":"publisher: Nature Publishing Group","page":"1047-1055","source":"www.nature.com","title":"Feasible deployment of carbon capture and storage and the requirements of climate targets","URL":"https://www.nature.com/articles/s41558-024-02104-0","volume":"14","author":[{"family":"Kazlou","given":"Tsimafei"},{"family":"Cherp","given":"Aleh"},{"family":"Jewell","given":"Jessica"}],"accessed":{"date-parts":[["2024",10,9]]},"issued":{"date-parts":[["2024",10]]}}},{"id":5381,"uris":["http://zotero.org/groups/4372748/items/RRT3R2S6"],"itemData":{"id":5381,"type":"article-journal","abstract":"Climate science provides strong evidence of the necessity of limiting global warming to 1.5 °C, in line with the Paris Climate Agreement. The IPCC 1.5 °C special report (SR1.5) presents 414 emissions scenarios modelled for the report, of which around 50 are classified as ‘1.5 °C scenarios’, with no or low temperature overshoot. These emission scenarios differ in their reliance on individual mitigation levers, including reduction of global energy demand, decarbonisation of energy production, development of land-management systems, and the pace and scale of deploying carbon dioxide removal (CDR) technologies. The reliance of 1.5 °C scenarios on these levers needs to be critically assessed in light of the potentials of the relevant technologies and roll-out plans. We use a set of five parameters to bundle and characterise the mitigation levers employed in the SR1.5 1.5 °C scenarios. For each of these levers, we draw on the literature to define ‘medium’ and ‘high’ upper bounds that delineate between their ‘reasonable’, ‘challenging’ and ‘speculative’ use by mid century. We do not find any 1.5 °C scenarios that stay within all medium upper bounds on the five mitigation levers. Scenarios most frequently ‘over use’ CDR with geological storage as a mitigation lever, whilst reductions of energy demand and carbon intensity of energy production are ‘over used’ less frequently. If we allow mitigation levers to be employed up to our high upper bounds, we are left with 22 of the SR1.5 1.5 °C scenarios with no or low overshoot. The scenarios that fulfil these criteria are characterised by greater coverage of the available mitigation levers than those scenarios that exceed at least one of the high upper bounds. When excluding the two scenarios that exceed the SR1.5 carbon budget for limiting global warming to 1.5 °C, this subset of 1.5 °C scenarios shows a range of 15–22 Gt CO2 (16–22 Gt CO2 interquartile range) for emissions in 2030. For the year of reaching net zero CO2 emissions the range is 2039–2061 (2049–2057 interquartile range).","container-title":"Environmental Research Letters","DOI":"10.1088/1748-9326/abfeec","ISSN":"1748-9326","issue":"6","journalAbbreviation":"Environ. Res. Lett.","language":"en","note":"publisher: IOP Publishing","page":"064037","source":"Institute of Physics","title":"All options, not silver bullets, needed to limit global warming to 1.5 °C: a scenario appraisal","title-short":"All options, not silver bullets, needed to limit global warming to 1.5 °C","URL":"https://doi.org/10.1088/1748-9326/abfeec","volume":"16","author":[{"family":"Warszawski","given":"Lila"},{"family":"Kriegler","given":"Elmar"},{"family":"Lenton","given":"Timothy M."},{"family":"Gaffney","given":"Owen"},{"family":"Jacob","given":"Daniela"},{"family":"Klingenfeld","given":"Daniel"},{"family":"Koide","given":"Ryu"},{"family":"Costa","given":"María Máñez"},{"family":"Messner","given":"Dirk"},{"family":"Nakicenovic","given":"Nebojsa"},{"family":"Schellnhuber","given":"Hans Joachim"},{"family":"Schlosser","given":"Peter"},{"family":"Takeuchi","given":"Kazuhiko"},{"family":"Leeuw","given":"Sander Van Der"},{"family":"Whiteman","given":"Gail"},{"family":"Rockström","given":"Johan"}],"accessed":{"date-parts":[["2021",8,5]]},"issued":{"date-parts":[["2021",5]]}}},{"id":15003,"uris":["http://zotero.org/groups/4516497/items/W449KQJ6"],"itemData":{"id":15003,"type":"article-journal","abstract":"The Sixth Assessment Report by the Intergovernmental Panel on Climate Change projects subsurface carbon storage at rates of 1 – 30 GtCO2 yr−1 by 2050. These projections, however, overlook potential geological, geographical, and techno-economic limitations to growth. We evaluate the feasibility of scaling up CO2 storage using a geographically resolved growth model that considers constraints from both geology and scale-up rate. Our results suggest a maximum global storage rate of 16 GtCO2 yr−1 by 2050, but this is contingent on the United States contributing 60% of the total. These values contrast with projections in the Sixth Assessment Report that vastly overestimate the feasibility of deployment in China, Indonesia, and South Korea. A feasible benchmark for global CO2 storage projections, and consistent with current government technology roadmaps, suggests a global storage rate of 5-6 GtCO2 yr−1, with the United States contributing around 1 GtCO2 yr−1.","container-title":"Nature Communications","DOI":"10.1038/s41467-024-51226-8","ISSN":"2041-1723","issue":"1","journalAbbreviation":"Nat Commun","language":"en","license":"2024 The Author(s)","note":"publisher: Nature Publishing Group","page":"6913","source":"www.nature.com","title":"The feasibility of reaching gigatonne scale CO2 storage by mid-century","URL":"https://www.nature.com/articles/s41467-024-51226-8","volume":"15","author":[{"family":"Zhang","given":"Yuting"},{"family":"Jackson","given":"Christopher"},{"family":"Krevor","given":"Samuel"}],"accessed":{"date-parts":[["2024",12,27]]},"issued":{"date-parts":[["2024",8,28]]}}}],"schema":"https://github.com/citation-style-language/schema/raw/master/csl-citation.json"} </w:instrText>
      </w:r>
      <w:r w:rsidRPr="00360F77">
        <w:rPr>
          <w:rFonts w:ascii="Times New Roman" w:hAnsi="Times New Roman" w:cs="Times New Roman"/>
          <w:sz w:val="24"/>
          <w:szCs w:val="24"/>
        </w:rPr>
        <w:fldChar w:fldCharType="separate"/>
      </w:r>
      <w:r w:rsidRPr="00076BDA">
        <w:rPr>
          <w:rFonts w:ascii="Times New Roman" w:hAnsi="Times New Roman" w:cs="Times New Roman"/>
          <w:sz w:val="24"/>
          <w:szCs w:val="24"/>
        </w:rPr>
        <w:t>(Grant et al., 2022; Kazlou et al., 2024; Warszawski et al., 2021; Zhang et al., 2024)</w:t>
      </w:r>
      <w:r w:rsidRPr="00360F77">
        <w:rPr>
          <w:rFonts w:ascii="Times New Roman" w:hAnsi="Times New Roman" w:cs="Times New Roman"/>
          <w:sz w:val="24"/>
          <w:szCs w:val="24"/>
        </w:rPr>
        <w:fldChar w:fldCharType="end"/>
      </w:r>
      <w:r w:rsidRPr="00076BDA">
        <w:rPr>
          <w:rFonts w:ascii="Times New Roman" w:hAnsi="Times New Roman" w:cs="Times New Roman"/>
          <w:sz w:val="24"/>
          <w:szCs w:val="24"/>
        </w:rPr>
        <w:t xml:space="preserve">, with percentages indicating the proportion of scenarios exceeding each threshold by category and for a given year. Thresholds overview is based on work by </w:t>
      </w:r>
      <w:r w:rsidRPr="00270112">
        <w:rPr>
          <w:rFonts w:ascii="Times New Roman" w:hAnsi="Times New Roman" w:cs="Times New Roman"/>
          <w:sz w:val="24"/>
          <w:szCs w:val="24"/>
        </w:rPr>
        <w:t xml:space="preserve">Candelaria </w:t>
      </w:r>
      <w:proofErr w:type="spellStart"/>
      <w:r w:rsidRPr="00270112">
        <w:rPr>
          <w:rFonts w:ascii="Times New Roman" w:hAnsi="Times New Roman" w:cs="Times New Roman"/>
          <w:sz w:val="24"/>
          <w:szCs w:val="24"/>
        </w:rPr>
        <w:t>Bergero</w:t>
      </w:r>
      <w:proofErr w:type="spellEnd"/>
      <w:r w:rsidRPr="00270112">
        <w:rPr>
          <w:rFonts w:ascii="Times New Roman" w:hAnsi="Times New Roman" w:cs="Times New Roman"/>
          <w:sz w:val="24"/>
          <w:szCs w:val="24"/>
        </w:rPr>
        <w:t xml:space="preserve"> (YSSP Report, 2024).</w:t>
      </w:r>
      <w:r w:rsidR="00270112" w:rsidRPr="00094944">
        <w:rPr>
          <w:rFonts w:ascii="Times New Roman" w:hAnsi="Times New Roman" w:cs="Times New Roman"/>
          <w:sz w:val="24"/>
          <w:szCs w:val="24"/>
        </w:rPr>
        <w:t xml:space="preserve"> </w:t>
      </w:r>
      <w:r w:rsidR="00270112" w:rsidRPr="00E119DA">
        <w:rPr>
          <w:rFonts w:ascii="Times New Roman" w:hAnsi="Times New Roman" w:cs="Times New Roman"/>
          <w:sz w:val="24"/>
          <w:szCs w:val="24"/>
        </w:rPr>
        <w:t xml:space="preserve">We note that the literature is not monolithic regarding the recognition of CCS growth and injectivity limits as a key constraining criterion for carbon storage in deep mitigation futures. </w:t>
      </w:r>
      <w:proofErr w:type="gramStart"/>
      <w:r w:rsidR="00270112" w:rsidRPr="00E119DA">
        <w:rPr>
          <w:rFonts w:ascii="Times New Roman" w:hAnsi="Times New Roman" w:cs="Times New Roman"/>
          <w:sz w:val="24"/>
          <w:szCs w:val="24"/>
        </w:rPr>
        <w:t>In particular, Ringrose</w:t>
      </w:r>
      <w:proofErr w:type="gramEnd"/>
      <w:r w:rsidR="00270112" w:rsidRPr="00E119DA">
        <w:rPr>
          <w:rFonts w:ascii="Times New Roman" w:hAnsi="Times New Roman" w:cs="Times New Roman"/>
          <w:sz w:val="24"/>
          <w:szCs w:val="24"/>
        </w:rPr>
        <w:t xml:space="preserve"> and Meckel (2019)</w:t>
      </w:r>
      <w:r w:rsidR="00270112" w:rsidRPr="00270112">
        <w:rPr>
          <w:rFonts w:ascii="Times New Roman" w:hAnsi="Times New Roman" w:cs="Times New Roman"/>
          <w:sz w:val="24"/>
          <w:szCs w:val="24"/>
        </w:rPr>
        <w:t xml:space="preserve"> state that “</w:t>
      </w:r>
      <w:r w:rsidR="00270112" w:rsidRPr="00E119DA">
        <w:rPr>
          <w:rFonts w:ascii="Times New Roman" w:eastAsia="Roboto" w:hAnsi="Times New Roman" w:cs="Times New Roman"/>
          <w:color w:val="444746"/>
          <w:sz w:val="24"/>
          <w:szCs w:val="24"/>
        </w:rPr>
        <w:t>it is clear that the required well rate for realizing global CCS in the 2020–2050 timeframe is a manageable fraction of the historical well rate”.</w:t>
      </w:r>
    </w:p>
    <w:p w14:paraId="2C87DAEF" w14:textId="00A9172D" w:rsidR="00BF5846" w:rsidRPr="00576281" w:rsidRDefault="00BF5846">
      <w:pPr>
        <w:rPr>
          <w:rFonts w:ascii="Times New Roman" w:hAnsi="Times New Roman" w:cs="Times New Roman"/>
          <w:sz w:val="24"/>
          <w:szCs w:val="24"/>
        </w:rPr>
      </w:pPr>
      <w:r w:rsidRPr="00576281">
        <w:rPr>
          <w:rFonts w:ascii="Times New Roman" w:hAnsi="Times New Roman" w:cs="Times New Roman"/>
          <w:sz w:val="24"/>
          <w:szCs w:val="24"/>
        </w:rPr>
        <w:br w:type="page"/>
      </w:r>
    </w:p>
    <w:p w14:paraId="194A47E7" w14:textId="32321617" w:rsidR="000D154E" w:rsidRDefault="00270BDE" w:rsidP="00270BDE">
      <w:pPr>
        <w:pStyle w:val="Heading1"/>
      </w:pPr>
      <w:r>
        <w:lastRenderedPageBreak/>
        <w:t>Tables</w:t>
      </w:r>
    </w:p>
    <w:p w14:paraId="6F3D50E3" w14:textId="37C3650E" w:rsidR="00270BDE" w:rsidRDefault="00270BDE" w:rsidP="00270BDE">
      <w:r>
        <w:t>All data tables are provided in a separate file.</w:t>
      </w:r>
    </w:p>
    <w:p w14:paraId="63D89CF1" w14:textId="77777777" w:rsidR="00270BDE" w:rsidRPr="00270BDE" w:rsidRDefault="00270BDE" w:rsidP="00270BDE"/>
    <w:p w14:paraId="1E9DE899" w14:textId="673A8C80" w:rsidR="0016264C" w:rsidRPr="00576281" w:rsidRDefault="00F62814" w:rsidP="00D62423">
      <w:pPr>
        <w:widowControl w:val="0"/>
        <w:pBdr>
          <w:top w:val="nil"/>
          <w:left w:val="nil"/>
          <w:bottom w:val="nil"/>
          <w:right w:val="nil"/>
          <w:between w:val="nil"/>
        </w:pBdr>
        <w:spacing w:line="240" w:lineRule="auto"/>
        <w:rPr>
          <w:rFonts w:ascii="Times New Roman" w:hAnsi="Times New Roman" w:cs="Times New Roman"/>
          <w:sz w:val="24"/>
          <w:szCs w:val="24"/>
        </w:rPr>
      </w:pPr>
      <w:r w:rsidRPr="00576281">
        <w:rPr>
          <w:rFonts w:ascii="Times New Roman" w:hAnsi="Times New Roman" w:cs="Times New Roman"/>
          <w:sz w:val="24"/>
          <w:szCs w:val="24"/>
          <w:lang w:val="en-US"/>
        </w:rPr>
        <w:t xml:space="preserve">Table S1. </w:t>
      </w:r>
      <w:r w:rsidR="006A2243" w:rsidRPr="00576281">
        <w:rPr>
          <w:rFonts w:ascii="Times New Roman" w:hAnsi="Times New Roman" w:cs="Times New Roman"/>
          <w:sz w:val="24"/>
          <w:szCs w:val="24"/>
        </w:rPr>
        <w:t>Global storage volumes considering each geospatial risk consideration layer sequentially</w:t>
      </w:r>
      <w:r w:rsidR="006F33A8" w:rsidRPr="00576281">
        <w:rPr>
          <w:rFonts w:ascii="Times New Roman" w:hAnsi="Times New Roman" w:cs="Times New Roman"/>
          <w:sz w:val="24"/>
          <w:szCs w:val="24"/>
        </w:rPr>
        <w:t>, starting from the total global technical potential of onshore storage, offshore storage, and both combined as</w:t>
      </w:r>
      <w:r w:rsidR="0046640C">
        <w:rPr>
          <w:rFonts w:ascii="Times New Roman" w:hAnsi="Times New Roman" w:cs="Times New Roman"/>
          <w:sz w:val="24"/>
          <w:szCs w:val="24"/>
        </w:rPr>
        <w:t xml:space="preserve"> the</w:t>
      </w:r>
      <w:r w:rsidR="006F33A8" w:rsidRPr="00576281">
        <w:rPr>
          <w:rFonts w:ascii="Times New Roman" w:hAnsi="Times New Roman" w:cs="Times New Roman"/>
          <w:sz w:val="24"/>
          <w:szCs w:val="24"/>
        </w:rPr>
        <w:t xml:space="preserve"> global total</w:t>
      </w:r>
      <w:r w:rsidR="006A2243" w:rsidRPr="00576281">
        <w:rPr>
          <w:rFonts w:ascii="Times New Roman" w:hAnsi="Times New Roman" w:cs="Times New Roman"/>
          <w:sz w:val="24"/>
          <w:szCs w:val="24"/>
        </w:rPr>
        <w:t>.</w:t>
      </w:r>
      <w:r w:rsidR="00643A70" w:rsidRPr="00576281">
        <w:rPr>
          <w:rFonts w:ascii="Times New Roman" w:hAnsi="Times New Roman" w:cs="Times New Roman"/>
          <w:sz w:val="24"/>
          <w:szCs w:val="24"/>
        </w:rPr>
        <w:t xml:space="preserve"> Summing all exclusions together results in a global planetary </w:t>
      </w:r>
      <w:r w:rsidR="0046640C">
        <w:rPr>
          <w:rFonts w:ascii="Times New Roman" w:hAnsi="Times New Roman" w:cs="Times New Roman"/>
          <w:sz w:val="24"/>
          <w:szCs w:val="24"/>
        </w:rPr>
        <w:t>limit</w:t>
      </w:r>
      <w:r w:rsidR="00643A70" w:rsidRPr="00576281">
        <w:rPr>
          <w:rFonts w:ascii="Times New Roman" w:hAnsi="Times New Roman" w:cs="Times New Roman"/>
          <w:sz w:val="24"/>
          <w:szCs w:val="24"/>
        </w:rPr>
        <w:t>, provided at the bottom of the table.</w:t>
      </w:r>
      <w:r w:rsidR="006A2243" w:rsidRPr="00576281">
        <w:rPr>
          <w:rFonts w:ascii="Times New Roman" w:hAnsi="Times New Roman" w:cs="Times New Roman"/>
          <w:sz w:val="24"/>
          <w:szCs w:val="24"/>
        </w:rPr>
        <w:t xml:space="preserve"> </w:t>
      </w:r>
      <w:r w:rsidR="006F33A8" w:rsidRPr="00576281">
        <w:rPr>
          <w:rFonts w:ascii="Times New Roman" w:hAnsi="Times New Roman" w:cs="Times New Roman"/>
          <w:sz w:val="24"/>
          <w:szCs w:val="24"/>
        </w:rPr>
        <w:t>An overview of the rationale and quantifications of each limit is provided for every risk consideration. Sensitivity values are provided which estimate the difference in storage based on different assumptions compared to our main estimate</w:t>
      </w:r>
      <w:r w:rsidR="00643A70" w:rsidRPr="00576281">
        <w:rPr>
          <w:rFonts w:ascii="Times New Roman" w:hAnsi="Times New Roman" w:cs="Times New Roman"/>
          <w:sz w:val="24"/>
          <w:szCs w:val="24"/>
        </w:rPr>
        <w:t xml:space="preserve"> for each exclusion layer relative</w:t>
      </w:r>
      <w:r w:rsidR="003A3B0F" w:rsidRPr="00576281">
        <w:rPr>
          <w:rFonts w:ascii="Times New Roman" w:hAnsi="Times New Roman" w:cs="Times New Roman"/>
          <w:sz w:val="24"/>
          <w:szCs w:val="24"/>
        </w:rPr>
        <w:t xml:space="preserve"> to the previous layer in the main analysis</w:t>
      </w:r>
      <w:r w:rsidR="006F33A8" w:rsidRPr="00576281">
        <w:rPr>
          <w:rFonts w:ascii="Times New Roman" w:hAnsi="Times New Roman" w:cs="Times New Roman"/>
          <w:sz w:val="24"/>
          <w:szCs w:val="24"/>
        </w:rPr>
        <w:t>.</w:t>
      </w:r>
      <w:r w:rsidR="00D11C74">
        <w:rPr>
          <w:rFonts w:ascii="Times New Roman" w:hAnsi="Times New Roman" w:cs="Times New Roman"/>
          <w:sz w:val="24"/>
          <w:szCs w:val="24"/>
        </w:rPr>
        <w:t xml:space="preserve"> Exclusion layer sensitivities are described in Table S2.</w:t>
      </w:r>
    </w:p>
    <w:p w14:paraId="1CBAB51C" w14:textId="77777777" w:rsidR="00270BDE" w:rsidRPr="00576281" w:rsidRDefault="00270BDE" w:rsidP="00D62423">
      <w:pPr>
        <w:widowControl w:val="0"/>
        <w:pBdr>
          <w:top w:val="nil"/>
          <w:left w:val="nil"/>
          <w:bottom w:val="nil"/>
          <w:right w:val="nil"/>
          <w:between w:val="nil"/>
        </w:pBdr>
        <w:spacing w:line="240" w:lineRule="auto"/>
        <w:rPr>
          <w:rFonts w:ascii="Times New Roman" w:hAnsi="Times New Roman" w:cs="Times New Roman"/>
          <w:sz w:val="24"/>
          <w:szCs w:val="24"/>
        </w:rPr>
      </w:pPr>
    </w:p>
    <w:p w14:paraId="26136715" w14:textId="77777777" w:rsidR="00CF59B1" w:rsidRDefault="0014744A">
      <w:pPr>
        <w:rPr>
          <w:rFonts w:ascii="Times New Roman" w:hAnsi="Times New Roman" w:cs="Times New Roman"/>
          <w:sz w:val="24"/>
          <w:szCs w:val="24"/>
          <w:lang w:val="en-US"/>
        </w:rPr>
      </w:pPr>
      <w:r>
        <w:rPr>
          <w:rFonts w:ascii="Times New Roman" w:hAnsi="Times New Roman" w:cs="Times New Roman"/>
          <w:sz w:val="24"/>
          <w:szCs w:val="24"/>
          <w:lang w:val="en-US"/>
        </w:rPr>
        <w:t xml:space="preserve">Table S2. Key sensitivities applied to different exclusion layers. </w:t>
      </w:r>
      <w:r w:rsidR="009D0EA5">
        <w:rPr>
          <w:rFonts w:ascii="Times New Roman" w:hAnsi="Times New Roman" w:cs="Times New Roman"/>
          <w:sz w:val="24"/>
          <w:szCs w:val="24"/>
          <w:lang w:val="en-US"/>
        </w:rPr>
        <w:t>Each sensitivity is labeled based on its Risk Consideration, aligning with tabulated values in Table S1.</w:t>
      </w:r>
      <w:r w:rsidR="002A4939">
        <w:rPr>
          <w:rFonts w:ascii="Times New Roman" w:hAnsi="Times New Roman" w:cs="Times New Roman"/>
          <w:sz w:val="24"/>
          <w:szCs w:val="24"/>
          <w:lang w:val="en-US"/>
        </w:rPr>
        <w:t xml:space="preserve"> Negative sensitivities result in lower estimates than the central estimates while positive sensitivities result in higher values.</w:t>
      </w:r>
      <w:r w:rsidR="00A94106">
        <w:rPr>
          <w:rFonts w:ascii="Times New Roman" w:hAnsi="Times New Roman" w:cs="Times New Roman"/>
          <w:sz w:val="24"/>
          <w:szCs w:val="24"/>
          <w:lang w:val="en-US"/>
        </w:rPr>
        <w:t xml:space="preserve"> Where sensitivities </w:t>
      </w:r>
      <w:r w:rsidR="00A40D41">
        <w:rPr>
          <w:rFonts w:ascii="Times New Roman" w:hAnsi="Times New Roman" w:cs="Times New Roman"/>
          <w:sz w:val="24"/>
          <w:szCs w:val="24"/>
          <w:lang w:val="en-US"/>
        </w:rPr>
        <w:t>can be</w:t>
      </w:r>
      <w:r w:rsidR="00A94106">
        <w:rPr>
          <w:rFonts w:ascii="Times New Roman" w:hAnsi="Times New Roman" w:cs="Times New Roman"/>
          <w:sz w:val="24"/>
          <w:szCs w:val="24"/>
          <w:lang w:val="en-US"/>
        </w:rPr>
        <w:t xml:space="preserve"> binary (included or not), Y (yes) means they have been </w:t>
      </w:r>
      <w:proofErr w:type="gramStart"/>
      <w:r w:rsidR="00A94106">
        <w:rPr>
          <w:rFonts w:ascii="Times New Roman" w:hAnsi="Times New Roman" w:cs="Times New Roman"/>
          <w:sz w:val="24"/>
          <w:szCs w:val="24"/>
          <w:lang w:val="en-US"/>
        </w:rPr>
        <w:t>included</w:t>
      </w:r>
      <w:proofErr w:type="gramEnd"/>
      <w:r w:rsidR="00A94106">
        <w:rPr>
          <w:rFonts w:ascii="Times New Roman" w:hAnsi="Times New Roman" w:cs="Times New Roman"/>
          <w:sz w:val="24"/>
          <w:szCs w:val="24"/>
          <w:lang w:val="en-US"/>
        </w:rPr>
        <w:t xml:space="preserve"> and N (no) means they have not been included.</w:t>
      </w:r>
      <w:r w:rsidR="00A40D41">
        <w:rPr>
          <w:rFonts w:ascii="Times New Roman" w:hAnsi="Times New Roman" w:cs="Times New Roman"/>
          <w:sz w:val="24"/>
          <w:szCs w:val="24"/>
          <w:lang w:val="en-US"/>
        </w:rPr>
        <w:t xml:space="preserve"> Otherwise, numerical values are provided.</w:t>
      </w:r>
    </w:p>
    <w:p w14:paraId="0BAA06DC" w14:textId="77777777" w:rsidR="00270BDE" w:rsidRPr="00576281" w:rsidRDefault="00270BDE" w:rsidP="00CF59B1">
      <w:pPr>
        <w:widowControl w:val="0"/>
        <w:pBdr>
          <w:top w:val="nil"/>
          <w:left w:val="nil"/>
          <w:bottom w:val="nil"/>
          <w:right w:val="nil"/>
          <w:between w:val="nil"/>
        </w:pBdr>
        <w:spacing w:line="240" w:lineRule="auto"/>
        <w:rPr>
          <w:rFonts w:ascii="Times New Roman" w:hAnsi="Times New Roman" w:cs="Times New Roman"/>
          <w:sz w:val="24"/>
          <w:szCs w:val="24"/>
        </w:rPr>
      </w:pPr>
    </w:p>
    <w:p w14:paraId="03105105" w14:textId="16B89201" w:rsidR="00270BDE" w:rsidRDefault="00CF59B1">
      <w:pPr>
        <w:rPr>
          <w:rFonts w:ascii="Times New Roman" w:hAnsi="Times New Roman" w:cs="Times New Roman"/>
          <w:sz w:val="24"/>
          <w:szCs w:val="24"/>
          <w:lang w:val="en-US"/>
        </w:rPr>
      </w:pPr>
      <w:r>
        <w:rPr>
          <w:rFonts w:ascii="Times New Roman" w:hAnsi="Times New Roman" w:cs="Times New Roman"/>
          <w:sz w:val="24"/>
          <w:szCs w:val="24"/>
          <w:lang w:val="en-US"/>
        </w:rPr>
        <w:t xml:space="preserve">Table S3. A review of available literature </w:t>
      </w:r>
      <w:r w:rsidR="00661F3A">
        <w:rPr>
          <w:rFonts w:ascii="Times New Roman" w:hAnsi="Times New Roman" w:cs="Times New Roman"/>
          <w:sz w:val="24"/>
          <w:szCs w:val="24"/>
          <w:lang w:val="en-US"/>
        </w:rPr>
        <w:t xml:space="preserve">which estimates either maximum injection depth, minimum injection depth, or estimates both values. </w:t>
      </w:r>
      <w:r w:rsidR="007463BA" w:rsidRPr="00270112">
        <w:rPr>
          <w:rFonts w:ascii="Times New Roman" w:hAnsi="Times New Roman" w:cs="Times New Roman"/>
          <w:sz w:val="24"/>
          <w:szCs w:val="24"/>
          <w:lang w:val="en-US"/>
        </w:rPr>
        <w:t xml:space="preserve">Numerical values are harmonized </w:t>
      </w:r>
      <w:r w:rsidR="00A13B54" w:rsidRPr="00270112">
        <w:rPr>
          <w:rFonts w:ascii="Times New Roman" w:hAnsi="Times New Roman" w:cs="Times New Roman"/>
          <w:sz w:val="24"/>
          <w:szCs w:val="24"/>
          <w:lang w:val="en-US"/>
        </w:rPr>
        <w:t xml:space="preserve">across sources </w:t>
      </w:r>
      <w:r w:rsidR="007463BA" w:rsidRPr="00270112">
        <w:rPr>
          <w:rFonts w:ascii="Times New Roman" w:hAnsi="Times New Roman" w:cs="Times New Roman"/>
          <w:sz w:val="24"/>
          <w:szCs w:val="24"/>
          <w:lang w:val="en-US"/>
        </w:rPr>
        <w:t>to provide consistent estimates in meters (m).</w:t>
      </w:r>
      <w:r w:rsidR="00144FE7" w:rsidRPr="00270112">
        <w:rPr>
          <w:rFonts w:ascii="Times New Roman" w:hAnsi="Times New Roman" w:cs="Times New Roman"/>
          <w:sz w:val="24"/>
          <w:szCs w:val="24"/>
          <w:lang w:val="en-US"/>
        </w:rPr>
        <w:t xml:space="preserve"> </w:t>
      </w:r>
      <w:proofErr w:type="gramStart"/>
      <w:r w:rsidR="00144FE7" w:rsidRPr="00E119DA">
        <w:rPr>
          <w:rFonts w:ascii="Times New Roman" w:hAnsi="Times New Roman" w:cs="Times New Roman"/>
          <w:sz w:val="24"/>
          <w:szCs w:val="24"/>
        </w:rPr>
        <w:t>The majority of</w:t>
      </w:r>
      <w:proofErr w:type="gramEnd"/>
      <w:r w:rsidR="00144FE7" w:rsidRPr="00E119DA">
        <w:rPr>
          <w:rFonts w:ascii="Times New Roman" w:hAnsi="Times New Roman" w:cs="Times New Roman"/>
          <w:sz w:val="24"/>
          <w:szCs w:val="24"/>
        </w:rPr>
        <w:t xml:space="preserve"> the literature we assessed finds that maximal storage depth ranges from around 800-3000m. One study claimed storage depth possible in the </w:t>
      </w:r>
      <w:proofErr w:type="gramStart"/>
      <w:r w:rsidR="00144FE7" w:rsidRPr="00E119DA">
        <w:rPr>
          <w:rFonts w:ascii="Times New Roman" w:hAnsi="Times New Roman" w:cs="Times New Roman"/>
          <w:sz w:val="24"/>
          <w:szCs w:val="24"/>
        </w:rPr>
        <w:t>gulf of Mexico</w:t>
      </w:r>
      <w:proofErr w:type="gramEnd"/>
      <w:r w:rsidR="00144FE7" w:rsidRPr="00E119DA">
        <w:rPr>
          <w:rFonts w:ascii="Times New Roman" w:hAnsi="Times New Roman" w:cs="Times New Roman"/>
          <w:sz w:val="24"/>
          <w:szCs w:val="24"/>
        </w:rPr>
        <w:t xml:space="preserve"> up to </w:t>
      </w:r>
      <w:proofErr w:type="gramStart"/>
      <w:r w:rsidR="00144FE7" w:rsidRPr="00E119DA">
        <w:rPr>
          <w:rFonts w:ascii="Times New Roman" w:hAnsi="Times New Roman" w:cs="Times New Roman"/>
          <w:sz w:val="24"/>
          <w:szCs w:val="24"/>
        </w:rPr>
        <w:t>3500m, but</w:t>
      </w:r>
      <w:proofErr w:type="gramEnd"/>
      <w:r w:rsidR="00144FE7" w:rsidRPr="00E119DA">
        <w:rPr>
          <w:rFonts w:ascii="Times New Roman" w:hAnsi="Times New Roman" w:cs="Times New Roman"/>
          <w:sz w:val="24"/>
          <w:szCs w:val="24"/>
        </w:rPr>
        <w:t xml:space="preserve"> noted that it was unclear about this range due to either pressure in the </w:t>
      </w:r>
      <w:proofErr w:type="spellStart"/>
      <w:r w:rsidR="00144FE7" w:rsidRPr="00E119DA">
        <w:rPr>
          <w:rFonts w:ascii="Times New Roman" w:hAnsi="Times New Roman" w:cs="Times New Roman"/>
          <w:sz w:val="24"/>
          <w:szCs w:val="24"/>
        </w:rPr>
        <w:t>geopressure</w:t>
      </w:r>
      <w:proofErr w:type="spellEnd"/>
      <w:r w:rsidR="00144FE7" w:rsidRPr="00E119DA">
        <w:rPr>
          <w:rFonts w:ascii="Times New Roman" w:hAnsi="Times New Roman" w:cs="Times New Roman"/>
          <w:sz w:val="24"/>
          <w:szCs w:val="24"/>
        </w:rPr>
        <w:t xml:space="preserve"> zone equilibrating with fracture pressure or loss of permeability. The maximum storage depth we could find was from the USGS which uses a boundary of 3962m based on compression requirements. Taken together, and given the large preponderance of the scientific literature, we maintain a central estimate for maximum storage depth of </w:t>
      </w:r>
      <w:proofErr w:type="gramStart"/>
      <w:r w:rsidR="00144FE7" w:rsidRPr="00E119DA">
        <w:rPr>
          <w:rFonts w:ascii="Times New Roman" w:hAnsi="Times New Roman" w:cs="Times New Roman"/>
          <w:sz w:val="24"/>
          <w:szCs w:val="24"/>
        </w:rPr>
        <w:t>2500m, but</w:t>
      </w:r>
      <w:proofErr w:type="gramEnd"/>
      <w:r w:rsidR="00144FE7" w:rsidRPr="00E119DA">
        <w:rPr>
          <w:rFonts w:ascii="Times New Roman" w:hAnsi="Times New Roman" w:cs="Times New Roman"/>
          <w:sz w:val="24"/>
          <w:szCs w:val="24"/>
        </w:rPr>
        <w:t xml:space="preserve"> apply a range between 800m and 3500m in our primary analysis to acknowledge and show the uncertainty in this key parameter in our reported results.</w:t>
      </w:r>
      <w:r w:rsidR="00144FE7" w:rsidRPr="0E6099F0">
        <w:t xml:space="preserve"> </w:t>
      </w:r>
    </w:p>
    <w:p w14:paraId="7F32A218" w14:textId="77777777" w:rsidR="00270BDE" w:rsidRDefault="00270BDE">
      <w:pPr>
        <w:rPr>
          <w:rFonts w:ascii="Times New Roman" w:hAnsi="Times New Roman" w:cs="Times New Roman"/>
          <w:sz w:val="24"/>
          <w:szCs w:val="24"/>
        </w:rPr>
      </w:pPr>
    </w:p>
    <w:p w14:paraId="51018D21" w14:textId="41C5F78C" w:rsidR="00270BDE" w:rsidRDefault="0060366B" w:rsidP="00270BDE">
      <w:pPr>
        <w:rPr>
          <w:rFonts w:ascii="Times New Roman" w:hAnsi="Times New Roman" w:cs="Times New Roman"/>
          <w:sz w:val="24"/>
          <w:szCs w:val="24"/>
          <w:lang w:val="en-US"/>
        </w:rPr>
      </w:pPr>
      <w:r>
        <w:rPr>
          <w:rFonts w:ascii="Times New Roman" w:hAnsi="Times New Roman" w:cs="Times New Roman"/>
          <w:sz w:val="24"/>
          <w:szCs w:val="24"/>
          <w:lang w:val="en-US"/>
        </w:rPr>
        <w:t>Table S4. A review of countries that currently have explicit policies restricting CCS.</w:t>
      </w:r>
      <w:r w:rsidR="00260193">
        <w:rPr>
          <w:rFonts w:ascii="Times New Roman" w:hAnsi="Times New Roman" w:cs="Times New Roman"/>
          <w:sz w:val="24"/>
          <w:szCs w:val="24"/>
          <w:lang w:val="en-US"/>
        </w:rPr>
        <w:t xml:space="preserve"> Expert judgement is used to estimate whether such policies imply major or minor restrictions and to what degree those policies are </w:t>
      </w:r>
      <w:r w:rsidR="002F66FF">
        <w:rPr>
          <w:rFonts w:ascii="Times New Roman" w:hAnsi="Times New Roman" w:cs="Times New Roman"/>
          <w:sz w:val="24"/>
          <w:szCs w:val="24"/>
          <w:lang w:val="en-US"/>
        </w:rPr>
        <w:t>subject to change.</w:t>
      </w:r>
    </w:p>
    <w:p w14:paraId="3E3281D2" w14:textId="0E29F4EE" w:rsidR="0014744A" w:rsidRDefault="0014744A" w:rsidP="00270BDE">
      <w:pPr>
        <w:rPr>
          <w:rFonts w:ascii="Times New Roman" w:hAnsi="Times New Roman" w:cs="Times New Roman"/>
          <w:sz w:val="24"/>
          <w:szCs w:val="24"/>
          <w:lang w:val="en-US"/>
        </w:rPr>
      </w:pPr>
    </w:p>
    <w:p w14:paraId="4168D7C4" w14:textId="4815DDD2" w:rsidR="00717938" w:rsidRPr="00576281" w:rsidRDefault="00D0527A" w:rsidP="001C74B5">
      <w:pPr>
        <w:jc w:val="both"/>
        <w:rPr>
          <w:rFonts w:ascii="Times New Roman" w:hAnsi="Times New Roman" w:cs="Times New Roman"/>
          <w:sz w:val="24"/>
          <w:szCs w:val="24"/>
        </w:rPr>
      </w:pPr>
      <w:r w:rsidRPr="00576281">
        <w:rPr>
          <w:rFonts w:ascii="Times New Roman" w:hAnsi="Times New Roman" w:cs="Times New Roman"/>
          <w:sz w:val="24"/>
          <w:szCs w:val="24"/>
          <w:lang w:val="en-US"/>
        </w:rPr>
        <w:t xml:space="preserve">Table </w:t>
      </w:r>
      <w:r w:rsidR="004E2D98" w:rsidRPr="00576281">
        <w:rPr>
          <w:rFonts w:ascii="Times New Roman" w:hAnsi="Times New Roman" w:cs="Times New Roman"/>
          <w:sz w:val="24"/>
          <w:szCs w:val="24"/>
          <w:lang w:val="en-US"/>
        </w:rPr>
        <w:t>S</w:t>
      </w:r>
      <w:r w:rsidR="00170DC6">
        <w:rPr>
          <w:rFonts w:ascii="Times New Roman" w:hAnsi="Times New Roman" w:cs="Times New Roman"/>
          <w:sz w:val="24"/>
          <w:szCs w:val="24"/>
          <w:lang w:val="en-US"/>
        </w:rPr>
        <w:t>5</w:t>
      </w:r>
      <w:r w:rsidRPr="00576281">
        <w:rPr>
          <w:rFonts w:ascii="Times New Roman" w:hAnsi="Times New Roman" w:cs="Times New Roman"/>
          <w:sz w:val="24"/>
          <w:szCs w:val="24"/>
          <w:lang w:val="en-US"/>
        </w:rPr>
        <w:t xml:space="preserve">. </w:t>
      </w:r>
      <w:r w:rsidR="0095588E" w:rsidRPr="00576281">
        <w:rPr>
          <w:rFonts w:ascii="Times New Roman" w:hAnsi="Times New Roman" w:cs="Times New Roman"/>
          <w:sz w:val="24"/>
          <w:szCs w:val="24"/>
        </w:rPr>
        <w:t xml:space="preserve">Country-resolved estimates of onshore, offshore, and total carbon storage </w:t>
      </w:r>
      <w:r w:rsidR="00503499" w:rsidRPr="00576281">
        <w:rPr>
          <w:rFonts w:ascii="Times New Roman" w:hAnsi="Times New Roman" w:cs="Times New Roman"/>
          <w:sz w:val="24"/>
          <w:szCs w:val="24"/>
        </w:rPr>
        <w:t xml:space="preserve">are provided </w:t>
      </w:r>
      <w:r w:rsidR="004473CE">
        <w:rPr>
          <w:rFonts w:ascii="Times New Roman" w:hAnsi="Times New Roman" w:cs="Times New Roman"/>
          <w:sz w:val="24"/>
          <w:szCs w:val="24"/>
        </w:rPr>
        <w:t>for</w:t>
      </w:r>
      <w:r w:rsidR="00503499" w:rsidRPr="00576281">
        <w:rPr>
          <w:rFonts w:ascii="Times New Roman" w:hAnsi="Times New Roman" w:cs="Times New Roman"/>
          <w:sz w:val="24"/>
          <w:szCs w:val="24"/>
        </w:rPr>
        <w:t xml:space="preserve">: </w:t>
      </w:r>
      <w:r w:rsidR="005D0080">
        <w:rPr>
          <w:rFonts w:ascii="Times New Roman" w:hAnsi="Times New Roman" w:cs="Times New Roman"/>
          <w:sz w:val="24"/>
          <w:szCs w:val="24"/>
        </w:rPr>
        <w:t xml:space="preserve">(1) </w:t>
      </w:r>
      <w:r w:rsidR="00503499" w:rsidRPr="00576281">
        <w:rPr>
          <w:rFonts w:ascii="Times New Roman" w:hAnsi="Times New Roman" w:cs="Times New Roman"/>
          <w:sz w:val="24"/>
          <w:szCs w:val="24"/>
        </w:rPr>
        <w:t>total</w:t>
      </w:r>
      <w:r w:rsidR="0095588E" w:rsidRPr="00576281">
        <w:rPr>
          <w:rFonts w:ascii="Times New Roman" w:hAnsi="Times New Roman" w:cs="Times New Roman"/>
          <w:sz w:val="24"/>
          <w:szCs w:val="24"/>
        </w:rPr>
        <w:t xml:space="preserve"> technical potential (i.e., without any exclusion layers applied), </w:t>
      </w:r>
      <w:r w:rsidR="005D0080">
        <w:rPr>
          <w:rFonts w:ascii="Times New Roman" w:hAnsi="Times New Roman" w:cs="Times New Roman"/>
          <w:sz w:val="24"/>
          <w:szCs w:val="24"/>
        </w:rPr>
        <w:t xml:space="preserve">(2) </w:t>
      </w:r>
      <w:r w:rsidR="005D0080" w:rsidRPr="00576281">
        <w:rPr>
          <w:rFonts w:ascii="Times New Roman" w:hAnsi="Times New Roman" w:cs="Times New Roman"/>
          <w:sz w:val="24"/>
          <w:szCs w:val="24"/>
        </w:rPr>
        <w:t xml:space="preserve">applying all exclusion layers </w:t>
      </w:r>
      <w:r w:rsidR="00123A8F">
        <w:rPr>
          <w:rFonts w:ascii="Times New Roman" w:hAnsi="Times New Roman" w:cs="Times New Roman"/>
          <w:sz w:val="24"/>
          <w:szCs w:val="24"/>
        </w:rPr>
        <w:t>described in Table S1</w:t>
      </w:r>
      <w:r w:rsidR="005D0080">
        <w:rPr>
          <w:rFonts w:ascii="Times New Roman" w:hAnsi="Times New Roman" w:cs="Times New Roman"/>
          <w:sz w:val="24"/>
          <w:szCs w:val="24"/>
        </w:rPr>
        <w:t>, and (3)</w:t>
      </w:r>
      <w:r w:rsidR="0071521E">
        <w:rPr>
          <w:rFonts w:ascii="Times New Roman" w:hAnsi="Times New Roman" w:cs="Times New Roman"/>
          <w:sz w:val="24"/>
          <w:szCs w:val="24"/>
        </w:rPr>
        <w:t xml:space="preserve"> </w:t>
      </w:r>
      <w:r w:rsidR="00EB0738">
        <w:rPr>
          <w:rFonts w:ascii="Times New Roman" w:hAnsi="Times New Roman" w:cs="Times New Roman"/>
          <w:sz w:val="24"/>
          <w:szCs w:val="24"/>
        </w:rPr>
        <w:t xml:space="preserve">prudent </w:t>
      </w:r>
      <w:r w:rsidR="00A62CC9">
        <w:rPr>
          <w:rFonts w:ascii="Times New Roman" w:hAnsi="Times New Roman" w:cs="Times New Roman"/>
          <w:sz w:val="24"/>
          <w:szCs w:val="24"/>
        </w:rPr>
        <w:t xml:space="preserve">storage estimates </w:t>
      </w:r>
      <w:r w:rsidR="00EB0738">
        <w:rPr>
          <w:rFonts w:ascii="Times New Roman" w:hAnsi="Times New Roman" w:cs="Times New Roman"/>
          <w:sz w:val="24"/>
          <w:szCs w:val="24"/>
        </w:rPr>
        <w:t>including only</w:t>
      </w:r>
      <w:r w:rsidR="0071521E" w:rsidRPr="00576281">
        <w:rPr>
          <w:rFonts w:ascii="Times New Roman" w:hAnsi="Times New Roman" w:cs="Times New Roman"/>
          <w:sz w:val="24"/>
          <w:szCs w:val="24"/>
        </w:rPr>
        <w:t xml:space="preserve"> </w:t>
      </w:r>
      <w:r w:rsidR="00503499" w:rsidRPr="00576281">
        <w:rPr>
          <w:rFonts w:ascii="Times New Roman" w:hAnsi="Times New Roman" w:cs="Times New Roman"/>
          <w:sz w:val="24"/>
          <w:szCs w:val="24"/>
        </w:rPr>
        <w:t>basin</w:t>
      </w:r>
      <w:r w:rsidR="00A62CC9">
        <w:rPr>
          <w:rFonts w:ascii="Times New Roman" w:hAnsi="Times New Roman" w:cs="Times New Roman"/>
          <w:sz w:val="24"/>
          <w:szCs w:val="24"/>
        </w:rPr>
        <w:t>s</w:t>
      </w:r>
      <w:r w:rsidR="00503499" w:rsidRPr="00576281">
        <w:rPr>
          <w:rFonts w:ascii="Times New Roman" w:hAnsi="Times New Roman" w:cs="Times New Roman"/>
          <w:sz w:val="24"/>
          <w:szCs w:val="24"/>
        </w:rPr>
        <w:t xml:space="preserve"> with existing oil and gas infrastructure (i.e., in which </w:t>
      </w:r>
      <w:r w:rsidR="00A66002" w:rsidRPr="00576281">
        <w:rPr>
          <w:rFonts w:ascii="Times New Roman" w:hAnsi="Times New Roman" w:cs="Times New Roman"/>
          <w:sz w:val="24"/>
          <w:szCs w:val="24"/>
        </w:rPr>
        <w:t>storage properties of some part of the basin have already been assessed).</w:t>
      </w:r>
      <w:r w:rsidR="0095588E" w:rsidRPr="00576281">
        <w:rPr>
          <w:rFonts w:ascii="Times New Roman" w:hAnsi="Times New Roman" w:cs="Times New Roman"/>
          <w:sz w:val="24"/>
          <w:szCs w:val="24"/>
        </w:rPr>
        <w:t xml:space="preserve"> </w:t>
      </w:r>
      <w:r w:rsidR="00AB0F9B" w:rsidRPr="00576281">
        <w:rPr>
          <w:rFonts w:ascii="Times New Roman" w:hAnsi="Times New Roman" w:cs="Times New Roman"/>
          <w:sz w:val="24"/>
          <w:szCs w:val="24"/>
        </w:rPr>
        <w:t xml:space="preserve">We additionally provide the IPCC region in which each country is </w:t>
      </w:r>
      <w:r w:rsidR="00AB0F9B" w:rsidRPr="00576281">
        <w:rPr>
          <w:rFonts w:ascii="Times New Roman" w:hAnsi="Times New Roman" w:cs="Times New Roman"/>
          <w:sz w:val="24"/>
          <w:szCs w:val="24"/>
        </w:rPr>
        <w:lastRenderedPageBreak/>
        <w:t>considered.</w:t>
      </w:r>
      <w:r w:rsidR="00D3344A">
        <w:rPr>
          <w:rFonts w:ascii="Times New Roman" w:hAnsi="Times New Roman" w:cs="Times New Roman"/>
          <w:sz w:val="24"/>
          <w:szCs w:val="24"/>
        </w:rPr>
        <w:t xml:space="preserve"> Countries that do not map to IPCC region categories are included at the bottom of the list. The sum </w:t>
      </w:r>
      <w:r w:rsidR="00B8265E">
        <w:rPr>
          <w:rFonts w:ascii="Times New Roman" w:hAnsi="Times New Roman" w:cs="Times New Roman"/>
          <w:sz w:val="24"/>
          <w:szCs w:val="24"/>
        </w:rPr>
        <w:t xml:space="preserve">of storage potential </w:t>
      </w:r>
      <w:r w:rsidR="00D3344A">
        <w:rPr>
          <w:rFonts w:ascii="Times New Roman" w:hAnsi="Times New Roman" w:cs="Times New Roman"/>
          <w:sz w:val="24"/>
          <w:szCs w:val="24"/>
        </w:rPr>
        <w:t xml:space="preserve">across all countries </w:t>
      </w:r>
      <w:r w:rsidR="00B8265E">
        <w:rPr>
          <w:rFonts w:ascii="Times New Roman" w:hAnsi="Times New Roman" w:cs="Times New Roman"/>
          <w:sz w:val="24"/>
          <w:szCs w:val="24"/>
        </w:rPr>
        <w:t xml:space="preserve">results in the </w:t>
      </w:r>
      <w:r w:rsidR="00847DF9">
        <w:rPr>
          <w:rFonts w:ascii="Times New Roman" w:hAnsi="Times New Roman" w:cs="Times New Roman"/>
          <w:sz w:val="24"/>
          <w:szCs w:val="24"/>
        </w:rPr>
        <w:t>planetary</w:t>
      </w:r>
      <w:r w:rsidR="00B8265E">
        <w:rPr>
          <w:rFonts w:ascii="Times New Roman" w:hAnsi="Times New Roman" w:cs="Times New Roman"/>
          <w:sz w:val="24"/>
          <w:szCs w:val="24"/>
        </w:rPr>
        <w:t xml:space="preserve"> limit.</w:t>
      </w:r>
    </w:p>
    <w:p w14:paraId="3D8C5CED" w14:textId="77777777" w:rsidR="00270BDE" w:rsidRDefault="00270BDE" w:rsidP="00717938">
      <w:pPr>
        <w:jc w:val="both"/>
        <w:rPr>
          <w:rFonts w:ascii="Times New Roman" w:hAnsi="Times New Roman" w:cs="Times New Roman"/>
          <w:sz w:val="24"/>
          <w:szCs w:val="24"/>
          <w:lang w:val="en-US"/>
        </w:rPr>
      </w:pPr>
    </w:p>
    <w:p w14:paraId="7AA0BFF3" w14:textId="1EB915F7" w:rsidR="00717938" w:rsidRPr="00576281" w:rsidRDefault="00717938" w:rsidP="00717938">
      <w:pPr>
        <w:jc w:val="both"/>
        <w:rPr>
          <w:rFonts w:ascii="Times New Roman" w:hAnsi="Times New Roman" w:cs="Times New Roman"/>
          <w:b/>
          <w:bCs/>
          <w:sz w:val="24"/>
          <w:szCs w:val="24"/>
        </w:rPr>
      </w:pPr>
      <w:r w:rsidRPr="00576281">
        <w:rPr>
          <w:rFonts w:ascii="Times New Roman" w:hAnsi="Times New Roman" w:cs="Times New Roman"/>
          <w:sz w:val="24"/>
          <w:szCs w:val="24"/>
          <w:lang w:val="en-US"/>
        </w:rPr>
        <w:t>Table S</w:t>
      </w:r>
      <w:r w:rsidR="002F1E55">
        <w:rPr>
          <w:rFonts w:ascii="Times New Roman" w:hAnsi="Times New Roman" w:cs="Times New Roman"/>
          <w:sz w:val="24"/>
          <w:szCs w:val="24"/>
          <w:lang w:val="en-US"/>
        </w:rPr>
        <w:t>6</w:t>
      </w:r>
      <w:r w:rsidRPr="00576281">
        <w:rPr>
          <w:rFonts w:ascii="Times New Roman" w:hAnsi="Times New Roman" w:cs="Times New Roman"/>
          <w:sz w:val="24"/>
          <w:szCs w:val="24"/>
          <w:lang w:val="en-US"/>
        </w:rPr>
        <w:t xml:space="preserve">. </w:t>
      </w:r>
      <w:r w:rsidR="00FB433D" w:rsidRPr="00576281">
        <w:rPr>
          <w:rFonts w:ascii="Times New Roman" w:hAnsi="Times New Roman" w:cs="Times New Roman"/>
          <w:sz w:val="24"/>
          <w:szCs w:val="24"/>
        </w:rPr>
        <w:t xml:space="preserve">IPCC Scenario categories for </w:t>
      </w:r>
      <w:r w:rsidR="006C01F3" w:rsidRPr="00576281">
        <w:rPr>
          <w:rFonts w:ascii="Times New Roman" w:hAnsi="Times New Roman" w:cs="Times New Roman"/>
          <w:sz w:val="24"/>
          <w:szCs w:val="24"/>
        </w:rPr>
        <w:t xml:space="preserve">the scenarios assessed in this analysis. </w:t>
      </w:r>
      <w:r w:rsidR="00E278C9" w:rsidRPr="00576281">
        <w:rPr>
          <w:rFonts w:ascii="Times New Roman" w:hAnsi="Times New Roman" w:cs="Times New Roman"/>
          <w:sz w:val="24"/>
          <w:szCs w:val="24"/>
        </w:rPr>
        <w:t>The IPCC uses shorthand labels (e.g., C1, C2, etc.)</w:t>
      </w:r>
      <w:r w:rsidR="00602FCF" w:rsidRPr="00576281">
        <w:rPr>
          <w:rFonts w:ascii="Times New Roman" w:hAnsi="Times New Roman" w:cs="Times New Roman"/>
          <w:sz w:val="24"/>
          <w:szCs w:val="24"/>
        </w:rPr>
        <w:t xml:space="preserve">, while we use </w:t>
      </w:r>
      <w:r w:rsidR="00481F67" w:rsidRPr="00576281">
        <w:rPr>
          <w:rFonts w:ascii="Times New Roman" w:hAnsi="Times New Roman" w:cs="Times New Roman"/>
          <w:sz w:val="24"/>
          <w:szCs w:val="24"/>
        </w:rPr>
        <w:t>the temperature outcomes.</w:t>
      </w:r>
    </w:p>
    <w:p w14:paraId="3523DEC6" w14:textId="77777777" w:rsidR="00270BDE" w:rsidRPr="00576281" w:rsidRDefault="00270BDE" w:rsidP="00717938">
      <w:pPr>
        <w:widowControl w:val="0"/>
        <w:pBdr>
          <w:top w:val="nil"/>
          <w:left w:val="nil"/>
          <w:bottom w:val="nil"/>
          <w:right w:val="nil"/>
          <w:between w:val="nil"/>
        </w:pBdr>
        <w:spacing w:line="240" w:lineRule="auto"/>
        <w:rPr>
          <w:rFonts w:ascii="Times New Roman" w:hAnsi="Times New Roman" w:cs="Times New Roman"/>
          <w:sz w:val="24"/>
          <w:szCs w:val="24"/>
        </w:rPr>
      </w:pPr>
    </w:p>
    <w:p w14:paraId="38FD87DB" w14:textId="2B4632B9" w:rsidR="00F300D0" w:rsidRPr="00576281" w:rsidRDefault="00F300D0" w:rsidP="00F300D0">
      <w:pPr>
        <w:jc w:val="both"/>
        <w:rPr>
          <w:rFonts w:ascii="Times New Roman" w:hAnsi="Times New Roman" w:cs="Times New Roman"/>
          <w:b/>
          <w:bCs/>
          <w:sz w:val="24"/>
          <w:szCs w:val="24"/>
        </w:rPr>
      </w:pPr>
      <w:r w:rsidRPr="00576281">
        <w:rPr>
          <w:rFonts w:ascii="Times New Roman" w:hAnsi="Times New Roman" w:cs="Times New Roman"/>
          <w:sz w:val="24"/>
          <w:szCs w:val="24"/>
          <w:lang w:val="en-US"/>
        </w:rPr>
        <w:t>Table S</w:t>
      </w:r>
      <w:r w:rsidR="002F1E55">
        <w:rPr>
          <w:rFonts w:ascii="Times New Roman" w:hAnsi="Times New Roman" w:cs="Times New Roman"/>
          <w:sz w:val="24"/>
          <w:szCs w:val="24"/>
          <w:lang w:val="en-US"/>
        </w:rPr>
        <w:t>7</w:t>
      </w:r>
      <w:r w:rsidRPr="00576281">
        <w:rPr>
          <w:rFonts w:ascii="Times New Roman" w:hAnsi="Times New Roman" w:cs="Times New Roman"/>
          <w:sz w:val="24"/>
          <w:szCs w:val="24"/>
          <w:lang w:val="en-US"/>
        </w:rPr>
        <w:t xml:space="preserve">. </w:t>
      </w:r>
      <w:r w:rsidRPr="00576281">
        <w:rPr>
          <w:rFonts w:ascii="Times New Roman" w:hAnsi="Times New Roman" w:cs="Times New Roman"/>
          <w:sz w:val="24"/>
          <w:szCs w:val="24"/>
        </w:rPr>
        <w:t>A mapping table showing which countries are allocated to each IPCC macro region (so called R5 regions).</w:t>
      </w:r>
    </w:p>
    <w:p w14:paraId="4C611CDE" w14:textId="7B75ABC7" w:rsidR="005320A3" w:rsidRDefault="005320A3" w:rsidP="00F1235D"/>
    <w:sectPr w:rsidR="005320A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ira Code">
    <w:panose1 w:val="020B0809050000020004"/>
    <w:charset w:val="00"/>
    <w:family w:val="modern"/>
    <w:pitch w:val="fixed"/>
    <w:sig w:usb0="E00002EF" w:usb1="1200F8FB" w:usb2="00000008" w:usb3="00000000" w:csb0="000000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545B4"/>
    <w:multiLevelType w:val="hybridMultilevel"/>
    <w:tmpl w:val="D72ADE1E"/>
    <w:lvl w:ilvl="0" w:tplc="7BA87DA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3B17D7"/>
    <w:multiLevelType w:val="multilevel"/>
    <w:tmpl w:val="8FECF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9A56F0"/>
    <w:multiLevelType w:val="hybridMultilevel"/>
    <w:tmpl w:val="92B46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AE43A6"/>
    <w:multiLevelType w:val="multilevel"/>
    <w:tmpl w:val="18B2E6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00844483">
    <w:abstractNumId w:val="3"/>
  </w:num>
  <w:num w:numId="2" w16cid:durableId="352614493">
    <w:abstractNumId w:val="1"/>
  </w:num>
  <w:num w:numId="3" w16cid:durableId="439301521">
    <w:abstractNumId w:val="0"/>
  </w:num>
  <w:num w:numId="4" w16cid:durableId="844518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A1"/>
    <w:rsid w:val="00001E3C"/>
    <w:rsid w:val="00006E5D"/>
    <w:rsid w:val="00007166"/>
    <w:rsid w:val="00010E3C"/>
    <w:rsid w:val="00011F24"/>
    <w:rsid w:val="00013CA6"/>
    <w:rsid w:val="00015780"/>
    <w:rsid w:val="000170C5"/>
    <w:rsid w:val="00017345"/>
    <w:rsid w:val="00017C03"/>
    <w:rsid w:val="000232ED"/>
    <w:rsid w:val="00023FBF"/>
    <w:rsid w:val="00024AE4"/>
    <w:rsid w:val="00025F17"/>
    <w:rsid w:val="0002764C"/>
    <w:rsid w:val="00032A36"/>
    <w:rsid w:val="00032B93"/>
    <w:rsid w:val="000330B3"/>
    <w:rsid w:val="0003344D"/>
    <w:rsid w:val="00034107"/>
    <w:rsid w:val="00035C7B"/>
    <w:rsid w:val="0003829D"/>
    <w:rsid w:val="00043361"/>
    <w:rsid w:val="000451E7"/>
    <w:rsid w:val="000455F1"/>
    <w:rsid w:val="00045807"/>
    <w:rsid w:val="0004713E"/>
    <w:rsid w:val="00047AAC"/>
    <w:rsid w:val="000508D4"/>
    <w:rsid w:val="000540C1"/>
    <w:rsid w:val="00057931"/>
    <w:rsid w:val="00057A8D"/>
    <w:rsid w:val="00061485"/>
    <w:rsid w:val="00061609"/>
    <w:rsid w:val="00062754"/>
    <w:rsid w:val="00063906"/>
    <w:rsid w:val="0007087B"/>
    <w:rsid w:val="00070A1D"/>
    <w:rsid w:val="00074A46"/>
    <w:rsid w:val="00075180"/>
    <w:rsid w:val="00075C77"/>
    <w:rsid w:val="00075D6B"/>
    <w:rsid w:val="000800F0"/>
    <w:rsid w:val="00087D35"/>
    <w:rsid w:val="0009298B"/>
    <w:rsid w:val="00092CCB"/>
    <w:rsid w:val="000949DF"/>
    <w:rsid w:val="00094AC7"/>
    <w:rsid w:val="00097D66"/>
    <w:rsid w:val="000A0093"/>
    <w:rsid w:val="000A133F"/>
    <w:rsid w:val="000A247A"/>
    <w:rsid w:val="000A7106"/>
    <w:rsid w:val="000A77A0"/>
    <w:rsid w:val="000B1330"/>
    <w:rsid w:val="000B1DA3"/>
    <w:rsid w:val="000B3492"/>
    <w:rsid w:val="000B4595"/>
    <w:rsid w:val="000B4B2F"/>
    <w:rsid w:val="000B5074"/>
    <w:rsid w:val="000B595A"/>
    <w:rsid w:val="000B6142"/>
    <w:rsid w:val="000B7A1A"/>
    <w:rsid w:val="000C123B"/>
    <w:rsid w:val="000C1FA5"/>
    <w:rsid w:val="000C37D3"/>
    <w:rsid w:val="000C7692"/>
    <w:rsid w:val="000D154E"/>
    <w:rsid w:val="000D4279"/>
    <w:rsid w:val="000D45B6"/>
    <w:rsid w:val="000D5A2B"/>
    <w:rsid w:val="000D5BFB"/>
    <w:rsid w:val="000D6B42"/>
    <w:rsid w:val="000E4DE6"/>
    <w:rsid w:val="000F198E"/>
    <w:rsid w:val="000F1A0B"/>
    <w:rsid w:val="000F519A"/>
    <w:rsid w:val="00101195"/>
    <w:rsid w:val="001015A8"/>
    <w:rsid w:val="0010197A"/>
    <w:rsid w:val="00103ED5"/>
    <w:rsid w:val="00106BF9"/>
    <w:rsid w:val="00107999"/>
    <w:rsid w:val="001114BC"/>
    <w:rsid w:val="00111DAB"/>
    <w:rsid w:val="001137E0"/>
    <w:rsid w:val="00114F9B"/>
    <w:rsid w:val="00117A7A"/>
    <w:rsid w:val="00117FEF"/>
    <w:rsid w:val="001207B6"/>
    <w:rsid w:val="00122C97"/>
    <w:rsid w:val="0012375C"/>
    <w:rsid w:val="00123A8F"/>
    <w:rsid w:val="001245C8"/>
    <w:rsid w:val="001278F2"/>
    <w:rsid w:val="00127D04"/>
    <w:rsid w:val="001332C3"/>
    <w:rsid w:val="00140026"/>
    <w:rsid w:val="00140CCE"/>
    <w:rsid w:val="00140DD8"/>
    <w:rsid w:val="001416F8"/>
    <w:rsid w:val="00143E68"/>
    <w:rsid w:val="00144FE7"/>
    <w:rsid w:val="0014702F"/>
    <w:rsid w:val="0014744A"/>
    <w:rsid w:val="00147B87"/>
    <w:rsid w:val="001525A5"/>
    <w:rsid w:val="00153703"/>
    <w:rsid w:val="00153C7E"/>
    <w:rsid w:val="00156D27"/>
    <w:rsid w:val="001578E7"/>
    <w:rsid w:val="00160AA1"/>
    <w:rsid w:val="00161F34"/>
    <w:rsid w:val="0016264C"/>
    <w:rsid w:val="0016287D"/>
    <w:rsid w:val="001628E6"/>
    <w:rsid w:val="001641A3"/>
    <w:rsid w:val="00165C07"/>
    <w:rsid w:val="001660FA"/>
    <w:rsid w:val="001665AC"/>
    <w:rsid w:val="001709E4"/>
    <w:rsid w:val="00170DC6"/>
    <w:rsid w:val="0017116F"/>
    <w:rsid w:val="001720A8"/>
    <w:rsid w:val="00175FCC"/>
    <w:rsid w:val="00183F6D"/>
    <w:rsid w:val="0018463B"/>
    <w:rsid w:val="00184F2B"/>
    <w:rsid w:val="00185274"/>
    <w:rsid w:val="0018654B"/>
    <w:rsid w:val="0018695B"/>
    <w:rsid w:val="001900DF"/>
    <w:rsid w:val="0019016A"/>
    <w:rsid w:val="00192B5C"/>
    <w:rsid w:val="0019785D"/>
    <w:rsid w:val="001A08F1"/>
    <w:rsid w:val="001A6CC0"/>
    <w:rsid w:val="001A745D"/>
    <w:rsid w:val="001B1698"/>
    <w:rsid w:val="001B2244"/>
    <w:rsid w:val="001B3596"/>
    <w:rsid w:val="001B54D4"/>
    <w:rsid w:val="001C1F63"/>
    <w:rsid w:val="001C3969"/>
    <w:rsid w:val="001C3E41"/>
    <w:rsid w:val="001C499C"/>
    <w:rsid w:val="001C4ED9"/>
    <w:rsid w:val="001C50DD"/>
    <w:rsid w:val="001C5969"/>
    <w:rsid w:val="001C74B5"/>
    <w:rsid w:val="001D0F1D"/>
    <w:rsid w:val="001D0F2C"/>
    <w:rsid w:val="001D185B"/>
    <w:rsid w:val="001D3654"/>
    <w:rsid w:val="001D4F8D"/>
    <w:rsid w:val="001D53FE"/>
    <w:rsid w:val="001E15EB"/>
    <w:rsid w:val="001E6EB2"/>
    <w:rsid w:val="001F01E7"/>
    <w:rsid w:val="001F0963"/>
    <w:rsid w:val="001F0D00"/>
    <w:rsid w:val="001F12AA"/>
    <w:rsid w:val="001F232F"/>
    <w:rsid w:val="001F284B"/>
    <w:rsid w:val="001F35D4"/>
    <w:rsid w:val="001F3893"/>
    <w:rsid w:val="001F48B0"/>
    <w:rsid w:val="001F5F85"/>
    <w:rsid w:val="00201206"/>
    <w:rsid w:val="00201610"/>
    <w:rsid w:val="0020346C"/>
    <w:rsid w:val="00204F37"/>
    <w:rsid w:val="00205749"/>
    <w:rsid w:val="00211491"/>
    <w:rsid w:val="0021248D"/>
    <w:rsid w:val="00213B56"/>
    <w:rsid w:val="00215376"/>
    <w:rsid w:val="00216797"/>
    <w:rsid w:val="00217CBA"/>
    <w:rsid w:val="002206D6"/>
    <w:rsid w:val="00227939"/>
    <w:rsid w:val="0023011D"/>
    <w:rsid w:val="0023114E"/>
    <w:rsid w:val="0023526B"/>
    <w:rsid w:val="0023692F"/>
    <w:rsid w:val="00240A4A"/>
    <w:rsid w:val="00241A9E"/>
    <w:rsid w:val="00242C7C"/>
    <w:rsid w:val="00243C64"/>
    <w:rsid w:val="00243F0B"/>
    <w:rsid w:val="00245478"/>
    <w:rsid w:val="00245AA2"/>
    <w:rsid w:val="00250BA8"/>
    <w:rsid w:val="00257AAE"/>
    <w:rsid w:val="00260193"/>
    <w:rsid w:val="0026078E"/>
    <w:rsid w:val="0026339D"/>
    <w:rsid w:val="00263815"/>
    <w:rsid w:val="00265D04"/>
    <w:rsid w:val="00266EC4"/>
    <w:rsid w:val="00267872"/>
    <w:rsid w:val="00270112"/>
    <w:rsid w:val="00270BDE"/>
    <w:rsid w:val="0027191C"/>
    <w:rsid w:val="00275C86"/>
    <w:rsid w:val="00276CAA"/>
    <w:rsid w:val="002807C5"/>
    <w:rsid w:val="00280EBB"/>
    <w:rsid w:val="0028196B"/>
    <w:rsid w:val="00286D26"/>
    <w:rsid w:val="002870EA"/>
    <w:rsid w:val="00291259"/>
    <w:rsid w:val="00291910"/>
    <w:rsid w:val="002919B1"/>
    <w:rsid w:val="00292B93"/>
    <w:rsid w:val="002940E2"/>
    <w:rsid w:val="00295859"/>
    <w:rsid w:val="002965CF"/>
    <w:rsid w:val="002A2432"/>
    <w:rsid w:val="002A2EE0"/>
    <w:rsid w:val="002A412E"/>
    <w:rsid w:val="002A4939"/>
    <w:rsid w:val="002A5F76"/>
    <w:rsid w:val="002A7063"/>
    <w:rsid w:val="002B0DA0"/>
    <w:rsid w:val="002B148D"/>
    <w:rsid w:val="002B2DB3"/>
    <w:rsid w:val="002B4828"/>
    <w:rsid w:val="002B5823"/>
    <w:rsid w:val="002B5CD5"/>
    <w:rsid w:val="002B6217"/>
    <w:rsid w:val="002B6340"/>
    <w:rsid w:val="002C1E1B"/>
    <w:rsid w:val="002C37D5"/>
    <w:rsid w:val="002C4446"/>
    <w:rsid w:val="002C4FF7"/>
    <w:rsid w:val="002C7BA1"/>
    <w:rsid w:val="002D43FD"/>
    <w:rsid w:val="002D4E9C"/>
    <w:rsid w:val="002D664E"/>
    <w:rsid w:val="002D813E"/>
    <w:rsid w:val="002E1BB8"/>
    <w:rsid w:val="002E4844"/>
    <w:rsid w:val="002E505E"/>
    <w:rsid w:val="002F0295"/>
    <w:rsid w:val="002F1E55"/>
    <w:rsid w:val="002F20DD"/>
    <w:rsid w:val="002F66FF"/>
    <w:rsid w:val="002F6F9C"/>
    <w:rsid w:val="002F7AC6"/>
    <w:rsid w:val="003040E1"/>
    <w:rsid w:val="00304280"/>
    <w:rsid w:val="00305F9F"/>
    <w:rsid w:val="0030623A"/>
    <w:rsid w:val="00312917"/>
    <w:rsid w:val="00313A2E"/>
    <w:rsid w:val="003141AE"/>
    <w:rsid w:val="00314EB2"/>
    <w:rsid w:val="00316F7E"/>
    <w:rsid w:val="00317157"/>
    <w:rsid w:val="0031743F"/>
    <w:rsid w:val="00317690"/>
    <w:rsid w:val="00320728"/>
    <w:rsid w:val="00320829"/>
    <w:rsid w:val="00320E8C"/>
    <w:rsid w:val="003229F8"/>
    <w:rsid w:val="0032398B"/>
    <w:rsid w:val="00324BC2"/>
    <w:rsid w:val="003251AE"/>
    <w:rsid w:val="00326E8D"/>
    <w:rsid w:val="00330851"/>
    <w:rsid w:val="00331CC9"/>
    <w:rsid w:val="00331D47"/>
    <w:rsid w:val="0033514C"/>
    <w:rsid w:val="003352AF"/>
    <w:rsid w:val="00335F97"/>
    <w:rsid w:val="00336459"/>
    <w:rsid w:val="003374CB"/>
    <w:rsid w:val="003429A6"/>
    <w:rsid w:val="00346159"/>
    <w:rsid w:val="00347FCF"/>
    <w:rsid w:val="00351C00"/>
    <w:rsid w:val="003535B1"/>
    <w:rsid w:val="003542D4"/>
    <w:rsid w:val="00356A0E"/>
    <w:rsid w:val="0035D37C"/>
    <w:rsid w:val="00360F77"/>
    <w:rsid w:val="00364D2C"/>
    <w:rsid w:val="003658CA"/>
    <w:rsid w:val="0036642F"/>
    <w:rsid w:val="0036745C"/>
    <w:rsid w:val="00371A57"/>
    <w:rsid w:val="00372883"/>
    <w:rsid w:val="0037310E"/>
    <w:rsid w:val="00373A7C"/>
    <w:rsid w:val="003775FC"/>
    <w:rsid w:val="00380997"/>
    <w:rsid w:val="00382559"/>
    <w:rsid w:val="00390222"/>
    <w:rsid w:val="00390485"/>
    <w:rsid w:val="003904B4"/>
    <w:rsid w:val="0039094F"/>
    <w:rsid w:val="00391CD9"/>
    <w:rsid w:val="00395889"/>
    <w:rsid w:val="00395D5B"/>
    <w:rsid w:val="003A1914"/>
    <w:rsid w:val="003A32AA"/>
    <w:rsid w:val="003A3B0F"/>
    <w:rsid w:val="003A46FB"/>
    <w:rsid w:val="003A5E93"/>
    <w:rsid w:val="003A5EB2"/>
    <w:rsid w:val="003A7F36"/>
    <w:rsid w:val="003B0EB5"/>
    <w:rsid w:val="003B2C36"/>
    <w:rsid w:val="003B3C4F"/>
    <w:rsid w:val="003B45EB"/>
    <w:rsid w:val="003B6A8A"/>
    <w:rsid w:val="003C09F0"/>
    <w:rsid w:val="003C225C"/>
    <w:rsid w:val="003C24B0"/>
    <w:rsid w:val="003C28A2"/>
    <w:rsid w:val="003C7085"/>
    <w:rsid w:val="003C7466"/>
    <w:rsid w:val="003C7FAF"/>
    <w:rsid w:val="003D795C"/>
    <w:rsid w:val="003E42B8"/>
    <w:rsid w:val="003E5473"/>
    <w:rsid w:val="003E5953"/>
    <w:rsid w:val="003E6817"/>
    <w:rsid w:val="003E7813"/>
    <w:rsid w:val="003F03EE"/>
    <w:rsid w:val="003F17F0"/>
    <w:rsid w:val="003F2A94"/>
    <w:rsid w:val="003F2D10"/>
    <w:rsid w:val="003F540C"/>
    <w:rsid w:val="003F66AC"/>
    <w:rsid w:val="003F6D09"/>
    <w:rsid w:val="003F7C81"/>
    <w:rsid w:val="00400C91"/>
    <w:rsid w:val="0040532E"/>
    <w:rsid w:val="0041195D"/>
    <w:rsid w:val="00411ECE"/>
    <w:rsid w:val="00414348"/>
    <w:rsid w:val="00414EFB"/>
    <w:rsid w:val="00415654"/>
    <w:rsid w:val="00415D48"/>
    <w:rsid w:val="00415FFC"/>
    <w:rsid w:val="00416CF6"/>
    <w:rsid w:val="0041715D"/>
    <w:rsid w:val="0043019E"/>
    <w:rsid w:val="004347AA"/>
    <w:rsid w:val="00434B5E"/>
    <w:rsid w:val="00435895"/>
    <w:rsid w:val="004377DB"/>
    <w:rsid w:val="00437B70"/>
    <w:rsid w:val="00441FAC"/>
    <w:rsid w:val="00444F7D"/>
    <w:rsid w:val="00445270"/>
    <w:rsid w:val="00445AFB"/>
    <w:rsid w:val="004473CE"/>
    <w:rsid w:val="004509B7"/>
    <w:rsid w:val="004514A6"/>
    <w:rsid w:val="004535E7"/>
    <w:rsid w:val="00453DDD"/>
    <w:rsid w:val="0045415F"/>
    <w:rsid w:val="004541C2"/>
    <w:rsid w:val="0045525F"/>
    <w:rsid w:val="004565EC"/>
    <w:rsid w:val="00460E7B"/>
    <w:rsid w:val="004618EE"/>
    <w:rsid w:val="00462D17"/>
    <w:rsid w:val="00463BE9"/>
    <w:rsid w:val="00464971"/>
    <w:rsid w:val="0046640C"/>
    <w:rsid w:val="00466BFF"/>
    <w:rsid w:val="004703B2"/>
    <w:rsid w:val="0047152C"/>
    <w:rsid w:val="004719F3"/>
    <w:rsid w:val="00471DB0"/>
    <w:rsid w:val="00474532"/>
    <w:rsid w:val="00474539"/>
    <w:rsid w:val="00475032"/>
    <w:rsid w:val="004765DC"/>
    <w:rsid w:val="00481F67"/>
    <w:rsid w:val="004862A9"/>
    <w:rsid w:val="00486975"/>
    <w:rsid w:val="00491612"/>
    <w:rsid w:val="00492739"/>
    <w:rsid w:val="00493E12"/>
    <w:rsid w:val="00495414"/>
    <w:rsid w:val="004955E8"/>
    <w:rsid w:val="00495689"/>
    <w:rsid w:val="004A4B5E"/>
    <w:rsid w:val="004A5453"/>
    <w:rsid w:val="004A6357"/>
    <w:rsid w:val="004B1D8B"/>
    <w:rsid w:val="004B2B67"/>
    <w:rsid w:val="004B5687"/>
    <w:rsid w:val="004C0970"/>
    <w:rsid w:val="004C1FA8"/>
    <w:rsid w:val="004C3B3A"/>
    <w:rsid w:val="004C3DB4"/>
    <w:rsid w:val="004C427A"/>
    <w:rsid w:val="004C4569"/>
    <w:rsid w:val="004C473E"/>
    <w:rsid w:val="004C597F"/>
    <w:rsid w:val="004C6876"/>
    <w:rsid w:val="004C7D8E"/>
    <w:rsid w:val="004D19A6"/>
    <w:rsid w:val="004D256A"/>
    <w:rsid w:val="004D566F"/>
    <w:rsid w:val="004D6A23"/>
    <w:rsid w:val="004E1277"/>
    <w:rsid w:val="004E2D98"/>
    <w:rsid w:val="004E3D3F"/>
    <w:rsid w:val="004E7615"/>
    <w:rsid w:val="004E7B29"/>
    <w:rsid w:val="004F03B5"/>
    <w:rsid w:val="004F1FDE"/>
    <w:rsid w:val="004F2EAF"/>
    <w:rsid w:val="004F4C8A"/>
    <w:rsid w:val="004F75C3"/>
    <w:rsid w:val="004F7B7B"/>
    <w:rsid w:val="00501266"/>
    <w:rsid w:val="00502138"/>
    <w:rsid w:val="00502F10"/>
    <w:rsid w:val="00503499"/>
    <w:rsid w:val="00504051"/>
    <w:rsid w:val="005068FB"/>
    <w:rsid w:val="00507A65"/>
    <w:rsid w:val="00511A3B"/>
    <w:rsid w:val="00512508"/>
    <w:rsid w:val="00514C71"/>
    <w:rsid w:val="00514F50"/>
    <w:rsid w:val="00516642"/>
    <w:rsid w:val="00516F55"/>
    <w:rsid w:val="00520129"/>
    <w:rsid w:val="00521E2B"/>
    <w:rsid w:val="00522992"/>
    <w:rsid w:val="0052324E"/>
    <w:rsid w:val="0052410B"/>
    <w:rsid w:val="00524D2F"/>
    <w:rsid w:val="005320A3"/>
    <w:rsid w:val="005326C4"/>
    <w:rsid w:val="00532869"/>
    <w:rsid w:val="00534D2A"/>
    <w:rsid w:val="00535CA1"/>
    <w:rsid w:val="00536D6D"/>
    <w:rsid w:val="00537DF0"/>
    <w:rsid w:val="00540E8C"/>
    <w:rsid w:val="00541F5E"/>
    <w:rsid w:val="00546A19"/>
    <w:rsid w:val="00554762"/>
    <w:rsid w:val="00563A2F"/>
    <w:rsid w:val="005646E5"/>
    <w:rsid w:val="00566CEF"/>
    <w:rsid w:val="00567C6B"/>
    <w:rsid w:val="00570E7A"/>
    <w:rsid w:val="0057254A"/>
    <w:rsid w:val="00572B1D"/>
    <w:rsid w:val="00573928"/>
    <w:rsid w:val="00575BB8"/>
    <w:rsid w:val="00575DCC"/>
    <w:rsid w:val="00576281"/>
    <w:rsid w:val="00581107"/>
    <w:rsid w:val="005819D8"/>
    <w:rsid w:val="005835D4"/>
    <w:rsid w:val="00584F98"/>
    <w:rsid w:val="00585947"/>
    <w:rsid w:val="005863AE"/>
    <w:rsid w:val="0058783F"/>
    <w:rsid w:val="0059014A"/>
    <w:rsid w:val="00590407"/>
    <w:rsid w:val="00593518"/>
    <w:rsid w:val="00594645"/>
    <w:rsid w:val="0059489C"/>
    <w:rsid w:val="005A047C"/>
    <w:rsid w:val="005A3169"/>
    <w:rsid w:val="005A5988"/>
    <w:rsid w:val="005A75F1"/>
    <w:rsid w:val="005B16E6"/>
    <w:rsid w:val="005B170B"/>
    <w:rsid w:val="005B2623"/>
    <w:rsid w:val="005B2EE3"/>
    <w:rsid w:val="005B659E"/>
    <w:rsid w:val="005C135F"/>
    <w:rsid w:val="005C421E"/>
    <w:rsid w:val="005D0080"/>
    <w:rsid w:val="005D02D3"/>
    <w:rsid w:val="005D2976"/>
    <w:rsid w:val="005D4741"/>
    <w:rsid w:val="005D6EC8"/>
    <w:rsid w:val="005D70D2"/>
    <w:rsid w:val="005E0373"/>
    <w:rsid w:val="005E050C"/>
    <w:rsid w:val="005E1528"/>
    <w:rsid w:val="005E3A67"/>
    <w:rsid w:val="005E4433"/>
    <w:rsid w:val="005F00B5"/>
    <w:rsid w:val="005F06DE"/>
    <w:rsid w:val="005F0C23"/>
    <w:rsid w:val="005F1D16"/>
    <w:rsid w:val="005F3170"/>
    <w:rsid w:val="005F5DCF"/>
    <w:rsid w:val="005F6742"/>
    <w:rsid w:val="005F77E5"/>
    <w:rsid w:val="00600313"/>
    <w:rsid w:val="00602FCF"/>
    <w:rsid w:val="0060366B"/>
    <w:rsid w:val="00603726"/>
    <w:rsid w:val="00603D8D"/>
    <w:rsid w:val="00603DC1"/>
    <w:rsid w:val="00605E05"/>
    <w:rsid w:val="00607539"/>
    <w:rsid w:val="00611B55"/>
    <w:rsid w:val="006129E1"/>
    <w:rsid w:val="00612DE0"/>
    <w:rsid w:val="006133FA"/>
    <w:rsid w:val="006157BE"/>
    <w:rsid w:val="006178F1"/>
    <w:rsid w:val="0062276F"/>
    <w:rsid w:val="006236FF"/>
    <w:rsid w:val="00631762"/>
    <w:rsid w:val="00631B46"/>
    <w:rsid w:val="00634DF7"/>
    <w:rsid w:val="00636CC0"/>
    <w:rsid w:val="00641102"/>
    <w:rsid w:val="00641613"/>
    <w:rsid w:val="006418B9"/>
    <w:rsid w:val="00642851"/>
    <w:rsid w:val="00643A70"/>
    <w:rsid w:val="00645EA1"/>
    <w:rsid w:val="006472CC"/>
    <w:rsid w:val="00655D73"/>
    <w:rsid w:val="00656CB2"/>
    <w:rsid w:val="00661F3A"/>
    <w:rsid w:val="00663827"/>
    <w:rsid w:val="00665632"/>
    <w:rsid w:val="00666ACD"/>
    <w:rsid w:val="00667DC7"/>
    <w:rsid w:val="00670239"/>
    <w:rsid w:val="00671C9A"/>
    <w:rsid w:val="0067364A"/>
    <w:rsid w:val="00675256"/>
    <w:rsid w:val="00676DD9"/>
    <w:rsid w:val="00677A0C"/>
    <w:rsid w:val="00683AC0"/>
    <w:rsid w:val="00684999"/>
    <w:rsid w:val="006933AB"/>
    <w:rsid w:val="00694AF5"/>
    <w:rsid w:val="006A2243"/>
    <w:rsid w:val="006A3052"/>
    <w:rsid w:val="006A4886"/>
    <w:rsid w:val="006A49FD"/>
    <w:rsid w:val="006A6BF0"/>
    <w:rsid w:val="006A7A2C"/>
    <w:rsid w:val="006B02C1"/>
    <w:rsid w:val="006B082F"/>
    <w:rsid w:val="006B0A4D"/>
    <w:rsid w:val="006C01F3"/>
    <w:rsid w:val="006C267E"/>
    <w:rsid w:val="006C678F"/>
    <w:rsid w:val="006C6CFD"/>
    <w:rsid w:val="006C7307"/>
    <w:rsid w:val="006C7398"/>
    <w:rsid w:val="006D11FE"/>
    <w:rsid w:val="006D4A19"/>
    <w:rsid w:val="006D62EF"/>
    <w:rsid w:val="006D6E12"/>
    <w:rsid w:val="006E060F"/>
    <w:rsid w:val="006E14EE"/>
    <w:rsid w:val="006E2CFB"/>
    <w:rsid w:val="006E366D"/>
    <w:rsid w:val="006E4233"/>
    <w:rsid w:val="006E6256"/>
    <w:rsid w:val="006E6B86"/>
    <w:rsid w:val="006E7D33"/>
    <w:rsid w:val="006F1ECE"/>
    <w:rsid w:val="006F33A8"/>
    <w:rsid w:val="006F4A12"/>
    <w:rsid w:val="006F561E"/>
    <w:rsid w:val="006F585E"/>
    <w:rsid w:val="0070060D"/>
    <w:rsid w:val="00700CFD"/>
    <w:rsid w:val="00701102"/>
    <w:rsid w:val="00703F87"/>
    <w:rsid w:val="00704516"/>
    <w:rsid w:val="00705ECA"/>
    <w:rsid w:val="00706E54"/>
    <w:rsid w:val="00711CEB"/>
    <w:rsid w:val="00713723"/>
    <w:rsid w:val="00713770"/>
    <w:rsid w:val="0071521E"/>
    <w:rsid w:val="00716041"/>
    <w:rsid w:val="00716587"/>
    <w:rsid w:val="00717938"/>
    <w:rsid w:val="007251A1"/>
    <w:rsid w:val="00730E7C"/>
    <w:rsid w:val="00734B38"/>
    <w:rsid w:val="00735ECD"/>
    <w:rsid w:val="007412DE"/>
    <w:rsid w:val="007437CD"/>
    <w:rsid w:val="007463BA"/>
    <w:rsid w:val="007516C1"/>
    <w:rsid w:val="00752906"/>
    <w:rsid w:val="0075440C"/>
    <w:rsid w:val="0076310F"/>
    <w:rsid w:val="007648DE"/>
    <w:rsid w:val="00766112"/>
    <w:rsid w:val="0076767F"/>
    <w:rsid w:val="0076A346"/>
    <w:rsid w:val="00774BDD"/>
    <w:rsid w:val="00776D63"/>
    <w:rsid w:val="007819F2"/>
    <w:rsid w:val="00787DD2"/>
    <w:rsid w:val="00792051"/>
    <w:rsid w:val="007920FB"/>
    <w:rsid w:val="00792415"/>
    <w:rsid w:val="00794B32"/>
    <w:rsid w:val="00796E46"/>
    <w:rsid w:val="007A6DC6"/>
    <w:rsid w:val="007B21BB"/>
    <w:rsid w:val="007B2613"/>
    <w:rsid w:val="007B48B0"/>
    <w:rsid w:val="007B6983"/>
    <w:rsid w:val="007B6AC1"/>
    <w:rsid w:val="007B767F"/>
    <w:rsid w:val="007C5BB2"/>
    <w:rsid w:val="007C755A"/>
    <w:rsid w:val="007E1152"/>
    <w:rsid w:val="007E4EEB"/>
    <w:rsid w:val="007E7F15"/>
    <w:rsid w:val="007F057E"/>
    <w:rsid w:val="007F1BC4"/>
    <w:rsid w:val="007F300C"/>
    <w:rsid w:val="007F310E"/>
    <w:rsid w:val="007F3479"/>
    <w:rsid w:val="007F6446"/>
    <w:rsid w:val="00801A93"/>
    <w:rsid w:val="00802FC5"/>
    <w:rsid w:val="00810E90"/>
    <w:rsid w:val="00812D11"/>
    <w:rsid w:val="00813F09"/>
    <w:rsid w:val="008147FA"/>
    <w:rsid w:val="00814DB4"/>
    <w:rsid w:val="00822A5C"/>
    <w:rsid w:val="008253D9"/>
    <w:rsid w:val="0083032A"/>
    <w:rsid w:val="008325B8"/>
    <w:rsid w:val="008342FA"/>
    <w:rsid w:val="0083520B"/>
    <w:rsid w:val="00835428"/>
    <w:rsid w:val="008359A9"/>
    <w:rsid w:val="0083619A"/>
    <w:rsid w:val="00840012"/>
    <w:rsid w:val="00840EEA"/>
    <w:rsid w:val="00841C52"/>
    <w:rsid w:val="0084592D"/>
    <w:rsid w:val="00847DF9"/>
    <w:rsid w:val="00850049"/>
    <w:rsid w:val="00851D21"/>
    <w:rsid w:val="00854E4A"/>
    <w:rsid w:val="00860CB6"/>
    <w:rsid w:val="00863A95"/>
    <w:rsid w:val="00865B3A"/>
    <w:rsid w:val="00867209"/>
    <w:rsid w:val="00867BF5"/>
    <w:rsid w:val="00867FC4"/>
    <w:rsid w:val="00871FBC"/>
    <w:rsid w:val="008739B1"/>
    <w:rsid w:val="00875C9D"/>
    <w:rsid w:val="0087771C"/>
    <w:rsid w:val="00880EAE"/>
    <w:rsid w:val="008826F1"/>
    <w:rsid w:val="00884113"/>
    <w:rsid w:val="00884C10"/>
    <w:rsid w:val="00885ECF"/>
    <w:rsid w:val="0088652B"/>
    <w:rsid w:val="00887E47"/>
    <w:rsid w:val="0089668F"/>
    <w:rsid w:val="00896CCA"/>
    <w:rsid w:val="008A1458"/>
    <w:rsid w:val="008A2A77"/>
    <w:rsid w:val="008A6A72"/>
    <w:rsid w:val="008B0E81"/>
    <w:rsid w:val="008B0FCC"/>
    <w:rsid w:val="008B23D8"/>
    <w:rsid w:val="008B3E46"/>
    <w:rsid w:val="008C00A0"/>
    <w:rsid w:val="008C274A"/>
    <w:rsid w:val="008C287F"/>
    <w:rsid w:val="008C2993"/>
    <w:rsid w:val="008C42AD"/>
    <w:rsid w:val="008C4E27"/>
    <w:rsid w:val="008C5E05"/>
    <w:rsid w:val="008C5F20"/>
    <w:rsid w:val="008C6E43"/>
    <w:rsid w:val="008C7B8E"/>
    <w:rsid w:val="008D2528"/>
    <w:rsid w:val="008D4B1B"/>
    <w:rsid w:val="008D6861"/>
    <w:rsid w:val="008D7F7A"/>
    <w:rsid w:val="008E0E78"/>
    <w:rsid w:val="008E1EAC"/>
    <w:rsid w:val="008E282D"/>
    <w:rsid w:val="008E35F1"/>
    <w:rsid w:val="008E4A2F"/>
    <w:rsid w:val="008E4BE7"/>
    <w:rsid w:val="008E7851"/>
    <w:rsid w:val="008F7909"/>
    <w:rsid w:val="008F7E42"/>
    <w:rsid w:val="00901C15"/>
    <w:rsid w:val="00902257"/>
    <w:rsid w:val="0090735C"/>
    <w:rsid w:val="00907CEA"/>
    <w:rsid w:val="009115D2"/>
    <w:rsid w:val="00914855"/>
    <w:rsid w:val="009152C4"/>
    <w:rsid w:val="009175E3"/>
    <w:rsid w:val="00920A5E"/>
    <w:rsid w:val="00923EDD"/>
    <w:rsid w:val="0092546B"/>
    <w:rsid w:val="00926011"/>
    <w:rsid w:val="00926E50"/>
    <w:rsid w:val="009270F9"/>
    <w:rsid w:val="009307D6"/>
    <w:rsid w:val="00931362"/>
    <w:rsid w:val="0093151A"/>
    <w:rsid w:val="00932909"/>
    <w:rsid w:val="00932C32"/>
    <w:rsid w:val="00933195"/>
    <w:rsid w:val="00934504"/>
    <w:rsid w:val="009345F8"/>
    <w:rsid w:val="00935F69"/>
    <w:rsid w:val="00936576"/>
    <w:rsid w:val="0093661F"/>
    <w:rsid w:val="009400A1"/>
    <w:rsid w:val="00941224"/>
    <w:rsid w:val="009431D8"/>
    <w:rsid w:val="00943845"/>
    <w:rsid w:val="0094545D"/>
    <w:rsid w:val="009516D3"/>
    <w:rsid w:val="0095173A"/>
    <w:rsid w:val="0095588E"/>
    <w:rsid w:val="00955B80"/>
    <w:rsid w:val="00955D67"/>
    <w:rsid w:val="00961E48"/>
    <w:rsid w:val="00965108"/>
    <w:rsid w:val="00965F3D"/>
    <w:rsid w:val="0096712E"/>
    <w:rsid w:val="00967B5F"/>
    <w:rsid w:val="00972F73"/>
    <w:rsid w:val="00973BE6"/>
    <w:rsid w:val="00974A69"/>
    <w:rsid w:val="00976641"/>
    <w:rsid w:val="00976A3C"/>
    <w:rsid w:val="009817F7"/>
    <w:rsid w:val="009832C9"/>
    <w:rsid w:val="009853C6"/>
    <w:rsid w:val="00985424"/>
    <w:rsid w:val="00986913"/>
    <w:rsid w:val="00990D43"/>
    <w:rsid w:val="00991CEB"/>
    <w:rsid w:val="0099228D"/>
    <w:rsid w:val="009925FF"/>
    <w:rsid w:val="00993678"/>
    <w:rsid w:val="00993C7A"/>
    <w:rsid w:val="009A01E5"/>
    <w:rsid w:val="009A08B6"/>
    <w:rsid w:val="009A0D75"/>
    <w:rsid w:val="009A26D2"/>
    <w:rsid w:val="009A2ADA"/>
    <w:rsid w:val="009A5C92"/>
    <w:rsid w:val="009A6FA3"/>
    <w:rsid w:val="009B0600"/>
    <w:rsid w:val="009B1694"/>
    <w:rsid w:val="009B1866"/>
    <w:rsid w:val="009B3A98"/>
    <w:rsid w:val="009B71B9"/>
    <w:rsid w:val="009B786C"/>
    <w:rsid w:val="009B7CFC"/>
    <w:rsid w:val="009B7E97"/>
    <w:rsid w:val="009C00A2"/>
    <w:rsid w:val="009C0F54"/>
    <w:rsid w:val="009C15BC"/>
    <w:rsid w:val="009D0EA5"/>
    <w:rsid w:val="009D4DBB"/>
    <w:rsid w:val="009D6868"/>
    <w:rsid w:val="009E00CA"/>
    <w:rsid w:val="009E0F63"/>
    <w:rsid w:val="009E5DA9"/>
    <w:rsid w:val="009E7375"/>
    <w:rsid w:val="009F0B33"/>
    <w:rsid w:val="009F6966"/>
    <w:rsid w:val="009F6BE0"/>
    <w:rsid w:val="00A01F80"/>
    <w:rsid w:val="00A04940"/>
    <w:rsid w:val="00A05830"/>
    <w:rsid w:val="00A06C86"/>
    <w:rsid w:val="00A07347"/>
    <w:rsid w:val="00A1051E"/>
    <w:rsid w:val="00A127B3"/>
    <w:rsid w:val="00A1376E"/>
    <w:rsid w:val="00A13B54"/>
    <w:rsid w:val="00A160F7"/>
    <w:rsid w:val="00A17171"/>
    <w:rsid w:val="00A17640"/>
    <w:rsid w:val="00A2232A"/>
    <w:rsid w:val="00A227C0"/>
    <w:rsid w:val="00A236B2"/>
    <w:rsid w:val="00A2537C"/>
    <w:rsid w:val="00A2599F"/>
    <w:rsid w:val="00A27798"/>
    <w:rsid w:val="00A30D7D"/>
    <w:rsid w:val="00A34266"/>
    <w:rsid w:val="00A36398"/>
    <w:rsid w:val="00A379F7"/>
    <w:rsid w:val="00A40D41"/>
    <w:rsid w:val="00A40F11"/>
    <w:rsid w:val="00A52ABC"/>
    <w:rsid w:val="00A60B7D"/>
    <w:rsid w:val="00A624A2"/>
    <w:rsid w:val="00A62B8C"/>
    <w:rsid w:val="00A62CC9"/>
    <w:rsid w:val="00A6458C"/>
    <w:rsid w:val="00A65055"/>
    <w:rsid w:val="00A66002"/>
    <w:rsid w:val="00A66389"/>
    <w:rsid w:val="00A669DA"/>
    <w:rsid w:val="00A66C0E"/>
    <w:rsid w:val="00A70E61"/>
    <w:rsid w:val="00A75B64"/>
    <w:rsid w:val="00A8057C"/>
    <w:rsid w:val="00A80FAD"/>
    <w:rsid w:val="00A81206"/>
    <w:rsid w:val="00A81261"/>
    <w:rsid w:val="00A82075"/>
    <w:rsid w:val="00A86F98"/>
    <w:rsid w:val="00A901A9"/>
    <w:rsid w:val="00A91EF3"/>
    <w:rsid w:val="00A9203E"/>
    <w:rsid w:val="00A926B4"/>
    <w:rsid w:val="00A92B59"/>
    <w:rsid w:val="00A9398A"/>
    <w:rsid w:val="00A94106"/>
    <w:rsid w:val="00AA0619"/>
    <w:rsid w:val="00AA25E0"/>
    <w:rsid w:val="00AA3BF1"/>
    <w:rsid w:val="00AA5D67"/>
    <w:rsid w:val="00AA6E34"/>
    <w:rsid w:val="00AA6EC7"/>
    <w:rsid w:val="00AA7C5E"/>
    <w:rsid w:val="00AB0F9B"/>
    <w:rsid w:val="00AB297A"/>
    <w:rsid w:val="00AB3C9F"/>
    <w:rsid w:val="00AB4A1A"/>
    <w:rsid w:val="00AB6608"/>
    <w:rsid w:val="00AC1588"/>
    <w:rsid w:val="00AC3322"/>
    <w:rsid w:val="00AD02C4"/>
    <w:rsid w:val="00AD2D7F"/>
    <w:rsid w:val="00AD3B2C"/>
    <w:rsid w:val="00AE01EE"/>
    <w:rsid w:val="00AE09AE"/>
    <w:rsid w:val="00AE15AD"/>
    <w:rsid w:val="00AE2DE6"/>
    <w:rsid w:val="00AE50CD"/>
    <w:rsid w:val="00AF08E5"/>
    <w:rsid w:val="00AF095C"/>
    <w:rsid w:val="00AF172C"/>
    <w:rsid w:val="00AF22B6"/>
    <w:rsid w:val="00AF3A1D"/>
    <w:rsid w:val="00AF3DAC"/>
    <w:rsid w:val="00AF795E"/>
    <w:rsid w:val="00B047D0"/>
    <w:rsid w:val="00B0688D"/>
    <w:rsid w:val="00B11AD0"/>
    <w:rsid w:val="00B12EA8"/>
    <w:rsid w:val="00B135AA"/>
    <w:rsid w:val="00B14355"/>
    <w:rsid w:val="00B15663"/>
    <w:rsid w:val="00B17483"/>
    <w:rsid w:val="00B17DA0"/>
    <w:rsid w:val="00B232A7"/>
    <w:rsid w:val="00B2350C"/>
    <w:rsid w:val="00B23C35"/>
    <w:rsid w:val="00B23FF0"/>
    <w:rsid w:val="00B242C4"/>
    <w:rsid w:val="00B24455"/>
    <w:rsid w:val="00B25304"/>
    <w:rsid w:val="00B318F4"/>
    <w:rsid w:val="00B33A11"/>
    <w:rsid w:val="00B3740B"/>
    <w:rsid w:val="00B37FE9"/>
    <w:rsid w:val="00B4248A"/>
    <w:rsid w:val="00B42B36"/>
    <w:rsid w:val="00B47F6C"/>
    <w:rsid w:val="00B54404"/>
    <w:rsid w:val="00B544B9"/>
    <w:rsid w:val="00B54E05"/>
    <w:rsid w:val="00B56488"/>
    <w:rsid w:val="00B5769F"/>
    <w:rsid w:val="00B57B30"/>
    <w:rsid w:val="00B64916"/>
    <w:rsid w:val="00B65DB5"/>
    <w:rsid w:val="00B66C19"/>
    <w:rsid w:val="00B70542"/>
    <w:rsid w:val="00B705E8"/>
    <w:rsid w:val="00B736A8"/>
    <w:rsid w:val="00B7418D"/>
    <w:rsid w:val="00B74B79"/>
    <w:rsid w:val="00B7583D"/>
    <w:rsid w:val="00B81400"/>
    <w:rsid w:val="00B819D6"/>
    <w:rsid w:val="00B8265E"/>
    <w:rsid w:val="00B855AF"/>
    <w:rsid w:val="00B860B8"/>
    <w:rsid w:val="00B906CB"/>
    <w:rsid w:val="00B92606"/>
    <w:rsid w:val="00B94E63"/>
    <w:rsid w:val="00B95155"/>
    <w:rsid w:val="00B9707B"/>
    <w:rsid w:val="00B97C77"/>
    <w:rsid w:val="00BB0D82"/>
    <w:rsid w:val="00BB16B3"/>
    <w:rsid w:val="00BB44B5"/>
    <w:rsid w:val="00BB6821"/>
    <w:rsid w:val="00BB6959"/>
    <w:rsid w:val="00BB6ADA"/>
    <w:rsid w:val="00BB7020"/>
    <w:rsid w:val="00BC0F52"/>
    <w:rsid w:val="00BC1A18"/>
    <w:rsid w:val="00BC4752"/>
    <w:rsid w:val="00BD5543"/>
    <w:rsid w:val="00BD7943"/>
    <w:rsid w:val="00BE0FCB"/>
    <w:rsid w:val="00BE587F"/>
    <w:rsid w:val="00BE5B64"/>
    <w:rsid w:val="00BF073D"/>
    <w:rsid w:val="00BF5846"/>
    <w:rsid w:val="00BF5E5A"/>
    <w:rsid w:val="00BF647A"/>
    <w:rsid w:val="00C0078E"/>
    <w:rsid w:val="00C03221"/>
    <w:rsid w:val="00C03367"/>
    <w:rsid w:val="00C04C21"/>
    <w:rsid w:val="00C0751F"/>
    <w:rsid w:val="00C079FE"/>
    <w:rsid w:val="00C12506"/>
    <w:rsid w:val="00C14A11"/>
    <w:rsid w:val="00C16060"/>
    <w:rsid w:val="00C162E1"/>
    <w:rsid w:val="00C1745C"/>
    <w:rsid w:val="00C240B7"/>
    <w:rsid w:val="00C251B2"/>
    <w:rsid w:val="00C25C52"/>
    <w:rsid w:val="00C277DD"/>
    <w:rsid w:val="00C305A3"/>
    <w:rsid w:val="00C3174F"/>
    <w:rsid w:val="00C35A86"/>
    <w:rsid w:val="00C4412D"/>
    <w:rsid w:val="00C46AA3"/>
    <w:rsid w:val="00C46B9D"/>
    <w:rsid w:val="00C473DD"/>
    <w:rsid w:val="00C55E05"/>
    <w:rsid w:val="00C573D5"/>
    <w:rsid w:val="00C60FB4"/>
    <w:rsid w:val="00C62AB3"/>
    <w:rsid w:val="00C67A5E"/>
    <w:rsid w:val="00C67E70"/>
    <w:rsid w:val="00C712D7"/>
    <w:rsid w:val="00C720C3"/>
    <w:rsid w:val="00C737B9"/>
    <w:rsid w:val="00C73FBC"/>
    <w:rsid w:val="00C763BC"/>
    <w:rsid w:val="00C7664B"/>
    <w:rsid w:val="00C80A59"/>
    <w:rsid w:val="00C80DEC"/>
    <w:rsid w:val="00C817DC"/>
    <w:rsid w:val="00C84CFA"/>
    <w:rsid w:val="00C85F02"/>
    <w:rsid w:val="00C86804"/>
    <w:rsid w:val="00C91041"/>
    <w:rsid w:val="00C92632"/>
    <w:rsid w:val="00C92EE0"/>
    <w:rsid w:val="00C932E2"/>
    <w:rsid w:val="00C941B9"/>
    <w:rsid w:val="00C94889"/>
    <w:rsid w:val="00C974B9"/>
    <w:rsid w:val="00CA2458"/>
    <w:rsid w:val="00CA3FB7"/>
    <w:rsid w:val="00CA41EA"/>
    <w:rsid w:val="00CA4C3A"/>
    <w:rsid w:val="00CA5ADB"/>
    <w:rsid w:val="00CA646D"/>
    <w:rsid w:val="00CA68E3"/>
    <w:rsid w:val="00CB09A7"/>
    <w:rsid w:val="00CB1145"/>
    <w:rsid w:val="00CB245B"/>
    <w:rsid w:val="00CB2F20"/>
    <w:rsid w:val="00CB306C"/>
    <w:rsid w:val="00CC1B56"/>
    <w:rsid w:val="00CC2D34"/>
    <w:rsid w:val="00CC63A7"/>
    <w:rsid w:val="00CD2ED6"/>
    <w:rsid w:val="00CD59B5"/>
    <w:rsid w:val="00CD59C2"/>
    <w:rsid w:val="00CD6BB7"/>
    <w:rsid w:val="00CE0955"/>
    <w:rsid w:val="00CE211D"/>
    <w:rsid w:val="00CE22D0"/>
    <w:rsid w:val="00CE5457"/>
    <w:rsid w:val="00CF0DDE"/>
    <w:rsid w:val="00CF1C92"/>
    <w:rsid w:val="00CF4966"/>
    <w:rsid w:val="00CF57FE"/>
    <w:rsid w:val="00CF59B1"/>
    <w:rsid w:val="00CF7F1B"/>
    <w:rsid w:val="00D00C26"/>
    <w:rsid w:val="00D021AF"/>
    <w:rsid w:val="00D02312"/>
    <w:rsid w:val="00D03F32"/>
    <w:rsid w:val="00D0443D"/>
    <w:rsid w:val="00D0527A"/>
    <w:rsid w:val="00D05EFC"/>
    <w:rsid w:val="00D063BA"/>
    <w:rsid w:val="00D069AC"/>
    <w:rsid w:val="00D11C74"/>
    <w:rsid w:val="00D152A5"/>
    <w:rsid w:val="00D2084F"/>
    <w:rsid w:val="00D23B5F"/>
    <w:rsid w:val="00D24D8B"/>
    <w:rsid w:val="00D2620E"/>
    <w:rsid w:val="00D269CD"/>
    <w:rsid w:val="00D322CE"/>
    <w:rsid w:val="00D32795"/>
    <w:rsid w:val="00D32FDA"/>
    <w:rsid w:val="00D3344A"/>
    <w:rsid w:val="00D336AF"/>
    <w:rsid w:val="00D356B8"/>
    <w:rsid w:val="00D35C11"/>
    <w:rsid w:val="00D3698E"/>
    <w:rsid w:val="00D400D4"/>
    <w:rsid w:val="00D401BF"/>
    <w:rsid w:val="00D428FD"/>
    <w:rsid w:val="00D42C8D"/>
    <w:rsid w:val="00D440EF"/>
    <w:rsid w:val="00D44B0A"/>
    <w:rsid w:val="00D45484"/>
    <w:rsid w:val="00D4574D"/>
    <w:rsid w:val="00D45DA8"/>
    <w:rsid w:val="00D4682C"/>
    <w:rsid w:val="00D46E98"/>
    <w:rsid w:val="00D50BB9"/>
    <w:rsid w:val="00D51AC3"/>
    <w:rsid w:val="00D52127"/>
    <w:rsid w:val="00D56D21"/>
    <w:rsid w:val="00D6088D"/>
    <w:rsid w:val="00D622E4"/>
    <w:rsid w:val="00D62423"/>
    <w:rsid w:val="00D62C87"/>
    <w:rsid w:val="00D63488"/>
    <w:rsid w:val="00D63B7A"/>
    <w:rsid w:val="00D6656E"/>
    <w:rsid w:val="00D672A6"/>
    <w:rsid w:val="00D720EE"/>
    <w:rsid w:val="00D723C6"/>
    <w:rsid w:val="00D72927"/>
    <w:rsid w:val="00D7353A"/>
    <w:rsid w:val="00D74A78"/>
    <w:rsid w:val="00D81919"/>
    <w:rsid w:val="00D82EBE"/>
    <w:rsid w:val="00D8344B"/>
    <w:rsid w:val="00D87EC6"/>
    <w:rsid w:val="00D9067D"/>
    <w:rsid w:val="00D91679"/>
    <w:rsid w:val="00D91DA1"/>
    <w:rsid w:val="00D933B6"/>
    <w:rsid w:val="00D9372A"/>
    <w:rsid w:val="00D95213"/>
    <w:rsid w:val="00D95BC6"/>
    <w:rsid w:val="00D9745C"/>
    <w:rsid w:val="00D97C6E"/>
    <w:rsid w:val="00DA0876"/>
    <w:rsid w:val="00DA2951"/>
    <w:rsid w:val="00DA5957"/>
    <w:rsid w:val="00DA5E7D"/>
    <w:rsid w:val="00DB16DE"/>
    <w:rsid w:val="00DB27AB"/>
    <w:rsid w:val="00DB27B6"/>
    <w:rsid w:val="00DC0114"/>
    <w:rsid w:val="00DC1D4D"/>
    <w:rsid w:val="00DC2ADC"/>
    <w:rsid w:val="00DC2DB9"/>
    <w:rsid w:val="00DC3107"/>
    <w:rsid w:val="00DC378E"/>
    <w:rsid w:val="00DC3F5D"/>
    <w:rsid w:val="00DC52B9"/>
    <w:rsid w:val="00DD003F"/>
    <w:rsid w:val="00DE0A00"/>
    <w:rsid w:val="00DE7053"/>
    <w:rsid w:val="00DF5B67"/>
    <w:rsid w:val="00E01747"/>
    <w:rsid w:val="00E03FE6"/>
    <w:rsid w:val="00E046AE"/>
    <w:rsid w:val="00E047C7"/>
    <w:rsid w:val="00E05FFC"/>
    <w:rsid w:val="00E066D5"/>
    <w:rsid w:val="00E11790"/>
    <w:rsid w:val="00E119DA"/>
    <w:rsid w:val="00E14E87"/>
    <w:rsid w:val="00E17B91"/>
    <w:rsid w:val="00E202BB"/>
    <w:rsid w:val="00E228B6"/>
    <w:rsid w:val="00E25412"/>
    <w:rsid w:val="00E25FA2"/>
    <w:rsid w:val="00E2640D"/>
    <w:rsid w:val="00E26852"/>
    <w:rsid w:val="00E26D7F"/>
    <w:rsid w:val="00E278C9"/>
    <w:rsid w:val="00E30C9C"/>
    <w:rsid w:val="00E325DB"/>
    <w:rsid w:val="00E328A6"/>
    <w:rsid w:val="00E32B0F"/>
    <w:rsid w:val="00E33FA8"/>
    <w:rsid w:val="00E35768"/>
    <w:rsid w:val="00E35E97"/>
    <w:rsid w:val="00E37E2B"/>
    <w:rsid w:val="00E40DD9"/>
    <w:rsid w:val="00E435E9"/>
    <w:rsid w:val="00E44D02"/>
    <w:rsid w:val="00E54F89"/>
    <w:rsid w:val="00E56108"/>
    <w:rsid w:val="00E56862"/>
    <w:rsid w:val="00E56A17"/>
    <w:rsid w:val="00E60B66"/>
    <w:rsid w:val="00E6182B"/>
    <w:rsid w:val="00E623C5"/>
    <w:rsid w:val="00E627C6"/>
    <w:rsid w:val="00E62F9F"/>
    <w:rsid w:val="00E65F33"/>
    <w:rsid w:val="00E679E6"/>
    <w:rsid w:val="00E71ED0"/>
    <w:rsid w:val="00E72F84"/>
    <w:rsid w:val="00E77A68"/>
    <w:rsid w:val="00E803DA"/>
    <w:rsid w:val="00E875EE"/>
    <w:rsid w:val="00E907F2"/>
    <w:rsid w:val="00E92226"/>
    <w:rsid w:val="00E94303"/>
    <w:rsid w:val="00E965A3"/>
    <w:rsid w:val="00E969DE"/>
    <w:rsid w:val="00EA1C6F"/>
    <w:rsid w:val="00EA2160"/>
    <w:rsid w:val="00EA36A8"/>
    <w:rsid w:val="00EA4200"/>
    <w:rsid w:val="00EB0738"/>
    <w:rsid w:val="00EB0842"/>
    <w:rsid w:val="00EB2832"/>
    <w:rsid w:val="00EB2D51"/>
    <w:rsid w:val="00EB3BD5"/>
    <w:rsid w:val="00EB3DFE"/>
    <w:rsid w:val="00EB5005"/>
    <w:rsid w:val="00EB57A8"/>
    <w:rsid w:val="00EB7313"/>
    <w:rsid w:val="00EC155C"/>
    <w:rsid w:val="00EC3239"/>
    <w:rsid w:val="00EC430A"/>
    <w:rsid w:val="00EC4651"/>
    <w:rsid w:val="00EC4F24"/>
    <w:rsid w:val="00EC58D6"/>
    <w:rsid w:val="00EC5AD2"/>
    <w:rsid w:val="00ED05A9"/>
    <w:rsid w:val="00ED1D17"/>
    <w:rsid w:val="00EE2670"/>
    <w:rsid w:val="00EE2878"/>
    <w:rsid w:val="00EE2B7D"/>
    <w:rsid w:val="00EE4364"/>
    <w:rsid w:val="00EE5F25"/>
    <w:rsid w:val="00EE7A81"/>
    <w:rsid w:val="00EF28B9"/>
    <w:rsid w:val="00EF3638"/>
    <w:rsid w:val="00EF3A79"/>
    <w:rsid w:val="00EF6300"/>
    <w:rsid w:val="00F01BEA"/>
    <w:rsid w:val="00F06553"/>
    <w:rsid w:val="00F06E5A"/>
    <w:rsid w:val="00F07B3E"/>
    <w:rsid w:val="00F07D01"/>
    <w:rsid w:val="00F112E1"/>
    <w:rsid w:val="00F11666"/>
    <w:rsid w:val="00F1235D"/>
    <w:rsid w:val="00F14420"/>
    <w:rsid w:val="00F14723"/>
    <w:rsid w:val="00F15D47"/>
    <w:rsid w:val="00F15DB0"/>
    <w:rsid w:val="00F230D8"/>
    <w:rsid w:val="00F2318C"/>
    <w:rsid w:val="00F2321C"/>
    <w:rsid w:val="00F23841"/>
    <w:rsid w:val="00F300D0"/>
    <w:rsid w:val="00F30595"/>
    <w:rsid w:val="00F31011"/>
    <w:rsid w:val="00F31CFA"/>
    <w:rsid w:val="00F3500B"/>
    <w:rsid w:val="00F367BD"/>
    <w:rsid w:val="00F3797A"/>
    <w:rsid w:val="00F37A92"/>
    <w:rsid w:val="00F412E1"/>
    <w:rsid w:val="00F41C72"/>
    <w:rsid w:val="00F42CDA"/>
    <w:rsid w:val="00F42F02"/>
    <w:rsid w:val="00F44FD0"/>
    <w:rsid w:val="00F52F19"/>
    <w:rsid w:val="00F55BC4"/>
    <w:rsid w:val="00F55F8D"/>
    <w:rsid w:val="00F578A7"/>
    <w:rsid w:val="00F57AF9"/>
    <w:rsid w:val="00F62408"/>
    <w:rsid w:val="00F62814"/>
    <w:rsid w:val="00F63F73"/>
    <w:rsid w:val="00F65CCB"/>
    <w:rsid w:val="00F668D0"/>
    <w:rsid w:val="00F6745C"/>
    <w:rsid w:val="00F676A0"/>
    <w:rsid w:val="00F67CA0"/>
    <w:rsid w:val="00F7243C"/>
    <w:rsid w:val="00F73103"/>
    <w:rsid w:val="00F73F70"/>
    <w:rsid w:val="00F75484"/>
    <w:rsid w:val="00F75A00"/>
    <w:rsid w:val="00F7789F"/>
    <w:rsid w:val="00F77CC2"/>
    <w:rsid w:val="00F77FBE"/>
    <w:rsid w:val="00F83CEE"/>
    <w:rsid w:val="00F846EB"/>
    <w:rsid w:val="00F86339"/>
    <w:rsid w:val="00F90825"/>
    <w:rsid w:val="00F90D74"/>
    <w:rsid w:val="00F91EB2"/>
    <w:rsid w:val="00F93B47"/>
    <w:rsid w:val="00F94840"/>
    <w:rsid w:val="00F9542A"/>
    <w:rsid w:val="00F96A83"/>
    <w:rsid w:val="00F97CB7"/>
    <w:rsid w:val="00FA2DC4"/>
    <w:rsid w:val="00FA4143"/>
    <w:rsid w:val="00FA677E"/>
    <w:rsid w:val="00FA6B30"/>
    <w:rsid w:val="00FB0F0B"/>
    <w:rsid w:val="00FB173C"/>
    <w:rsid w:val="00FB261A"/>
    <w:rsid w:val="00FB2A4D"/>
    <w:rsid w:val="00FB365C"/>
    <w:rsid w:val="00FB433D"/>
    <w:rsid w:val="00FC41AB"/>
    <w:rsid w:val="00FC589F"/>
    <w:rsid w:val="00FC7FAF"/>
    <w:rsid w:val="00FD0ADB"/>
    <w:rsid w:val="00FD24D8"/>
    <w:rsid w:val="00FD3492"/>
    <w:rsid w:val="00FD3C50"/>
    <w:rsid w:val="00FD4FB4"/>
    <w:rsid w:val="00FD5BAC"/>
    <w:rsid w:val="00FD6E33"/>
    <w:rsid w:val="00FE1151"/>
    <w:rsid w:val="00FE24AD"/>
    <w:rsid w:val="00FE4973"/>
    <w:rsid w:val="00FF1E4E"/>
    <w:rsid w:val="00FF298B"/>
    <w:rsid w:val="00FF302F"/>
    <w:rsid w:val="00FF3AB0"/>
    <w:rsid w:val="00FF4269"/>
    <w:rsid w:val="00FF43F6"/>
    <w:rsid w:val="00FF53E7"/>
    <w:rsid w:val="00FF583D"/>
    <w:rsid w:val="00FF7083"/>
    <w:rsid w:val="016029B2"/>
    <w:rsid w:val="01A762DE"/>
    <w:rsid w:val="01FC9571"/>
    <w:rsid w:val="020A161E"/>
    <w:rsid w:val="025572A9"/>
    <w:rsid w:val="02C141FF"/>
    <w:rsid w:val="02C99ED0"/>
    <w:rsid w:val="02EB23B7"/>
    <w:rsid w:val="033AE098"/>
    <w:rsid w:val="0369399D"/>
    <w:rsid w:val="03F6E4C4"/>
    <w:rsid w:val="040118F9"/>
    <w:rsid w:val="0476A36D"/>
    <w:rsid w:val="04C398C5"/>
    <w:rsid w:val="04D3FC51"/>
    <w:rsid w:val="04E1D389"/>
    <w:rsid w:val="04E9400A"/>
    <w:rsid w:val="05BF4FB1"/>
    <w:rsid w:val="05C08171"/>
    <w:rsid w:val="05CF7F59"/>
    <w:rsid w:val="05D8E811"/>
    <w:rsid w:val="0645710E"/>
    <w:rsid w:val="06D401B1"/>
    <w:rsid w:val="06FAE1F3"/>
    <w:rsid w:val="07236C51"/>
    <w:rsid w:val="07691FA0"/>
    <w:rsid w:val="077BED13"/>
    <w:rsid w:val="07860B9C"/>
    <w:rsid w:val="078BE2A8"/>
    <w:rsid w:val="07AA145E"/>
    <w:rsid w:val="07BFB5A1"/>
    <w:rsid w:val="08183A99"/>
    <w:rsid w:val="083C5258"/>
    <w:rsid w:val="0856F4F8"/>
    <w:rsid w:val="085F4BBE"/>
    <w:rsid w:val="08632497"/>
    <w:rsid w:val="08BFABDD"/>
    <w:rsid w:val="08FA9958"/>
    <w:rsid w:val="091BE67A"/>
    <w:rsid w:val="09902A2E"/>
    <w:rsid w:val="09BDA250"/>
    <w:rsid w:val="09C973B1"/>
    <w:rsid w:val="09E5B2F8"/>
    <w:rsid w:val="09E84E00"/>
    <w:rsid w:val="09ED60C2"/>
    <w:rsid w:val="0A028E0B"/>
    <w:rsid w:val="0A19B2D4"/>
    <w:rsid w:val="0A28A467"/>
    <w:rsid w:val="0A47BF75"/>
    <w:rsid w:val="0A58DFCB"/>
    <w:rsid w:val="0A5EF63F"/>
    <w:rsid w:val="0AFA3939"/>
    <w:rsid w:val="0B2359D3"/>
    <w:rsid w:val="0B437173"/>
    <w:rsid w:val="0B48BAA0"/>
    <w:rsid w:val="0BC0A3B2"/>
    <w:rsid w:val="0BEAC239"/>
    <w:rsid w:val="0BF5D829"/>
    <w:rsid w:val="0C03776A"/>
    <w:rsid w:val="0C42E645"/>
    <w:rsid w:val="0C54FAF9"/>
    <w:rsid w:val="0C62F328"/>
    <w:rsid w:val="0C6CC3EB"/>
    <w:rsid w:val="0C89D7C2"/>
    <w:rsid w:val="0C93A30B"/>
    <w:rsid w:val="0C97E692"/>
    <w:rsid w:val="0CADAF73"/>
    <w:rsid w:val="0CF9B6C6"/>
    <w:rsid w:val="0D343C2B"/>
    <w:rsid w:val="0D711700"/>
    <w:rsid w:val="0D785EFD"/>
    <w:rsid w:val="0D973D74"/>
    <w:rsid w:val="0DB6FE33"/>
    <w:rsid w:val="0DBD10CC"/>
    <w:rsid w:val="0DC0D458"/>
    <w:rsid w:val="0DCA40C0"/>
    <w:rsid w:val="0E024E97"/>
    <w:rsid w:val="0E0589BE"/>
    <w:rsid w:val="0E886866"/>
    <w:rsid w:val="0EB5A5BA"/>
    <w:rsid w:val="0EC36E29"/>
    <w:rsid w:val="0ED602B4"/>
    <w:rsid w:val="0EE0013B"/>
    <w:rsid w:val="0EE03F83"/>
    <w:rsid w:val="0F28581F"/>
    <w:rsid w:val="0F324D7B"/>
    <w:rsid w:val="0F493492"/>
    <w:rsid w:val="0F4AD85E"/>
    <w:rsid w:val="0FD03764"/>
    <w:rsid w:val="0FEBB741"/>
    <w:rsid w:val="1023D53D"/>
    <w:rsid w:val="1048EF77"/>
    <w:rsid w:val="106C5B91"/>
    <w:rsid w:val="108C0EEB"/>
    <w:rsid w:val="10CA06D7"/>
    <w:rsid w:val="10E4AE8E"/>
    <w:rsid w:val="10E61181"/>
    <w:rsid w:val="10EADC84"/>
    <w:rsid w:val="11169A00"/>
    <w:rsid w:val="1124DB98"/>
    <w:rsid w:val="115247AA"/>
    <w:rsid w:val="11574693"/>
    <w:rsid w:val="11851775"/>
    <w:rsid w:val="12229FED"/>
    <w:rsid w:val="123DAF8A"/>
    <w:rsid w:val="1259B680"/>
    <w:rsid w:val="12609297"/>
    <w:rsid w:val="129D9B4E"/>
    <w:rsid w:val="12CB78D2"/>
    <w:rsid w:val="1345F425"/>
    <w:rsid w:val="134F0195"/>
    <w:rsid w:val="1375CC1A"/>
    <w:rsid w:val="13853687"/>
    <w:rsid w:val="13A9096D"/>
    <w:rsid w:val="13A92B47"/>
    <w:rsid w:val="13F5EAD4"/>
    <w:rsid w:val="14186F74"/>
    <w:rsid w:val="142D699E"/>
    <w:rsid w:val="144F4A1B"/>
    <w:rsid w:val="1455750F"/>
    <w:rsid w:val="1465899B"/>
    <w:rsid w:val="14F110C6"/>
    <w:rsid w:val="157D359E"/>
    <w:rsid w:val="15C0E7CA"/>
    <w:rsid w:val="16562F75"/>
    <w:rsid w:val="16E39AB7"/>
    <w:rsid w:val="16EBA1A1"/>
    <w:rsid w:val="1754C9E7"/>
    <w:rsid w:val="178A2221"/>
    <w:rsid w:val="17A879DB"/>
    <w:rsid w:val="17FEBF1A"/>
    <w:rsid w:val="182AEBFA"/>
    <w:rsid w:val="19013B73"/>
    <w:rsid w:val="1969F404"/>
    <w:rsid w:val="1971267D"/>
    <w:rsid w:val="198971DD"/>
    <w:rsid w:val="19B53EB4"/>
    <w:rsid w:val="19BF969A"/>
    <w:rsid w:val="19C23DE1"/>
    <w:rsid w:val="19D91D78"/>
    <w:rsid w:val="19FA8478"/>
    <w:rsid w:val="1A1AE56F"/>
    <w:rsid w:val="1A76A084"/>
    <w:rsid w:val="1AA698F2"/>
    <w:rsid w:val="1B958BB2"/>
    <w:rsid w:val="1BD28CA7"/>
    <w:rsid w:val="1BD60260"/>
    <w:rsid w:val="1BD8AAEC"/>
    <w:rsid w:val="1C0A6A0B"/>
    <w:rsid w:val="1C296265"/>
    <w:rsid w:val="1C55C529"/>
    <w:rsid w:val="1C9D5353"/>
    <w:rsid w:val="1CF59307"/>
    <w:rsid w:val="1D12EBED"/>
    <w:rsid w:val="1D13647B"/>
    <w:rsid w:val="1D4C4468"/>
    <w:rsid w:val="1D735796"/>
    <w:rsid w:val="1DA30840"/>
    <w:rsid w:val="1DAA262D"/>
    <w:rsid w:val="1E3B0355"/>
    <w:rsid w:val="1E6C7231"/>
    <w:rsid w:val="1E84204D"/>
    <w:rsid w:val="1E877F88"/>
    <w:rsid w:val="1E8ED74B"/>
    <w:rsid w:val="1EA5B9D9"/>
    <w:rsid w:val="1EA7FF23"/>
    <w:rsid w:val="1EB2165F"/>
    <w:rsid w:val="1EC0B62F"/>
    <w:rsid w:val="1EF4C7AA"/>
    <w:rsid w:val="1F0A8AA9"/>
    <w:rsid w:val="1F11394C"/>
    <w:rsid w:val="1F26945A"/>
    <w:rsid w:val="1F2B956B"/>
    <w:rsid w:val="1F442F04"/>
    <w:rsid w:val="1F77074A"/>
    <w:rsid w:val="1FB4F23A"/>
    <w:rsid w:val="1FFF53C5"/>
    <w:rsid w:val="20027FAB"/>
    <w:rsid w:val="2019A7BD"/>
    <w:rsid w:val="203076B3"/>
    <w:rsid w:val="2086B539"/>
    <w:rsid w:val="20A9C41B"/>
    <w:rsid w:val="20C9C2E3"/>
    <w:rsid w:val="20CCCF43"/>
    <w:rsid w:val="20FB7C1A"/>
    <w:rsid w:val="2131D967"/>
    <w:rsid w:val="21AA6BD9"/>
    <w:rsid w:val="21D34221"/>
    <w:rsid w:val="21D9CEB8"/>
    <w:rsid w:val="21DCB20F"/>
    <w:rsid w:val="22198906"/>
    <w:rsid w:val="225738B2"/>
    <w:rsid w:val="22ABC2A0"/>
    <w:rsid w:val="22B42F86"/>
    <w:rsid w:val="22D067E4"/>
    <w:rsid w:val="23076C7E"/>
    <w:rsid w:val="23667C90"/>
    <w:rsid w:val="23776267"/>
    <w:rsid w:val="2385644D"/>
    <w:rsid w:val="239A117C"/>
    <w:rsid w:val="23A2B02E"/>
    <w:rsid w:val="23C03F71"/>
    <w:rsid w:val="23E5CB52"/>
    <w:rsid w:val="23FFC12E"/>
    <w:rsid w:val="240EEE55"/>
    <w:rsid w:val="24136ECF"/>
    <w:rsid w:val="2424E756"/>
    <w:rsid w:val="24839C18"/>
    <w:rsid w:val="24A1A9CD"/>
    <w:rsid w:val="24BD445E"/>
    <w:rsid w:val="24EED970"/>
    <w:rsid w:val="252AF587"/>
    <w:rsid w:val="25556FB0"/>
    <w:rsid w:val="25B25855"/>
    <w:rsid w:val="25BF4A6D"/>
    <w:rsid w:val="25BFB7F0"/>
    <w:rsid w:val="25E4F62A"/>
    <w:rsid w:val="260D037E"/>
    <w:rsid w:val="264FC480"/>
    <w:rsid w:val="26524C16"/>
    <w:rsid w:val="2683504B"/>
    <w:rsid w:val="26878D3D"/>
    <w:rsid w:val="269AA451"/>
    <w:rsid w:val="26D11BF4"/>
    <w:rsid w:val="26F6BD9F"/>
    <w:rsid w:val="27A7BF6F"/>
    <w:rsid w:val="27A9CA08"/>
    <w:rsid w:val="27C94F65"/>
    <w:rsid w:val="2812FB26"/>
    <w:rsid w:val="2818F1A0"/>
    <w:rsid w:val="2842B216"/>
    <w:rsid w:val="289A85CA"/>
    <w:rsid w:val="28A67015"/>
    <w:rsid w:val="28ADADEC"/>
    <w:rsid w:val="28B9DB69"/>
    <w:rsid w:val="28DA91EC"/>
    <w:rsid w:val="28E80E74"/>
    <w:rsid w:val="29C8165A"/>
    <w:rsid w:val="29E33F5A"/>
    <w:rsid w:val="29E83176"/>
    <w:rsid w:val="2A22386B"/>
    <w:rsid w:val="2A61334F"/>
    <w:rsid w:val="2A6D7D0C"/>
    <w:rsid w:val="2A797645"/>
    <w:rsid w:val="2A797FCD"/>
    <w:rsid w:val="2A9A508C"/>
    <w:rsid w:val="2AB57AD2"/>
    <w:rsid w:val="2AE96C7F"/>
    <w:rsid w:val="2B224C9B"/>
    <w:rsid w:val="2B2267C5"/>
    <w:rsid w:val="2B37DEB6"/>
    <w:rsid w:val="2B48EE20"/>
    <w:rsid w:val="2B4CFDAF"/>
    <w:rsid w:val="2B91882E"/>
    <w:rsid w:val="2BB51E0F"/>
    <w:rsid w:val="2BC1E85A"/>
    <w:rsid w:val="2BEC6424"/>
    <w:rsid w:val="2C701692"/>
    <w:rsid w:val="2C76AE2B"/>
    <w:rsid w:val="2CD509E5"/>
    <w:rsid w:val="2CF0FBB6"/>
    <w:rsid w:val="2D0D1DDB"/>
    <w:rsid w:val="2D2B3430"/>
    <w:rsid w:val="2D397AE0"/>
    <w:rsid w:val="2D46524A"/>
    <w:rsid w:val="2D49C0DD"/>
    <w:rsid w:val="2D7CF03B"/>
    <w:rsid w:val="2ECCBF65"/>
    <w:rsid w:val="2EE5913E"/>
    <w:rsid w:val="2EF63612"/>
    <w:rsid w:val="2EFD2157"/>
    <w:rsid w:val="2EFF3BE0"/>
    <w:rsid w:val="2F0715C1"/>
    <w:rsid w:val="2F109D8D"/>
    <w:rsid w:val="2F1BBD34"/>
    <w:rsid w:val="2F624054"/>
    <w:rsid w:val="2F6FF8A7"/>
    <w:rsid w:val="2F862554"/>
    <w:rsid w:val="2FD263C5"/>
    <w:rsid w:val="2FDE8CDE"/>
    <w:rsid w:val="2FFB10A4"/>
    <w:rsid w:val="301BFD10"/>
    <w:rsid w:val="3022EC8C"/>
    <w:rsid w:val="3061BD57"/>
    <w:rsid w:val="30668F7E"/>
    <w:rsid w:val="306F91F3"/>
    <w:rsid w:val="307B4378"/>
    <w:rsid w:val="30DBA859"/>
    <w:rsid w:val="3111A30C"/>
    <w:rsid w:val="312969EC"/>
    <w:rsid w:val="314B26F2"/>
    <w:rsid w:val="3153F194"/>
    <w:rsid w:val="3167B14F"/>
    <w:rsid w:val="3175F258"/>
    <w:rsid w:val="31E8F6B7"/>
    <w:rsid w:val="32535164"/>
    <w:rsid w:val="3259CD8A"/>
    <w:rsid w:val="329B8B50"/>
    <w:rsid w:val="32D7D10A"/>
    <w:rsid w:val="3327264A"/>
    <w:rsid w:val="3342E420"/>
    <w:rsid w:val="336BA08E"/>
    <w:rsid w:val="337E32F4"/>
    <w:rsid w:val="33943D7E"/>
    <w:rsid w:val="33A3B265"/>
    <w:rsid w:val="33CD6FF9"/>
    <w:rsid w:val="33D11F30"/>
    <w:rsid w:val="33E0B3FD"/>
    <w:rsid w:val="33E25D36"/>
    <w:rsid w:val="33FBDD06"/>
    <w:rsid w:val="34053E67"/>
    <w:rsid w:val="3412F1C9"/>
    <w:rsid w:val="34525F58"/>
    <w:rsid w:val="345C76B7"/>
    <w:rsid w:val="346F84EB"/>
    <w:rsid w:val="3473AF66"/>
    <w:rsid w:val="34A288E3"/>
    <w:rsid w:val="34C9868A"/>
    <w:rsid w:val="34F2E16C"/>
    <w:rsid w:val="34F3BAB0"/>
    <w:rsid w:val="357929C8"/>
    <w:rsid w:val="357EB374"/>
    <w:rsid w:val="35859F79"/>
    <w:rsid w:val="35958E7D"/>
    <w:rsid w:val="35BC8208"/>
    <w:rsid w:val="35C0A447"/>
    <w:rsid w:val="36265615"/>
    <w:rsid w:val="362AFA52"/>
    <w:rsid w:val="369ACC56"/>
    <w:rsid w:val="36CBE2C4"/>
    <w:rsid w:val="36D2F017"/>
    <w:rsid w:val="36E8C035"/>
    <w:rsid w:val="3714BF49"/>
    <w:rsid w:val="3747909D"/>
    <w:rsid w:val="3756B171"/>
    <w:rsid w:val="37E11851"/>
    <w:rsid w:val="37E1EFA8"/>
    <w:rsid w:val="37F8FCB7"/>
    <w:rsid w:val="38157EDA"/>
    <w:rsid w:val="3841FDC6"/>
    <w:rsid w:val="3898648C"/>
    <w:rsid w:val="38CF6604"/>
    <w:rsid w:val="38DB44FC"/>
    <w:rsid w:val="38E941DC"/>
    <w:rsid w:val="38E9980F"/>
    <w:rsid w:val="38F9E485"/>
    <w:rsid w:val="39042B4A"/>
    <w:rsid w:val="390B06A0"/>
    <w:rsid w:val="392DC357"/>
    <w:rsid w:val="393214D9"/>
    <w:rsid w:val="39323010"/>
    <w:rsid w:val="39344BF0"/>
    <w:rsid w:val="395CAD63"/>
    <w:rsid w:val="3972F459"/>
    <w:rsid w:val="39793816"/>
    <w:rsid w:val="399E49AB"/>
    <w:rsid w:val="39E7001F"/>
    <w:rsid w:val="3A010791"/>
    <w:rsid w:val="3A41C1EA"/>
    <w:rsid w:val="3AB33D14"/>
    <w:rsid w:val="3AC993B8"/>
    <w:rsid w:val="3B3A0711"/>
    <w:rsid w:val="3B922506"/>
    <w:rsid w:val="3BAD2101"/>
    <w:rsid w:val="3C279AFF"/>
    <w:rsid w:val="3C2F4352"/>
    <w:rsid w:val="3C80F477"/>
    <w:rsid w:val="3C9CF067"/>
    <w:rsid w:val="3CC2FDD7"/>
    <w:rsid w:val="3CD14A03"/>
    <w:rsid w:val="3CDB3E0E"/>
    <w:rsid w:val="3CF7F03D"/>
    <w:rsid w:val="3D1677EA"/>
    <w:rsid w:val="3D2E6447"/>
    <w:rsid w:val="3D6CA4B8"/>
    <w:rsid w:val="3D7DBB62"/>
    <w:rsid w:val="3D901D89"/>
    <w:rsid w:val="3D9B056C"/>
    <w:rsid w:val="3DB8B690"/>
    <w:rsid w:val="3E1DDAEA"/>
    <w:rsid w:val="3E4CBABA"/>
    <w:rsid w:val="3E90198B"/>
    <w:rsid w:val="3EAC3F35"/>
    <w:rsid w:val="3EC8F913"/>
    <w:rsid w:val="3ED1C776"/>
    <w:rsid w:val="3EE338F4"/>
    <w:rsid w:val="3F086B43"/>
    <w:rsid w:val="3F099DB6"/>
    <w:rsid w:val="3F32C620"/>
    <w:rsid w:val="3F72C543"/>
    <w:rsid w:val="3F7FF94B"/>
    <w:rsid w:val="3FA16EB4"/>
    <w:rsid w:val="3FE43EE6"/>
    <w:rsid w:val="3FE8DA12"/>
    <w:rsid w:val="3FF2B73F"/>
    <w:rsid w:val="4001C834"/>
    <w:rsid w:val="4040FC0C"/>
    <w:rsid w:val="40A676CC"/>
    <w:rsid w:val="40A7D3FB"/>
    <w:rsid w:val="40B54C1E"/>
    <w:rsid w:val="40E19487"/>
    <w:rsid w:val="40E4628B"/>
    <w:rsid w:val="40E6099F"/>
    <w:rsid w:val="410B6D90"/>
    <w:rsid w:val="4122BD32"/>
    <w:rsid w:val="416BB149"/>
    <w:rsid w:val="417C482E"/>
    <w:rsid w:val="4193299D"/>
    <w:rsid w:val="4193AA42"/>
    <w:rsid w:val="41989039"/>
    <w:rsid w:val="419B12C9"/>
    <w:rsid w:val="41CB4C86"/>
    <w:rsid w:val="41F5C892"/>
    <w:rsid w:val="4212E99C"/>
    <w:rsid w:val="42771992"/>
    <w:rsid w:val="42CE3B78"/>
    <w:rsid w:val="43131FC4"/>
    <w:rsid w:val="43162698"/>
    <w:rsid w:val="431CF80F"/>
    <w:rsid w:val="43777DFB"/>
    <w:rsid w:val="4377F8B8"/>
    <w:rsid w:val="43B92643"/>
    <w:rsid w:val="43C7E7D1"/>
    <w:rsid w:val="44065336"/>
    <w:rsid w:val="443C5FAF"/>
    <w:rsid w:val="4450B4A7"/>
    <w:rsid w:val="4461CD00"/>
    <w:rsid w:val="448D3609"/>
    <w:rsid w:val="44E8377E"/>
    <w:rsid w:val="45A6CB97"/>
    <w:rsid w:val="45C796BA"/>
    <w:rsid w:val="46AA43C1"/>
    <w:rsid w:val="46B5C0EB"/>
    <w:rsid w:val="46C18CD2"/>
    <w:rsid w:val="46DD57B4"/>
    <w:rsid w:val="46DEDAE8"/>
    <w:rsid w:val="4722C252"/>
    <w:rsid w:val="473157CE"/>
    <w:rsid w:val="47807BC1"/>
    <w:rsid w:val="47A7E2B6"/>
    <w:rsid w:val="484566B8"/>
    <w:rsid w:val="4869D771"/>
    <w:rsid w:val="48A0E1A5"/>
    <w:rsid w:val="4928DE93"/>
    <w:rsid w:val="492DB6D1"/>
    <w:rsid w:val="493B7514"/>
    <w:rsid w:val="494DC823"/>
    <w:rsid w:val="494E6526"/>
    <w:rsid w:val="4976F9AB"/>
    <w:rsid w:val="49849FE3"/>
    <w:rsid w:val="49A9384A"/>
    <w:rsid w:val="49C213EF"/>
    <w:rsid w:val="4A31C67F"/>
    <w:rsid w:val="4A3B23B7"/>
    <w:rsid w:val="4A85C766"/>
    <w:rsid w:val="4AA86C28"/>
    <w:rsid w:val="4AD74EFD"/>
    <w:rsid w:val="4AFC8C34"/>
    <w:rsid w:val="4B15EE14"/>
    <w:rsid w:val="4B47B304"/>
    <w:rsid w:val="4B4B3C39"/>
    <w:rsid w:val="4B5AAAC8"/>
    <w:rsid w:val="4B7898CA"/>
    <w:rsid w:val="4C085D56"/>
    <w:rsid w:val="4C1C1B81"/>
    <w:rsid w:val="4C2A2612"/>
    <w:rsid w:val="4C6480EF"/>
    <w:rsid w:val="4C7FC41A"/>
    <w:rsid w:val="4C8C95B6"/>
    <w:rsid w:val="4C944137"/>
    <w:rsid w:val="4C97D714"/>
    <w:rsid w:val="4C993C1F"/>
    <w:rsid w:val="4CD27CB8"/>
    <w:rsid w:val="4CEEC84F"/>
    <w:rsid w:val="4D291F45"/>
    <w:rsid w:val="4D578093"/>
    <w:rsid w:val="4D687EDC"/>
    <w:rsid w:val="4DCD61B1"/>
    <w:rsid w:val="4E2F91A0"/>
    <w:rsid w:val="4E75DCC4"/>
    <w:rsid w:val="4E79F24B"/>
    <w:rsid w:val="4E84F0B9"/>
    <w:rsid w:val="4E8E2B1B"/>
    <w:rsid w:val="4EA56AC7"/>
    <w:rsid w:val="4EAE2ADB"/>
    <w:rsid w:val="4F03A883"/>
    <w:rsid w:val="4F385A59"/>
    <w:rsid w:val="4F4D7C7C"/>
    <w:rsid w:val="4F75F703"/>
    <w:rsid w:val="4FC12A2A"/>
    <w:rsid w:val="4FC49571"/>
    <w:rsid w:val="4FC8E1DA"/>
    <w:rsid w:val="4FE1D8CC"/>
    <w:rsid w:val="5008F439"/>
    <w:rsid w:val="50375474"/>
    <w:rsid w:val="50565CD1"/>
    <w:rsid w:val="505ECD73"/>
    <w:rsid w:val="50777520"/>
    <w:rsid w:val="50C57B18"/>
    <w:rsid w:val="50C79150"/>
    <w:rsid w:val="51E1EF2F"/>
    <w:rsid w:val="5220EC62"/>
    <w:rsid w:val="52457212"/>
    <w:rsid w:val="5248C70A"/>
    <w:rsid w:val="5258C8B9"/>
    <w:rsid w:val="528B1C32"/>
    <w:rsid w:val="529F5501"/>
    <w:rsid w:val="52D2EBA7"/>
    <w:rsid w:val="539ADAF6"/>
    <w:rsid w:val="53A5D630"/>
    <w:rsid w:val="53D11E76"/>
    <w:rsid w:val="54525138"/>
    <w:rsid w:val="546C3693"/>
    <w:rsid w:val="54B279DA"/>
    <w:rsid w:val="54BB29C6"/>
    <w:rsid w:val="5507CC46"/>
    <w:rsid w:val="55381E73"/>
    <w:rsid w:val="555F0657"/>
    <w:rsid w:val="557E08A8"/>
    <w:rsid w:val="56108676"/>
    <w:rsid w:val="5616C683"/>
    <w:rsid w:val="561CD394"/>
    <w:rsid w:val="562CE3D1"/>
    <w:rsid w:val="5666B9DB"/>
    <w:rsid w:val="56A24D8D"/>
    <w:rsid w:val="56A4D462"/>
    <w:rsid w:val="56DD3173"/>
    <w:rsid w:val="5778728C"/>
    <w:rsid w:val="57931999"/>
    <w:rsid w:val="579CE455"/>
    <w:rsid w:val="57E7AC37"/>
    <w:rsid w:val="57EA59B5"/>
    <w:rsid w:val="58288914"/>
    <w:rsid w:val="5887CC85"/>
    <w:rsid w:val="589E99BA"/>
    <w:rsid w:val="58C26F1A"/>
    <w:rsid w:val="5A07BE5A"/>
    <w:rsid w:val="5A182EF0"/>
    <w:rsid w:val="5A2460BA"/>
    <w:rsid w:val="5A7BF3F1"/>
    <w:rsid w:val="5A7CB570"/>
    <w:rsid w:val="5AE771F0"/>
    <w:rsid w:val="5B119E20"/>
    <w:rsid w:val="5B16AA33"/>
    <w:rsid w:val="5B5B7338"/>
    <w:rsid w:val="5B729901"/>
    <w:rsid w:val="5B83C1BB"/>
    <w:rsid w:val="5BD61244"/>
    <w:rsid w:val="5C1ABAA6"/>
    <w:rsid w:val="5C36A7A1"/>
    <w:rsid w:val="5C51DEFF"/>
    <w:rsid w:val="5CD8D0D2"/>
    <w:rsid w:val="5CDDE69C"/>
    <w:rsid w:val="5D289FD3"/>
    <w:rsid w:val="5D74879B"/>
    <w:rsid w:val="5D7F1F81"/>
    <w:rsid w:val="5D96507E"/>
    <w:rsid w:val="5D9DF6FD"/>
    <w:rsid w:val="5DC6E752"/>
    <w:rsid w:val="5DE50947"/>
    <w:rsid w:val="5DF124F4"/>
    <w:rsid w:val="5E0DA9DF"/>
    <w:rsid w:val="5E1C4137"/>
    <w:rsid w:val="5E1F7F45"/>
    <w:rsid w:val="5E2E9B99"/>
    <w:rsid w:val="5E6EB457"/>
    <w:rsid w:val="5E747E85"/>
    <w:rsid w:val="5E9FF30C"/>
    <w:rsid w:val="5EA1C4CB"/>
    <w:rsid w:val="5EB12D61"/>
    <w:rsid w:val="5EEBF751"/>
    <w:rsid w:val="5EF1AE57"/>
    <w:rsid w:val="5EFD1F17"/>
    <w:rsid w:val="5F08EEF0"/>
    <w:rsid w:val="5F09D5B9"/>
    <w:rsid w:val="5F0EB7B7"/>
    <w:rsid w:val="5F5B58E7"/>
    <w:rsid w:val="5F762643"/>
    <w:rsid w:val="5FB403A7"/>
    <w:rsid w:val="600137DA"/>
    <w:rsid w:val="602B0192"/>
    <w:rsid w:val="6035B30A"/>
    <w:rsid w:val="604DE380"/>
    <w:rsid w:val="60A0D80B"/>
    <w:rsid w:val="61137F16"/>
    <w:rsid w:val="6122A82F"/>
    <w:rsid w:val="612B111E"/>
    <w:rsid w:val="61705FE6"/>
    <w:rsid w:val="618D8B08"/>
    <w:rsid w:val="618ED93B"/>
    <w:rsid w:val="620690A8"/>
    <w:rsid w:val="622EB1C3"/>
    <w:rsid w:val="625836AF"/>
    <w:rsid w:val="6275CF37"/>
    <w:rsid w:val="62D1F02F"/>
    <w:rsid w:val="63105F2A"/>
    <w:rsid w:val="633258FE"/>
    <w:rsid w:val="63B4EBA7"/>
    <w:rsid w:val="646DADFA"/>
    <w:rsid w:val="649181A0"/>
    <w:rsid w:val="64C88B81"/>
    <w:rsid w:val="65450EDB"/>
    <w:rsid w:val="65D80B7B"/>
    <w:rsid w:val="65FD5988"/>
    <w:rsid w:val="660D00B3"/>
    <w:rsid w:val="66323640"/>
    <w:rsid w:val="66813552"/>
    <w:rsid w:val="6682A6DD"/>
    <w:rsid w:val="66BDE884"/>
    <w:rsid w:val="66D1F6C4"/>
    <w:rsid w:val="675155A3"/>
    <w:rsid w:val="675F1C2A"/>
    <w:rsid w:val="6780FE96"/>
    <w:rsid w:val="678C1AB7"/>
    <w:rsid w:val="6794C9E0"/>
    <w:rsid w:val="67AC2003"/>
    <w:rsid w:val="67C2612C"/>
    <w:rsid w:val="68189B2A"/>
    <w:rsid w:val="681A3BA8"/>
    <w:rsid w:val="686AAC37"/>
    <w:rsid w:val="689BD36E"/>
    <w:rsid w:val="68B611A8"/>
    <w:rsid w:val="68D5C99B"/>
    <w:rsid w:val="68D93017"/>
    <w:rsid w:val="69379A98"/>
    <w:rsid w:val="69B507AE"/>
    <w:rsid w:val="69C58945"/>
    <w:rsid w:val="6A11F5DB"/>
    <w:rsid w:val="6A7D07EA"/>
    <w:rsid w:val="6A9BDCE2"/>
    <w:rsid w:val="6AE19BE2"/>
    <w:rsid w:val="6AFD5724"/>
    <w:rsid w:val="6B17AE75"/>
    <w:rsid w:val="6B290483"/>
    <w:rsid w:val="6B29E8E7"/>
    <w:rsid w:val="6B487C9A"/>
    <w:rsid w:val="6B962883"/>
    <w:rsid w:val="6B9CF3FB"/>
    <w:rsid w:val="6BA61136"/>
    <w:rsid w:val="6BCB1F03"/>
    <w:rsid w:val="6BDC2D2F"/>
    <w:rsid w:val="6BFB97D9"/>
    <w:rsid w:val="6C4E0F5F"/>
    <w:rsid w:val="6C6F9603"/>
    <w:rsid w:val="6C7334CB"/>
    <w:rsid w:val="6CC5FBC4"/>
    <w:rsid w:val="6CD3655D"/>
    <w:rsid w:val="6CDA80F5"/>
    <w:rsid w:val="6D0D5043"/>
    <w:rsid w:val="6D1708D5"/>
    <w:rsid w:val="6D4FB3D0"/>
    <w:rsid w:val="6D86EC94"/>
    <w:rsid w:val="6D8F18BF"/>
    <w:rsid w:val="6D9970E0"/>
    <w:rsid w:val="6D9DFDD4"/>
    <w:rsid w:val="6DB360F5"/>
    <w:rsid w:val="6E274B4F"/>
    <w:rsid w:val="6E89585B"/>
    <w:rsid w:val="6EC56100"/>
    <w:rsid w:val="6EC5641A"/>
    <w:rsid w:val="6F475D4F"/>
    <w:rsid w:val="6F4F3E97"/>
    <w:rsid w:val="6F5138C4"/>
    <w:rsid w:val="6F655439"/>
    <w:rsid w:val="6FF8DD7A"/>
    <w:rsid w:val="7006383A"/>
    <w:rsid w:val="70202980"/>
    <w:rsid w:val="702B292C"/>
    <w:rsid w:val="7042B9D4"/>
    <w:rsid w:val="7048459A"/>
    <w:rsid w:val="7052C829"/>
    <w:rsid w:val="7055A130"/>
    <w:rsid w:val="70E4A67A"/>
    <w:rsid w:val="712546A5"/>
    <w:rsid w:val="71287CDB"/>
    <w:rsid w:val="717D9703"/>
    <w:rsid w:val="71D41F95"/>
    <w:rsid w:val="71F363A8"/>
    <w:rsid w:val="722CE0E9"/>
    <w:rsid w:val="7246728F"/>
    <w:rsid w:val="726364C3"/>
    <w:rsid w:val="72C3F67A"/>
    <w:rsid w:val="72C90A60"/>
    <w:rsid w:val="72EA7979"/>
    <w:rsid w:val="72FD2282"/>
    <w:rsid w:val="73442359"/>
    <w:rsid w:val="734FC352"/>
    <w:rsid w:val="7368A0B5"/>
    <w:rsid w:val="738ACB0B"/>
    <w:rsid w:val="73DB698C"/>
    <w:rsid w:val="73FFDA26"/>
    <w:rsid w:val="74011AFC"/>
    <w:rsid w:val="742078D9"/>
    <w:rsid w:val="743D1C9F"/>
    <w:rsid w:val="74649BBE"/>
    <w:rsid w:val="7484F574"/>
    <w:rsid w:val="749A8AD7"/>
    <w:rsid w:val="74D2D030"/>
    <w:rsid w:val="75323BC8"/>
    <w:rsid w:val="753D1D7F"/>
    <w:rsid w:val="753ECCF2"/>
    <w:rsid w:val="75450FED"/>
    <w:rsid w:val="757EE44B"/>
    <w:rsid w:val="75883755"/>
    <w:rsid w:val="75CDE80D"/>
    <w:rsid w:val="76062366"/>
    <w:rsid w:val="763331A0"/>
    <w:rsid w:val="76350B4A"/>
    <w:rsid w:val="7644C4F0"/>
    <w:rsid w:val="76A6BB97"/>
    <w:rsid w:val="76AFC831"/>
    <w:rsid w:val="76CC5985"/>
    <w:rsid w:val="770BA04F"/>
    <w:rsid w:val="774CB5E7"/>
    <w:rsid w:val="775340EC"/>
    <w:rsid w:val="7753D170"/>
    <w:rsid w:val="7797F827"/>
    <w:rsid w:val="77DB3220"/>
    <w:rsid w:val="77DB3860"/>
    <w:rsid w:val="77EADB7A"/>
    <w:rsid w:val="781B8A6D"/>
    <w:rsid w:val="782EB19E"/>
    <w:rsid w:val="788AD1E1"/>
    <w:rsid w:val="788C7153"/>
    <w:rsid w:val="789D8A17"/>
    <w:rsid w:val="78BD2086"/>
    <w:rsid w:val="78DF7F86"/>
    <w:rsid w:val="7904C320"/>
    <w:rsid w:val="791B971E"/>
    <w:rsid w:val="791D39B0"/>
    <w:rsid w:val="7951BC3C"/>
    <w:rsid w:val="795A531C"/>
    <w:rsid w:val="7993D3A3"/>
    <w:rsid w:val="79B3C567"/>
    <w:rsid w:val="79E92D80"/>
    <w:rsid w:val="7A043DFB"/>
    <w:rsid w:val="7A131255"/>
    <w:rsid w:val="7A259043"/>
    <w:rsid w:val="7A3EBF04"/>
    <w:rsid w:val="7A7AF51C"/>
    <w:rsid w:val="7A827CEE"/>
    <w:rsid w:val="7AC4F41C"/>
    <w:rsid w:val="7B38AAFC"/>
    <w:rsid w:val="7B79872C"/>
    <w:rsid w:val="7B98DA2C"/>
    <w:rsid w:val="7BC20811"/>
    <w:rsid w:val="7BCB2B53"/>
    <w:rsid w:val="7C05AAF9"/>
    <w:rsid w:val="7C13565C"/>
    <w:rsid w:val="7C501C41"/>
    <w:rsid w:val="7C550AB3"/>
    <w:rsid w:val="7C67E269"/>
    <w:rsid w:val="7CC5A89B"/>
    <w:rsid w:val="7CCE6F62"/>
    <w:rsid w:val="7CF3E39E"/>
    <w:rsid w:val="7D165E95"/>
    <w:rsid w:val="7D7225E0"/>
    <w:rsid w:val="7D7642B3"/>
    <w:rsid w:val="7D7CD534"/>
    <w:rsid w:val="7D91DA0A"/>
    <w:rsid w:val="7D9C935F"/>
    <w:rsid w:val="7DCC44ED"/>
    <w:rsid w:val="7DD2A6E5"/>
    <w:rsid w:val="7DDDF223"/>
    <w:rsid w:val="7E47A604"/>
    <w:rsid w:val="7EF52EBE"/>
    <w:rsid w:val="7F244887"/>
    <w:rsid w:val="7F40F0F4"/>
    <w:rsid w:val="7FA2A5E4"/>
    <w:rsid w:val="7FACA0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5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ibliography">
    <w:name w:val="Bibliography"/>
    <w:basedOn w:val="Normal"/>
    <w:next w:val="Normal"/>
    <w:uiPriority w:val="37"/>
    <w:unhideWhenUsed/>
    <w:rsid w:val="002870EA"/>
    <w:pPr>
      <w:tabs>
        <w:tab w:val="left" w:pos="504"/>
      </w:tabs>
      <w:spacing w:after="240" w:line="240" w:lineRule="auto"/>
      <w:ind w:left="504" w:hanging="504"/>
    </w:pPr>
  </w:style>
  <w:style w:type="paragraph" w:styleId="Revision">
    <w:name w:val="Revision"/>
    <w:hidden/>
    <w:uiPriority w:val="99"/>
    <w:semiHidden/>
    <w:rsid w:val="00EE7A81"/>
    <w:pPr>
      <w:spacing w:line="240" w:lineRule="auto"/>
    </w:pPr>
  </w:style>
  <w:style w:type="character" w:styleId="Hyperlink">
    <w:name w:val="Hyperlink"/>
    <w:basedOn w:val="DefaultParagraphFont"/>
    <w:uiPriority w:val="99"/>
    <w:unhideWhenUsed/>
    <w:rsid w:val="00EE7A8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E4EEB"/>
    <w:rPr>
      <w:b/>
      <w:bCs/>
    </w:rPr>
  </w:style>
  <w:style w:type="character" w:customStyle="1" w:styleId="CommentSubjectChar">
    <w:name w:val="Comment Subject Char"/>
    <w:basedOn w:val="CommentTextChar"/>
    <w:link w:val="CommentSubject"/>
    <w:uiPriority w:val="99"/>
    <w:semiHidden/>
    <w:rsid w:val="007E4EEB"/>
    <w:rPr>
      <w:b/>
      <w:bCs/>
      <w:sz w:val="20"/>
      <w:szCs w:val="20"/>
    </w:rPr>
  </w:style>
  <w:style w:type="character" w:customStyle="1" w:styleId="ui-provider">
    <w:name w:val="ui-provider"/>
    <w:basedOn w:val="DefaultParagraphFont"/>
    <w:rsid w:val="008A1458"/>
  </w:style>
  <w:style w:type="character" w:customStyle="1" w:styleId="Heading4Char">
    <w:name w:val="Heading 4 Char"/>
    <w:basedOn w:val="DefaultParagraphFont"/>
    <w:link w:val="Heading4"/>
    <w:uiPriority w:val="9"/>
    <w:rsid w:val="009B0600"/>
    <w:rPr>
      <w:color w:val="666666"/>
      <w:sz w:val="24"/>
      <w:szCs w:val="24"/>
    </w:rPr>
  </w:style>
  <w:style w:type="paragraph" w:styleId="ListParagraph">
    <w:name w:val="List Paragraph"/>
    <w:basedOn w:val="Normal"/>
    <w:uiPriority w:val="34"/>
    <w:qFormat/>
    <w:rsid w:val="001F232F"/>
    <w:pPr>
      <w:ind w:left="720"/>
      <w:contextualSpacing/>
    </w:pPr>
  </w:style>
  <w:style w:type="character" w:styleId="UnresolvedMention">
    <w:name w:val="Unresolved Mention"/>
    <w:basedOn w:val="DefaultParagraphFont"/>
    <w:uiPriority w:val="99"/>
    <w:unhideWhenUsed/>
    <w:rsid w:val="002A2432"/>
    <w:rPr>
      <w:color w:val="605E5C"/>
      <w:shd w:val="clear" w:color="auto" w:fill="E1DFDD"/>
    </w:rPr>
  </w:style>
  <w:style w:type="character" w:customStyle="1" w:styleId="Heading3Char">
    <w:name w:val="Heading 3 Char"/>
    <w:basedOn w:val="DefaultParagraphFont"/>
    <w:link w:val="Heading3"/>
    <w:uiPriority w:val="9"/>
    <w:rsid w:val="00FF4269"/>
    <w:rPr>
      <w:color w:val="434343"/>
      <w:sz w:val="28"/>
      <w:szCs w:val="28"/>
    </w:rPr>
  </w:style>
  <w:style w:type="character" w:styleId="Mention">
    <w:name w:val="Mention"/>
    <w:basedOn w:val="DefaultParagraphFont"/>
    <w:uiPriority w:val="99"/>
    <w:rsid w:val="0041715D"/>
    <w:rPr>
      <w:color w:val="2B579A"/>
      <w:shd w:val="clear" w:color="auto" w:fill="E1DFDD"/>
    </w:rPr>
  </w:style>
  <w:style w:type="character" w:styleId="FollowedHyperlink">
    <w:name w:val="FollowedHyperlink"/>
    <w:basedOn w:val="DefaultParagraphFont"/>
    <w:uiPriority w:val="99"/>
    <w:semiHidden/>
    <w:unhideWhenUsed/>
    <w:rsid w:val="001C4ED9"/>
    <w:rPr>
      <w:color w:val="800080" w:themeColor="followedHyperlink"/>
      <w:u w:val="single"/>
    </w:rPr>
  </w:style>
  <w:style w:type="paragraph" w:customStyle="1" w:styleId="Authors">
    <w:name w:val="Authors"/>
    <w:basedOn w:val="Normal"/>
    <w:rsid w:val="0075440C"/>
    <w:pPr>
      <w:spacing w:before="120" w:after="360" w:line="240" w:lineRule="auto"/>
      <w:jc w:val="center"/>
    </w:pPr>
    <w:rPr>
      <w:rFonts w:ascii="Times New Roman" w:eastAsia="Times New Roman" w:hAnsi="Times New Roman" w:cs="Times New Roman"/>
      <w:sz w:val="24"/>
      <w:szCs w:val="24"/>
      <w:lang w:val="en-US"/>
    </w:rPr>
  </w:style>
  <w:style w:type="paragraph" w:customStyle="1" w:styleId="Paragraph">
    <w:name w:val="Paragraph"/>
    <w:basedOn w:val="Normal"/>
    <w:rsid w:val="0075440C"/>
    <w:pPr>
      <w:spacing w:before="120" w:line="240" w:lineRule="auto"/>
      <w:ind w:firstLine="720"/>
    </w:pPr>
    <w:rPr>
      <w:rFonts w:ascii="Times New Roman" w:eastAsia="Times New Roman" w:hAnsi="Times New Roman" w:cs="Times New Roman"/>
      <w:sz w:val="24"/>
      <w:szCs w:val="24"/>
      <w:lang w:val="en-US"/>
    </w:rPr>
  </w:style>
  <w:style w:type="paragraph" w:customStyle="1" w:styleId="Head">
    <w:name w:val="Head"/>
    <w:basedOn w:val="Normal"/>
    <w:rsid w:val="0075440C"/>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 w:type="paragraph" w:customStyle="1" w:styleId="Acknowledgement">
    <w:name w:val="Acknowledgement"/>
    <w:basedOn w:val="Normal"/>
    <w:rsid w:val="00063906"/>
    <w:pPr>
      <w:spacing w:before="120" w:line="240" w:lineRule="auto"/>
      <w:ind w:left="720" w:hanging="72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3906"/>
    <w:rPr>
      <w:b/>
      <w:bCs/>
    </w:rPr>
  </w:style>
  <w:style w:type="paragraph" w:customStyle="1" w:styleId="acknowledgement0">
    <w:name w:val="acknowledgement"/>
    <w:basedOn w:val="Normal"/>
    <w:rsid w:val="000639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OMContent">
    <w:name w:val="SOMContent"/>
    <w:basedOn w:val="Normal"/>
    <w:rsid w:val="00063906"/>
    <w:pPr>
      <w:spacing w:before="12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7071">
      <w:bodyDiv w:val="1"/>
      <w:marLeft w:val="0"/>
      <w:marRight w:val="0"/>
      <w:marTop w:val="0"/>
      <w:marBottom w:val="0"/>
      <w:divBdr>
        <w:top w:val="none" w:sz="0" w:space="0" w:color="auto"/>
        <w:left w:val="none" w:sz="0" w:space="0" w:color="auto"/>
        <w:bottom w:val="none" w:sz="0" w:space="0" w:color="auto"/>
        <w:right w:val="none" w:sz="0" w:space="0" w:color="auto"/>
      </w:divBdr>
    </w:div>
    <w:div w:id="365646524">
      <w:bodyDiv w:val="1"/>
      <w:marLeft w:val="0"/>
      <w:marRight w:val="0"/>
      <w:marTop w:val="0"/>
      <w:marBottom w:val="0"/>
      <w:divBdr>
        <w:top w:val="none" w:sz="0" w:space="0" w:color="auto"/>
        <w:left w:val="none" w:sz="0" w:space="0" w:color="auto"/>
        <w:bottom w:val="none" w:sz="0" w:space="0" w:color="auto"/>
        <w:right w:val="none" w:sz="0" w:space="0" w:color="auto"/>
      </w:divBdr>
    </w:div>
    <w:div w:id="788745789">
      <w:bodyDiv w:val="1"/>
      <w:marLeft w:val="0"/>
      <w:marRight w:val="0"/>
      <w:marTop w:val="0"/>
      <w:marBottom w:val="0"/>
      <w:divBdr>
        <w:top w:val="none" w:sz="0" w:space="0" w:color="auto"/>
        <w:left w:val="none" w:sz="0" w:space="0" w:color="auto"/>
        <w:bottom w:val="none" w:sz="0" w:space="0" w:color="auto"/>
        <w:right w:val="none" w:sz="0" w:space="0" w:color="auto"/>
      </w:divBdr>
    </w:div>
    <w:div w:id="1176579950">
      <w:bodyDiv w:val="1"/>
      <w:marLeft w:val="0"/>
      <w:marRight w:val="0"/>
      <w:marTop w:val="0"/>
      <w:marBottom w:val="0"/>
      <w:divBdr>
        <w:top w:val="none" w:sz="0" w:space="0" w:color="auto"/>
        <w:left w:val="none" w:sz="0" w:space="0" w:color="auto"/>
        <w:bottom w:val="none" w:sz="0" w:space="0" w:color="auto"/>
        <w:right w:val="none" w:sz="0" w:space="0" w:color="auto"/>
      </w:divBdr>
    </w:div>
    <w:div w:id="1650205151">
      <w:bodyDiv w:val="1"/>
      <w:marLeft w:val="0"/>
      <w:marRight w:val="0"/>
      <w:marTop w:val="0"/>
      <w:marBottom w:val="0"/>
      <w:divBdr>
        <w:top w:val="none" w:sz="0" w:space="0" w:color="auto"/>
        <w:left w:val="none" w:sz="0" w:space="0" w:color="auto"/>
        <w:bottom w:val="none" w:sz="0" w:space="0" w:color="auto"/>
        <w:right w:val="none" w:sz="0" w:space="0" w:color="auto"/>
      </w:divBdr>
    </w:div>
    <w:div w:id="1709573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B1142-5125-45A8-AEC3-373788063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3042</Words>
  <Characters>17344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20346</CharactersWithSpaces>
  <SharedDoc>false</SharedDoc>
  <HLinks>
    <vt:vector size="6" baseType="variant">
      <vt:variant>
        <vt:i4>7471119</vt:i4>
      </vt:variant>
      <vt:variant>
        <vt:i4>0</vt:i4>
      </vt:variant>
      <vt:variant>
        <vt:i4>0</vt:i4>
      </vt:variant>
      <vt:variant>
        <vt:i4>5</vt:i4>
      </vt:variant>
      <vt:variant>
        <vt:lpwstr>mailto:gidden@iiasa.ac.at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2025-11-10T23:34:00Z</dcterms:created>
  <dcterms:modified xsi:type="dcterms:W3CDTF">2025-11-10T23:34:00Z</dcterms:modified>
</cp:coreProperties>
</file>