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C546EA" w14:textId="0BE9C26D" w:rsidR="005E58A9" w:rsidRPr="00D27F15" w:rsidRDefault="008F1ED9" w:rsidP="00D27F15">
      <w:pPr>
        <w:pStyle w:val="Heading1"/>
        <w:jc w:val="center"/>
        <w:rPr>
          <w:sz w:val="24"/>
          <w:szCs w:val="24"/>
        </w:rPr>
      </w:pPr>
      <w:r w:rsidRPr="00D27F15">
        <w:rPr>
          <w:sz w:val="24"/>
          <w:szCs w:val="24"/>
        </w:rPr>
        <w:t xml:space="preserve">Supplementary </w:t>
      </w:r>
      <w:r w:rsidR="001D49F6" w:rsidRPr="00D27F15">
        <w:rPr>
          <w:sz w:val="24"/>
          <w:szCs w:val="24"/>
        </w:rPr>
        <w:t>information</w:t>
      </w:r>
    </w:p>
    <w:p w14:paraId="17F1C31B" w14:textId="08E29379" w:rsidR="00D27F15" w:rsidRDefault="00D27F15" w:rsidP="00D27F15">
      <w:pPr>
        <w:jc w:val="center"/>
        <w:rPr>
          <w:b/>
          <w:bCs/>
          <w:sz w:val="24"/>
          <w:szCs w:val="24"/>
        </w:rPr>
      </w:pPr>
      <w:r>
        <w:rPr>
          <w:b/>
          <w:bCs/>
          <w:sz w:val="24"/>
          <w:szCs w:val="24"/>
        </w:rPr>
        <w:t>f</w:t>
      </w:r>
      <w:r w:rsidRPr="00D27F15">
        <w:rPr>
          <w:b/>
          <w:bCs/>
          <w:sz w:val="24"/>
          <w:szCs w:val="24"/>
        </w:rPr>
        <w:t>or</w:t>
      </w:r>
    </w:p>
    <w:p w14:paraId="5FD7F4E0" w14:textId="77777777" w:rsidR="00D27F15" w:rsidRDefault="00D27F15" w:rsidP="00D27F15">
      <w:pPr>
        <w:jc w:val="center"/>
        <w:rPr>
          <w:b/>
          <w:bCs/>
          <w:sz w:val="24"/>
          <w:szCs w:val="24"/>
        </w:rPr>
      </w:pPr>
    </w:p>
    <w:p w14:paraId="4DC090F7" w14:textId="77777777" w:rsidR="00D27F15" w:rsidRPr="00D27F15" w:rsidRDefault="00D27F15" w:rsidP="00D27F15">
      <w:pPr>
        <w:jc w:val="center"/>
        <w:rPr>
          <w:b/>
          <w:bCs/>
          <w:sz w:val="24"/>
          <w:szCs w:val="24"/>
        </w:rPr>
      </w:pPr>
    </w:p>
    <w:p w14:paraId="33CEA1AC" w14:textId="77777777" w:rsidR="008F1ED9" w:rsidRDefault="008F1ED9" w:rsidP="00F25DBD"/>
    <w:p w14:paraId="0719335E" w14:textId="77777777" w:rsidR="002067A1" w:rsidRPr="009D37DA" w:rsidRDefault="002067A1" w:rsidP="002067A1">
      <w:pPr>
        <w:spacing w:afterLines="40" w:after="96"/>
        <w:jc w:val="center"/>
        <w:rPr>
          <w:b/>
          <w:bCs/>
          <w:color w:val="000000" w:themeColor="text1"/>
          <w:lang w:val="en-US"/>
        </w:rPr>
      </w:pPr>
      <w:r w:rsidRPr="002E34A9">
        <w:rPr>
          <w:b/>
          <w:bCs/>
          <w:color w:val="000000" w:themeColor="text1"/>
          <w:lang w:val="en-US"/>
        </w:rPr>
        <w:t>From genotype to phenotype with 1,086 near telomere-to-telomere yeast genomes</w:t>
      </w:r>
    </w:p>
    <w:p w14:paraId="3E0C0412" w14:textId="77777777" w:rsidR="00D27F15" w:rsidRPr="004C195A" w:rsidRDefault="00D27F15" w:rsidP="00D27F15">
      <w:pPr>
        <w:spacing w:afterLines="40" w:after="96"/>
        <w:jc w:val="center"/>
        <w:rPr>
          <w:b/>
          <w:bCs/>
          <w:lang w:val="en-US"/>
        </w:rPr>
      </w:pPr>
    </w:p>
    <w:p w14:paraId="6E04EEFE" w14:textId="77777777" w:rsidR="00D27F15" w:rsidRPr="004C195A" w:rsidRDefault="00D27F15" w:rsidP="00D27F15">
      <w:pPr>
        <w:spacing w:afterLines="40" w:after="96"/>
        <w:rPr>
          <w:lang w:val="en-US"/>
        </w:rPr>
      </w:pPr>
    </w:p>
    <w:p w14:paraId="4E5178EA" w14:textId="77777777" w:rsidR="00D27F15" w:rsidRPr="004C195A" w:rsidRDefault="00D27F15" w:rsidP="00D27F15">
      <w:pPr>
        <w:spacing w:afterLines="40" w:after="96"/>
        <w:rPr>
          <w:lang w:val="en-US"/>
        </w:rPr>
      </w:pPr>
    </w:p>
    <w:p w14:paraId="26987F67" w14:textId="77777777" w:rsidR="00D27F15" w:rsidRPr="004C195A" w:rsidRDefault="00D27F15" w:rsidP="00D27F15">
      <w:pPr>
        <w:spacing w:afterLines="40" w:after="96"/>
        <w:rPr>
          <w:lang w:val="en-US"/>
        </w:rPr>
      </w:pPr>
    </w:p>
    <w:p w14:paraId="435C5674" w14:textId="77777777" w:rsidR="00D27F15" w:rsidRPr="004C195A" w:rsidRDefault="00D27F15" w:rsidP="00D27F15">
      <w:pPr>
        <w:spacing w:afterLines="40" w:after="96"/>
        <w:jc w:val="center"/>
        <w:rPr>
          <w:rFonts w:eastAsiaTheme="majorEastAsia"/>
          <w:bCs/>
          <w:color w:val="000000" w:themeColor="text1"/>
          <w:vertAlign w:val="superscript"/>
          <w:lang w:val="en-GB"/>
        </w:rPr>
      </w:pPr>
      <w:r w:rsidRPr="004C195A">
        <w:rPr>
          <w:rFonts w:eastAsiaTheme="majorEastAsia"/>
          <w:bCs/>
          <w:color w:val="000000" w:themeColor="text1"/>
          <w:lang w:val="en-GB"/>
        </w:rPr>
        <w:t>Victor Loegler</w:t>
      </w:r>
      <w:r w:rsidRPr="004C195A">
        <w:rPr>
          <w:rFonts w:eastAsiaTheme="majorEastAsia"/>
          <w:bCs/>
          <w:color w:val="000000" w:themeColor="text1"/>
          <w:vertAlign w:val="superscript"/>
          <w:lang w:val="en-GB"/>
        </w:rPr>
        <w:t>1</w:t>
      </w:r>
      <w:r w:rsidRPr="004C195A">
        <w:rPr>
          <w:rFonts w:eastAsiaTheme="majorEastAsia"/>
          <w:bCs/>
          <w:color w:val="000000" w:themeColor="text1"/>
          <w:lang w:val="en-GB"/>
        </w:rPr>
        <w:t>, Pia Thiele</w:t>
      </w:r>
      <w:r w:rsidRPr="004C195A">
        <w:rPr>
          <w:rFonts w:eastAsiaTheme="majorEastAsia"/>
          <w:bCs/>
          <w:color w:val="000000" w:themeColor="text1"/>
          <w:vertAlign w:val="superscript"/>
          <w:lang w:val="en-GB"/>
        </w:rPr>
        <w:t>1</w:t>
      </w:r>
      <w:r w:rsidRPr="004C195A">
        <w:rPr>
          <w:rFonts w:eastAsiaTheme="majorEastAsia"/>
          <w:bCs/>
          <w:color w:val="000000" w:themeColor="text1"/>
          <w:lang w:val="en-GB"/>
        </w:rPr>
        <w:t>, Elie Teyssonnière</w:t>
      </w:r>
      <w:r w:rsidRPr="004C195A">
        <w:rPr>
          <w:rFonts w:eastAsiaTheme="majorEastAsia"/>
          <w:bCs/>
          <w:color w:val="000000" w:themeColor="text1"/>
          <w:vertAlign w:val="superscript"/>
          <w:lang w:val="en-GB"/>
        </w:rPr>
        <w:t>1</w:t>
      </w:r>
      <w:r w:rsidRPr="004C195A">
        <w:rPr>
          <w:rFonts w:eastAsiaTheme="majorEastAsia"/>
          <w:bCs/>
          <w:color w:val="000000" w:themeColor="text1"/>
          <w:lang w:val="en-GB"/>
        </w:rPr>
        <w:t>, Andreas Tsouris</w:t>
      </w:r>
      <w:r w:rsidRPr="004C195A">
        <w:rPr>
          <w:rFonts w:eastAsiaTheme="majorEastAsia"/>
          <w:bCs/>
          <w:color w:val="000000" w:themeColor="text1"/>
          <w:vertAlign w:val="superscript"/>
          <w:lang w:val="en-GB"/>
        </w:rPr>
        <w:t>1</w:t>
      </w:r>
      <w:r w:rsidRPr="004C195A">
        <w:rPr>
          <w:rFonts w:eastAsiaTheme="majorEastAsia"/>
          <w:bCs/>
          <w:color w:val="000000" w:themeColor="text1"/>
          <w:lang w:val="en-GB"/>
        </w:rPr>
        <w:t>, Gauthier Brach</w:t>
      </w:r>
      <w:r w:rsidRPr="004C195A">
        <w:rPr>
          <w:rFonts w:eastAsiaTheme="majorEastAsia"/>
          <w:bCs/>
          <w:color w:val="000000" w:themeColor="text1"/>
          <w:vertAlign w:val="superscript"/>
          <w:lang w:val="en-GB"/>
        </w:rPr>
        <w:t>1</w:t>
      </w:r>
      <w:r w:rsidRPr="004C195A">
        <w:rPr>
          <w:rFonts w:eastAsiaTheme="majorEastAsia"/>
          <w:bCs/>
          <w:color w:val="000000" w:themeColor="text1"/>
          <w:lang w:val="en-GB"/>
        </w:rPr>
        <w:t>, Corinne Cruaud</w:t>
      </w:r>
      <w:r w:rsidRPr="004C195A">
        <w:rPr>
          <w:rFonts w:eastAsiaTheme="majorEastAsia"/>
          <w:bCs/>
          <w:color w:val="000000" w:themeColor="text1"/>
          <w:vertAlign w:val="superscript"/>
          <w:lang w:val="en-GB"/>
        </w:rPr>
        <w:t>2</w:t>
      </w:r>
      <w:r w:rsidRPr="004C195A">
        <w:rPr>
          <w:rFonts w:eastAsiaTheme="majorEastAsia"/>
          <w:bCs/>
          <w:color w:val="000000" w:themeColor="text1"/>
          <w:lang w:val="en-GB"/>
        </w:rPr>
        <w:t>, Emilie Payen</w:t>
      </w:r>
      <w:r w:rsidRPr="004C195A">
        <w:rPr>
          <w:rFonts w:eastAsiaTheme="majorEastAsia"/>
          <w:bCs/>
          <w:color w:val="000000" w:themeColor="text1"/>
          <w:vertAlign w:val="superscript"/>
          <w:lang w:val="en-GB"/>
        </w:rPr>
        <w:t>2</w:t>
      </w:r>
      <w:r w:rsidRPr="004C195A">
        <w:rPr>
          <w:rFonts w:eastAsiaTheme="majorEastAsia"/>
          <w:bCs/>
          <w:color w:val="000000" w:themeColor="text1"/>
          <w:lang w:val="en-GB"/>
        </w:rPr>
        <w:t>, Stefan Engelen</w:t>
      </w:r>
      <w:r w:rsidRPr="004C195A">
        <w:rPr>
          <w:rFonts w:eastAsiaTheme="majorEastAsia"/>
          <w:bCs/>
          <w:color w:val="000000" w:themeColor="text1"/>
          <w:vertAlign w:val="superscript"/>
          <w:lang w:val="en-GB"/>
        </w:rPr>
        <w:t>2</w:t>
      </w:r>
      <w:r w:rsidRPr="004C195A">
        <w:rPr>
          <w:rFonts w:eastAsiaTheme="majorEastAsia"/>
          <w:bCs/>
          <w:color w:val="000000" w:themeColor="text1"/>
          <w:lang w:val="en-GB"/>
        </w:rPr>
        <w:t>, Maitreya J. Dunham</w:t>
      </w:r>
      <w:r w:rsidRPr="004C195A">
        <w:rPr>
          <w:rFonts w:eastAsiaTheme="majorEastAsia"/>
          <w:bCs/>
          <w:color w:val="000000" w:themeColor="text1"/>
          <w:vertAlign w:val="superscript"/>
          <w:lang w:val="en-GB"/>
        </w:rPr>
        <w:t>3</w:t>
      </w:r>
      <w:r w:rsidRPr="004C195A">
        <w:rPr>
          <w:rFonts w:eastAsiaTheme="majorEastAsia"/>
          <w:bCs/>
          <w:color w:val="000000" w:themeColor="text1"/>
          <w:lang w:val="en-GB"/>
        </w:rPr>
        <w:t>, Jing Hou</w:t>
      </w:r>
      <w:r w:rsidRPr="004C195A">
        <w:rPr>
          <w:rFonts w:eastAsiaTheme="majorEastAsia"/>
          <w:bCs/>
          <w:color w:val="000000" w:themeColor="text1"/>
          <w:vertAlign w:val="superscript"/>
          <w:lang w:val="en-GB"/>
        </w:rPr>
        <w:t>1</w:t>
      </w:r>
      <w:r w:rsidRPr="004C195A">
        <w:rPr>
          <w:rFonts w:eastAsiaTheme="majorEastAsia"/>
          <w:bCs/>
          <w:color w:val="000000" w:themeColor="text1"/>
          <w:lang w:val="en-GB"/>
        </w:rPr>
        <w:t>, Anne Friedrich</w:t>
      </w:r>
      <w:r w:rsidRPr="004C195A">
        <w:rPr>
          <w:rFonts w:eastAsiaTheme="majorEastAsia"/>
          <w:bCs/>
          <w:color w:val="000000" w:themeColor="text1"/>
          <w:vertAlign w:val="superscript"/>
          <w:lang w:val="en-GB"/>
        </w:rPr>
        <w:t>1</w:t>
      </w:r>
      <w:r w:rsidRPr="004C195A">
        <w:rPr>
          <w:rFonts w:eastAsiaTheme="majorEastAsia"/>
          <w:bCs/>
          <w:color w:val="000000" w:themeColor="text1"/>
          <w:lang w:val="en-GB"/>
        </w:rPr>
        <w:t xml:space="preserve">, and Joseph Schacherer </w:t>
      </w:r>
      <w:r w:rsidRPr="004C195A">
        <w:rPr>
          <w:rFonts w:eastAsiaTheme="majorEastAsia"/>
          <w:bCs/>
          <w:color w:val="000000" w:themeColor="text1"/>
          <w:vertAlign w:val="superscript"/>
          <w:lang w:val="en-GB"/>
        </w:rPr>
        <w:t>1,4</w:t>
      </w:r>
    </w:p>
    <w:p w14:paraId="486D7748" w14:textId="77777777" w:rsidR="00D27F15" w:rsidRPr="004C195A" w:rsidRDefault="00D27F15" w:rsidP="00D27F15">
      <w:pPr>
        <w:spacing w:afterLines="40" w:after="96"/>
        <w:jc w:val="center"/>
        <w:rPr>
          <w:rFonts w:eastAsiaTheme="majorEastAsia"/>
          <w:bCs/>
          <w:color w:val="000000" w:themeColor="text1"/>
          <w:vertAlign w:val="superscript"/>
          <w:lang w:val="en-GB"/>
        </w:rPr>
      </w:pPr>
    </w:p>
    <w:p w14:paraId="6E35BDE2" w14:textId="77777777" w:rsidR="00D27F15" w:rsidRPr="004C195A" w:rsidRDefault="00D27F15" w:rsidP="0023434F">
      <w:pPr>
        <w:spacing w:afterLines="40" w:after="96"/>
        <w:rPr>
          <w:rFonts w:eastAsiaTheme="majorEastAsia"/>
          <w:bCs/>
          <w:color w:val="000000" w:themeColor="text1"/>
          <w:vertAlign w:val="superscript"/>
          <w:lang w:val="en-GB"/>
        </w:rPr>
      </w:pPr>
    </w:p>
    <w:p w14:paraId="1EC26E35" w14:textId="77777777" w:rsidR="00D27F15" w:rsidRPr="004C195A" w:rsidRDefault="00D27F15" w:rsidP="00D27F15">
      <w:pPr>
        <w:spacing w:afterLines="40" w:after="96"/>
        <w:jc w:val="center"/>
        <w:rPr>
          <w:rFonts w:eastAsiaTheme="majorEastAsia"/>
          <w:bCs/>
          <w:color w:val="000000" w:themeColor="text1"/>
          <w:vertAlign w:val="superscript"/>
          <w:lang w:val="en-GB"/>
        </w:rPr>
      </w:pPr>
    </w:p>
    <w:p w14:paraId="240A9855" w14:textId="77777777" w:rsidR="00D27F15" w:rsidRPr="00905FB9" w:rsidRDefault="00D27F15" w:rsidP="00D27F15">
      <w:pPr>
        <w:spacing w:afterLines="40" w:after="96"/>
        <w:rPr>
          <w:rFonts w:eastAsiaTheme="majorEastAsia"/>
          <w:bCs/>
          <w:color w:val="000000" w:themeColor="text1"/>
          <w:lang w:val="fr-FR"/>
        </w:rPr>
      </w:pPr>
      <w:r w:rsidRPr="00905FB9">
        <w:rPr>
          <w:rFonts w:eastAsiaTheme="majorEastAsia"/>
          <w:bCs/>
          <w:color w:val="000000" w:themeColor="text1"/>
          <w:vertAlign w:val="superscript"/>
          <w:lang w:val="fr-FR"/>
        </w:rPr>
        <w:t xml:space="preserve">1 </w:t>
      </w:r>
      <w:r w:rsidRPr="00905FB9">
        <w:rPr>
          <w:rFonts w:eastAsiaTheme="majorEastAsia"/>
          <w:bCs/>
          <w:color w:val="000000" w:themeColor="text1"/>
          <w:lang w:val="fr-FR"/>
        </w:rPr>
        <w:t>Université de Strasbourg, CNRS, GMGM UMR 7156, Strasbourg, France.</w:t>
      </w:r>
    </w:p>
    <w:p w14:paraId="4582CDBE" w14:textId="77777777" w:rsidR="00D27F15" w:rsidRPr="00905FB9" w:rsidRDefault="00D27F15" w:rsidP="00D27F15">
      <w:pPr>
        <w:spacing w:afterLines="40" w:after="96"/>
        <w:rPr>
          <w:rFonts w:eastAsiaTheme="majorEastAsia"/>
          <w:bCs/>
          <w:color w:val="000000" w:themeColor="text1"/>
          <w:lang w:val="fr-FR"/>
        </w:rPr>
      </w:pPr>
      <w:r w:rsidRPr="00905FB9">
        <w:rPr>
          <w:rFonts w:eastAsiaTheme="majorEastAsia"/>
          <w:bCs/>
          <w:color w:val="000000" w:themeColor="text1"/>
          <w:vertAlign w:val="superscript"/>
          <w:lang w:val="fr-FR"/>
        </w:rPr>
        <w:t xml:space="preserve">2 </w:t>
      </w:r>
      <w:proofErr w:type="spellStart"/>
      <w:r w:rsidRPr="00905FB9">
        <w:rPr>
          <w:rFonts w:eastAsiaTheme="majorEastAsia"/>
          <w:bCs/>
          <w:color w:val="000000" w:themeColor="text1"/>
          <w:lang w:val="fr-FR"/>
        </w:rPr>
        <w:t>Genoscope</w:t>
      </w:r>
      <w:proofErr w:type="spellEnd"/>
      <w:r w:rsidRPr="00905FB9">
        <w:rPr>
          <w:rFonts w:eastAsiaTheme="majorEastAsia"/>
          <w:bCs/>
          <w:color w:val="000000" w:themeColor="text1"/>
          <w:lang w:val="fr-FR"/>
        </w:rPr>
        <w:t xml:space="preserve">, Institut François Jacob, CEA, CNRS, Univ </w:t>
      </w:r>
      <w:proofErr w:type="spellStart"/>
      <w:r w:rsidRPr="00905FB9">
        <w:rPr>
          <w:rFonts w:eastAsiaTheme="majorEastAsia"/>
          <w:bCs/>
          <w:color w:val="000000" w:themeColor="text1"/>
          <w:lang w:val="fr-FR"/>
        </w:rPr>
        <w:t>Evry</w:t>
      </w:r>
      <w:proofErr w:type="spellEnd"/>
      <w:r w:rsidRPr="00905FB9">
        <w:rPr>
          <w:rFonts w:eastAsiaTheme="majorEastAsia"/>
          <w:bCs/>
          <w:color w:val="000000" w:themeColor="text1"/>
          <w:lang w:val="fr-FR"/>
        </w:rPr>
        <w:t xml:space="preserve">, Université Paris-Saclay, </w:t>
      </w:r>
      <w:proofErr w:type="spellStart"/>
      <w:r w:rsidRPr="00905FB9">
        <w:rPr>
          <w:rFonts w:eastAsiaTheme="majorEastAsia"/>
          <w:bCs/>
          <w:color w:val="000000" w:themeColor="text1"/>
          <w:lang w:val="fr-FR"/>
        </w:rPr>
        <w:t>Evry</w:t>
      </w:r>
      <w:proofErr w:type="spellEnd"/>
      <w:r w:rsidRPr="00905FB9">
        <w:rPr>
          <w:rFonts w:eastAsiaTheme="majorEastAsia"/>
          <w:bCs/>
          <w:color w:val="000000" w:themeColor="text1"/>
          <w:lang w:val="fr-FR"/>
        </w:rPr>
        <w:t xml:space="preserve"> 91057, France.</w:t>
      </w:r>
    </w:p>
    <w:p w14:paraId="461BDC32" w14:textId="77777777" w:rsidR="00D27F15" w:rsidRPr="004C195A" w:rsidRDefault="00D27F15" w:rsidP="00D27F15">
      <w:pPr>
        <w:spacing w:afterLines="40" w:after="96"/>
        <w:rPr>
          <w:rFonts w:eastAsiaTheme="majorEastAsia"/>
          <w:bCs/>
          <w:color w:val="000000" w:themeColor="text1"/>
          <w:lang w:val="en-GB"/>
        </w:rPr>
      </w:pPr>
      <w:r w:rsidRPr="004C195A">
        <w:rPr>
          <w:rFonts w:eastAsiaTheme="majorEastAsia"/>
          <w:bCs/>
          <w:color w:val="000000" w:themeColor="text1"/>
          <w:vertAlign w:val="superscript"/>
          <w:lang w:val="en-GB"/>
        </w:rPr>
        <w:t xml:space="preserve">3 </w:t>
      </w:r>
      <w:r w:rsidRPr="004C195A">
        <w:rPr>
          <w:rFonts w:eastAsiaTheme="majorEastAsia"/>
          <w:bCs/>
          <w:color w:val="000000" w:themeColor="text1"/>
          <w:lang w:val="en-GB"/>
        </w:rPr>
        <w:t>Genome Sciences Department, University of Washington, Seattle, Washington, United States of America.</w:t>
      </w:r>
    </w:p>
    <w:p w14:paraId="35DB52C4" w14:textId="77777777" w:rsidR="00D27F15" w:rsidRPr="00905FB9" w:rsidRDefault="00D27F15" w:rsidP="00D27F15">
      <w:pPr>
        <w:spacing w:afterLines="40" w:after="96"/>
        <w:rPr>
          <w:rFonts w:eastAsiaTheme="majorEastAsia"/>
          <w:bCs/>
          <w:color w:val="000000" w:themeColor="text1"/>
          <w:lang w:val="fr-FR"/>
        </w:rPr>
      </w:pPr>
      <w:r w:rsidRPr="00905FB9">
        <w:rPr>
          <w:rFonts w:eastAsiaTheme="majorEastAsia"/>
          <w:bCs/>
          <w:color w:val="000000" w:themeColor="text1"/>
          <w:vertAlign w:val="superscript"/>
          <w:lang w:val="fr-FR"/>
        </w:rPr>
        <w:t xml:space="preserve">4 </w:t>
      </w:r>
      <w:r w:rsidRPr="00905FB9">
        <w:rPr>
          <w:rFonts w:eastAsiaTheme="majorEastAsia"/>
          <w:bCs/>
          <w:color w:val="000000" w:themeColor="text1"/>
          <w:lang w:val="fr-FR"/>
        </w:rPr>
        <w:t>Institut Universitaire de France (IUF), Paris, France.</w:t>
      </w:r>
    </w:p>
    <w:p w14:paraId="410D9CFE" w14:textId="26119FFC" w:rsidR="00D73BDF" w:rsidRDefault="00D73BDF" w:rsidP="00F25DBD">
      <w:pPr>
        <w:rPr>
          <w:lang w:val="fr-FR"/>
        </w:rPr>
      </w:pPr>
    </w:p>
    <w:p w14:paraId="0F55A624" w14:textId="77777777" w:rsidR="00D73BDF" w:rsidRDefault="00D73BDF" w:rsidP="00F25DBD">
      <w:pPr>
        <w:rPr>
          <w:lang w:val="fr-FR"/>
        </w:rPr>
      </w:pPr>
    </w:p>
    <w:sdt>
      <w:sdtPr>
        <w:rPr>
          <w:b w:val="0"/>
          <w:bCs w:val="0"/>
          <w:sz w:val="22"/>
          <w:szCs w:val="22"/>
        </w:rPr>
        <w:id w:val="-1849789185"/>
        <w:docPartObj>
          <w:docPartGallery w:val="Table of Contents"/>
          <w:docPartUnique/>
        </w:docPartObj>
      </w:sdtPr>
      <w:sdtEndPr>
        <w:rPr>
          <w:noProof/>
        </w:rPr>
      </w:sdtEndPr>
      <w:sdtContent>
        <w:p w14:paraId="5916D91A" w14:textId="7E1A87AB" w:rsidR="00D73BDF" w:rsidRPr="004A350C" w:rsidRDefault="00D73BDF" w:rsidP="00D73BDF">
          <w:pPr>
            <w:pStyle w:val="Heading1"/>
            <w:rPr>
              <w:sz w:val="28"/>
              <w:szCs w:val="28"/>
            </w:rPr>
          </w:pPr>
          <w:r w:rsidRPr="004A350C">
            <w:rPr>
              <w:sz w:val="28"/>
              <w:szCs w:val="28"/>
            </w:rPr>
            <w:t>Table of Contents</w:t>
          </w:r>
        </w:p>
        <w:p w14:paraId="4F8E4D10" w14:textId="3049A517" w:rsidR="00611E9B" w:rsidRPr="004A350C" w:rsidRDefault="00D73BDF">
          <w:pPr>
            <w:pStyle w:val="TOC1"/>
            <w:tabs>
              <w:tab w:val="right" w:leader="dot" w:pos="9010"/>
            </w:tabs>
            <w:rPr>
              <w:rFonts w:ascii="Times New Roman" w:eastAsiaTheme="minorEastAsia" w:hAnsi="Times New Roman"/>
              <w:bCs w:val="0"/>
              <w:i w:val="0"/>
              <w:iCs w:val="0"/>
              <w:noProof/>
              <w:kern w:val="2"/>
              <w:lang w:eastAsia="en-GB"/>
              <w14:ligatures w14:val="standardContextual"/>
            </w:rPr>
          </w:pPr>
          <w:r w:rsidRPr="004A350C">
            <w:rPr>
              <w:rFonts w:ascii="Times New Roman" w:hAnsi="Times New Roman"/>
            </w:rPr>
            <w:fldChar w:fldCharType="begin"/>
          </w:r>
          <w:r w:rsidRPr="004A350C">
            <w:rPr>
              <w:rFonts w:ascii="Times New Roman" w:hAnsi="Times New Roman"/>
            </w:rPr>
            <w:instrText xml:space="preserve"> TOC \h \z \u \t "Heading 2,1,Heading 3,2" </w:instrText>
          </w:r>
          <w:r w:rsidRPr="004A350C">
            <w:rPr>
              <w:rFonts w:ascii="Times New Roman" w:hAnsi="Times New Roman"/>
            </w:rPr>
            <w:fldChar w:fldCharType="separate"/>
          </w:r>
          <w:hyperlink w:anchor="_Toc207031022" w:history="1">
            <w:r w:rsidR="00611E9B" w:rsidRPr="004A350C">
              <w:rPr>
                <w:rStyle w:val="Hyperlink"/>
                <w:rFonts w:ascii="Times New Roman" w:hAnsi="Times New Roman"/>
                <w:noProof/>
                <w:lang w:val="en-US"/>
              </w:rPr>
              <w:t>Supplementary figures</w:t>
            </w:r>
            <w:r w:rsidR="00611E9B" w:rsidRPr="004A350C">
              <w:rPr>
                <w:rFonts w:ascii="Times New Roman" w:hAnsi="Times New Roman"/>
                <w:noProof/>
                <w:webHidden/>
              </w:rPr>
              <w:tab/>
            </w:r>
            <w:r w:rsidR="00611E9B" w:rsidRPr="004A350C">
              <w:rPr>
                <w:rFonts w:ascii="Times New Roman" w:hAnsi="Times New Roman"/>
                <w:noProof/>
                <w:webHidden/>
              </w:rPr>
              <w:fldChar w:fldCharType="begin"/>
            </w:r>
            <w:r w:rsidR="00611E9B" w:rsidRPr="004A350C">
              <w:rPr>
                <w:rFonts w:ascii="Times New Roman" w:hAnsi="Times New Roman"/>
                <w:noProof/>
                <w:webHidden/>
              </w:rPr>
              <w:instrText xml:space="preserve"> PAGEREF _Toc207031022 \h </w:instrText>
            </w:r>
            <w:r w:rsidR="00611E9B" w:rsidRPr="004A350C">
              <w:rPr>
                <w:rFonts w:ascii="Times New Roman" w:hAnsi="Times New Roman"/>
                <w:noProof/>
                <w:webHidden/>
              </w:rPr>
            </w:r>
            <w:r w:rsidR="00611E9B" w:rsidRPr="004A350C">
              <w:rPr>
                <w:rFonts w:ascii="Times New Roman" w:hAnsi="Times New Roman"/>
                <w:noProof/>
                <w:webHidden/>
              </w:rPr>
              <w:fldChar w:fldCharType="separate"/>
            </w:r>
            <w:r w:rsidR="00611E9B" w:rsidRPr="004A350C">
              <w:rPr>
                <w:rFonts w:ascii="Times New Roman" w:hAnsi="Times New Roman"/>
                <w:noProof/>
                <w:webHidden/>
              </w:rPr>
              <w:t>2</w:t>
            </w:r>
            <w:r w:rsidR="00611E9B" w:rsidRPr="004A350C">
              <w:rPr>
                <w:rFonts w:ascii="Times New Roman" w:hAnsi="Times New Roman"/>
                <w:noProof/>
                <w:webHidden/>
              </w:rPr>
              <w:fldChar w:fldCharType="end"/>
            </w:r>
          </w:hyperlink>
        </w:p>
        <w:p w14:paraId="212F3AC0" w14:textId="3579DDE9" w:rsidR="00611E9B" w:rsidRPr="004A350C" w:rsidRDefault="00000000">
          <w:pPr>
            <w:pStyle w:val="TOC1"/>
            <w:tabs>
              <w:tab w:val="right" w:leader="dot" w:pos="9010"/>
            </w:tabs>
            <w:rPr>
              <w:rFonts w:ascii="Times New Roman" w:eastAsiaTheme="minorEastAsia" w:hAnsi="Times New Roman"/>
              <w:bCs w:val="0"/>
              <w:i w:val="0"/>
              <w:iCs w:val="0"/>
              <w:noProof/>
              <w:kern w:val="2"/>
              <w:lang w:eastAsia="en-GB"/>
              <w14:ligatures w14:val="standardContextual"/>
            </w:rPr>
          </w:pPr>
          <w:hyperlink w:anchor="_Toc207031023" w:history="1">
            <w:r w:rsidR="00611E9B" w:rsidRPr="004A350C">
              <w:rPr>
                <w:rStyle w:val="Hyperlink"/>
                <w:rFonts w:ascii="Times New Roman" w:hAnsi="Times New Roman"/>
                <w:noProof/>
              </w:rPr>
              <w:t>Supplementary notes</w:t>
            </w:r>
            <w:r w:rsidR="00611E9B" w:rsidRPr="004A350C">
              <w:rPr>
                <w:rFonts w:ascii="Times New Roman" w:hAnsi="Times New Roman"/>
                <w:noProof/>
                <w:webHidden/>
              </w:rPr>
              <w:tab/>
            </w:r>
            <w:r w:rsidR="00611E9B" w:rsidRPr="004A350C">
              <w:rPr>
                <w:rFonts w:ascii="Times New Roman" w:hAnsi="Times New Roman"/>
                <w:noProof/>
                <w:webHidden/>
              </w:rPr>
              <w:fldChar w:fldCharType="begin"/>
            </w:r>
            <w:r w:rsidR="00611E9B" w:rsidRPr="004A350C">
              <w:rPr>
                <w:rFonts w:ascii="Times New Roman" w:hAnsi="Times New Roman"/>
                <w:noProof/>
                <w:webHidden/>
              </w:rPr>
              <w:instrText xml:space="preserve"> PAGEREF _Toc207031023 \h </w:instrText>
            </w:r>
            <w:r w:rsidR="00611E9B" w:rsidRPr="004A350C">
              <w:rPr>
                <w:rFonts w:ascii="Times New Roman" w:hAnsi="Times New Roman"/>
                <w:noProof/>
                <w:webHidden/>
              </w:rPr>
            </w:r>
            <w:r w:rsidR="00611E9B" w:rsidRPr="004A350C">
              <w:rPr>
                <w:rFonts w:ascii="Times New Roman" w:hAnsi="Times New Roman"/>
                <w:noProof/>
                <w:webHidden/>
              </w:rPr>
              <w:fldChar w:fldCharType="separate"/>
            </w:r>
            <w:r w:rsidR="00611E9B" w:rsidRPr="004A350C">
              <w:rPr>
                <w:rFonts w:ascii="Times New Roman" w:hAnsi="Times New Roman"/>
                <w:noProof/>
                <w:webHidden/>
              </w:rPr>
              <w:t>25</w:t>
            </w:r>
            <w:r w:rsidR="00611E9B" w:rsidRPr="004A350C">
              <w:rPr>
                <w:rFonts w:ascii="Times New Roman" w:hAnsi="Times New Roman"/>
                <w:noProof/>
                <w:webHidden/>
              </w:rPr>
              <w:fldChar w:fldCharType="end"/>
            </w:r>
          </w:hyperlink>
        </w:p>
        <w:p w14:paraId="2BEDACB8" w14:textId="1CE02019" w:rsidR="00611E9B" w:rsidRPr="004A350C" w:rsidRDefault="00000000">
          <w:pPr>
            <w:pStyle w:val="TOC2"/>
            <w:tabs>
              <w:tab w:val="right" w:leader="dot" w:pos="9010"/>
            </w:tabs>
            <w:rPr>
              <w:rFonts w:ascii="Times New Roman" w:eastAsiaTheme="minorEastAsia" w:hAnsi="Times New Roman"/>
              <w:bCs w:val="0"/>
              <w:noProof/>
              <w:kern w:val="2"/>
              <w:sz w:val="24"/>
              <w:szCs w:val="24"/>
              <w:lang w:eastAsia="en-GB"/>
              <w14:ligatures w14:val="standardContextual"/>
            </w:rPr>
          </w:pPr>
          <w:hyperlink w:anchor="_Toc207031024" w:history="1">
            <w:r w:rsidR="00611E9B" w:rsidRPr="004A350C">
              <w:rPr>
                <w:rStyle w:val="Hyperlink"/>
                <w:rFonts w:ascii="Times New Roman" w:hAnsi="Times New Roman"/>
                <w:noProof/>
              </w:rPr>
              <w:t>Supplementary note 1 - Haplotype resolution among genome assemblies</w:t>
            </w:r>
            <w:r w:rsidR="00611E9B" w:rsidRPr="004A350C">
              <w:rPr>
                <w:rFonts w:ascii="Times New Roman" w:hAnsi="Times New Roman"/>
                <w:noProof/>
                <w:webHidden/>
              </w:rPr>
              <w:tab/>
            </w:r>
            <w:r w:rsidR="00611E9B" w:rsidRPr="004A350C">
              <w:rPr>
                <w:rFonts w:ascii="Times New Roman" w:hAnsi="Times New Roman"/>
                <w:noProof/>
                <w:webHidden/>
              </w:rPr>
              <w:fldChar w:fldCharType="begin"/>
            </w:r>
            <w:r w:rsidR="00611E9B" w:rsidRPr="004A350C">
              <w:rPr>
                <w:rFonts w:ascii="Times New Roman" w:hAnsi="Times New Roman"/>
                <w:noProof/>
                <w:webHidden/>
              </w:rPr>
              <w:instrText xml:space="preserve"> PAGEREF _Toc207031024 \h </w:instrText>
            </w:r>
            <w:r w:rsidR="00611E9B" w:rsidRPr="004A350C">
              <w:rPr>
                <w:rFonts w:ascii="Times New Roman" w:hAnsi="Times New Roman"/>
                <w:noProof/>
                <w:webHidden/>
              </w:rPr>
            </w:r>
            <w:r w:rsidR="00611E9B" w:rsidRPr="004A350C">
              <w:rPr>
                <w:rFonts w:ascii="Times New Roman" w:hAnsi="Times New Roman"/>
                <w:noProof/>
                <w:webHidden/>
              </w:rPr>
              <w:fldChar w:fldCharType="separate"/>
            </w:r>
            <w:r w:rsidR="00611E9B" w:rsidRPr="004A350C">
              <w:rPr>
                <w:rFonts w:ascii="Times New Roman" w:hAnsi="Times New Roman"/>
                <w:noProof/>
                <w:webHidden/>
              </w:rPr>
              <w:t>25</w:t>
            </w:r>
            <w:r w:rsidR="00611E9B" w:rsidRPr="004A350C">
              <w:rPr>
                <w:rFonts w:ascii="Times New Roman" w:hAnsi="Times New Roman"/>
                <w:noProof/>
                <w:webHidden/>
              </w:rPr>
              <w:fldChar w:fldCharType="end"/>
            </w:r>
          </w:hyperlink>
        </w:p>
        <w:p w14:paraId="5807E7EF" w14:textId="7D64C967" w:rsidR="00611E9B" w:rsidRPr="004A350C" w:rsidRDefault="00000000">
          <w:pPr>
            <w:pStyle w:val="TOC2"/>
            <w:tabs>
              <w:tab w:val="right" w:leader="dot" w:pos="9010"/>
            </w:tabs>
            <w:rPr>
              <w:rFonts w:ascii="Times New Roman" w:eastAsiaTheme="minorEastAsia" w:hAnsi="Times New Roman"/>
              <w:bCs w:val="0"/>
              <w:noProof/>
              <w:kern w:val="2"/>
              <w:sz w:val="24"/>
              <w:szCs w:val="24"/>
              <w:lang w:eastAsia="en-GB"/>
              <w14:ligatures w14:val="standardContextual"/>
            </w:rPr>
          </w:pPr>
          <w:hyperlink w:anchor="_Toc207031025" w:history="1">
            <w:r w:rsidR="00611E9B" w:rsidRPr="004A350C">
              <w:rPr>
                <w:rStyle w:val="Hyperlink"/>
                <w:rFonts w:ascii="Times New Roman" w:hAnsi="Times New Roman"/>
                <w:noProof/>
              </w:rPr>
              <w:t>Supplementary note 2 - Contiguity and completeness of genome assemblies</w:t>
            </w:r>
            <w:r w:rsidR="00611E9B" w:rsidRPr="004A350C">
              <w:rPr>
                <w:rFonts w:ascii="Times New Roman" w:hAnsi="Times New Roman"/>
                <w:noProof/>
                <w:webHidden/>
              </w:rPr>
              <w:tab/>
            </w:r>
            <w:r w:rsidR="00611E9B" w:rsidRPr="004A350C">
              <w:rPr>
                <w:rFonts w:ascii="Times New Roman" w:hAnsi="Times New Roman"/>
                <w:noProof/>
                <w:webHidden/>
              </w:rPr>
              <w:fldChar w:fldCharType="begin"/>
            </w:r>
            <w:r w:rsidR="00611E9B" w:rsidRPr="004A350C">
              <w:rPr>
                <w:rFonts w:ascii="Times New Roman" w:hAnsi="Times New Roman"/>
                <w:noProof/>
                <w:webHidden/>
              </w:rPr>
              <w:instrText xml:space="preserve"> PAGEREF _Toc207031025 \h </w:instrText>
            </w:r>
            <w:r w:rsidR="00611E9B" w:rsidRPr="004A350C">
              <w:rPr>
                <w:rFonts w:ascii="Times New Roman" w:hAnsi="Times New Roman"/>
                <w:noProof/>
                <w:webHidden/>
              </w:rPr>
            </w:r>
            <w:r w:rsidR="00611E9B" w:rsidRPr="004A350C">
              <w:rPr>
                <w:rFonts w:ascii="Times New Roman" w:hAnsi="Times New Roman"/>
                <w:noProof/>
                <w:webHidden/>
              </w:rPr>
              <w:fldChar w:fldCharType="separate"/>
            </w:r>
            <w:r w:rsidR="00611E9B" w:rsidRPr="004A350C">
              <w:rPr>
                <w:rFonts w:ascii="Times New Roman" w:hAnsi="Times New Roman"/>
                <w:noProof/>
                <w:webHidden/>
              </w:rPr>
              <w:t>26</w:t>
            </w:r>
            <w:r w:rsidR="00611E9B" w:rsidRPr="004A350C">
              <w:rPr>
                <w:rFonts w:ascii="Times New Roman" w:hAnsi="Times New Roman"/>
                <w:noProof/>
                <w:webHidden/>
              </w:rPr>
              <w:fldChar w:fldCharType="end"/>
            </w:r>
          </w:hyperlink>
        </w:p>
        <w:p w14:paraId="4259948A" w14:textId="57C10FE8" w:rsidR="00611E9B" w:rsidRPr="004A350C" w:rsidRDefault="00000000">
          <w:pPr>
            <w:pStyle w:val="TOC2"/>
            <w:tabs>
              <w:tab w:val="right" w:leader="dot" w:pos="9010"/>
            </w:tabs>
            <w:rPr>
              <w:rFonts w:ascii="Times New Roman" w:eastAsiaTheme="minorEastAsia" w:hAnsi="Times New Roman"/>
              <w:bCs w:val="0"/>
              <w:noProof/>
              <w:kern w:val="2"/>
              <w:sz w:val="24"/>
              <w:szCs w:val="24"/>
              <w:lang w:eastAsia="en-GB"/>
              <w14:ligatures w14:val="standardContextual"/>
            </w:rPr>
          </w:pPr>
          <w:hyperlink w:anchor="_Toc207031026" w:history="1">
            <w:r w:rsidR="00611E9B" w:rsidRPr="004A350C">
              <w:rPr>
                <w:rStyle w:val="Hyperlink"/>
                <w:rFonts w:ascii="Times New Roman" w:hAnsi="Times New Roman"/>
                <w:noProof/>
              </w:rPr>
              <w:t>Supplementary note 3 - Validation of SV calls</w:t>
            </w:r>
            <w:r w:rsidR="00611E9B" w:rsidRPr="004A350C">
              <w:rPr>
                <w:rFonts w:ascii="Times New Roman" w:hAnsi="Times New Roman"/>
                <w:noProof/>
                <w:webHidden/>
              </w:rPr>
              <w:tab/>
            </w:r>
            <w:r w:rsidR="00611E9B" w:rsidRPr="004A350C">
              <w:rPr>
                <w:rFonts w:ascii="Times New Roman" w:hAnsi="Times New Roman"/>
                <w:noProof/>
                <w:webHidden/>
              </w:rPr>
              <w:fldChar w:fldCharType="begin"/>
            </w:r>
            <w:r w:rsidR="00611E9B" w:rsidRPr="004A350C">
              <w:rPr>
                <w:rFonts w:ascii="Times New Roman" w:hAnsi="Times New Roman"/>
                <w:noProof/>
                <w:webHidden/>
              </w:rPr>
              <w:instrText xml:space="preserve"> PAGEREF _Toc207031026 \h </w:instrText>
            </w:r>
            <w:r w:rsidR="00611E9B" w:rsidRPr="004A350C">
              <w:rPr>
                <w:rFonts w:ascii="Times New Roman" w:hAnsi="Times New Roman"/>
                <w:noProof/>
                <w:webHidden/>
              </w:rPr>
            </w:r>
            <w:r w:rsidR="00611E9B" w:rsidRPr="004A350C">
              <w:rPr>
                <w:rFonts w:ascii="Times New Roman" w:hAnsi="Times New Roman"/>
                <w:noProof/>
                <w:webHidden/>
              </w:rPr>
              <w:fldChar w:fldCharType="separate"/>
            </w:r>
            <w:r w:rsidR="00611E9B" w:rsidRPr="004A350C">
              <w:rPr>
                <w:rFonts w:ascii="Times New Roman" w:hAnsi="Times New Roman"/>
                <w:noProof/>
                <w:webHidden/>
              </w:rPr>
              <w:t>28</w:t>
            </w:r>
            <w:r w:rsidR="00611E9B" w:rsidRPr="004A350C">
              <w:rPr>
                <w:rFonts w:ascii="Times New Roman" w:hAnsi="Times New Roman"/>
                <w:noProof/>
                <w:webHidden/>
              </w:rPr>
              <w:fldChar w:fldCharType="end"/>
            </w:r>
          </w:hyperlink>
        </w:p>
        <w:p w14:paraId="01A44E60" w14:textId="2239E830" w:rsidR="00611E9B" w:rsidRPr="004A350C" w:rsidRDefault="00000000">
          <w:pPr>
            <w:pStyle w:val="TOC2"/>
            <w:tabs>
              <w:tab w:val="right" w:leader="dot" w:pos="9010"/>
            </w:tabs>
            <w:rPr>
              <w:rFonts w:ascii="Times New Roman" w:eastAsiaTheme="minorEastAsia" w:hAnsi="Times New Roman"/>
              <w:bCs w:val="0"/>
              <w:noProof/>
              <w:kern w:val="2"/>
              <w:sz w:val="24"/>
              <w:szCs w:val="24"/>
              <w:lang w:eastAsia="en-GB"/>
              <w14:ligatures w14:val="standardContextual"/>
            </w:rPr>
          </w:pPr>
          <w:hyperlink w:anchor="_Toc207031027" w:history="1">
            <w:r w:rsidR="00611E9B" w:rsidRPr="004A350C">
              <w:rPr>
                <w:rStyle w:val="Hyperlink"/>
                <w:rFonts w:ascii="Times New Roman" w:hAnsi="Times New Roman"/>
                <w:noProof/>
              </w:rPr>
              <w:t>Supplementary note 4 - Graph pangenome analysis</w:t>
            </w:r>
            <w:r w:rsidR="00611E9B" w:rsidRPr="004A350C">
              <w:rPr>
                <w:rFonts w:ascii="Times New Roman" w:hAnsi="Times New Roman"/>
                <w:noProof/>
                <w:webHidden/>
              </w:rPr>
              <w:tab/>
            </w:r>
            <w:r w:rsidR="00611E9B" w:rsidRPr="004A350C">
              <w:rPr>
                <w:rFonts w:ascii="Times New Roman" w:hAnsi="Times New Roman"/>
                <w:noProof/>
                <w:webHidden/>
              </w:rPr>
              <w:fldChar w:fldCharType="begin"/>
            </w:r>
            <w:r w:rsidR="00611E9B" w:rsidRPr="004A350C">
              <w:rPr>
                <w:rFonts w:ascii="Times New Roman" w:hAnsi="Times New Roman"/>
                <w:noProof/>
                <w:webHidden/>
              </w:rPr>
              <w:instrText xml:space="preserve"> PAGEREF _Toc207031027 \h </w:instrText>
            </w:r>
            <w:r w:rsidR="00611E9B" w:rsidRPr="004A350C">
              <w:rPr>
                <w:rFonts w:ascii="Times New Roman" w:hAnsi="Times New Roman"/>
                <w:noProof/>
                <w:webHidden/>
              </w:rPr>
            </w:r>
            <w:r w:rsidR="00611E9B" w:rsidRPr="004A350C">
              <w:rPr>
                <w:rFonts w:ascii="Times New Roman" w:hAnsi="Times New Roman"/>
                <w:noProof/>
                <w:webHidden/>
              </w:rPr>
              <w:fldChar w:fldCharType="separate"/>
            </w:r>
            <w:r w:rsidR="00611E9B" w:rsidRPr="004A350C">
              <w:rPr>
                <w:rFonts w:ascii="Times New Roman" w:hAnsi="Times New Roman"/>
                <w:noProof/>
                <w:webHidden/>
              </w:rPr>
              <w:t>31</w:t>
            </w:r>
            <w:r w:rsidR="00611E9B" w:rsidRPr="004A350C">
              <w:rPr>
                <w:rFonts w:ascii="Times New Roman" w:hAnsi="Times New Roman"/>
                <w:noProof/>
                <w:webHidden/>
              </w:rPr>
              <w:fldChar w:fldCharType="end"/>
            </w:r>
          </w:hyperlink>
        </w:p>
        <w:p w14:paraId="175F5CFE" w14:textId="140C9867" w:rsidR="00611E9B" w:rsidRPr="004A350C" w:rsidRDefault="00000000">
          <w:pPr>
            <w:pStyle w:val="TOC2"/>
            <w:tabs>
              <w:tab w:val="right" w:leader="dot" w:pos="9010"/>
            </w:tabs>
            <w:rPr>
              <w:rFonts w:ascii="Times New Roman" w:eastAsiaTheme="minorEastAsia" w:hAnsi="Times New Roman"/>
              <w:bCs w:val="0"/>
              <w:noProof/>
              <w:kern w:val="2"/>
              <w:sz w:val="24"/>
              <w:szCs w:val="24"/>
              <w:lang w:eastAsia="en-GB"/>
              <w14:ligatures w14:val="standardContextual"/>
            </w:rPr>
          </w:pPr>
          <w:hyperlink w:anchor="_Toc207031028" w:history="1">
            <w:r w:rsidR="00611E9B" w:rsidRPr="004A350C">
              <w:rPr>
                <w:rStyle w:val="Hyperlink"/>
                <w:rFonts w:ascii="Times New Roman" w:hAnsi="Times New Roman"/>
                <w:noProof/>
                <w:lang w:val="fr-FR"/>
              </w:rPr>
              <w:t>References</w:t>
            </w:r>
            <w:r w:rsidR="00611E9B" w:rsidRPr="004A350C">
              <w:rPr>
                <w:rFonts w:ascii="Times New Roman" w:hAnsi="Times New Roman"/>
                <w:noProof/>
                <w:webHidden/>
              </w:rPr>
              <w:tab/>
            </w:r>
            <w:r w:rsidR="00611E9B" w:rsidRPr="004A350C">
              <w:rPr>
                <w:rFonts w:ascii="Times New Roman" w:hAnsi="Times New Roman"/>
                <w:noProof/>
                <w:webHidden/>
              </w:rPr>
              <w:fldChar w:fldCharType="begin"/>
            </w:r>
            <w:r w:rsidR="00611E9B" w:rsidRPr="004A350C">
              <w:rPr>
                <w:rFonts w:ascii="Times New Roman" w:hAnsi="Times New Roman"/>
                <w:noProof/>
                <w:webHidden/>
              </w:rPr>
              <w:instrText xml:space="preserve"> PAGEREF _Toc207031028 \h </w:instrText>
            </w:r>
            <w:r w:rsidR="00611E9B" w:rsidRPr="004A350C">
              <w:rPr>
                <w:rFonts w:ascii="Times New Roman" w:hAnsi="Times New Roman"/>
                <w:noProof/>
                <w:webHidden/>
              </w:rPr>
            </w:r>
            <w:r w:rsidR="00611E9B" w:rsidRPr="004A350C">
              <w:rPr>
                <w:rFonts w:ascii="Times New Roman" w:hAnsi="Times New Roman"/>
                <w:noProof/>
                <w:webHidden/>
              </w:rPr>
              <w:fldChar w:fldCharType="separate"/>
            </w:r>
            <w:r w:rsidR="00611E9B" w:rsidRPr="004A350C">
              <w:rPr>
                <w:rFonts w:ascii="Times New Roman" w:hAnsi="Times New Roman"/>
                <w:noProof/>
                <w:webHidden/>
              </w:rPr>
              <w:t>34</w:t>
            </w:r>
            <w:r w:rsidR="00611E9B" w:rsidRPr="004A350C">
              <w:rPr>
                <w:rFonts w:ascii="Times New Roman" w:hAnsi="Times New Roman"/>
                <w:noProof/>
                <w:webHidden/>
              </w:rPr>
              <w:fldChar w:fldCharType="end"/>
            </w:r>
          </w:hyperlink>
        </w:p>
        <w:p w14:paraId="5C14EF04" w14:textId="407F44E1" w:rsidR="00D73BDF" w:rsidRPr="00611E9B" w:rsidRDefault="00D73BDF" w:rsidP="00F25DBD">
          <w:r w:rsidRPr="004A350C">
            <w:rPr>
              <w:sz w:val="24"/>
              <w:szCs w:val="24"/>
            </w:rPr>
            <w:fldChar w:fldCharType="end"/>
          </w:r>
        </w:p>
      </w:sdtContent>
    </w:sdt>
    <w:p w14:paraId="020C2D6F" w14:textId="78D96348" w:rsidR="00D27F15" w:rsidRPr="00905FB9" w:rsidRDefault="00D27F15">
      <w:pPr>
        <w:jc w:val="left"/>
        <w:rPr>
          <w:lang w:val="fr-FR"/>
        </w:rPr>
      </w:pPr>
      <w:r w:rsidRPr="00905FB9">
        <w:rPr>
          <w:lang w:val="fr-FR"/>
        </w:rPr>
        <w:br w:type="page"/>
      </w:r>
    </w:p>
    <w:p w14:paraId="46C2C6C1" w14:textId="6A7D28A5" w:rsidR="008F1ED9" w:rsidRPr="0023434F" w:rsidRDefault="00D73BDF" w:rsidP="00D73BDF">
      <w:pPr>
        <w:pStyle w:val="Heading2"/>
        <w:rPr>
          <w:sz w:val="24"/>
          <w:szCs w:val="24"/>
          <w:lang w:val="en-US"/>
        </w:rPr>
      </w:pPr>
      <w:bookmarkStart w:id="0" w:name="_Toc207031022"/>
      <w:r w:rsidRPr="0023434F">
        <w:rPr>
          <w:sz w:val="24"/>
          <w:szCs w:val="24"/>
          <w:lang w:val="en-US"/>
        </w:rPr>
        <w:lastRenderedPageBreak/>
        <w:t>Supplementary figures</w:t>
      </w:r>
      <w:bookmarkEnd w:id="0"/>
    </w:p>
    <w:tbl>
      <w:tblPr>
        <w:tblStyle w:val="TableGrid"/>
        <w:tblW w:w="1031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left w:w="57" w:type="dxa"/>
          <w:bottom w:w="57" w:type="dxa"/>
          <w:right w:w="57" w:type="dxa"/>
        </w:tblCellMar>
        <w:tblLook w:val="04A0" w:firstRow="1" w:lastRow="0" w:firstColumn="1" w:lastColumn="0" w:noHBand="0" w:noVBand="1"/>
      </w:tblPr>
      <w:tblGrid>
        <w:gridCol w:w="10319"/>
      </w:tblGrid>
      <w:tr w:rsidR="005E58A9" w14:paraId="7E876E1A" w14:textId="77777777" w:rsidTr="00C30A46">
        <w:trPr>
          <w:jc w:val="center"/>
        </w:trPr>
        <w:tc>
          <w:tcPr>
            <w:tcW w:w="10426" w:type="dxa"/>
          </w:tcPr>
          <w:p w14:paraId="3088789A" w14:textId="77777777" w:rsidR="005E58A9" w:rsidRDefault="005E58A9" w:rsidP="00C30A46">
            <w:pPr>
              <w:jc w:val="center"/>
            </w:pPr>
            <w:r>
              <w:rPr>
                <w:noProof/>
              </w:rPr>
              <w:drawing>
                <wp:inline distT="0" distB="0" distL="0" distR="0" wp14:anchorId="4DCFE074" wp14:editId="2E9B3CF6">
                  <wp:extent cx="6479999" cy="5577881"/>
                  <wp:effectExtent l="0" t="0" r="0" b="0"/>
                  <wp:docPr id="167205773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057730" name="Graphic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6479999" cy="5577881"/>
                          </a:xfrm>
                          <a:prstGeom prst="rect">
                            <a:avLst/>
                          </a:prstGeom>
                        </pic:spPr>
                      </pic:pic>
                    </a:graphicData>
                  </a:graphic>
                </wp:inline>
              </w:drawing>
            </w:r>
          </w:p>
        </w:tc>
      </w:tr>
      <w:tr w:rsidR="005E58A9" w14:paraId="5B0E473D" w14:textId="77777777" w:rsidTr="00C30A46">
        <w:trPr>
          <w:jc w:val="center"/>
        </w:trPr>
        <w:tc>
          <w:tcPr>
            <w:tcW w:w="10426" w:type="dxa"/>
          </w:tcPr>
          <w:p w14:paraId="2C97EA8F" w14:textId="01F726D0" w:rsidR="005E58A9" w:rsidRDefault="005E58A9" w:rsidP="00C30A46">
            <w:r w:rsidRPr="00C933D8">
              <w:rPr>
                <w:b/>
                <w:bCs/>
              </w:rPr>
              <w:t xml:space="preserve">Fig. </w:t>
            </w:r>
            <w:r w:rsidR="00A9531A">
              <w:rPr>
                <w:b/>
                <w:bCs/>
              </w:rPr>
              <w:t>S</w:t>
            </w:r>
            <w:r w:rsidRPr="00C933D8">
              <w:rPr>
                <w:b/>
                <w:bCs/>
              </w:rPr>
              <w:t xml:space="preserve">1 | </w:t>
            </w:r>
            <w:r w:rsidR="00A9531A">
              <w:rPr>
                <w:b/>
                <w:bCs/>
              </w:rPr>
              <w:t xml:space="preserve">Sequence reads for 1,027 isolates. </w:t>
            </w:r>
            <w:r w:rsidR="009943BC">
              <w:rPr>
                <w:b/>
                <w:bCs/>
              </w:rPr>
              <w:t>a</w:t>
            </w:r>
            <w:r w:rsidRPr="00C933D8">
              <w:rPr>
                <w:b/>
                <w:bCs/>
              </w:rPr>
              <w:t>.</w:t>
            </w:r>
            <w:r>
              <w:t xml:space="preserve"> </w:t>
            </w:r>
            <w:r w:rsidR="00A9531A">
              <w:t xml:space="preserve">Distribution of the sequence depth per isolate. </w:t>
            </w:r>
            <w:r w:rsidR="009943BC" w:rsidRPr="00553237">
              <w:rPr>
                <w:b/>
                <w:bCs/>
              </w:rPr>
              <w:t>b</w:t>
            </w:r>
            <w:r w:rsidRPr="00553237">
              <w:rPr>
                <w:b/>
                <w:bCs/>
              </w:rPr>
              <w:t>.</w:t>
            </w:r>
            <w:r>
              <w:t xml:space="preserve"> </w:t>
            </w:r>
            <w:r w:rsidR="00A9531A">
              <w:t xml:space="preserve">Distribution of the mean read quality per isolate. </w:t>
            </w:r>
            <w:r w:rsidR="009943BC" w:rsidRPr="00553237">
              <w:rPr>
                <w:b/>
                <w:bCs/>
              </w:rPr>
              <w:t>c</w:t>
            </w:r>
            <w:r w:rsidRPr="00553237">
              <w:rPr>
                <w:b/>
                <w:bCs/>
              </w:rPr>
              <w:t>.</w:t>
            </w:r>
            <w:r>
              <w:t xml:space="preserve"> </w:t>
            </w:r>
            <w:r w:rsidR="00A9531A">
              <w:t>Distribution of the N50 value per isolate, which represents the shortest read length in the group of the longest reads that cover 50% of the sequenced bases.</w:t>
            </w:r>
            <w:r>
              <w:t xml:space="preserve"> </w:t>
            </w:r>
            <w:r w:rsidR="009943BC" w:rsidRPr="00553237">
              <w:rPr>
                <w:b/>
                <w:bCs/>
              </w:rPr>
              <w:t>d</w:t>
            </w:r>
            <w:r w:rsidRPr="00553237">
              <w:rPr>
                <w:b/>
                <w:bCs/>
              </w:rPr>
              <w:t>.</w:t>
            </w:r>
            <w:r>
              <w:t xml:space="preserve"> </w:t>
            </w:r>
            <w:r w:rsidR="00A9531A">
              <w:t xml:space="preserve">Distribution of mean read length per isolate. </w:t>
            </w:r>
            <w:r w:rsidR="003D03CC">
              <w:t xml:space="preserve">The red vertical line indicates the median value for each metric. </w:t>
            </w:r>
          </w:p>
        </w:tc>
      </w:tr>
    </w:tbl>
    <w:p w14:paraId="77AC8573" w14:textId="73A8C8B9" w:rsidR="00C66411" w:rsidRDefault="00C66411" w:rsidP="00F25DBD"/>
    <w:p w14:paraId="68C0F72F" w14:textId="26CD136E" w:rsidR="006D557B" w:rsidRDefault="00C66411" w:rsidP="00C66411">
      <w:pPr>
        <w:jc w:val="left"/>
      </w:pPr>
      <w:r>
        <w:br w:type="page"/>
      </w:r>
    </w:p>
    <w:tbl>
      <w:tblPr>
        <w:tblStyle w:val="TableGrid"/>
        <w:tblW w:w="1031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left w:w="57" w:type="dxa"/>
          <w:bottom w:w="57" w:type="dxa"/>
          <w:right w:w="57" w:type="dxa"/>
        </w:tblCellMar>
        <w:tblLook w:val="04A0" w:firstRow="1" w:lastRow="0" w:firstColumn="1" w:lastColumn="0" w:noHBand="0" w:noVBand="1"/>
      </w:tblPr>
      <w:tblGrid>
        <w:gridCol w:w="10319"/>
      </w:tblGrid>
      <w:tr w:rsidR="006D557B" w14:paraId="56BAC6BF" w14:textId="77777777" w:rsidTr="00C30A46">
        <w:trPr>
          <w:jc w:val="center"/>
        </w:trPr>
        <w:tc>
          <w:tcPr>
            <w:tcW w:w="10426" w:type="dxa"/>
          </w:tcPr>
          <w:p w14:paraId="1C2F1EBC" w14:textId="77777777" w:rsidR="006D557B" w:rsidRDefault="006D557B" w:rsidP="00C30A46">
            <w:pPr>
              <w:jc w:val="center"/>
            </w:pPr>
            <w:r>
              <w:rPr>
                <w:noProof/>
              </w:rPr>
              <w:lastRenderedPageBreak/>
              <w:drawing>
                <wp:inline distT="0" distB="0" distL="0" distR="0" wp14:anchorId="6767DB1A" wp14:editId="55782C0F">
                  <wp:extent cx="5694027" cy="7871155"/>
                  <wp:effectExtent l="0" t="0" r="0" b="3175"/>
                  <wp:docPr id="1267032175"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7032175" name="Graphic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21168" cy="7908673"/>
                          </a:xfrm>
                          <a:prstGeom prst="rect">
                            <a:avLst/>
                          </a:prstGeom>
                        </pic:spPr>
                      </pic:pic>
                    </a:graphicData>
                  </a:graphic>
                </wp:inline>
              </w:drawing>
            </w:r>
          </w:p>
        </w:tc>
      </w:tr>
      <w:tr w:rsidR="006D557B" w14:paraId="58CA63EA" w14:textId="77777777" w:rsidTr="00C30A46">
        <w:trPr>
          <w:jc w:val="center"/>
        </w:trPr>
        <w:tc>
          <w:tcPr>
            <w:tcW w:w="10426" w:type="dxa"/>
          </w:tcPr>
          <w:p w14:paraId="56676CEB" w14:textId="2B4A7B7C" w:rsidR="006D557B" w:rsidRDefault="006D557B" w:rsidP="00C30A46">
            <w:r w:rsidRPr="00C933D8">
              <w:rPr>
                <w:b/>
                <w:bCs/>
              </w:rPr>
              <w:t xml:space="preserve">Fig. </w:t>
            </w:r>
            <w:r>
              <w:rPr>
                <w:b/>
                <w:bCs/>
              </w:rPr>
              <w:t>S2</w:t>
            </w:r>
            <w:r w:rsidRPr="00C933D8">
              <w:rPr>
                <w:b/>
                <w:bCs/>
              </w:rPr>
              <w:t xml:space="preserve"> | </w:t>
            </w:r>
            <w:r w:rsidR="003D0A48">
              <w:rPr>
                <w:b/>
                <w:bCs/>
              </w:rPr>
              <w:t>Schematic representation of the g</w:t>
            </w:r>
            <w:r>
              <w:rPr>
                <w:b/>
                <w:bCs/>
              </w:rPr>
              <w:t xml:space="preserve">enome assembly pipeline. </w:t>
            </w:r>
            <w:r w:rsidR="003D0A48" w:rsidRPr="003D0A48">
              <w:t>The ho</w:t>
            </w:r>
            <w:r w:rsidR="003D0A48">
              <w:t>m</w:t>
            </w:r>
            <w:r w:rsidR="003D0A48" w:rsidRPr="003D0A48">
              <w:t>ozygous</w:t>
            </w:r>
            <w:r w:rsidR="0083664C">
              <w:t>/collapsed</w:t>
            </w:r>
            <w:r w:rsidR="003D0A48">
              <w:t xml:space="preserve"> pipeline was applied to each of the 1,027 isolates, and the phasing pipeline was only applied to non-polyploid</w:t>
            </w:r>
            <w:r w:rsidR="0073260B">
              <w:t xml:space="preserve"> heterozygous</w:t>
            </w:r>
            <w:r w:rsidR="003D0A48">
              <w:t xml:space="preserve"> isolates with a sequencing depth higher than 20X. </w:t>
            </w:r>
            <w:r w:rsidR="0083664C">
              <w:t xml:space="preserve">When genome assemblies for the phased haplotypes did not pass the criteria, the collapsed assembly was taken. </w:t>
            </w:r>
          </w:p>
        </w:tc>
      </w:tr>
    </w:tbl>
    <w:p w14:paraId="79EEBD3F" w14:textId="1809C3FA" w:rsidR="00DB22B8" w:rsidRDefault="00C66411" w:rsidP="00C66411">
      <w:pPr>
        <w:jc w:val="left"/>
      </w:pPr>
      <w:bookmarkStart w:id="1" w:name="_iq3q6ovgsh6k" w:colFirst="0" w:colLast="0"/>
      <w:bookmarkEnd w:id="1"/>
      <w:r>
        <w:br w:type="page"/>
      </w:r>
    </w:p>
    <w:p w14:paraId="6254FDBE" w14:textId="08FB0D78" w:rsidR="00DB22B8" w:rsidRDefault="00DB22B8" w:rsidP="00C66411">
      <w:pPr>
        <w:jc w:val="left"/>
      </w:pPr>
    </w:p>
    <w:tbl>
      <w:tblPr>
        <w:tblStyle w:val="TableGrid"/>
        <w:tblW w:w="1031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left w:w="57" w:type="dxa"/>
          <w:bottom w:w="57" w:type="dxa"/>
          <w:right w:w="57" w:type="dxa"/>
        </w:tblCellMar>
        <w:tblLook w:val="04A0" w:firstRow="1" w:lastRow="0" w:firstColumn="1" w:lastColumn="0" w:noHBand="0" w:noVBand="1"/>
      </w:tblPr>
      <w:tblGrid>
        <w:gridCol w:w="10319"/>
      </w:tblGrid>
      <w:tr w:rsidR="00587087" w14:paraId="0DDF0A92" w14:textId="77777777" w:rsidTr="00AF5622">
        <w:trPr>
          <w:jc w:val="center"/>
        </w:trPr>
        <w:tc>
          <w:tcPr>
            <w:tcW w:w="10426" w:type="dxa"/>
          </w:tcPr>
          <w:p w14:paraId="1FEE23C5" w14:textId="3CCCCC1F" w:rsidR="00587087" w:rsidRDefault="00933304" w:rsidP="00AF5622">
            <w:pPr>
              <w:jc w:val="center"/>
            </w:pPr>
            <w:r>
              <w:rPr>
                <w:noProof/>
              </w:rPr>
              <w:drawing>
                <wp:inline distT="0" distB="0" distL="0" distR="0" wp14:anchorId="17BF99E8" wp14:editId="5398F927">
                  <wp:extent cx="6479770" cy="5577684"/>
                  <wp:effectExtent l="0" t="0" r="0" b="0"/>
                  <wp:docPr id="2105302520"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5302520" name="Graphic 5"/>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479770" cy="5577684"/>
                          </a:xfrm>
                          <a:prstGeom prst="rect">
                            <a:avLst/>
                          </a:prstGeom>
                        </pic:spPr>
                      </pic:pic>
                    </a:graphicData>
                  </a:graphic>
                </wp:inline>
              </w:drawing>
            </w:r>
          </w:p>
        </w:tc>
      </w:tr>
      <w:tr w:rsidR="00587087" w:rsidRPr="002270B8" w14:paraId="1DAA91CF" w14:textId="77777777" w:rsidTr="00AF5622">
        <w:trPr>
          <w:jc w:val="center"/>
        </w:trPr>
        <w:tc>
          <w:tcPr>
            <w:tcW w:w="10426" w:type="dxa"/>
          </w:tcPr>
          <w:p w14:paraId="40A539E3" w14:textId="4955A18C" w:rsidR="00587087" w:rsidRPr="002270B8" w:rsidRDefault="00587087" w:rsidP="00AF5622">
            <w:r w:rsidRPr="00C933D8">
              <w:rPr>
                <w:b/>
                <w:bCs/>
              </w:rPr>
              <w:t xml:space="preserve">Fig. </w:t>
            </w:r>
            <w:r>
              <w:rPr>
                <w:b/>
                <w:bCs/>
              </w:rPr>
              <w:t>S</w:t>
            </w:r>
            <w:r w:rsidR="005663CB">
              <w:rPr>
                <w:b/>
                <w:bCs/>
              </w:rPr>
              <w:t>3</w:t>
            </w:r>
            <w:r w:rsidRPr="00C933D8">
              <w:rPr>
                <w:b/>
                <w:bCs/>
              </w:rPr>
              <w:t xml:space="preserve"> | </w:t>
            </w:r>
            <w:r>
              <w:rPr>
                <w:b/>
                <w:bCs/>
              </w:rPr>
              <w:t xml:space="preserve">Phylogeny of 1,086 isolates. </w:t>
            </w:r>
            <w:r>
              <w:t>Phylogenies were built using a neighbor-joining strategy using SNP markers (</w:t>
            </w:r>
            <w:r w:rsidR="00A76E4C" w:rsidRPr="00A76E4C">
              <w:rPr>
                <w:b/>
                <w:bCs/>
              </w:rPr>
              <w:t>a</w:t>
            </w:r>
            <w:r>
              <w:t>) and SV markers (</w:t>
            </w:r>
            <w:r w:rsidR="00A76E4C" w:rsidRPr="00A76E4C">
              <w:rPr>
                <w:b/>
                <w:bCs/>
              </w:rPr>
              <w:t>b</w:t>
            </w:r>
            <w:r>
              <w:t xml:space="preserve">). Isolates are colored depending on the clades defined in </w:t>
            </w:r>
            <w:proofErr w:type="spellStart"/>
            <w:r>
              <w:t>Loegler</w:t>
            </w:r>
            <w:proofErr w:type="spellEnd"/>
            <w:r>
              <w:t xml:space="preserve"> et al. (2024)</w:t>
            </w:r>
            <w:r w:rsidR="00F229A9">
              <w:fldChar w:fldCharType="begin"/>
            </w:r>
            <w:r w:rsidR="00F229A9">
              <w:instrText xml:space="preserve"> ADDIN ZOTERO_ITEM CSL_CITATION {"citationID":"1joQLPCD","properties":{"formattedCitation":"\\super 1\\nosupersub{}","plainCitation":"1","noteIndex":0},"citationItems":[{"id":2331,"uris":["http://zotero.org/users/4681074/items/PVZ9HFF2"],"itemData":{"id":2331,"type":"article-journal","abstract":"With the rise of high-throughput sequencing technologies, a holistic view of genetic variation within populations—through population genomics studies—appears feasible, although it remains an ongoing effort. Genetic variation arises from a diverse range of evolutionary forces, with mutation and recombination being key drivers in shaping genomes. Studying genetic variation within a population represents a crucial first step in understanding the relationship between genotype and phenotype and the evolutionary history of species. In this context, the budding yeast Saccharomyces cerevisiae has been at the forefront of population genomic studies. In addition, it has a complex history that involves adaptation to a wide range of wild and human-related ecological niches. Although to date more than 3,000 diverse isolates have been sequenced, there is currently a lack of a resource bringing together sequencing data and associated metadata for all sequenced isolates. To perform a comprehensive analysis of the population structure of S. cerevisiae, we collected genome sequencing data from 3,034 natural isolates and processed the data uniformly. We determined ploidy levels, identified single nucleotide polymorphisms (SNPs), small insertion–deletions (InDels), copy number variations (CNVs), and aneuploidies across the population, creating a publicly accessible resource for the yeast research community. Interestingly, we showed that this population captures </w:instrText>
            </w:r>
            <w:r w:rsidR="00F229A9">
              <w:rPr>
                <w:rFonts w:ascii="Cambria Math" w:hAnsi="Cambria Math" w:cs="Cambria Math"/>
              </w:rPr>
              <w:instrText>∼</w:instrText>
            </w:r>
            <w:r w:rsidR="00F229A9">
              <w:instrText xml:space="preserve">93% of the species diversity. Using neighbor-joining and Bayesian methods, we redefined the populations, revealing clustering patterns primarily based on ecological origin. This work represents a valuable resource for the community and efforts have been made to make it evolvable and integrable to future yeast population studies.","container-title":"G3 Genes|Genomes|Genetics","DOI":"10.1093/g3journal/jkae245","ISSN":"2160-1836","issue":"12","journalAbbreviation":"G3 Genes|Genomes|Genetics","page":"jkae245","source":"Silverchair","title":"Overview of the Saccharomyces cerevisiae population structure through the lens of 3,034 genomes","volume":"14","author":[{"family":"Loegler","given":"Victor"},{"family":"Friedrich","given":"Anne"},{"family":"Schacherer","given":"Joseph"}],"issued":{"date-parts":[["2024",12,1]]}}}],"schema":"https://github.com/citation-style-language/schema/raw/master/csl-citation.json"} </w:instrText>
            </w:r>
            <w:r w:rsidR="00F229A9">
              <w:fldChar w:fldCharType="separate"/>
            </w:r>
            <w:r w:rsidR="00F229A9" w:rsidRPr="00F229A9">
              <w:rPr>
                <w:vertAlign w:val="superscript"/>
                <w:lang w:val="en-GB"/>
              </w:rPr>
              <w:t>1</w:t>
            </w:r>
            <w:r w:rsidR="00F229A9">
              <w:fldChar w:fldCharType="end"/>
            </w:r>
            <w:r>
              <w:t xml:space="preserve">. </w:t>
            </w:r>
          </w:p>
        </w:tc>
      </w:tr>
    </w:tbl>
    <w:p w14:paraId="6692C675" w14:textId="77777777" w:rsidR="00B27353" w:rsidRDefault="00B27353" w:rsidP="009C32D8"/>
    <w:p w14:paraId="62D5CD6A" w14:textId="557C3C37" w:rsidR="00C66411" w:rsidRDefault="00C66411" w:rsidP="00C66411">
      <w:pPr>
        <w:jc w:val="left"/>
      </w:pPr>
      <w:r>
        <w:br w:type="page"/>
      </w:r>
    </w:p>
    <w:p w14:paraId="14647EA4" w14:textId="39321D9C" w:rsidR="003F79C7" w:rsidRDefault="003F79C7" w:rsidP="00C66411">
      <w:pPr>
        <w:jc w:val="left"/>
      </w:pPr>
    </w:p>
    <w:tbl>
      <w:tblPr>
        <w:tblStyle w:val="TableGrid"/>
        <w:tblW w:w="1031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left w:w="57" w:type="dxa"/>
          <w:bottom w:w="57" w:type="dxa"/>
          <w:right w:w="57" w:type="dxa"/>
        </w:tblCellMar>
        <w:tblLook w:val="04A0" w:firstRow="1" w:lastRow="0" w:firstColumn="1" w:lastColumn="0" w:noHBand="0" w:noVBand="1"/>
      </w:tblPr>
      <w:tblGrid>
        <w:gridCol w:w="10319"/>
      </w:tblGrid>
      <w:tr w:rsidR="00811032" w14:paraId="36CA3C04" w14:textId="77777777" w:rsidTr="00C477B3">
        <w:trPr>
          <w:jc w:val="center"/>
        </w:trPr>
        <w:tc>
          <w:tcPr>
            <w:tcW w:w="10426" w:type="dxa"/>
          </w:tcPr>
          <w:p w14:paraId="069254C2" w14:textId="2D61E732" w:rsidR="00811032" w:rsidRDefault="00000988" w:rsidP="00C477B3">
            <w:pPr>
              <w:jc w:val="center"/>
            </w:pPr>
            <w:r>
              <w:rPr>
                <w:noProof/>
              </w:rPr>
              <w:drawing>
                <wp:inline distT="0" distB="0" distL="0" distR="0" wp14:anchorId="1FEF43C1" wp14:editId="424E5ED5">
                  <wp:extent cx="6479657" cy="2947609"/>
                  <wp:effectExtent l="0" t="0" r="0" b="0"/>
                  <wp:docPr id="436412021" name="Graphic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412021" name="Graphic 8"/>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479657" cy="2947609"/>
                          </a:xfrm>
                          <a:prstGeom prst="rect">
                            <a:avLst/>
                          </a:prstGeom>
                        </pic:spPr>
                      </pic:pic>
                    </a:graphicData>
                  </a:graphic>
                </wp:inline>
              </w:drawing>
            </w:r>
          </w:p>
        </w:tc>
      </w:tr>
      <w:tr w:rsidR="00811032" w:rsidRPr="00E9247A" w14:paraId="0524D1CB" w14:textId="77777777" w:rsidTr="00C477B3">
        <w:trPr>
          <w:jc w:val="center"/>
        </w:trPr>
        <w:tc>
          <w:tcPr>
            <w:tcW w:w="10426" w:type="dxa"/>
          </w:tcPr>
          <w:p w14:paraId="076D3F5F" w14:textId="09F1156D" w:rsidR="00811032" w:rsidRPr="00811032" w:rsidRDefault="007B1509" w:rsidP="00C477B3">
            <w:r>
              <w:rPr>
                <w:b/>
                <w:bCs/>
              </w:rPr>
              <w:t>Fig. S</w:t>
            </w:r>
            <w:r w:rsidR="008E7D91">
              <w:rPr>
                <w:b/>
                <w:bCs/>
              </w:rPr>
              <w:t>4</w:t>
            </w:r>
            <w:r w:rsidR="00811032" w:rsidRPr="00C933D8">
              <w:rPr>
                <w:b/>
                <w:bCs/>
              </w:rPr>
              <w:t xml:space="preserve"> |</w:t>
            </w:r>
            <w:r w:rsidR="00811032">
              <w:rPr>
                <w:b/>
                <w:bCs/>
              </w:rPr>
              <w:t xml:space="preserve"> Number of gene</w:t>
            </w:r>
            <w:r w:rsidR="00573827">
              <w:rPr>
                <w:b/>
                <w:bCs/>
              </w:rPr>
              <w:t xml:space="preserve"> familie</w:t>
            </w:r>
            <w:r w:rsidR="00811032">
              <w:rPr>
                <w:b/>
                <w:bCs/>
              </w:rPr>
              <w:t xml:space="preserve">s per isolate. </w:t>
            </w:r>
            <w:r w:rsidR="00A76E4C">
              <w:rPr>
                <w:b/>
                <w:bCs/>
              </w:rPr>
              <w:t>a</w:t>
            </w:r>
            <w:r w:rsidR="00811032">
              <w:rPr>
                <w:b/>
                <w:bCs/>
              </w:rPr>
              <w:t xml:space="preserve">. </w:t>
            </w:r>
            <w:r w:rsidR="00811032" w:rsidRPr="00811032">
              <w:t>Number</w:t>
            </w:r>
            <w:r w:rsidR="00811032">
              <w:t xml:space="preserve"> of gene </w:t>
            </w:r>
            <w:r w:rsidR="00573827">
              <w:t xml:space="preserve">families </w:t>
            </w:r>
            <w:r w:rsidR="00811032">
              <w:t>for each isolate, colored</w:t>
            </w:r>
            <w:r w:rsidR="00573827">
              <w:t xml:space="preserve"> according to their frequency category</w:t>
            </w:r>
            <w:r w:rsidR="00811032">
              <w:t xml:space="preserve"> </w:t>
            </w:r>
            <w:r w:rsidR="00573827">
              <w:t>(</w:t>
            </w:r>
            <w:r w:rsidR="00811032">
              <w:t xml:space="preserve">core, soft-core, </w:t>
            </w:r>
            <w:r w:rsidR="00573827">
              <w:t>dispensable,</w:t>
            </w:r>
            <w:r w:rsidR="00811032">
              <w:t xml:space="preserve"> and private</w:t>
            </w:r>
            <w:r w:rsidR="00573827">
              <w:t>)</w:t>
            </w:r>
            <w:r w:rsidR="00811032">
              <w:t xml:space="preserve">. </w:t>
            </w:r>
            <w:r w:rsidR="00A76E4C">
              <w:rPr>
                <w:b/>
                <w:bCs/>
              </w:rPr>
              <w:t>b</w:t>
            </w:r>
            <w:r w:rsidR="00811032">
              <w:rPr>
                <w:b/>
                <w:bCs/>
              </w:rPr>
              <w:t>.</w:t>
            </w:r>
            <w:r w:rsidR="00811032">
              <w:t xml:space="preserve"> Distribution of the number of gene per isolate. </w:t>
            </w:r>
          </w:p>
        </w:tc>
      </w:tr>
    </w:tbl>
    <w:p w14:paraId="373016D3" w14:textId="77777777" w:rsidR="003F79C7" w:rsidRDefault="003F79C7" w:rsidP="003F79C7"/>
    <w:tbl>
      <w:tblPr>
        <w:tblStyle w:val="TableGrid"/>
        <w:tblW w:w="1031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left w:w="57" w:type="dxa"/>
          <w:bottom w:w="57" w:type="dxa"/>
          <w:right w:w="57" w:type="dxa"/>
        </w:tblCellMar>
        <w:tblLook w:val="04A0" w:firstRow="1" w:lastRow="0" w:firstColumn="1" w:lastColumn="0" w:noHBand="0" w:noVBand="1"/>
      </w:tblPr>
      <w:tblGrid>
        <w:gridCol w:w="10319"/>
      </w:tblGrid>
      <w:tr w:rsidR="00811032" w14:paraId="060728A1" w14:textId="77777777" w:rsidTr="00C477B3">
        <w:trPr>
          <w:jc w:val="center"/>
        </w:trPr>
        <w:tc>
          <w:tcPr>
            <w:tcW w:w="10426" w:type="dxa"/>
          </w:tcPr>
          <w:p w14:paraId="0308DCB1" w14:textId="079B8058" w:rsidR="00811032" w:rsidRDefault="00000988" w:rsidP="00C477B3">
            <w:pPr>
              <w:jc w:val="center"/>
            </w:pPr>
            <w:r>
              <w:rPr>
                <w:noProof/>
              </w:rPr>
              <w:drawing>
                <wp:inline distT="0" distB="0" distL="0" distR="0" wp14:anchorId="73976D08" wp14:editId="14F25C75">
                  <wp:extent cx="6350397" cy="1867764"/>
                  <wp:effectExtent l="0" t="0" r="0" b="0"/>
                  <wp:docPr id="2127342771" name="Graphic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7342771" name="Graphic 7"/>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350397" cy="1867764"/>
                          </a:xfrm>
                          <a:prstGeom prst="rect">
                            <a:avLst/>
                          </a:prstGeom>
                        </pic:spPr>
                      </pic:pic>
                    </a:graphicData>
                  </a:graphic>
                </wp:inline>
              </w:drawing>
            </w:r>
          </w:p>
        </w:tc>
      </w:tr>
      <w:tr w:rsidR="00811032" w:rsidRPr="00811032" w14:paraId="4941EFF7" w14:textId="77777777" w:rsidTr="00C477B3">
        <w:trPr>
          <w:jc w:val="center"/>
        </w:trPr>
        <w:tc>
          <w:tcPr>
            <w:tcW w:w="10426" w:type="dxa"/>
          </w:tcPr>
          <w:p w14:paraId="5BAE500D" w14:textId="40F76C2C" w:rsidR="00811032" w:rsidRPr="00811032" w:rsidRDefault="007B1509" w:rsidP="00C477B3">
            <w:r>
              <w:rPr>
                <w:b/>
                <w:bCs/>
              </w:rPr>
              <w:t>Fig. S</w:t>
            </w:r>
            <w:r w:rsidR="008E7D91">
              <w:rPr>
                <w:b/>
                <w:bCs/>
              </w:rPr>
              <w:t>5</w:t>
            </w:r>
            <w:r w:rsidR="00811032" w:rsidRPr="00C933D8">
              <w:rPr>
                <w:b/>
                <w:bCs/>
              </w:rPr>
              <w:t xml:space="preserve"> |</w:t>
            </w:r>
            <w:r w:rsidR="00811032">
              <w:rPr>
                <w:b/>
                <w:bCs/>
              </w:rPr>
              <w:t xml:space="preserve"> Transcript level for core, soft-core, dispensable, and private genes. </w:t>
            </w:r>
            <w:r w:rsidR="00573827">
              <w:t xml:space="preserve">Transcriptomes from 969 isolates were considered (Caudal et al., 2024). </w:t>
            </w:r>
            <w:r w:rsidR="00817879" w:rsidRPr="003259CE">
              <w:t xml:space="preserve">Letters discriminate groups between which a two-sided Mann-Whitney-Wilcoxon test with FDR correction is significant with </w:t>
            </w:r>
            <w:r w:rsidR="00817879" w:rsidRPr="003259CE">
              <w:rPr>
                <w:i/>
                <w:iCs/>
              </w:rPr>
              <w:t>P</w:t>
            </w:r>
            <w:r w:rsidR="00817879" w:rsidRPr="003259CE">
              <w:t xml:space="preserve"> &lt; 0.05. </w:t>
            </w:r>
            <w:r w:rsidR="003870E0" w:rsidRPr="003870E0">
              <w:t>The middle bar of the box plots corresponds to the median; the upper and lower bounds correspond to the third and first quartiles, respectively. The whiskers correspond to the upper and lower bounds 1.5 times the interquartile range (IQR)</w:t>
            </w:r>
            <w:r w:rsidR="003870E0">
              <w:t xml:space="preserve">. </w:t>
            </w:r>
          </w:p>
        </w:tc>
      </w:tr>
    </w:tbl>
    <w:p w14:paraId="5602C8F1" w14:textId="77777777" w:rsidR="00811032" w:rsidRDefault="00811032" w:rsidP="003F79C7"/>
    <w:p w14:paraId="72499999" w14:textId="0C9671EE" w:rsidR="00C66411" w:rsidRDefault="00C66411" w:rsidP="00C66411">
      <w:pPr>
        <w:jc w:val="left"/>
      </w:pPr>
      <w:r>
        <w:br w:type="page"/>
      </w:r>
    </w:p>
    <w:tbl>
      <w:tblPr>
        <w:tblStyle w:val="TableGrid"/>
        <w:tblW w:w="1031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left w:w="57" w:type="dxa"/>
          <w:bottom w:w="57" w:type="dxa"/>
          <w:right w:w="57" w:type="dxa"/>
        </w:tblCellMar>
        <w:tblLook w:val="04A0" w:firstRow="1" w:lastRow="0" w:firstColumn="1" w:lastColumn="0" w:noHBand="0" w:noVBand="1"/>
      </w:tblPr>
      <w:tblGrid>
        <w:gridCol w:w="10319"/>
      </w:tblGrid>
      <w:tr w:rsidR="00811032" w14:paraId="54B3BF5D" w14:textId="77777777" w:rsidTr="00C477B3">
        <w:trPr>
          <w:jc w:val="center"/>
        </w:trPr>
        <w:tc>
          <w:tcPr>
            <w:tcW w:w="10426" w:type="dxa"/>
          </w:tcPr>
          <w:p w14:paraId="0D8C26A8" w14:textId="57E91D9B" w:rsidR="00811032" w:rsidRDefault="00000988" w:rsidP="00C477B3">
            <w:pPr>
              <w:jc w:val="center"/>
            </w:pPr>
            <w:r>
              <w:rPr>
                <w:noProof/>
              </w:rPr>
              <w:lastRenderedPageBreak/>
              <w:drawing>
                <wp:inline distT="0" distB="0" distL="0" distR="0" wp14:anchorId="2521A10C" wp14:editId="0D4EDD12">
                  <wp:extent cx="6480000" cy="7623529"/>
                  <wp:effectExtent l="0" t="0" r="0" b="0"/>
                  <wp:docPr id="1213324548" name="Graphic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3324548" name="Graphic 6"/>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480000" cy="7623529"/>
                          </a:xfrm>
                          <a:prstGeom prst="rect">
                            <a:avLst/>
                          </a:prstGeom>
                        </pic:spPr>
                      </pic:pic>
                    </a:graphicData>
                  </a:graphic>
                </wp:inline>
              </w:drawing>
            </w:r>
          </w:p>
        </w:tc>
      </w:tr>
      <w:tr w:rsidR="00811032" w:rsidRPr="00811032" w14:paraId="279F9C58" w14:textId="77777777" w:rsidTr="00C477B3">
        <w:trPr>
          <w:jc w:val="center"/>
        </w:trPr>
        <w:tc>
          <w:tcPr>
            <w:tcW w:w="10426" w:type="dxa"/>
          </w:tcPr>
          <w:p w14:paraId="0EC145CE" w14:textId="6978B51C" w:rsidR="00811032" w:rsidRPr="00811032" w:rsidRDefault="007B1509" w:rsidP="006060E9">
            <w:r>
              <w:rPr>
                <w:b/>
                <w:bCs/>
              </w:rPr>
              <w:t>Fig. S</w:t>
            </w:r>
            <w:r w:rsidR="008E7D91">
              <w:rPr>
                <w:b/>
                <w:bCs/>
              </w:rPr>
              <w:t>6</w:t>
            </w:r>
            <w:r w:rsidR="00811032" w:rsidRPr="00C933D8">
              <w:rPr>
                <w:b/>
                <w:bCs/>
              </w:rPr>
              <w:t xml:space="preserve"> |</w:t>
            </w:r>
            <w:r w:rsidR="00811032">
              <w:rPr>
                <w:b/>
                <w:bCs/>
              </w:rPr>
              <w:t xml:space="preserve"> Semantic similarity GO term enrichment for core and accessory genes. </w:t>
            </w:r>
            <w:r w:rsidR="00811032" w:rsidRPr="00811032">
              <w:t>G</w:t>
            </w:r>
            <w:r w:rsidR="00811032">
              <w:t xml:space="preserve">ene count correspond to the </w:t>
            </w:r>
            <w:r w:rsidR="006060E9">
              <w:t xml:space="preserve">total </w:t>
            </w:r>
            <w:r w:rsidR="00811032">
              <w:t>number of genes</w:t>
            </w:r>
            <w:r w:rsidR="006060E9">
              <w:t xml:space="preserve"> assigned to the term. Gene ratio is the ratio between the number of core or accessory genes associated with the term over the total number of core or accessory genes. </w:t>
            </w:r>
          </w:p>
        </w:tc>
      </w:tr>
    </w:tbl>
    <w:p w14:paraId="1015BD9B" w14:textId="77777777" w:rsidR="00811032" w:rsidRDefault="00811032" w:rsidP="003F79C7"/>
    <w:p w14:paraId="3816C0C6" w14:textId="5BEE4F82" w:rsidR="00C66411" w:rsidRDefault="00C66411" w:rsidP="00C66411">
      <w:pPr>
        <w:jc w:val="left"/>
      </w:pPr>
      <w:r>
        <w:br w:type="page"/>
      </w:r>
    </w:p>
    <w:p w14:paraId="3BC29854" w14:textId="319FC5E6" w:rsidR="007D74F5" w:rsidRDefault="007D74F5" w:rsidP="00C66411">
      <w:pPr>
        <w:jc w:val="left"/>
      </w:pPr>
    </w:p>
    <w:tbl>
      <w:tblPr>
        <w:tblStyle w:val="TableGrid"/>
        <w:tblW w:w="1031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left w:w="57" w:type="dxa"/>
          <w:bottom w:w="57" w:type="dxa"/>
          <w:right w:w="57" w:type="dxa"/>
        </w:tblCellMar>
        <w:tblLook w:val="04A0" w:firstRow="1" w:lastRow="0" w:firstColumn="1" w:lastColumn="0" w:noHBand="0" w:noVBand="1"/>
      </w:tblPr>
      <w:tblGrid>
        <w:gridCol w:w="10319"/>
      </w:tblGrid>
      <w:tr w:rsidR="007D74F5" w14:paraId="704FC9E4" w14:textId="77777777" w:rsidTr="00C645AB">
        <w:trPr>
          <w:jc w:val="center"/>
        </w:trPr>
        <w:tc>
          <w:tcPr>
            <w:tcW w:w="10426" w:type="dxa"/>
          </w:tcPr>
          <w:p w14:paraId="17108876" w14:textId="77777777" w:rsidR="007D74F5" w:rsidRDefault="007D74F5" w:rsidP="00C645AB">
            <w:pPr>
              <w:jc w:val="center"/>
            </w:pPr>
            <w:r>
              <w:rPr>
                <w:noProof/>
              </w:rPr>
              <w:drawing>
                <wp:inline distT="0" distB="0" distL="0" distR="0" wp14:anchorId="308F0E1B" wp14:editId="7C20B6B9">
                  <wp:extent cx="6480000" cy="3278117"/>
                  <wp:effectExtent l="0" t="0" r="0" b="0"/>
                  <wp:docPr id="2029066839" name="Graphic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9066839" name="Graphic 9"/>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480000" cy="3278117"/>
                          </a:xfrm>
                          <a:prstGeom prst="rect">
                            <a:avLst/>
                          </a:prstGeom>
                        </pic:spPr>
                      </pic:pic>
                    </a:graphicData>
                  </a:graphic>
                </wp:inline>
              </w:drawing>
            </w:r>
          </w:p>
        </w:tc>
      </w:tr>
      <w:tr w:rsidR="007D74F5" w:rsidRPr="00764ECF" w14:paraId="06DEE8A1" w14:textId="77777777" w:rsidTr="00C645AB">
        <w:trPr>
          <w:jc w:val="center"/>
        </w:trPr>
        <w:tc>
          <w:tcPr>
            <w:tcW w:w="10426" w:type="dxa"/>
          </w:tcPr>
          <w:p w14:paraId="4001246B" w14:textId="701187F6" w:rsidR="007D74F5" w:rsidRPr="00F82D51" w:rsidRDefault="007B1509" w:rsidP="00C645AB">
            <w:r>
              <w:rPr>
                <w:b/>
                <w:bCs/>
              </w:rPr>
              <w:t>Fig. S</w:t>
            </w:r>
            <w:r w:rsidR="008E7D91">
              <w:rPr>
                <w:b/>
                <w:bCs/>
              </w:rPr>
              <w:t>7</w:t>
            </w:r>
            <w:r w:rsidR="007D74F5" w:rsidRPr="00C933D8">
              <w:rPr>
                <w:b/>
                <w:bCs/>
              </w:rPr>
              <w:t xml:space="preserve"> | </w:t>
            </w:r>
            <w:r w:rsidR="001D49F6" w:rsidRPr="001D49F6">
              <w:rPr>
                <w:b/>
                <w:bCs/>
              </w:rPr>
              <w:t>Heritability estimations using diﬀerent combinations of variants</w:t>
            </w:r>
            <w:r w:rsidR="00982C9F">
              <w:rPr>
                <w:b/>
                <w:bCs/>
              </w:rPr>
              <w:t xml:space="preserve"> for 8,155 complex traits</w:t>
            </w:r>
            <w:r w:rsidR="001D49F6" w:rsidRPr="001D49F6">
              <w:rPr>
                <w:b/>
                <w:bCs/>
              </w:rPr>
              <w:t xml:space="preserve">. </w:t>
            </w:r>
            <w:r w:rsidR="001D49F6" w:rsidRPr="001D49F6">
              <w:t>The text</w:t>
            </w:r>
            <w:r w:rsidR="003870E0">
              <w:t xml:space="preserve"> and middle line</w:t>
            </w:r>
            <w:r w:rsidR="001D49F6" w:rsidRPr="001D49F6">
              <w:t xml:space="preserve"> indicate the median heritability. </w:t>
            </w:r>
            <w:r w:rsidR="00817879" w:rsidRPr="003259CE">
              <w:t xml:space="preserve">Letters discriminate groups between which a two-sided Mann-Whitney-Wilcoxon test with FDR correction is significant with </w:t>
            </w:r>
            <w:r w:rsidR="00817879" w:rsidRPr="003259CE">
              <w:rPr>
                <w:i/>
                <w:iCs/>
              </w:rPr>
              <w:t>P</w:t>
            </w:r>
            <w:r w:rsidR="00817879" w:rsidRPr="003259CE">
              <w:t xml:space="preserve"> &lt; 0.05. </w:t>
            </w:r>
          </w:p>
        </w:tc>
      </w:tr>
    </w:tbl>
    <w:p w14:paraId="78E0DF0C" w14:textId="6675CA62" w:rsidR="00C66411" w:rsidRDefault="00C66411" w:rsidP="00C66411">
      <w:pPr>
        <w:jc w:val="left"/>
      </w:pPr>
    </w:p>
    <w:p w14:paraId="1CFA25FB" w14:textId="7C58C9D3" w:rsidR="00B851AF" w:rsidRDefault="00B851AF" w:rsidP="00C66411">
      <w:pPr>
        <w:jc w:val="left"/>
      </w:pPr>
    </w:p>
    <w:p w14:paraId="3BB03FCF" w14:textId="77777777" w:rsidR="00B851AF" w:rsidRDefault="00B851AF" w:rsidP="00C66411">
      <w:pPr>
        <w:jc w:val="left"/>
      </w:pPr>
    </w:p>
    <w:p w14:paraId="7BD9F5D5" w14:textId="77777777" w:rsidR="00B851AF" w:rsidRDefault="00B851AF" w:rsidP="00C66411">
      <w:pPr>
        <w:jc w:val="left"/>
      </w:pPr>
    </w:p>
    <w:tbl>
      <w:tblPr>
        <w:tblStyle w:val="TableGrid"/>
        <w:tblW w:w="1031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left w:w="57" w:type="dxa"/>
          <w:bottom w:w="57" w:type="dxa"/>
          <w:right w:w="57" w:type="dxa"/>
        </w:tblCellMar>
        <w:tblLook w:val="04A0" w:firstRow="1" w:lastRow="0" w:firstColumn="1" w:lastColumn="0" w:noHBand="0" w:noVBand="1"/>
      </w:tblPr>
      <w:tblGrid>
        <w:gridCol w:w="10319"/>
      </w:tblGrid>
      <w:tr w:rsidR="00256AC8" w14:paraId="214588C0" w14:textId="77777777" w:rsidTr="00C645AB">
        <w:trPr>
          <w:jc w:val="center"/>
        </w:trPr>
        <w:tc>
          <w:tcPr>
            <w:tcW w:w="10426" w:type="dxa"/>
          </w:tcPr>
          <w:p w14:paraId="15816D29" w14:textId="77777777" w:rsidR="00256AC8" w:rsidRDefault="00256AC8" w:rsidP="00C645AB">
            <w:pPr>
              <w:jc w:val="center"/>
            </w:pPr>
            <w:r>
              <w:rPr>
                <w:noProof/>
              </w:rPr>
              <w:drawing>
                <wp:inline distT="0" distB="0" distL="0" distR="0" wp14:anchorId="276969B8" wp14:editId="24B473DB">
                  <wp:extent cx="6480000" cy="2693647"/>
                  <wp:effectExtent l="0" t="0" r="0" b="0"/>
                  <wp:docPr id="618431866" name="Graphic 9" descr="A diagram of different types of fru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431866" name="Graphic 9" descr="A diagram of different types of fruit&#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480000" cy="2693647"/>
                          </a:xfrm>
                          <a:prstGeom prst="rect">
                            <a:avLst/>
                          </a:prstGeom>
                        </pic:spPr>
                      </pic:pic>
                    </a:graphicData>
                  </a:graphic>
                </wp:inline>
              </w:drawing>
            </w:r>
          </w:p>
        </w:tc>
      </w:tr>
      <w:tr w:rsidR="00256AC8" w:rsidRPr="00F82D51" w14:paraId="10BFC15B" w14:textId="77777777" w:rsidTr="00C645AB">
        <w:trPr>
          <w:jc w:val="center"/>
        </w:trPr>
        <w:tc>
          <w:tcPr>
            <w:tcW w:w="10426" w:type="dxa"/>
          </w:tcPr>
          <w:p w14:paraId="039BF2D7" w14:textId="06BE09EE" w:rsidR="00256AC8" w:rsidRPr="00F82D51" w:rsidRDefault="007B1509" w:rsidP="00256AC8">
            <w:r>
              <w:rPr>
                <w:b/>
                <w:bCs/>
              </w:rPr>
              <w:t>Fig. S</w:t>
            </w:r>
            <w:r w:rsidR="008E7D91">
              <w:rPr>
                <w:b/>
                <w:bCs/>
              </w:rPr>
              <w:t>8</w:t>
            </w:r>
            <w:r w:rsidR="00256AC8" w:rsidRPr="00C933D8">
              <w:rPr>
                <w:b/>
                <w:bCs/>
              </w:rPr>
              <w:t xml:space="preserve"> | </w:t>
            </w:r>
            <w:r w:rsidR="00256AC8">
              <w:rPr>
                <w:b/>
                <w:bCs/>
              </w:rPr>
              <w:t xml:space="preserve">Effect size </w:t>
            </w:r>
            <w:r w:rsidR="00404B22">
              <w:rPr>
                <w:b/>
                <w:bCs/>
              </w:rPr>
              <w:t>according to the</w:t>
            </w:r>
            <w:r w:rsidR="00256AC8">
              <w:rPr>
                <w:b/>
                <w:bCs/>
              </w:rPr>
              <w:t xml:space="preserve"> type of variants. </w:t>
            </w:r>
            <w:r w:rsidR="00817879" w:rsidRPr="003259CE">
              <w:t xml:space="preserve">Letters discriminate groups between which a two-sided Mann-Whitney-Wilcoxon test with FDR correction is significant with </w:t>
            </w:r>
            <w:r w:rsidR="00817879" w:rsidRPr="003259CE">
              <w:rPr>
                <w:i/>
                <w:iCs/>
              </w:rPr>
              <w:t>P</w:t>
            </w:r>
            <w:r w:rsidR="00817879" w:rsidRPr="003259CE">
              <w:t xml:space="preserve"> &lt; 0.05. </w:t>
            </w:r>
            <w:r w:rsidR="003870E0" w:rsidRPr="003870E0">
              <w:t>The middle bar of the box plots corresponds to the median; the upper and lower bounds correspond to the third and first quartiles, respectively. The whiskers correspond to the upper and lower bounds 1.5 times the interquartile range (IQR)</w:t>
            </w:r>
            <w:r w:rsidR="003870E0">
              <w:t xml:space="preserve">. </w:t>
            </w:r>
          </w:p>
        </w:tc>
      </w:tr>
    </w:tbl>
    <w:p w14:paraId="65E82286" w14:textId="77777777" w:rsidR="00256AC8" w:rsidRDefault="00256AC8" w:rsidP="00DD38DB"/>
    <w:p w14:paraId="3ACC90B6" w14:textId="77777777" w:rsidR="00DD38DB" w:rsidRDefault="00DD38DB" w:rsidP="00DD38DB"/>
    <w:p w14:paraId="491A3797" w14:textId="77777777" w:rsidR="007F73CA" w:rsidRDefault="007F73CA" w:rsidP="00DD38DB"/>
    <w:p w14:paraId="2E2BA56E" w14:textId="77777777" w:rsidR="007F73CA" w:rsidRDefault="007F73CA" w:rsidP="00DD38DB"/>
    <w:tbl>
      <w:tblPr>
        <w:tblStyle w:val="TableGrid"/>
        <w:tblW w:w="10420" w:type="dxa"/>
        <w:tblInd w:w="-6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left w:w="57" w:type="dxa"/>
          <w:bottom w:w="57" w:type="dxa"/>
          <w:right w:w="57" w:type="dxa"/>
        </w:tblCellMar>
        <w:tblLook w:val="04A0" w:firstRow="1" w:lastRow="0" w:firstColumn="1" w:lastColumn="0" w:noHBand="0" w:noVBand="1"/>
      </w:tblPr>
      <w:tblGrid>
        <w:gridCol w:w="10420"/>
      </w:tblGrid>
      <w:tr w:rsidR="007F73CA" w14:paraId="6CFC6E02" w14:textId="77777777" w:rsidTr="002279C9">
        <w:tc>
          <w:tcPr>
            <w:tcW w:w="10420" w:type="dxa"/>
          </w:tcPr>
          <w:p w14:paraId="3517CC11" w14:textId="77777777" w:rsidR="007F73CA" w:rsidRDefault="007F73CA" w:rsidP="002279C9">
            <w:pPr>
              <w:jc w:val="center"/>
            </w:pPr>
            <w:r>
              <w:rPr>
                <w:noProof/>
              </w:rPr>
              <w:drawing>
                <wp:inline distT="0" distB="0" distL="0" distR="0" wp14:anchorId="25661F6A" wp14:editId="64163078">
                  <wp:extent cx="6480000" cy="4104000"/>
                  <wp:effectExtent l="0" t="0" r="0" b="0"/>
                  <wp:docPr id="492713216" name="Graphic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713216" name="Graphic 9"/>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480000" cy="4104000"/>
                          </a:xfrm>
                          <a:prstGeom prst="rect">
                            <a:avLst/>
                          </a:prstGeom>
                        </pic:spPr>
                      </pic:pic>
                    </a:graphicData>
                  </a:graphic>
                </wp:inline>
              </w:drawing>
            </w:r>
          </w:p>
        </w:tc>
      </w:tr>
      <w:tr w:rsidR="007F73CA" w:rsidRPr="00F82D51" w14:paraId="659F2548" w14:textId="77777777" w:rsidTr="002279C9">
        <w:tc>
          <w:tcPr>
            <w:tcW w:w="10420" w:type="dxa"/>
          </w:tcPr>
          <w:p w14:paraId="2B1527A8" w14:textId="299F7747" w:rsidR="007F73CA" w:rsidRPr="00F82D51" w:rsidRDefault="007B1509" w:rsidP="002279C9">
            <w:r>
              <w:rPr>
                <w:b/>
                <w:bCs/>
              </w:rPr>
              <w:t>Fig. S9</w:t>
            </w:r>
            <w:r w:rsidR="007F73CA" w:rsidRPr="00C933D8">
              <w:rPr>
                <w:b/>
                <w:bCs/>
              </w:rPr>
              <w:t xml:space="preserve"> | </w:t>
            </w:r>
            <w:r w:rsidR="007F73CA">
              <w:rPr>
                <w:b/>
                <w:bCs/>
              </w:rPr>
              <w:t xml:space="preserve">Phenotypic associations of different types of SVs. </w:t>
            </w:r>
            <w:r w:rsidR="00ED573F">
              <w:rPr>
                <w:b/>
                <w:bCs/>
              </w:rPr>
              <w:t>a</w:t>
            </w:r>
            <w:r w:rsidR="007F73CA">
              <w:rPr>
                <w:b/>
                <w:bCs/>
              </w:rPr>
              <w:t xml:space="preserve">. </w:t>
            </w:r>
            <w:r w:rsidR="007F73CA">
              <w:t xml:space="preserve">Effect size </w:t>
            </w:r>
            <w:r w:rsidR="002D33A1">
              <w:t>according to the</w:t>
            </w:r>
            <w:r w:rsidR="007F73CA">
              <w:t xml:space="preserve"> type of SV. </w:t>
            </w:r>
            <w:r w:rsidR="00817879" w:rsidRPr="003259CE">
              <w:t xml:space="preserve">Letters discriminate groups between which a two-sided Mann-Whitney-Wilcoxon test with FDR correction is significant with </w:t>
            </w:r>
            <w:r w:rsidR="00817879" w:rsidRPr="003259CE">
              <w:rPr>
                <w:i/>
                <w:iCs/>
              </w:rPr>
              <w:t>P</w:t>
            </w:r>
            <w:r w:rsidR="00817879" w:rsidRPr="003259CE">
              <w:t xml:space="preserve"> &lt; 0.05</w:t>
            </w:r>
            <w:r w:rsidR="007F73CA">
              <w:t xml:space="preserve">. </w:t>
            </w:r>
            <w:r w:rsidR="00B3621D" w:rsidRPr="00B3621D">
              <w:t>The middle bar of the box plots corresponds to the median; the upper and lower bounds correspond to the third and first quartiles, respectively. The whiskers correspond to the upper and lower bounds 1.5 times the interquartile range (IQR)</w:t>
            </w:r>
            <w:r w:rsidR="00B3621D">
              <w:t xml:space="preserve">. </w:t>
            </w:r>
            <w:r w:rsidR="00ED573F">
              <w:rPr>
                <w:b/>
                <w:bCs/>
              </w:rPr>
              <w:t>b</w:t>
            </w:r>
            <w:r w:rsidR="007F73CA">
              <w:rPr>
                <w:b/>
                <w:bCs/>
              </w:rPr>
              <w:t xml:space="preserve">. </w:t>
            </w:r>
            <w:r w:rsidR="007F73CA">
              <w:t xml:space="preserve">Fraction of variants identified as QTL </w:t>
            </w:r>
            <w:r w:rsidR="002D33A1">
              <w:t>for each type of SV</w:t>
            </w:r>
            <w:r w:rsidR="007F73CA">
              <w:t xml:space="preserve">. </w:t>
            </w:r>
            <w:r w:rsidR="00817879" w:rsidRPr="003259CE">
              <w:t xml:space="preserve">Letters discriminate groups between which a two-sided </w:t>
            </w:r>
            <w:r w:rsidR="00817879">
              <w:t xml:space="preserve">Fisher’s exact </w:t>
            </w:r>
            <w:r w:rsidR="00817879" w:rsidRPr="003259CE">
              <w:t xml:space="preserve">test with FDR correction is significant with </w:t>
            </w:r>
            <w:r w:rsidR="00817879" w:rsidRPr="003259CE">
              <w:rPr>
                <w:i/>
                <w:iCs/>
              </w:rPr>
              <w:t>P</w:t>
            </w:r>
            <w:r w:rsidR="00817879" w:rsidRPr="003259CE">
              <w:t xml:space="preserve"> &lt; 0.05. </w:t>
            </w:r>
          </w:p>
        </w:tc>
      </w:tr>
    </w:tbl>
    <w:p w14:paraId="5EAD3003" w14:textId="77777777" w:rsidR="007F73CA" w:rsidRDefault="007F73CA" w:rsidP="00DD38DB"/>
    <w:p w14:paraId="070BC02C" w14:textId="77777777" w:rsidR="007F73CA" w:rsidRDefault="007F73CA" w:rsidP="00DD38DB"/>
    <w:p w14:paraId="2B160B71" w14:textId="07C1C63F" w:rsidR="00C66411" w:rsidRDefault="00C66411" w:rsidP="00C66411">
      <w:pPr>
        <w:jc w:val="left"/>
      </w:pPr>
      <w:r>
        <w:br w:type="page"/>
      </w:r>
    </w:p>
    <w:tbl>
      <w:tblPr>
        <w:tblStyle w:val="TableGrid"/>
        <w:tblW w:w="1031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left w:w="57" w:type="dxa"/>
          <w:bottom w:w="57" w:type="dxa"/>
          <w:right w:w="57" w:type="dxa"/>
        </w:tblCellMar>
        <w:tblLook w:val="04A0" w:firstRow="1" w:lastRow="0" w:firstColumn="1" w:lastColumn="0" w:noHBand="0" w:noVBand="1"/>
      </w:tblPr>
      <w:tblGrid>
        <w:gridCol w:w="10319"/>
      </w:tblGrid>
      <w:tr w:rsidR="00256AC8" w14:paraId="0B607185" w14:textId="77777777" w:rsidTr="00C645AB">
        <w:trPr>
          <w:jc w:val="center"/>
        </w:trPr>
        <w:tc>
          <w:tcPr>
            <w:tcW w:w="10426" w:type="dxa"/>
          </w:tcPr>
          <w:p w14:paraId="53555310" w14:textId="77777777" w:rsidR="00256AC8" w:rsidRDefault="00256AC8" w:rsidP="00C645AB">
            <w:pPr>
              <w:jc w:val="center"/>
            </w:pPr>
            <w:r>
              <w:rPr>
                <w:noProof/>
              </w:rPr>
              <w:lastRenderedPageBreak/>
              <w:drawing>
                <wp:inline distT="0" distB="0" distL="0" distR="0" wp14:anchorId="2D202244" wp14:editId="68CCD77A">
                  <wp:extent cx="6480000" cy="1791529"/>
                  <wp:effectExtent l="0" t="0" r="0" b="0"/>
                  <wp:docPr id="1245200694" name="Graphic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5200694" name="Graphic 9"/>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480000" cy="1791529"/>
                          </a:xfrm>
                          <a:prstGeom prst="rect">
                            <a:avLst/>
                          </a:prstGeom>
                        </pic:spPr>
                      </pic:pic>
                    </a:graphicData>
                  </a:graphic>
                </wp:inline>
              </w:drawing>
            </w:r>
          </w:p>
        </w:tc>
      </w:tr>
      <w:tr w:rsidR="00256AC8" w:rsidRPr="00F82D51" w14:paraId="3FC96B24" w14:textId="77777777" w:rsidTr="00C645AB">
        <w:trPr>
          <w:jc w:val="center"/>
        </w:trPr>
        <w:tc>
          <w:tcPr>
            <w:tcW w:w="10426" w:type="dxa"/>
          </w:tcPr>
          <w:p w14:paraId="0DEFB397" w14:textId="40791E17" w:rsidR="00256AC8" w:rsidRPr="00044796" w:rsidRDefault="007B1509" w:rsidP="002B72CA">
            <w:r>
              <w:rPr>
                <w:b/>
                <w:bCs/>
              </w:rPr>
              <w:t>Fig. S</w:t>
            </w:r>
            <w:r w:rsidR="008E7D91">
              <w:rPr>
                <w:b/>
                <w:bCs/>
              </w:rPr>
              <w:t>1</w:t>
            </w:r>
            <w:r>
              <w:rPr>
                <w:b/>
                <w:bCs/>
              </w:rPr>
              <w:t>0</w:t>
            </w:r>
            <w:r w:rsidR="00256AC8" w:rsidRPr="00C933D8">
              <w:rPr>
                <w:b/>
                <w:bCs/>
              </w:rPr>
              <w:t xml:space="preserve"> | </w:t>
            </w:r>
            <w:r w:rsidR="002B72CA">
              <w:rPr>
                <w:b/>
                <w:bCs/>
              </w:rPr>
              <w:t>Odds ratio between the frequency of</w:t>
            </w:r>
            <w:r w:rsidR="000B77F0">
              <w:rPr>
                <w:b/>
                <w:bCs/>
              </w:rPr>
              <w:t xml:space="preserve"> a variant type within QTL and within all variants tested for association, according to the type of trait</w:t>
            </w:r>
            <w:r w:rsidR="002B72CA">
              <w:rPr>
                <w:b/>
                <w:bCs/>
              </w:rPr>
              <w:t xml:space="preserve">. </w:t>
            </w:r>
            <w:r w:rsidR="002B72CA">
              <w:t xml:space="preserve">Variant type is color-coded. </w:t>
            </w:r>
            <w:r w:rsidR="00DE7AAE" w:rsidRPr="003259CE">
              <w:t xml:space="preserve">Letters discriminate groups between which a two-sided </w:t>
            </w:r>
            <w:r w:rsidR="00DE7AAE">
              <w:t>Fisher’s exact</w:t>
            </w:r>
            <w:r w:rsidR="00DE7AAE" w:rsidRPr="003259CE">
              <w:t xml:space="preserve"> test with FDR correction is significant with </w:t>
            </w:r>
            <w:r w:rsidR="00DE7AAE" w:rsidRPr="003259CE">
              <w:rPr>
                <w:i/>
                <w:iCs/>
              </w:rPr>
              <w:t>P</w:t>
            </w:r>
            <w:r w:rsidR="00DE7AAE" w:rsidRPr="003259CE">
              <w:t xml:space="preserve"> &lt; 0.05. </w:t>
            </w:r>
          </w:p>
        </w:tc>
      </w:tr>
    </w:tbl>
    <w:p w14:paraId="57B845A9" w14:textId="77777777" w:rsidR="00256AC8" w:rsidRDefault="00256AC8" w:rsidP="00DD38DB"/>
    <w:p w14:paraId="29A2B9B9" w14:textId="62BBB324" w:rsidR="00C66411" w:rsidRDefault="00C66411" w:rsidP="00C66411">
      <w:pPr>
        <w:jc w:val="left"/>
      </w:pPr>
      <w:r>
        <w:br w:type="page"/>
      </w:r>
    </w:p>
    <w:p w14:paraId="1A3CE1DA" w14:textId="66C6901D" w:rsidR="00C66411" w:rsidRDefault="00C66411" w:rsidP="00C66411">
      <w:pPr>
        <w:jc w:val="left"/>
      </w:pPr>
    </w:p>
    <w:tbl>
      <w:tblPr>
        <w:tblStyle w:val="TableGrid"/>
        <w:tblW w:w="1031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left w:w="57" w:type="dxa"/>
          <w:bottom w:w="57" w:type="dxa"/>
          <w:right w:w="57" w:type="dxa"/>
        </w:tblCellMar>
        <w:tblLook w:val="04A0" w:firstRow="1" w:lastRow="0" w:firstColumn="1" w:lastColumn="0" w:noHBand="0" w:noVBand="1"/>
      </w:tblPr>
      <w:tblGrid>
        <w:gridCol w:w="10319"/>
      </w:tblGrid>
      <w:tr w:rsidR="00C66411" w14:paraId="253C9C18" w14:textId="77777777" w:rsidTr="003C1486">
        <w:trPr>
          <w:jc w:val="center"/>
        </w:trPr>
        <w:tc>
          <w:tcPr>
            <w:tcW w:w="10426" w:type="dxa"/>
          </w:tcPr>
          <w:p w14:paraId="2CB134A0" w14:textId="77777777" w:rsidR="00C66411" w:rsidRDefault="00C66411" w:rsidP="003C1486">
            <w:pPr>
              <w:jc w:val="center"/>
            </w:pPr>
            <w:r>
              <w:rPr>
                <w:noProof/>
              </w:rPr>
              <w:drawing>
                <wp:inline distT="0" distB="0" distL="0" distR="0" wp14:anchorId="78AB8A30" wp14:editId="0BBC9012">
                  <wp:extent cx="5953611" cy="4167527"/>
                  <wp:effectExtent l="0" t="0" r="3175" b="0"/>
                  <wp:docPr id="1183883030" name="Graphic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3883030" name="Graphic 9"/>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53611" cy="4167527"/>
                          </a:xfrm>
                          <a:prstGeom prst="rect">
                            <a:avLst/>
                          </a:prstGeom>
                        </pic:spPr>
                      </pic:pic>
                    </a:graphicData>
                  </a:graphic>
                </wp:inline>
              </w:drawing>
            </w:r>
          </w:p>
        </w:tc>
      </w:tr>
      <w:tr w:rsidR="00C66411" w:rsidRPr="00044796" w14:paraId="3C49797B" w14:textId="77777777" w:rsidTr="003C1486">
        <w:trPr>
          <w:jc w:val="center"/>
        </w:trPr>
        <w:tc>
          <w:tcPr>
            <w:tcW w:w="10426" w:type="dxa"/>
          </w:tcPr>
          <w:p w14:paraId="213D0084" w14:textId="79896E63" w:rsidR="00C66411" w:rsidRPr="00044796" w:rsidRDefault="007B1509" w:rsidP="003C1486">
            <w:r>
              <w:rPr>
                <w:b/>
                <w:bCs/>
              </w:rPr>
              <w:t>Fig. S</w:t>
            </w:r>
            <w:r w:rsidR="00E12C1D">
              <w:rPr>
                <w:b/>
                <w:bCs/>
              </w:rPr>
              <w:t>1</w:t>
            </w:r>
            <w:r>
              <w:rPr>
                <w:b/>
                <w:bCs/>
              </w:rPr>
              <w:t>1</w:t>
            </w:r>
            <w:r w:rsidR="00C66411" w:rsidRPr="00C933D8">
              <w:rPr>
                <w:b/>
                <w:bCs/>
              </w:rPr>
              <w:t xml:space="preserve"> | </w:t>
            </w:r>
            <w:r w:rsidR="00C66411">
              <w:rPr>
                <w:b/>
                <w:bCs/>
              </w:rPr>
              <w:t xml:space="preserve">Threshold selection for gene-based pangenome construction. </w:t>
            </w:r>
            <w:r w:rsidR="00ED573F">
              <w:rPr>
                <w:b/>
                <w:bCs/>
              </w:rPr>
              <w:t>a</w:t>
            </w:r>
            <w:r w:rsidR="00C66411">
              <w:rPr>
                <w:b/>
                <w:bCs/>
              </w:rPr>
              <w:t xml:space="preserve">. </w:t>
            </w:r>
            <w:r w:rsidR="00C66411">
              <w:t xml:space="preserve">Number of singleton gene families per genome assembly, </w:t>
            </w:r>
            <w:r w:rsidR="000B77F0">
              <w:t>according to</w:t>
            </w:r>
            <w:r w:rsidR="00C66411">
              <w:t xml:space="preserve"> their </w:t>
            </w:r>
            <w:proofErr w:type="spellStart"/>
            <w:r w:rsidR="00C66411">
              <w:t>Merqury</w:t>
            </w:r>
            <w:proofErr w:type="spellEnd"/>
            <w:r w:rsidR="00C66411">
              <w:t xml:space="preserve"> quality value. Singletons correspond to gene families found in a single genome assembly. </w:t>
            </w:r>
            <w:r w:rsidR="00ED573F">
              <w:rPr>
                <w:b/>
                <w:bCs/>
              </w:rPr>
              <w:t>b</w:t>
            </w:r>
            <w:r w:rsidR="00C66411" w:rsidRPr="00803CDE">
              <w:rPr>
                <w:b/>
                <w:bCs/>
              </w:rPr>
              <w:t xml:space="preserve">. </w:t>
            </w:r>
            <w:r w:rsidR="00C66411" w:rsidRPr="00803CDE">
              <w:t>Precision</w:t>
            </w:r>
            <w:r w:rsidR="000B77F0">
              <w:t>-</w:t>
            </w:r>
            <w:r w:rsidR="00C66411" w:rsidRPr="00803CDE">
              <w:t xml:space="preserve">recall curve </w:t>
            </w:r>
            <w:r w:rsidR="00C66411">
              <w:t xml:space="preserve">for gene presence estimation based on reads depth and ploidy, using the equation </w:t>
            </w:r>
            <w:r w:rsidR="00C66411" w:rsidRPr="00803CDE">
              <w:rPr>
                <w:i/>
                <w:iCs/>
              </w:rPr>
              <w:t xml:space="preserve">presence </w:t>
            </w:r>
            <w:r w:rsidR="00C66411" w:rsidRPr="00803CDE">
              <w:rPr>
                <w:rFonts w:ascii="Cambria Math" w:hAnsi="Cambria Math" w:cs="Cambria Math"/>
                <w:i/>
                <w:iCs/>
              </w:rPr>
              <w:t>∝</w:t>
            </w:r>
            <w:r w:rsidR="00C66411" w:rsidRPr="00803CDE">
              <w:rPr>
                <w:rFonts w:ascii="Cambria Math" w:hAnsi="Cambria Math"/>
                <w:i/>
                <w:iCs/>
              </w:rPr>
              <w:t xml:space="preserve"> </w:t>
            </w:r>
            <w:proofErr w:type="spellStart"/>
            <w:r w:rsidR="00C66411" w:rsidRPr="00803CDE">
              <w:rPr>
                <w:i/>
                <w:iCs/>
              </w:rPr>
              <w:t>depth</w:t>
            </w:r>
            <w:r w:rsidR="00C66411" w:rsidRPr="00803CDE">
              <w:rPr>
                <w:i/>
                <w:iCs/>
                <w:color w:val="202122"/>
                <w:shd w:val="clear" w:color="auto" w:fill="F8F9FA"/>
              </w:rPr>
              <w:t>×ploidy</w:t>
            </w:r>
            <w:r w:rsidR="00C66411" w:rsidRPr="00803CDE">
              <w:rPr>
                <w:i/>
                <w:iCs/>
                <w:color w:val="202122"/>
                <w:shd w:val="clear" w:color="auto" w:fill="F8F9FA"/>
                <w:vertAlign w:val="superscript"/>
              </w:rPr>
              <w:t>x</w:t>
            </w:r>
            <w:proofErr w:type="spellEnd"/>
            <w:r w:rsidR="00C66411">
              <w:rPr>
                <w:color w:val="202122"/>
                <w:shd w:val="clear" w:color="auto" w:fill="F8F9FA"/>
              </w:rPr>
              <w:t xml:space="preserve">. </w:t>
            </w:r>
            <w:r w:rsidR="00ED573F">
              <w:rPr>
                <w:b/>
                <w:bCs/>
                <w:color w:val="202122"/>
                <w:shd w:val="clear" w:color="auto" w:fill="F8F9FA"/>
              </w:rPr>
              <w:t>c</w:t>
            </w:r>
            <w:r w:rsidR="00C66411" w:rsidRPr="00803CDE">
              <w:rPr>
                <w:b/>
                <w:bCs/>
                <w:color w:val="202122"/>
                <w:shd w:val="clear" w:color="auto" w:fill="F8F9FA"/>
              </w:rPr>
              <w:t>.</w:t>
            </w:r>
            <w:r w:rsidR="00C66411">
              <w:rPr>
                <w:color w:val="202122"/>
                <w:shd w:val="clear" w:color="auto" w:fill="F8F9FA"/>
              </w:rPr>
              <w:t xml:space="preserve"> Area under the precision-recall curve in </w:t>
            </w:r>
            <w:r w:rsidR="00ED573F">
              <w:rPr>
                <w:b/>
                <w:bCs/>
                <w:color w:val="202122"/>
                <w:shd w:val="clear" w:color="auto" w:fill="F8F9FA"/>
              </w:rPr>
              <w:t>b</w:t>
            </w:r>
            <w:r w:rsidR="00C66411">
              <w:rPr>
                <w:color w:val="202122"/>
                <w:shd w:val="clear" w:color="auto" w:fill="F8F9FA"/>
              </w:rPr>
              <w:t xml:space="preserve">, depending on the value chosen for </w:t>
            </w:r>
            <w:r w:rsidR="00C66411" w:rsidRPr="00803CDE">
              <w:rPr>
                <w:i/>
                <w:iCs/>
                <w:color w:val="202122"/>
                <w:shd w:val="clear" w:color="auto" w:fill="F8F9FA"/>
              </w:rPr>
              <w:t>x</w:t>
            </w:r>
            <w:r w:rsidR="00C66411">
              <w:rPr>
                <w:color w:val="202122"/>
                <w:shd w:val="clear" w:color="auto" w:fill="F8F9FA"/>
              </w:rPr>
              <w:t xml:space="preserve">. The red vertical line corresponds to the chosen value of </w:t>
            </w:r>
            <w:r w:rsidR="00C66411" w:rsidRPr="00803CDE">
              <w:rPr>
                <w:i/>
                <w:iCs/>
                <w:color w:val="202122"/>
                <w:shd w:val="clear" w:color="auto" w:fill="F8F9FA"/>
              </w:rPr>
              <w:t>x</w:t>
            </w:r>
            <w:r w:rsidR="00C66411">
              <w:rPr>
                <w:color w:val="202122"/>
                <w:shd w:val="clear" w:color="auto" w:fill="F8F9FA"/>
              </w:rPr>
              <w:t xml:space="preserve"> = 0.15. </w:t>
            </w:r>
            <w:r w:rsidR="00ED573F">
              <w:rPr>
                <w:b/>
                <w:bCs/>
                <w:color w:val="202122"/>
                <w:shd w:val="clear" w:color="auto" w:fill="F8F9FA"/>
              </w:rPr>
              <w:t>d</w:t>
            </w:r>
            <w:r w:rsidR="00C66411" w:rsidRPr="00803CDE">
              <w:rPr>
                <w:b/>
                <w:bCs/>
                <w:color w:val="202122"/>
                <w:shd w:val="clear" w:color="auto" w:fill="F8F9FA"/>
              </w:rPr>
              <w:t>.</w:t>
            </w:r>
            <w:r w:rsidR="00C66411">
              <w:rPr>
                <w:color w:val="202122"/>
                <w:shd w:val="clear" w:color="auto" w:fill="F8F9FA"/>
              </w:rPr>
              <w:t xml:space="preserve"> Precision and recall for the estimation of gene presence using the </w:t>
            </w:r>
            <w:r w:rsidR="00C66411">
              <w:t xml:space="preserve">equation </w:t>
            </w:r>
            <w:r w:rsidR="00C66411" w:rsidRPr="00803CDE">
              <w:rPr>
                <w:i/>
                <w:iCs/>
              </w:rPr>
              <w:t xml:space="preserve">presence </w:t>
            </w:r>
            <w:r w:rsidR="00C66411" w:rsidRPr="00803CDE">
              <w:rPr>
                <w:rFonts w:ascii="Cambria Math" w:hAnsi="Cambria Math" w:cs="Cambria Math"/>
                <w:i/>
                <w:iCs/>
              </w:rPr>
              <w:t>∝</w:t>
            </w:r>
            <w:r w:rsidR="00C66411" w:rsidRPr="00803CDE">
              <w:rPr>
                <w:rFonts w:ascii="Cambria Math" w:hAnsi="Cambria Math"/>
                <w:i/>
                <w:iCs/>
              </w:rPr>
              <w:t xml:space="preserve"> </w:t>
            </w:r>
            <w:r w:rsidR="00C66411" w:rsidRPr="00803CDE">
              <w:rPr>
                <w:i/>
                <w:iCs/>
              </w:rPr>
              <w:t>depth</w:t>
            </w:r>
            <w:r w:rsidR="00C66411" w:rsidRPr="00803CDE">
              <w:rPr>
                <w:i/>
                <w:iCs/>
                <w:color w:val="202122"/>
                <w:shd w:val="clear" w:color="auto" w:fill="F8F9FA"/>
              </w:rPr>
              <w:t>×ploid</w:t>
            </w:r>
            <w:r w:rsidR="00C66411">
              <w:rPr>
                <w:i/>
                <w:iCs/>
                <w:color w:val="202122"/>
                <w:shd w:val="clear" w:color="auto" w:fill="F8F9FA"/>
              </w:rPr>
              <w:t>y</w:t>
            </w:r>
            <w:r w:rsidR="00C66411" w:rsidRPr="007F2E26">
              <w:rPr>
                <w:color w:val="202122"/>
                <w:shd w:val="clear" w:color="auto" w:fill="F8F9FA"/>
                <w:vertAlign w:val="superscript"/>
              </w:rPr>
              <w:t>0.15</w:t>
            </w:r>
            <w:r w:rsidR="00C66411">
              <w:rPr>
                <w:color w:val="202122"/>
                <w:shd w:val="clear" w:color="auto" w:fill="F8F9FA"/>
              </w:rPr>
              <w:t xml:space="preserve"> using different threshold values to attest gene presence. </w:t>
            </w:r>
          </w:p>
        </w:tc>
      </w:tr>
    </w:tbl>
    <w:p w14:paraId="69C63FFE" w14:textId="77777777" w:rsidR="00C66411" w:rsidRDefault="00C66411" w:rsidP="00C66411"/>
    <w:p w14:paraId="79F46F79" w14:textId="0E04873C" w:rsidR="00C66411" w:rsidRDefault="00C66411" w:rsidP="00C66411">
      <w:pPr>
        <w:jc w:val="left"/>
      </w:pPr>
      <w:r>
        <w:br w:type="page"/>
      </w:r>
    </w:p>
    <w:tbl>
      <w:tblPr>
        <w:tblStyle w:val="TableGrid"/>
        <w:tblW w:w="1031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left w:w="57" w:type="dxa"/>
          <w:bottom w:w="57" w:type="dxa"/>
          <w:right w:w="57" w:type="dxa"/>
        </w:tblCellMar>
        <w:tblLook w:val="04A0" w:firstRow="1" w:lastRow="0" w:firstColumn="1" w:lastColumn="0" w:noHBand="0" w:noVBand="1"/>
      </w:tblPr>
      <w:tblGrid>
        <w:gridCol w:w="10319"/>
      </w:tblGrid>
      <w:tr w:rsidR="00C66411" w14:paraId="1C69365A" w14:textId="77777777" w:rsidTr="003C1486">
        <w:trPr>
          <w:jc w:val="center"/>
        </w:trPr>
        <w:tc>
          <w:tcPr>
            <w:tcW w:w="10426" w:type="dxa"/>
          </w:tcPr>
          <w:p w14:paraId="316575E9" w14:textId="77777777" w:rsidR="00C66411" w:rsidRDefault="00C66411" w:rsidP="003C1486">
            <w:pPr>
              <w:jc w:val="center"/>
            </w:pPr>
            <w:r>
              <w:rPr>
                <w:noProof/>
              </w:rPr>
              <w:lastRenderedPageBreak/>
              <w:drawing>
                <wp:inline distT="0" distB="0" distL="0" distR="0" wp14:anchorId="47E5A842" wp14:editId="5074D420">
                  <wp:extent cx="6479998" cy="4167528"/>
                  <wp:effectExtent l="0" t="0" r="0" b="0"/>
                  <wp:docPr id="2069339366" name="Graphic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31810" name="Graphic 9"/>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479998" cy="4167528"/>
                          </a:xfrm>
                          <a:prstGeom prst="rect">
                            <a:avLst/>
                          </a:prstGeom>
                        </pic:spPr>
                      </pic:pic>
                    </a:graphicData>
                  </a:graphic>
                </wp:inline>
              </w:drawing>
            </w:r>
          </w:p>
        </w:tc>
      </w:tr>
      <w:tr w:rsidR="00C66411" w:rsidRPr="00044796" w14:paraId="1CBD1952" w14:textId="77777777" w:rsidTr="003C1486">
        <w:trPr>
          <w:jc w:val="center"/>
        </w:trPr>
        <w:tc>
          <w:tcPr>
            <w:tcW w:w="10426" w:type="dxa"/>
          </w:tcPr>
          <w:p w14:paraId="0B56D1D9" w14:textId="3DB07215" w:rsidR="00C66411" w:rsidRPr="00044796" w:rsidRDefault="007B1509" w:rsidP="003C1486">
            <w:r>
              <w:rPr>
                <w:b/>
                <w:bCs/>
              </w:rPr>
              <w:t>Fig. S</w:t>
            </w:r>
            <w:r w:rsidR="00F21097">
              <w:rPr>
                <w:b/>
                <w:bCs/>
              </w:rPr>
              <w:t>1</w:t>
            </w:r>
            <w:r>
              <w:rPr>
                <w:b/>
                <w:bCs/>
              </w:rPr>
              <w:t>2</w:t>
            </w:r>
            <w:r w:rsidR="00C66411" w:rsidRPr="00C933D8">
              <w:rPr>
                <w:b/>
                <w:bCs/>
              </w:rPr>
              <w:t xml:space="preserve"> | </w:t>
            </w:r>
            <w:r w:rsidR="00C66411">
              <w:rPr>
                <w:b/>
                <w:bCs/>
              </w:rPr>
              <w:t xml:space="preserve">Isolates selected for the gene-based pangenome construction. </w:t>
            </w:r>
            <w:r w:rsidR="00C66411" w:rsidRPr="00DF0D04">
              <w:t>The tree was constructed using a neighbor joining method for 1,086 isolates ba</w:t>
            </w:r>
            <w:r w:rsidR="00C66411">
              <w:t xml:space="preserve">sed on SNPs. Isolates whose genome was used in the construction of the gene-based pangenome are indicated by black points. </w:t>
            </w:r>
          </w:p>
        </w:tc>
      </w:tr>
    </w:tbl>
    <w:p w14:paraId="1D812E11" w14:textId="77777777" w:rsidR="00C66411" w:rsidRDefault="00C66411" w:rsidP="00C66411"/>
    <w:p w14:paraId="3EA26224" w14:textId="769BE2BB" w:rsidR="00C66411" w:rsidRDefault="00C66411" w:rsidP="00C66411">
      <w:pPr>
        <w:jc w:val="left"/>
      </w:pPr>
      <w:r>
        <w:br w:type="page"/>
      </w:r>
    </w:p>
    <w:tbl>
      <w:tblPr>
        <w:tblStyle w:val="TableGrid"/>
        <w:tblW w:w="957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left w:w="57" w:type="dxa"/>
          <w:bottom w:w="57" w:type="dxa"/>
          <w:right w:w="57" w:type="dxa"/>
        </w:tblCellMar>
        <w:tblLook w:val="04A0" w:firstRow="1" w:lastRow="0" w:firstColumn="1" w:lastColumn="0" w:noHBand="0" w:noVBand="1"/>
      </w:tblPr>
      <w:tblGrid>
        <w:gridCol w:w="9573"/>
      </w:tblGrid>
      <w:tr w:rsidR="00C66411" w14:paraId="459BF228" w14:textId="77777777" w:rsidTr="007B1509">
        <w:trPr>
          <w:trHeight w:val="12759"/>
          <w:jc w:val="center"/>
        </w:trPr>
        <w:tc>
          <w:tcPr>
            <w:tcW w:w="9573" w:type="dxa"/>
          </w:tcPr>
          <w:p w14:paraId="0F6F8DB4" w14:textId="77777777" w:rsidR="00C66411" w:rsidRDefault="00C66411" w:rsidP="003C1486">
            <w:pPr>
              <w:jc w:val="center"/>
            </w:pPr>
            <w:r>
              <w:rPr>
                <w:noProof/>
              </w:rPr>
              <w:lastRenderedPageBreak/>
              <w:drawing>
                <wp:inline distT="0" distB="0" distL="0" distR="0" wp14:anchorId="2CFABBE6" wp14:editId="0113BD56">
                  <wp:extent cx="5996408" cy="8394970"/>
                  <wp:effectExtent l="0" t="0" r="0" b="0"/>
                  <wp:docPr id="521976414" name="Graphic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976414" name="Graphic 9"/>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020407" cy="8428569"/>
                          </a:xfrm>
                          <a:prstGeom prst="rect">
                            <a:avLst/>
                          </a:prstGeom>
                        </pic:spPr>
                      </pic:pic>
                    </a:graphicData>
                  </a:graphic>
                </wp:inline>
              </w:drawing>
            </w:r>
          </w:p>
        </w:tc>
      </w:tr>
      <w:tr w:rsidR="00C66411" w:rsidRPr="00044796" w14:paraId="11AEC440" w14:textId="77777777" w:rsidTr="007B1509">
        <w:trPr>
          <w:trHeight w:val="254"/>
          <w:jc w:val="center"/>
        </w:trPr>
        <w:tc>
          <w:tcPr>
            <w:tcW w:w="9573" w:type="dxa"/>
          </w:tcPr>
          <w:p w14:paraId="0AA5B21D" w14:textId="55AC6560" w:rsidR="00C66411" w:rsidRPr="00044796" w:rsidRDefault="007B1509" w:rsidP="003C1486">
            <w:r>
              <w:rPr>
                <w:b/>
                <w:bCs/>
              </w:rPr>
              <w:t>Fig. S</w:t>
            </w:r>
            <w:r w:rsidR="00FE2B54">
              <w:rPr>
                <w:b/>
                <w:bCs/>
              </w:rPr>
              <w:t>1</w:t>
            </w:r>
            <w:r>
              <w:rPr>
                <w:b/>
                <w:bCs/>
              </w:rPr>
              <w:t>3</w:t>
            </w:r>
            <w:r w:rsidR="00C66411" w:rsidRPr="00C933D8">
              <w:rPr>
                <w:b/>
                <w:bCs/>
              </w:rPr>
              <w:t xml:space="preserve"> | </w:t>
            </w:r>
            <w:r w:rsidR="00C66411">
              <w:rPr>
                <w:b/>
                <w:bCs/>
              </w:rPr>
              <w:t xml:space="preserve">Schematic representation of the gene-based pangenome construction. </w:t>
            </w:r>
          </w:p>
        </w:tc>
      </w:tr>
    </w:tbl>
    <w:p w14:paraId="4B456D0C" w14:textId="77777777" w:rsidR="00D73BDF" w:rsidRDefault="00D73BDF">
      <w:pPr>
        <w:jc w:val="left"/>
      </w:pPr>
      <w:r>
        <w:br w:type="page"/>
      </w:r>
    </w:p>
    <w:p w14:paraId="026CA7EA" w14:textId="7B65E96E" w:rsidR="00F100D5" w:rsidRPr="0023434F" w:rsidRDefault="00D73BDF" w:rsidP="00D73BDF">
      <w:pPr>
        <w:pStyle w:val="Heading2"/>
        <w:rPr>
          <w:sz w:val="24"/>
          <w:szCs w:val="24"/>
        </w:rPr>
      </w:pPr>
      <w:bookmarkStart w:id="2" w:name="_Toc207031023"/>
      <w:r w:rsidRPr="0023434F">
        <w:rPr>
          <w:sz w:val="24"/>
          <w:szCs w:val="24"/>
        </w:rPr>
        <w:lastRenderedPageBreak/>
        <w:t>Supplementary notes</w:t>
      </w:r>
      <w:bookmarkEnd w:id="2"/>
    </w:p>
    <w:p w14:paraId="686DE194" w14:textId="77777777" w:rsidR="00D73BDF" w:rsidRPr="0023434F" w:rsidRDefault="00D73BDF" w:rsidP="00D73BDF">
      <w:pPr>
        <w:pStyle w:val="Heading3"/>
        <w:rPr>
          <w:sz w:val="24"/>
          <w:szCs w:val="24"/>
        </w:rPr>
      </w:pPr>
      <w:bookmarkStart w:id="3" w:name="_Toc207031024"/>
      <w:r w:rsidRPr="0023434F">
        <w:rPr>
          <w:sz w:val="24"/>
          <w:szCs w:val="24"/>
        </w:rPr>
        <w:t>Supplementary note 1 - Haplotype resolution among genome assemblies</w:t>
      </w:r>
      <w:bookmarkEnd w:id="3"/>
    </w:p>
    <w:p w14:paraId="5A73D96F" w14:textId="77777777" w:rsidR="00D73BDF" w:rsidRDefault="00D73BDF" w:rsidP="00D73BDF">
      <w:pPr>
        <w:spacing w:afterLines="60" w:after="144" w:line="240" w:lineRule="auto"/>
      </w:pPr>
    </w:p>
    <w:p w14:paraId="29695C08" w14:textId="251D675D" w:rsidR="00D73BDF" w:rsidRDefault="00D73BDF" w:rsidP="00D73BDF">
      <w:pPr>
        <w:spacing w:afterLines="60" w:after="144" w:line="240" w:lineRule="auto"/>
        <w:jc w:val="left"/>
      </w:pPr>
      <w:r>
        <w:t>Our genome assembly collection includes newly generated assemblies for 1,015 isolates, as well as previously generated assemblies for 71 strains</w:t>
      </w:r>
      <w:r>
        <w:fldChar w:fldCharType="begin"/>
      </w:r>
      <w:r w:rsidR="00F229A9">
        <w:instrText xml:space="preserve"> ADDIN ZOTERO_ITEM CSL_CITATION {"citationID":"h0hr49Mm","properties":{"formattedCitation":"\\super 2\\nosupersub{}","plainCitation":"2","noteIndex":0},"citationItems":[{"id":643,"uris":["http://zotero.org/users/4681074/items/FH6PMFAJ"],"itemData":{"id":643,"type":"article-journal","abstract":"Pangenomes provide access to an accurate representation of the genetic diversity of species, both in terms of sequence polymorphisms and structural variants (SVs). Here we generated the Saccharomyces cerevisiae Reference Assembly Panel (ScRAP) comprising reference-quality genomes for 142 strains representing the species’ phylogenetic and ecological diversity. The ScRAP includes phased haplotype assemblies for several heterozygous diploid and polyploid isolates. We identified circa (ca.) 4,800 nonredundant SVs that provide a broad view of the genomic diversity, including the dynamics of telomere length and transposable elements. We uncovered frequent cases of complex aneuploidies where large chromosomes underwent large deletions and translocations. We found that SVs can impact gene expression near the breakpoints and substantially contribute to gene repertoire evolution. We also discovered that horizontally acquired regions insert at chromosome ends and can generate new telomeres. Overall, the ScRAP demonstrates the benefit of a pangenome in understanding genome evolution at population scale.","container-title":"Nature Genetics","DOI":"10.1038/s41588-023-01459-y","ISSN":"1546-1718","issue":"8","journalAbbreviation":"Nat Genet","language":"en","license":"2023 The Author(s)","note":"publisher: Nature Publishing Group","page":"1390-1399","source":"www.nature.com","title":"Telomere-to-telomere assemblies of 142 strains characterize the genome structural landscape in Saccharomyces cerevisiae","volume":"55","author":[{"family":"O’Donnell","given":"Samuel"},{"family":"Yue","given":"Jia-Xing"},{"family":"Saada","given":"Omar Abou"},{"family":"Agier","given":"Nicolas"},{"family":"Caradec","given":"Claudia"},{"family":"Cokelaer","given":"Thomas"},{"family":"De Chiara","given":"Matteo"},{"family":"Delmas","given":"Stéphane"},{"family":"Dutreux","given":"Fabien"},{"family":"Fournier","given":"Téo"},{"family":"Friedrich","given":"Anne"},{"family":"Kornobis","given":"Etienne"},{"family":"Li","given":"Jing"},{"family":"Miao","given":"Zepu"},{"family":"Tattini","given":"Lorenzo"},{"family":"Schacherer","given":"Joseph"},{"family":"Liti","given":"Gianni"},{"family":"Fischer","given":"Gilles"}],"issued":{"date-parts":[["2023",8]]}}}],"schema":"https://github.com/citation-style-language/schema/raw/master/csl-citation.json"} </w:instrText>
      </w:r>
      <w:r>
        <w:fldChar w:fldCharType="separate"/>
      </w:r>
      <w:r w:rsidR="00F229A9" w:rsidRPr="00F229A9">
        <w:rPr>
          <w:vertAlign w:val="superscript"/>
          <w:lang w:val="en-GB"/>
        </w:rPr>
        <w:t>2</w:t>
      </w:r>
      <w:r>
        <w:fldChar w:fldCharType="end"/>
      </w:r>
      <w:r>
        <w:t xml:space="preserve">, reaching a total of 1,086 isolates (Table S2). Of these, 186 are haploids, 814 are diploids, 42 are triploids, 29 are tetraploids, and three are </w:t>
      </w:r>
      <w:proofErr w:type="spellStart"/>
      <w:r>
        <w:t>pentaploids</w:t>
      </w:r>
      <w:proofErr w:type="spellEnd"/>
      <w:r>
        <w:t xml:space="preserve">. The ploidy of 12 isolates could not be determined due to their complete homozygosity, which precludes allele-frequency-based inference. In total, 527 isolates are homozygous, comprising seven haploids with a heterozygous aneuploid chromosome, 449 diploids, 40 triploids, 28 tetraploids, and three </w:t>
      </w:r>
      <w:proofErr w:type="spellStart"/>
      <w:r>
        <w:t>pentaploids</w:t>
      </w:r>
      <w:proofErr w:type="spellEnd"/>
      <w:r>
        <w:t>.</w:t>
      </w:r>
    </w:p>
    <w:p w14:paraId="49FC572D" w14:textId="77777777" w:rsidR="00D73BDF" w:rsidRDefault="00D73BDF" w:rsidP="00D73BDF">
      <w:pPr>
        <w:spacing w:afterLines="60" w:after="144" w:line="240" w:lineRule="auto"/>
        <w:jc w:val="left"/>
      </w:pPr>
      <w:r>
        <w:t xml:space="preserve">Due to the variation in ploidy and the presence of heterozygosity in many isolates, we attempted to obtain haplotype-resolved (phased) genome </w:t>
      </w:r>
      <w:proofErr w:type="gramStart"/>
      <w:r>
        <w:t>assemblies</w:t>
      </w:r>
      <w:proofErr w:type="gramEnd"/>
      <w:r>
        <w:t xml:space="preserve"> when possible, to enable accurate structural variant genotyping. Collapsed assemblies, which represent one consensus haplotype capturing a random allele at each heterozygous locus, may miss some structural variants when haplotypes diverge. However, phased assemblies often exhibited reduced contiguity and completeness compared to collapsed assemblies. Poor assembly quality in phased assemblies can hinder SV detection, necessitating a trade-off between haplotype resolution and assembly quality.</w:t>
      </w:r>
    </w:p>
    <w:p w14:paraId="70A942FE" w14:textId="77777777" w:rsidR="00D73BDF" w:rsidRDefault="00D73BDF" w:rsidP="00D73BDF">
      <w:pPr>
        <w:spacing w:afterLines="60" w:after="144" w:line="240" w:lineRule="auto"/>
        <w:jc w:val="left"/>
      </w:pPr>
      <w:r>
        <w:t>Since polyploid genome phasing using ONT remains a considerable challenge, often at the expense of assembly contiguity, we opted for collapsed assemblies for the 71 heterozygous polyploid isolates. These were generated by assembling all sequencing reads from an isolate into a single collapsed haplotype. For haploid and diploid heterozygous isolates, haplotype-resolved assemblies were considered when both haplotype assemblies met the quality threshold defined in the genome assembly pipeline (Methods). If one or both haplotypes failed to meet these criteria, the corresponding collapsed assembly was used instead. Therefore, phased assemblies were retained for six out of seven heterozygous haploids with aneuploid chromosomes and 390 out of 449 heterozygous diploids. Collapsed assemblies were retained for the remaining 60 isolates.</w:t>
      </w:r>
      <w:r>
        <w:br w:type="page"/>
      </w:r>
    </w:p>
    <w:p w14:paraId="287C0ED3" w14:textId="77777777" w:rsidR="00D73BDF" w:rsidRPr="0023434F" w:rsidRDefault="00D73BDF" w:rsidP="00D73BDF">
      <w:pPr>
        <w:pStyle w:val="Heading3"/>
        <w:rPr>
          <w:sz w:val="24"/>
          <w:szCs w:val="24"/>
        </w:rPr>
      </w:pPr>
      <w:bookmarkStart w:id="4" w:name="_Toc207031025"/>
      <w:r w:rsidRPr="0023434F">
        <w:rPr>
          <w:sz w:val="24"/>
          <w:szCs w:val="24"/>
        </w:rPr>
        <w:lastRenderedPageBreak/>
        <w:t>Supplementary note 2 - Contiguity and completeness of genome assemblies</w:t>
      </w:r>
      <w:bookmarkEnd w:id="4"/>
    </w:p>
    <w:p w14:paraId="3A517491" w14:textId="77777777" w:rsidR="00D73BDF" w:rsidRDefault="00D73BDF" w:rsidP="00D73BDF">
      <w:pPr>
        <w:spacing w:afterLines="60" w:after="144" w:line="240" w:lineRule="auto"/>
        <w:rPr>
          <w:color w:val="000000" w:themeColor="text1"/>
          <w:lang w:val="en-US"/>
        </w:rPr>
      </w:pPr>
    </w:p>
    <w:p w14:paraId="61F1B631" w14:textId="77777777" w:rsidR="00D73BDF" w:rsidRPr="00D76654" w:rsidRDefault="00D73BDF" w:rsidP="00D73BDF">
      <w:pPr>
        <w:spacing w:afterLines="60" w:after="144" w:line="240" w:lineRule="auto"/>
        <w:rPr>
          <w:color w:val="000000" w:themeColor="text1"/>
          <w:lang w:val="en-US"/>
        </w:rPr>
      </w:pPr>
      <w:r w:rsidRPr="00D76654">
        <w:rPr>
          <w:color w:val="000000" w:themeColor="text1"/>
          <w:lang w:val="en-US"/>
        </w:rPr>
        <w:t xml:space="preserve">A total of 1,482 genome assemblies were generated from 1,086 natural isolates. Haplotype-resolved assemblies were obtained for 396 out of 456 non-polyploid heterozygous isolates. The median N50 per assembly is comparable to that of the S288c reference genome (910 vs. 924 kb). </w:t>
      </w:r>
    </w:p>
    <w:p w14:paraId="10E755A3" w14:textId="0DB79223" w:rsidR="00D73BDF" w:rsidRPr="00D76654" w:rsidRDefault="00D73BDF" w:rsidP="00D73BDF">
      <w:pPr>
        <w:spacing w:afterLines="60" w:after="144" w:line="240" w:lineRule="auto"/>
        <w:rPr>
          <w:color w:val="000000" w:themeColor="text1"/>
          <w:lang w:val="en-US"/>
        </w:rPr>
      </w:pPr>
      <w:r w:rsidRPr="00D76654">
        <w:rPr>
          <w:color w:val="000000" w:themeColor="text1"/>
          <w:lang w:val="en-US"/>
        </w:rPr>
        <w:t>To quantify the number of chromosomes assembled into a single contig, we considered a set of 22,635 chromosomes that do not carry reciprocal translocations, as these events complicate chromosome contiguity evaluation. A total of 22,008 (97.2%) chromosomes were assembled in a single contig (</w:t>
      </w:r>
      <w:r w:rsidR="009304A1">
        <w:rPr>
          <w:color w:val="000000" w:themeColor="text1"/>
          <w:lang w:val="en-US"/>
        </w:rPr>
        <w:t>Fig. S14</w:t>
      </w:r>
      <w:r w:rsidRPr="00D76654">
        <w:rPr>
          <w:color w:val="000000" w:themeColor="text1"/>
          <w:lang w:val="en-US"/>
        </w:rPr>
        <w:t xml:space="preserve">). The rDNA locus, located on chromosome 12, often caused </w:t>
      </w:r>
      <w:proofErr w:type="spellStart"/>
      <w:r w:rsidRPr="00D76654">
        <w:rPr>
          <w:color w:val="000000" w:themeColor="text1"/>
          <w:lang w:val="en-US"/>
        </w:rPr>
        <w:t>discontiguity</w:t>
      </w:r>
      <w:proofErr w:type="spellEnd"/>
      <w:r w:rsidRPr="00D76654">
        <w:rPr>
          <w:color w:val="000000" w:themeColor="text1"/>
          <w:lang w:val="en-US"/>
        </w:rPr>
        <w:t xml:space="preserve"> in the assemblies due to the significant copy number variation of this locus. This led to a reduced frequency of chromosome-scale contigs for chromosome 12, with 92.6% of the chromosomes assembled into a single contig. </w:t>
      </w:r>
    </w:p>
    <w:p w14:paraId="15CD0DE8" w14:textId="77777777" w:rsidR="00D73BDF" w:rsidRPr="00D76654" w:rsidRDefault="00D73BDF" w:rsidP="00D73BDF">
      <w:pPr>
        <w:spacing w:afterLines="60" w:after="144" w:line="240" w:lineRule="auto"/>
        <w:rPr>
          <w:color w:val="000000" w:themeColor="text1"/>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0"/>
      </w:tblGrid>
      <w:tr w:rsidR="00D73BDF" w:rsidRPr="00D76654" w14:paraId="3CEEFA06" w14:textId="77777777" w:rsidTr="000536E1">
        <w:tc>
          <w:tcPr>
            <w:tcW w:w="9062" w:type="dxa"/>
          </w:tcPr>
          <w:p w14:paraId="769B3FE4" w14:textId="77777777" w:rsidR="00D73BDF" w:rsidRPr="00D76654" w:rsidRDefault="00D73BDF" w:rsidP="000536E1">
            <w:pPr>
              <w:spacing w:afterLines="60" w:after="144"/>
              <w:rPr>
                <w:color w:val="000000" w:themeColor="text1"/>
                <w:lang w:val="en-US"/>
              </w:rPr>
            </w:pPr>
            <w:r w:rsidRPr="00D76654">
              <w:rPr>
                <w:noProof/>
                <w:color w:val="000000" w:themeColor="text1"/>
                <w:lang w:val="en-US"/>
              </w:rPr>
              <w:drawing>
                <wp:inline distT="0" distB="0" distL="0" distR="0" wp14:anchorId="7BFE8612" wp14:editId="6E6A6B9A">
                  <wp:extent cx="5562600" cy="3403600"/>
                  <wp:effectExtent l="0" t="0" r="0" b="0"/>
                  <wp:docPr id="136882836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828367" name="Picture 2"/>
                          <pic:cNvPicPr/>
                        </pic:nvPicPr>
                        <pic:blipFill>
                          <a:blip r:embed="rId21">
                            <a:extLst>
                              <a:ext uri="{28A0092B-C50C-407E-A947-70E740481C1C}">
                                <a14:useLocalDpi xmlns:a14="http://schemas.microsoft.com/office/drawing/2010/main" val="0"/>
                              </a:ext>
                            </a:extLst>
                          </a:blip>
                          <a:stretch>
                            <a:fillRect/>
                          </a:stretch>
                        </pic:blipFill>
                        <pic:spPr>
                          <a:xfrm>
                            <a:off x="0" y="0"/>
                            <a:ext cx="5562600" cy="3403600"/>
                          </a:xfrm>
                          <a:prstGeom prst="rect">
                            <a:avLst/>
                          </a:prstGeom>
                        </pic:spPr>
                      </pic:pic>
                    </a:graphicData>
                  </a:graphic>
                </wp:inline>
              </w:drawing>
            </w:r>
          </w:p>
        </w:tc>
      </w:tr>
      <w:tr w:rsidR="00D73BDF" w:rsidRPr="00D76654" w14:paraId="476A0859" w14:textId="77777777" w:rsidTr="000536E1">
        <w:tc>
          <w:tcPr>
            <w:tcW w:w="9062" w:type="dxa"/>
          </w:tcPr>
          <w:p w14:paraId="36FA9D1C" w14:textId="53EF5B4B" w:rsidR="00D73BDF" w:rsidRPr="00D76654" w:rsidRDefault="009304A1" w:rsidP="000536E1">
            <w:pPr>
              <w:spacing w:afterLines="60" w:after="144"/>
              <w:rPr>
                <w:color w:val="000000" w:themeColor="text1"/>
                <w:lang w:val="en-US"/>
              </w:rPr>
            </w:pPr>
            <w:r>
              <w:rPr>
                <w:b/>
                <w:bCs/>
                <w:color w:val="000000" w:themeColor="text1"/>
                <w:lang w:val="en-US"/>
              </w:rPr>
              <w:t>Fig. S14</w:t>
            </w:r>
            <w:r w:rsidR="00D73BDF" w:rsidRPr="00D76654">
              <w:rPr>
                <w:b/>
                <w:bCs/>
                <w:color w:val="000000" w:themeColor="text1"/>
                <w:lang w:val="en-US"/>
              </w:rPr>
              <w:t xml:space="preserve"> | Number of chromosomes assembled. </w:t>
            </w:r>
            <w:r w:rsidR="00D73BDF" w:rsidRPr="00D76654">
              <w:rPr>
                <w:color w:val="000000" w:themeColor="text1"/>
                <w:lang w:val="en-US"/>
              </w:rPr>
              <w:t xml:space="preserve">Only chromosome without reciprocal translocation were considered. The number of contigs associated to each assembled chromosome is color-coded. </w:t>
            </w:r>
          </w:p>
        </w:tc>
      </w:tr>
    </w:tbl>
    <w:p w14:paraId="49CF1B9E" w14:textId="77777777" w:rsidR="00D73BDF" w:rsidRPr="00D76654" w:rsidRDefault="00D73BDF" w:rsidP="00D73BDF">
      <w:pPr>
        <w:spacing w:afterLines="60" w:after="144" w:line="240" w:lineRule="auto"/>
        <w:rPr>
          <w:color w:val="000000" w:themeColor="text1"/>
          <w:lang w:val="en-US"/>
        </w:rPr>
      </w:pPr>
    </w:p>
    <w:p w14:paraId="29635BB5" w14:textId="3F5CAB69" w:rsidR="00D73BDF" w:rsidRPr="00D76654" w:rsidRDefault="00D73BDF" w:rsidP="00D73BDF">
      <w:pPr>
        <w:spacing w:afterLines="60" w:after="144" w:line="240" w:lineRule="auto"/>
        <w:rPr>
          <w:color w:val="000000" w:themeColor="text1"/>
          <w:lang w:val="en-US"/>
        </w:rPr>
      </w:pPr>
      <w:r w:rsidRPr="00D76654">
        <w:rPr>
          <w:color w:val="000000" w:themeColor="text1"/>
          <w:lang w:val="en-US"/>
        </w:rPr>
        <w:t xml:space="preserve">Rigorous quality control measures were implemented to ensure the integrity of the genome assemblies, including the requirement that each assembly attain a minimum coverage of 95% of the S288c reference genome and include all chromosomes. However, this does not guarantee the achievement of telomere-to-telomere (T2T) status, which refers to a gapless assembly with the resolution of the 32 telomeric sequences present per haplotype. To assess telomeric completeness, we used </w:t>
      </w:r>
      <w:proofErr w:type="spellStart"/>
      <w:r w:rsidRPr="00D76654">
        <w:rPr>
          <w:color w:val="000000" w:themeColor="text1"/>
          <w:lang w:val="en-US"/>
        </w:rPr>
        <w:t>Telofinder</w:t>
      </w:r>
      <w:proofErr w:type="spellEnd"/>
      <w:r>
        <w:rPr>
          <w:color w:val="000000" w:themeColor="text1"/>
          <w:lang w:val="en-US"/>
        </w:rPr>
        <w:fldChar w:fldCharType="begin"/>
      </w:r>
      <w:r w:rsidR="00F229A9">
        <w:rPr>
          <w:color w:val="000000" w:themeColor="text1"/>
          <w:lang w:val="en-US"/>
        </w:rPr>
        <w:instrText xml:space="preserve"> ADDIN ZOTERO_ITEM CSL_CITATION {"citationID":"FlaUJIml","properties":{"formattedCitation":"\\super 2\\nosupersub{}","plainCitation":"2","noteIndex":0},"citationItems":[{"id":643,"uris":["http://zotero.org/users/4681074/items/FH6PMFAJ"],"itemData":{"id":643,"type":"article-journal","abstract":"Pangenomes provide access to an accurate representation of the genetic diversity of species, both in terms of sequence polymorphisms and structural variants (SVs). Here we generated the Saccharomyces cerevisiae Reference Assembly Panel (ScRAP) comprising reference-quality genomes for 142 strains representing the species’ phylogenetic and ecological diversity. The ScRAP includes phased haplotype assemblies for several heterozygous diploid and polyploid isolates. We identified circa (ca.) 4,800 nonredundant SVs that provide a broad view of the genomic diversity, including the dynamics of telomere length and transposable elements. We uncovered frequent cases of complex aneuploidies where large chromosomes underwent large deletions and translocations. We found that SVs can impact gene expression near the breakpoints and substantially contribute to gene repertoire evolution. We also discovered that horizontally acquired regions insert at chromosome ends and can generate new telomeres. Overall, the ScRAP demonstrates the benefit of a pangenome in understanding genome evolution at population scale.","container-title":"Nature Genetics","DOI":"10.1038/s41588-023-01459-y","ISSN":"1546-1718","issue":"8","journalAbbreviation":"Nat Genet","language":"en","license":"2023 The Author(s)","note":"publisher: Nature Publishing Group","page":"1390-1399","source":"www.nature.com","title":"Telomere-to-telomere assemblies of 142 strains characterize the genome structural landscape in Saccharomyces cerevisiae","volume":"55","author":[{"family":"O’Donnell","given":"Samuel"},{"family":"Yue","given":"Jia-Xing"},{"family":"Saada","given":"Omar Abou"},{"family":"Agier","given":"Nicolas"},{"family":"Caradec","given":"Claudia"},{"family":"Cokelaer","given":"Thomas"},{"family":"De Chiara","given":"Matteo"},{"family":"Delmas","given":"Stéphane"},{"family":"Dutreux","given":"Fabien"},{"family":"Fournier","given":"Téo"},{"family":"Friedrich","given":"Anne"},{"family":"Kornobis","given":"Etienne"},{"family":"Li","given":"Jing"},{"family":"Miao","given":"Zepu"},{"family":"Tattini","given":"Lorenzo"},{"family":"Schacherer","given":"Joseph"},{"family":"Liti","given":"Gianni"},{"family":"Fischer","given":"Gilles"}],"issued":{"date-parts":[["2023",8]]}}}],"schema":"https://github.com/citation-style-language/schema/raw/master/csl-citation.json"} </w:instrText>
      </w:r>
      <w:r>
        <w:rPr>
          <w:color w:val="000000" w:themeColor="text1"/>
          <w:lang w:val="en-US"/>
        </w:rPr>
        <w:fldChar w:fldCharType="separate"/>
      </w:r>
      <w:r w:rsidR="00F229A9" w:rsidRPr="00F229A9">
        <w:rPr>
          <w:color w:val="000000"/>
          <w:vertAlign w:val="superscript"/>
          <w:lang w:val="en-GB"/>
        </w:rPr>
        <w:t>2</w:t>
      </w:r>
      <w:r>
        <w:rPr>
          <w:color w:val="000000" w:themeColor="text1"/>
          <w:lang w:val="en-US"/>
        </w:rPr>
        <w:fldChar w:fldCharType="end"/>
      </w:r>
      <w:r>
        <w:rPr>
          <w:color w:val="000000" w:themeColor="text1"/>
          <w:lang w:val="en-US"/>
        </w:rPr>
        <w:t xml:space="preserve"> </w:t>
      </w:r>
      <w:r w:rsidRPr="00D76654">
        <w:rPr>
          <w:color w:val="000000" w:themeColor="text1"/>
          <w:lang w:val="en-US"/>
        </w:rPr>
        <w:t>to identify resolved telomeres within the assembly collection. Of the 47,424 anticipated telomeres, 36,411 (76.8%) were successfully resolved. In total, 14,840 chromosomes (62.6%) were fully assembled into a single T2T contig, thereby capturing the entire chromosome sequence</w:t>
      </w:r>
      <w:r w:rsidR="00552C12">
        <w:rPr>
          <w:color w:val="000000" w:themeColor="text1"/>
          <w:lang w:val="en-US"/>
        </w:rPr>
        <w:t xml:space="preserve">. </w:t>
      </w:r>
    </w:p>
    <w:p w14:paraId="63C20A64" w14:textId="77777777" w:rsidR="00D73BDF" w:rsidRPr="002178EB" w:rsidRDefault="00D73BDF" w:rsidP="00D73BDF">
      <w:pPr>
        <w:spacing w:afterLines="60" w:after="144" w:line="240" w:lineRule="auto"/>
        <w:rPr>
          <w:color w:val="000000" w:themeColor="text1"/>
          <w:lang w:val="en-US"/>
        </w:rPr>
      </w:pPr>
      <w:r w:rsidRPr="00447109">
        <w:rPr>
          <w:color w:val="000000" w:themeColor="text1"/>
        </w:rPr>
        <w:t>Although our assemblies exhibit high contiguity and completeness, it would be inaccurate to describe them as telomere-to-telomere assemblies. It is therefore more accurate to describe them as</w:t>
      </w:r>
      <w:r w:rsidRPr="00D76654">
        <w:rPr>
          <w:color w:val="000000" w:themeColor="text1"/>
        </w:rPr>
        <w:t xml:space="preserve"> </w:t>
      </w:r>
      <w:r w:rsidRPr="00D76654">
        <w:rPr>
          <w:color w:val="000000" w:themeColor="text1"/>
          <w:lang w:val="en-US"/>
        </w:rPr>
        <w:t xml:space="preserve">near-T2T assemblies. </w:t>
      </w:r>
    </w:p>
    <w:p w14:paraId="26157DCA" w14:textId="46B6A794" w:rsidR="00D73BDF" w:rsidRPr="00D76654" w:rsidRDefault="00D73BDF" w:rsidP="00D73BDF">
      <w:pPr>
        <w:spacing w:afterLines="60" w:after="144" w:line="240" w:lineRule="auto"/>
        <w:rPr>
          <w:color w:val="000000" w:themeColor="text1"/>
          <w:lang w:val="en-US"/>
        </w:rPr>
      </w:pPr>
      <w:r w:rsidRPr="00D76654">
        <w:rPr>
          <w:color w:val="000000" w:themeColor="text1"/>
          <w:lang w:val="en-US"/>
        </w:rPr>
        <w:t xml:space="preserve">Since SV detection relies on assembly comparisons, a lack of assembly contiguity could result in SVs being overlooked. This is particularly relevant for regions that are difficult to resolve, such as </w:t>
      </w:r>
      <w:proofErr w:type="spellStart"/>
      <w:r w:rsidRPr="00D76654">
        <w:rPr>
          <w:color w:val="000000" w:themeColor="text1"/>
          <w:lang w:val="en-US"/>
        </w:rPr>
        <w:lastRenderedPageBreak/>
        <w:t>subtelomeric</w:t>
      </w:r>
      <w:proofErr w:type="spellEnd"/>
      <w:r w:rsidRPr="00D76654">
        <w:rPr>
          <w:color w:val="000000" w:themeColor="text1"/>
          <w:lang w:val="en-US"/>
        </w:rPr>
        <w:t xml:space="preserve"> sequences and the rDNA locus. The contiguity of genome assemblies (as measured by the N50 value) shows a weak correlation with the number of SVs detected per isolate (</w:t>
      </w:r>
      <w:r w:rsidR="009304A1">
        <w:rPr>
          <w:color w:val="000000" w:themeColor="text1"/>
          <w:lang w:val="en-US"/>
        </w:rPr>
        <w:t>Fig. S15</w:t>
      </w:r>
      <w:r w:rsidRPr="00D76654">
        <w:rPr>
          <w:color w:val="000000" w:themeColor="text1"/>
          <w:lang w:val="en-US"/>
        </w:rPr>
        <w:t>a; Pearson correlation, R = 0.058, P = 0.026). This weak correlation is primarily driven by outlier assemblies with an N50 value lower than 750 kb, which exhibit an average of 15% fewer SVs than other assemblies (215 vs. 253 SVs on average). Since the 27 outlier isolates are evenly distributed within the phylogeny (</w:t>
      </w:r>
      <w:r w:rsidR="009304A1">
        <w:rPr>
          <w:color w:val="000000" w:themeColor="text1"/>
          <w:lang w:val="en-US"/>
        </w:rPr>
        <w:t>Fig. S15</w:t>
      </w:r>
      <w:r w:rsidRPr="00D76654">
        <w:rPr>
          <w:color w:val="000000" w:themeColor="text1"/>
          <w:lang w:val="en-US"/>
        </w:rPr>
        <w:t>b), they are unlikely to affect downstream analyses, such as genome-wide associations, and were not discarded.</w:t>
      </w:r>
    </w:p>
    <w:p w14:paraId="21877198" w14:textId="77777777" w:rsidR="00D73BDF" w:rsidRPr="00D76654" w:rsidRDefault="00D73BDF" w:rsidP="00D73BDF">
      <w:pPr>
        <w:spacing w:afterLines="60" w:after="144" w:line="240" w:lineRule="auto"/>
        <w:rPr>
          <w:color w:val="000000" w:themeColor="text1"/>
          <w:lang w:val="en-US"/>
        </w:rPr>
      </w:pPr>
    </w:p>
    <w:p w14:paraId="641DAB6F" w14:textId="77777777" w:rsidR="00D73BDF" w:rsidRPr="00D76654" w:rsidRDefault="00D73BDF" w:rsidP="00D73BDF">
      <w:pPr>
        <w:spacing w:afterLines="60" w:after="144" w:line="240" w:lineRule="auto"/>
        <w:rPr>
          <w:color w:val="000000" w:themeColor="text1"/>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0"/>
      </w:tblGrid>
      <w:tr w:rsidR="00D73BDF" w:rsidRPr="00D76654" w14:paraId="6F33CF7A" w14:textId="77777777" w:rsidTr="000536E1">
        <w:tc>
          <w:tcPr>
            <w:tcW w:w="9062" w:type="dxa"/>
          </w:tcPr>
          <w:p w14:paraId="6146ABA5" w14:textId="77777777" w:rsidR="00D73BDF" w:rsidRPr="00D76654" w:rsidRDefault="00D73BDF" w:rsidP="000536E1">
            <w:pPr>
              <w:spacing w:afterLines="60" w:after="144"/>
              <w:rPr>
                <w:color w:val="000000" w:themeColor="text1"/>
                <w:lang w:val="en-US"/>
              </w:rPr>
            </w:pPr>
            <w:r w:rsidRPr="00D76654">
              <w:rPr>
                <w:noProof/>
                <w:color w:val="000000" w:themeColor="text1"/>
                <w:lang w:val="en-US"/>
              </w:rPr>
              <w:drawing>
                <wp:inline distT="0" distB="0" distL="0" distR="0" wp14:anchorId="03AEF7F2" wp14:editId="6A6AC246">
                  <wp:extent cx="5562600" cy="2159597"/>
                  <wp:effectExtent l="0" t="0" r="0" b="0"/>
                  <wp:docPr id="83076740" name="Picture 2" descr="A screenshot of a computer generated im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76740" name="Picture 2" descr="A screenshot of a computer generated image&#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562600" cy="2159597"/>
                          </a:xfrm>
                          <a:prstGeom prst="rect">
                            <a:avLst/>
                          </a:prstGeom>
                        </pic:spPr>
                      </pic:pic>
                    </a:graphicData>
                  </a:graphic>
                </wp:inline>
              </w:drawing>
            </w:r>
          </w:p>
        </w:tc>
      </w:tr>
      <w:tr w:rsidR="00D73BDF" w:rsidRPr="00D76654" w14:paraId="0FE2D70A" w14:textId="77777777" w:rsidTr="000536E1">
        <w:tc>
          <w:tcPr>
            <w:tcW w:w="9062" w:type="dxa"/>
          </w:tcPr>
          <w:p w14:paraId="31AB62CC" w14:textId="77777777" w:rsidR="00D73BDF" w:rsidRPr="00D76654" w:rsidRDefault="00D73BDF" w:rsidP="000536E1">
            <w:pPr>
              <w:spacing w:afterLines="60" w:after="144"/>
              <w:rPr>
                <w:b/>
                <w:bCs/>
                <w:color w:val="000000" w:themeColor="text1"/>
                <w:lang w:val="en-US"/>
              </w:rPr>
            </w:pPr>
          </w:p>
          <w:p w14:paraId="16FA001B" w14:textId="218A76C2" w:rsidR="00D73BDF" w:rsidRPr="00D76654" w:rsidRDefault="009304A1" w:rsidP="000536E1">
            <w:pPr>
              <w:spacing w:afterLines="60" w:after="144"/>
              <w:rPr>
                <w:color w:val="000000" w:themeColor="text1"/>
                <w:lang w:val="en-US"/>
              </w:rPr>
            </w:pPr>
            <w:r>
              <w:rPr>
                <w:b/>
                <w:bCs/>
                <w:color w:val="000000" w:themeColor="text1"/>
                <w:lang w:val="en-US"/>
              </w:rPr>
              <w:t>Fig. S15</w:t>
            </w:r>
            <w:r w:rsidR="00D73BDF" w:rsidRPr="00D76654">
              <w:rPr>
                <w:b/>
                <w:bCs/>
                <w:color w:val="000000" w:themeColor="text1"/>
                <w:lang w:val="en-US"/>
              </w:rPr>
              <w:t xml:space="preserve"> | Assembly contiguity and structural variants (SVs). a. </w:t>
            </w:r>
            <w:r w:rsidR="00D73BDF" w:rsidRPr="00D76654">
              <w:rPr>
                <w:color w:val="000000" w:themeColor="text1"/>
                <w:lang w:val="en-US"/>
              </w:rPr>
              <w:t xml:space="preserve">Number of SVs per assembly depending on the assembly N50. The correlation was computed using a Spearman correlation test. </w:t>
            </w:r>
            <w:r w:rsidR="00D73BDF" w:rsidRPr="00D76654">
              <w:rPr>
                <w:b/>
                <w:bCs/>
                <w:color w:val="000000" w:themeColor="text1"/>
                <w:lang w:val="en-US"/>
              </w:rPr>
              <w:t xml:space="preserve">b. </w:t>
            </w:r>
            <w:r w:rsidR="00D73BDF" w:rsidRPr="00D76654">
              <w:rPr>
                <w:color w:val="000000" w:themeColor="text1"/>
                <w:lang w:val="en-US"/>
              </w:rPr>
              <w:t xml:space="preserve">Neighbor-joining tree of the 1086 isolates that constitute the genome assembly collection. Isolates with a genome assembly of low contiguity (N50 lower than 750 kb) are indicated by a blue dot. </w:t>
            </w:r>
          </w:p>
        </w:tc>
      </w:tr>
    </w:tbl>
    <w:p w14:paraId="0C605C33" w14:textId="77777777" w:rsidR="00D73BDF" w:rsidRPr="00D77B57" w:rsidRDefault="00D73BDF" w:rsidP="00D73BDF">
      <w:pPr>
        <w:spacing w:afterLines="60" w:after="144" w:line="240" w:lineRule="auto"/>
        <w:rPr>
          <w:lang w:val="en-US"/>
        </w:rPr>
      </w:pPr>
    </w:p>
    <w:p w14:paraId="67BDC187" w14:textId="77777777" w:rsidR="00D73BDF" w:rsidRDefault="00D73BDF" w:rsidP="00D73BDF">
      <w:pPr>
        <w:spacing w:afterLines="60" w:after="144" w:line="240" w:lineRule="auto"/>
        <w:jc w:val="left"/>
      </w:pPr>
      <w:r>
        <w:br w:type="page"/>
      </w:r>
    </w:p>
    <w:p w14:paraId="75B6504D" w14:textId="77777777" w:rsidR="00D73BDF" w:rsidRPr="0023434F" w:rsidRDefault="00D73BDF" w:rsidP="00D73BDF">
      <w:pPr>
        <w:pStyle w:val="Heading3"/>
        <w:rPr>
          <w:sz w:val="24"/>
          <w:szCs w:val="24"/>
        </w:rPr>
      </w:pPr>
      <w:bookmarkStart w:id="5" w:name="_Toc207031026"/>
      <w:r w:rsidRPr="0023434F">
        <w:rPr>
          <w:sz w:val="24"/>
          <w:szCs w:val="24"/>
        </w:rPr>
        <w:lastRenderedPageBreak/>
        <w:t>Supplementary note 3 - Validation of SV calls</w:t>
      </w:r>
      <w:bookmarkEnd w:id="5"/>
    </w:p>
    <w:p w14:paraId="6E338844" w14:textId="77777777" w:rsidR="00D73BDF" w:rsidRPr="00616950" w:rsidRDefault="00D73BDF" w:rsidP="00D73BDF"/>
    <w:p w14:paraId="49FF80EE" w14:textId="24911C38" w:rsidR="00D73BDF" w:rsidRPr="00D77B57" w:rsidRDefault="00D73BDF" w:rsidP="00D73BDF">
      <w:pPr>
        <w:spacing w:afterLines="60" w:after="144" w:line="240" w:lineRule="auto"/>
        <w:rPr>
          <w:color w:val="000000" w:themeColor="text1"/>
          <w:lang w:val="en-US"/>
        </w:rPr>
      </w:pPr>
      <w:r w:rsidRPr="00D77B57">
        <w:rPr>
          <w:color w:val="000000" w:themeColor="text1"/>
          <w:lang w:val="en-US"/>
        </w:rPr>
        <w:t>To assess the reliability of SV calls inferred from genome assembly comparisons, we performed validation using both Illumina and ONT sequencing reads mapped to the reference genome. Illumina reads were aligned with bwa-mem2</w:t>
      </w:r>
      <w:r>
        <w:rPr>
          <w:color w:val="000000" w:themeColor="text1"/>
          <w:lang w:val="en-US"/>
        </w:rPr>
        <w:fldChar w:fldCharType="begin"/>
      </w:r>
      <w:r w:rsidR="00F229A9">
        <w:rPr>
          <w:color w:val="000000" w:themeColor="text1"/>
          <w:lang w:val="en-US"/>
        </w:rPr>
        <w:instrText xml:space="preserve"> ADDIN ZOTERO_ITEM CSL_CITATION {"citationID":"bqdnoEHZ","properties":{"formattedCitation":"\\super 3\\nosupersub{}","plainCitation":"3","noteIndex":0},"citationItems":[{"id":1124,"uris":["http://zotero.org/users/4681074/items/6I6JVEL4"],"itemData":{"id":1124,"type":"paper-conference","abstract":"Innovations in Next-Generation Sequencing are enabling generation of DNA sequence data at ever faster rates and at very low cost. For example, the Illumina NovaSeq 6000 sequencer can generate 6 Terabases of data in less than two days, sequencing nearly 20 Billion short DNA fragments called reads at the low cost of $1000 per human genome. Large sequencing centers typically employ hundreds of such systems. Such highthroughput and low-cost generation of data underscores the need for commensurate acceleration in downstream computational analysis of the sequencing data. A fundamental step in downstream analysis is mapping of the reads to a long reference DNA sequence, such as a reference human genome. Sequence mapping is a compute-intensive step that accounts for more than 30% of the overall time of the GATK (Genome Analysis ToolKit) best practices workflow. BWA-MEM is one of the most widely used tools for sequence mapping and has tens of thousands of users. In this work, we focus on accelerating BWA-MEM through an efficient architecture aware implementation, while maintaining identical output. The volume of data requires distributed computing and is usually processed on clusters or cloud deployments with multicore processors usually being the platform of choice. Since the application can be easily parallelized across multiple sockets (even across distributed memory systems) by simply distributing the reads equally, we focus on performance improvements on a single socket multicore processor. BWA-MEM run time is dominated by three kernels, collectively responsible for more than 85% of the overall compute time. We improved the performance of the three kernels by 1) using techniques to improve cache reuse, 2) simplifying the algorithms, 3) replacing many small memory allocations with a few large contiguous ones to improve hardware prefetching of data, 4) software prefetching of data, and 5) utilization of SIMD wherever applicable and massive reorganization of the source code to enable these improvements. As a result, we achieved nearly 2x, 183x, and 8x speedups on the three kernels, respectively, resulting in up to 3.5x and 2.4x speedups on end-to-end compute time over the original BWA-MEM on single thread and single socket of Intel Xeon Skylake processor. To the best of our knowledge, this is the highest reported speedup over BWA-MEM (running on a single CPU) while using a single CPU or a single CPU-single GPGPU/FPGA combination.","container-title":"2019 IEEE International Parallel and Distributed Processing Symposium (IPDPS)","DOI":"10.1109/IPDPS.2019.00041","event-title":"2019 IEEE International Parallel and Distributed Processing Symposium (IPDPS)","note":"ISSN: 1530-2075","page":"314-324","source":"IEEE Xplore","title":"Efficient Architecture-Aware Acceleration of BWA-MEM for Multicore Systems","URL":"https://ieeexplore.ieee.org/document/8820962","author":[{"family":"Vasimuddin","given":"Md."},{"family":"Misra","given":"Sanchit"},{"family":"Li","given":"Heng"},{"family":"Aluru","given":"Srinivas"}],"accessed":{"date-parts":[["2024",9,4]]},"issued":{"date-parts":[["2019",5]]}}}],"schema":"https://github.com/citation-style-language/schema/raw/master/csl-citation.json"} </w:instrText>
      </w:r>
      <w:r>
        <w:rPr>
          <w:color w:val="000000" w:themeColor="text1"/>
          <w:lang w:val="en-US"/>
        </w:rPr>
        <w:fldChar w:fldCharType="separate"/>
      </w:r>
      <w:r w:rsidR="00F229A9" w:rsidRPr="00F229A9">
        <w:rPr>
          <w:color w:val="000000"/>
          <w:vertAlign w:val="superscript"/>
          <w:lang w:val="en-GB"/>
        </w:rPr>
        <w:t>3</w:t>
      </w:r>
      <w:r>
        <w:rPr>
          <w:color w:val="000000" w:themeColor="text1"/>
          <w:lang w:val="en-US"/>
        </w:rPr>
        <w:fldChar w:fldCharType="end"/>
      </w:r>
      <w:r w:rsidRPr="00D77B57">
        <w:rPr>
          <w:color w:val="000000" w:themeColor="text1"/>
          <w:lang w:val="en-US"/>
        </w:rPr>
        <w:t>, and ONT reads with Minimap2</w:t>
      </w:r>
      <w:r>
        <w:rPr>
          <w:color w:val="000000" w:themeColor="text1"/>
          <w:lang w:val="en-US"/>
        </w:rPr>
        <w:fldChar w:fldCharType="begin"/>
      </w:r>
      <w:r w:rsidR="00F229A9">
        <w:rPr>
          <w:color w:val="000000" w:themeColor="text1"/>
          <w:lang w:val="en-US"/>
        </w:rPr>
        <w:instrText xml:space="preserve"> ADDIN ZOTERO_ITEM CSL_CITATION {"citationID":"vy29mY97","properties":{"formattedCitation":"\\super 4\\nosupersub{}","plainCitation":"4","noteIndex":0},"citationItems":[{"id":1122,"uris":["http://zotero.org/users/4681074/items/48VWR42K"],"itemData":{"id":1122,"type":"article-journal","abstract":"Recent advances in sequencing technologies promise ultra-long reads of </w:instrText>
      </w:r>
      <w:r w:rsidR="00F229A9">
        <w:rPr>
          <w:rFonts w:ascii="Cambria Math" w:hAnsi="Cambria Math" w:cs="Cambria Math"/>
          <w:color w:val="000000" w:themeColor="text1"/>
          <w:lang w:val="en-US"/>
        </w:rPr>
        <w:instrText>∼</w:instrText>
      </w:r>
      <w:r w:rsidR="00F229A9">
        <w:rPr>
          <w:color w:val="000000" w:themeColor="text1"/>
          <w:lang w:val="en-US"/>
        </w:rPr>
        <w:instrText xml:space="preserve">100 kb in average, full-length mRNA or cDNA reads in high throughput and genomic contigs over 100 Mb in length. Existing alignment programs are unable or inefficient to process such data at scale, which presses for the development of new alignment algorithms.Minimap2 is a general-purpose alignment program to map DNA or long mRNA sequences against a large reference database. It works with accurate short reads of ≥100 bp in length, ≥1 kb genomic reads at error rate </w:instrText>
      </w:r>
      <w:r w:rsidR="00F229A9">
        <w:rPr>
          <w:rFonts w:ascii="Cambria Math" w:hAnsi="Cambria Math" w:cs="Cambria Math"/>
          <w:color w:val="000000" w:themeColor="text1"/>
          <w:lang w:val="en-US"/>
        </w:rPr>
        <w:instrText>∼</w:instrText>
      </w:r>
      <w:r w:rsidR="00F229A9">
        <w:rPr>
          <w:color w:val="000000" w:themeColor="text1"/>
          <w:lang w:val="en-US"/>
        </w:rPr>
        <w:instrText xml:space="preserve">15%, full-length noisy Direct RNA or cDNA reads and assembly contigs or closely related full chromosomes of hundreds of megabases in length. Minimap2 does split-read alignment, employs concave gap cost for long insertions and deletions and introduces new heuristics to reduce spurious alignments. It is 3–4 times as fast as mainstream short-read mappers at comparable accuracy, and is ≥30 times faster than long-read genomic or cDNA mappers at higher accuracy, surpassing most aligners specialized in one type of alignment.https://github.com/lh3/minimap2Supplementary data are available at Bioinformatics online.","container-title":"Bioinformatics","DOI":"10.1093/bioinformatics/bty191","ISSN":"1367-4803","issue":"18","journalAbbreviation":"Bioinformatics","page":"3094-3100","source":"Silverchair","title":"Minimap2: pairwise alignment for nucleotide sequences","title-short":"Minimap2","volume":"34","author":[{"family":"Li","given":"Heng"}],"issued":{"date-parts":[["2018",9,15]]}}}],"schema":"https://github.com/citation-style-language/schema/raw/master/csl-citation.json"} </w:instrText>
      </w:r>
      <w:r>
        <w:rPr>
          <w:color w:val="000000" w:themeColor="text1"/>
          <w:lang w:val="en-US"/>
        </w:rPr>
        <w:fldChar w:fldCharType="separate"/>
      </w:r>
      <w:r w:rsidR="00F229A9" w:rsidRPr="00F229A9">
        <w:rPr>
          <w:color w:val="000000"/>
          <w:vertAlign w:val="superscript"/>
          <w:lang w:val="en-GB"/>
        </w:rPr>
        <w:t>4</w:t>
      </w:r>
      <w:r>
        <w:rPr>
          <w:color w:val="000000" w:themeColor="text1"/>
          <w:lang w:val="en-US"/>
        </w:rPr>
        <w:fldChar w:fldCharType="end"/>
      </w:r>
      <w:r w:rsidRPr="00D77B57">
        <w:rPr>
          <w:color w:val="000000" w:themeColor="text1"/>
          <w:lang w:val="en-US"/>
        </w:rPr>
        <w:t xml:space="preserve">. </w:t>
      </w:r>
    </w:p>
    <w:p w14:paraId="6A01F769" w14:textId="4913EF69" w:rsidR="00D73BDF" w:rsidRPr="00D77B57" w:rsidRDefault="00D73BDF" w:rsidP="00D73BDF">
      <w:pPr>
        <w:spacing w:afterLines="60" w:after="144" w:line="240" w:lineRule="auto"/>
        <w:rPr>
          <w:color w:val="000000" w:themeColor="text1"/>
          <w:lang w:val="en-US"/>
        </w:rPr>
      </w:pPr>
      <w:r w:rsidRPr="00D77B57">
        <w:rPr>
          <w:color w:val="000000" w:themeColor="text1"/>
          <w:lang w:val="en-US"/>
        </w:rPr>
        <w:t xml:space="preserve">We randomly selected 500 SVs for </w:t>
      </w:r>
      <w:r>
        <w:rPr>
          <w:color w:val="000000" w:themeColor="text1"/>
          <w:lang w:val="en-US"/>
        </w:rPr>
        <w:t>systematic</w:t>
      </w:r>
      <w:r w:rsidRPr="00D77B57">
        <w:rPr>
          <w:color w:val="000000" w:themeColor="text1"/>
          <w:lang w:val="en-US"/>
        </w:rPr>
        <w:t xml:space="preserve"> inspection in IGV</w:t>
      </w:r>
      <w:r>
        <w:rPr>
          <w:color w:val="000000" w:themeColor="text1"/>
          <w:lang w:val="en-US"/>
        </w:rPr>
        <w:fldChar w:fldCharType="begin"/>
      </w:r>
      <w:r w:rsidR="00F229A9">
        <w:rPr>
          <w:color w:val="000000" w:themeColor="text1"/>
          <w:lang w:val="en-US"/>
        </w:rPr>
        <w:instrText xml:space="preserve"> ADDIN ZOTERO_ITEM CSL_CITATION {"citationID":"7kOXHfxU","properties":{"formattedCitation":"\\super 5\\nosupersub{}","plainCitation":"5","noteIndex":0},"citationItems":[{"id":2431,"uris":["http://zotero.org/users/4681074/items/W3UB2ZZ2"],"itemData":{"id":2431,"type":"article-journal","container-title":"Nature Biotechnology","DOI":"10.1038/nbt.1754","ISSN":"1546-1696","issue":"1","journalAbbreviation":"Nat Biotechnol","language":"en","license":"2011 Springer Nature Limited","note":"publisher: Nature Publishing Group","page":"24-26","source":"www.nature.com","title":"Integrative genomics viewer","volume":"29","author":[{"family":"Robinson","given":"James T."},{"family":"Thorvaldsdóttir","given":"Helga"},{"family":"Winckler","given":"Wendy"},{"family":"Guttman","given":"Mitchell"},{"family":"Lander","given":"Eric S."},{"family":"Getz","given":"Gad"},{"family":"Mesirov","given":"Jill P."}],"issued":{"date-parts":[["2011",1]]}}}],"schema":"https://github.com/citation-style-language/schema/raw/master/csl-citation.json"} </w:instrText>
      </w:r>
      <w:r>
        <w:rPr>
          <w:color w:val="000000" w:themeColor="text1"/>
          <w:lang w:val="en-US"/>
        </w:rPr>
        <w:fldChar w:fldCharType="separate"/>
      </w:r>
      <w:r w:rsidR="00F229A9" w:rsidRPr="00F229A9">
        <w:rPr>
          <w:color w:val="000000"/>
          <w:vertAlign w:val="superscript"/>
          <w:lang w:val="en-GB"/>
        </w:rPr>
        <w:t>5</w:t>
      </w:r>
      <w:r>
        <w:rPr>
          <w:color w:val="000000" w:themeColor="text1"/>
          <w:lang w:val="en-US"/>
        </w:rPr>
        <w:fldChar w:fldCharType="end"/>
      </w:r>
      <w:r w:rsidRPr="00D77B57">
        <w:rPr>
          <w:color w:val="000000" w:themeColor="text1"/>
          <w:lang w:val="en-US"/>
        </w:rPr>
        <w:t xml:space="preserve"> (</w:t>
      </w:r>
      <w:r w:rsidR="009304A1">
        <w:rPr>
          <w:color w:val="000000" w:themeColor="text1"/>
          <w:lang w:val="en-US"/>
        </w:rPr>
        <w:t>Fig. S16</w:t>
      </w:r>
      <w:r w:rsidRPr="00D77B57">
        <w:rPr>
          <w:color w:val="000000" w:themeColor="text1"/>
          <w:lang w:val="en-US"/>
        </w:rPr>
        <w:t xml:space="preserve">). Our validation set includes 252 insertions, 104 deletions, 79 duplications, 24 contractions, 16 inversions, and 25 translocations. These numbers are proportional to the fraction of each type of SV in the total set of SV calls. </w:t>
      </w:r>
    </w:p>
    <w:p w14:paraId="687D65E3" w14:textId="4B902E72" w:rsidR="00D73BDF" w:rsidRDefault="00D73BDF" w:rsidP="00D73BDF">
      <w:pPr>
        <w:spacing w:afterLines="60" w:after="144" w:line="240" w:lineRule="auto"/>
        <w:rPr>
          <w:color w:val="000000" w:themeColor="text1"/>
          <w:lang w:val="en-US"/>
        </w:rPr>
      </w:pPr>
      <w:r w:rsidRPr="00D77B57">
        <w:rPr>
          <w:color w:val="000000" w:themeColor="text1"/>
          <w:lang w:val="en-US"/>
        </w:rPr>
        <w:t>Disrupted short-read alignments supported the presence of structural variation in 474 of 500 cases (94.8%). The 26 unsupported cases were predominantly insertions (19/26), consistent with the known limitations of short-read technologies in detecting such events</w:t>
      </w:r>
      <w:r>
        <w:rPr>
          <w:color w:val="000000" w:themeColor="text1"/>
          <w:lang w:val="en-US"/>
        </w:rPr>
        <w:fldChar w:fldCharType="begin"/>
      </w:r>
      <w:r w:rsidR="00F229A9">
        <w:rPr>
          <w:color w:val="000000" w:themeColor="text1"/>
          <w:lang w:val="en-US"/>
        </w:rPr>
        <w:instrText xml:space="preserve"> ADDIN ZOTERO_ITEM CSL_CITATION {"citationID":"iT9JUrX0","properties":{"formattedCitation":"\\super 6\\nosupersub{}","plainCitation":"6","noteIndex":0},"citationItems":[{"id":2432,"uris":["http://zotero.org/users/4681074/items/ZJZGIAUS"],"itemData":{"id":2432,"type":"article-journal","abstract":"Since 2009, numerous tools have been developed to detect structural variants using short read technologies. Insertions &gt;50 bp are one of the hardest type to discover and are drastically underrepresented in gold standard variant callsets. The advent of long read technologies has completely changed the situation. In 2019, two independent cross technologies studies have published the most complete variant callsets with sequence resolved insertions in human individuals. Among the reported insertions, only 17 to 28% could be discovered with short-read based tools.","container-title":"BMC Genomics","DOI":"10.1186/s12864-020-07125-5","ISSN":"1471-2164","issue":"1","journalAbbreviation":"BMC Genomics","language":"en","page":"762","source":"Springer Link","title":"Towards a better understanding of the low recall of insertion variants with short-read based variant callers","volume":"21","author":[{"family":"Delage","given":"Wesley J."},{"family":"Thevenon","given":"Julien"},{"family":"Lemaitre","given":"Claire"}],"issued":{"date-parts":[["2020",11,4]]}}}],"schema":"https://github.com/citation-style-language/schema/raw/master/csl-citation.json"} </w:instrText>
      </w:r>
      <w:r>
        <w:rPr>
          <w:color w:val="000000" w:themeColor="text1"/>
          <w:lang w:val="en-US"/>
        </w:rPr>
        <w:fldChar w:fldCharType="separate"/>
      </w:r>
      <w:r w:rsidR="00F229A9" w:rsidRPr="00F229A9">
        <w:rPr>
          <w:color w:val="000000"/>
          <w:vertAlign w:val="superscript"/>
          <w:lang w:val="en-GB"/>
        </w:rPr>
        <w:t>6</w:t>
      </w:r>
      <w:r>
        <w:rPr>
          <w:color w:val="000000" w:themeColor="text1"/>
          <w:lang w:val="en-US"/>
        </w:rPr>
        <w:fldChar w:fldCharType="end"/>
      </w:r>
      <w:r w:rsidRPr="00D77B57">
        <w:rPr>
          <w:color w:val="000000" w:themeColor="text1"/>
          <w:lang w:val="en-US"/>
        </w:rPr>
        <w:t>.</w:t>
      </w:r>
    </w:p>
    <w:p w14:paraId="2DBAA123" w14:textId="77777777" w:rsidR="00D73BDF" w:rsidRDefault="00D73BDF" w:rsidP="00D73BDF">
      <w:pPr>
        <w:spacing w:afterLines="60" w:after="144" w:line="240" w:lineRule="auto"/>
        <w:rPr>
          <w:color w:val="000000" w:themeColor="text1"/>
          <w:lang w:val="en-US"/>
        </w:rPr>
      </w:pPr>
    </w:p>
    <w:p w14:paraId="6BC4963A" w14:textId="77777777" w:rsidR="00D73BDF" w:rsidRPr="00D77B57" w:rsidRDefault="00D73BDF" w:rsidP="00D73BDF">
      <w:pPr>
        <w:spacing w:afterLines="60" w:after="144" w:line="240" w:lineRule="auto"/>
        <w:rPr>
          <w:color w:val="000000" w:themeColor="text1"/>
          <w:lang w:val="en-US"/>
        </w:rPr>
      </w:pPr>
      <w:r w:rsidRPr="00D77B57">
        <w:rPr>
          <w:noProof/>
          <w:color w:val="000000" w:themeColor="text1"/>
          <w:lang w:val="en-US"/>
        </w:rPr>
        <w:lastRenderedPageBreak/>
        <w:drawing>
          <wp:inline distT="0" distB="0" distL="0" distR="0" wp14:anchorId="1CABDC96" wp14:editId="4FFAC20B">
            <wp:extent cx="4936660" cy="6611257"/>
            <wp:effectExtent l="0" t="0" r="3810" b="5715"/>
            <wp:docPr id="1006139680" name="Picture 2" descr="A screenshot of a computer generated im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139680" name="Picture 2" descr="A screenshot of a computer generated image&#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936660" cy="6611257"/>
                    </a:xfrm>
                    <a:prstGeom prst="rect">
                      <a:avLst/>
                    </a:prstGeom>
                  </pic:spPr>
                </pic:pic>
              </a:graphicData>
            </a:graphic>
          </wp:inline>
        </w:drawing>
      </w:r>
    </w:p>
    <w:p w14:paraId="6FC41917" w14:textId="1CDA9111" w:rsidR="00D73BDF" w:rsidRPr="00D77B57" w:rsidRDefault="009304A1" w:rsidP="00D73BDF">
      <w:pPr>
        <w:spacing w:afterLines="60" w:after="144" w:line="240" w:lineRule="auto"/>
        <w:rPr>
          <w:color w:val="000000" w:themeColor="text1"/>
          <w:lang w:val="en-US"/>
        </w:rPr>
      </w:pPr>
      <w:r>
        <w:rPr>
          <w:b/>
          <w:bCs/>
          <w:color w:val="000000" w:themeColor="text1"/>
          <w:lang w:val="en-US"/>
        </w:rPr>
        <w:t>Fig. S16</w:t>
      </w:r>
      <w:r w:rsidR="00D73BDF" w:rsidRPr="00D77B57">
        <w:rPr>
          <w:b/>
          <w:bCs/>
          <w:color w:val="000000" w:themeColor="text1"/>
          <w:lang w:val="en-US"/>
        </w:rPr>
        <w:t xml:space="preserve"> | Disruption of short-read alignments in the presence of structural variants. </w:t>
      </w:r>
      <w:r w:rsidR="00D73BDF" w:rsidRPr="00D77B57">
        <w:rPr>
          <w:color w:val="000000" w:themeColor="text1"/>
          <w:lang w:val="en-US"/>
        </w:rPr>
        <w:t>Examples include a deletion (</w:t>
      </w:r>
      <w:r w:rsidR="00D73BDF" w:rsidRPr="00D77B57">
        <w:rPr>
          <w:b/>
          <w:bCs/>
          <w:color w:val="000000" w:themeColor="text1"/>
          <w:lang w:val="en-US"/>
        </w:rPr>
        <w:t>a</w:t>
      </w:r>
      <w:r w:rsidR="00D73BDF" w:rsidRPr="00D77B57">
        <w:rPr>
          <w:color w:val="000000" w:themeColor="text1"/>
          <w:lang w:val="en-US"/>
        </w:rPr>
        <w:t>), an insertion (</w:t>
      </w:r>
      <w:r w:rsidR="00D73BDF" w:rsidRPr="00D77B57">
        <w:rPr>
          <w:b/>
          <w:bCs/>
          <w:color w:val="000000" w:themeColor="text1"/>
          <w:lang w:val="en-US"/>
        </w:rPr>
        <w:t>b</w:t>
      </w:r>
      <w:r w:rsidR="00D73BDF" w:rsidRPr="00D77B57">
        <w:rPr>
          <w:color w:val="000000" w:themeColor="text1"/>
          <w:lang w:val="en-US"/>
        </w:rPr>
        <w:t>) and a duplication (</w:t>
      </w:r>
      <w:r w:rsidR="00D73BDF" w:rsidRPr="00D77B57">
        <w:rPr>
          <w:b/>
          <w:bCs/>
          <w:color w:val="000000" w:themeColor="text1"/>
          <w:lang w:val="en-US"/>
        </w:rPr>
        <w:t>c</w:t>
      </w:r>
      <w:r w:rsidR="00D73BDF" w:rsidRPr="00D77B57">
        <w:rPr>
          <w:color w:val="000000" w:themeColor="text1"/>
          <w:lang w:val="en-US"/>
        </w:rPr>
        <w:t>).</w:t>
      </w:r>
    </w:p>
    <w:p w14:paraId="51038875" w14:textId="77777777" w:rsidR="00D73BDF" w:rsidRDefault="00D73BDF" w:rsidP="00D73BDF">
      <w:pPr>
        <w:spacing w:afterLines="60" w:after="144" w:line="240" w:lineRule="auto"/>
        <w:rPr>
          <w:color w:val="000000" w:themeColor="text1"/>
          <w:lang w:val="en-US"/>
        </w:rPr>
      </w:pPr>
    </w:p>
    <w:p w14:paraId="0F96C926" w14:textId="66119B94" w:rsidR="00D73BDF" w:rsidRDefault="00D73BDF" w:rsidP="00D73BDF">
      <w:pPr>
        <w:spacing w:afterLines="60" w:after="144" w:line="240" w:lineRule="auto"/>
        <w:rPr>
          <w:color w:val="000000" w:themeColor="text1"/>
          <w:lang w:val="en-US"/>
        </w:rPr>
      </w:pPr>
      <w:r w:rsidRPr="00D77B57">
        <w:rPr>
          <w:color w:val="000000" w:themeColor="text1"/>
          <w:lang w:val="en-US"/>
        </w:rPr>
        <w:t>Long-reads alignments on the reference genome allowed to further validate the type and length of variant detected. Visual inspection of ONT reads mapping confirmed 441 out of 500 SVs (88.2%). Validation was considered as read alignment disruption for long and complex SVs such as inversions and translocations, or within-read insertion or deletion for other SVs (</w:t>
      </w:r>
      <w:r w:rsidR="009304A1">
        <w:rPr>
          <w:color w:val="000000" w:themeColor="text1"/>
          <w:lang w:val="en-US"/>
        </w:rPr>
        <w:t>Fig. S17</w:t>
      </w:r>
      <w:r w:rsidRPr="00D77B57">
        <w:rPr>
          <w:color w:val="000000" w:themeColor="text1"/>
          <w:lang w:val="en-US"/>
        </w:rPr>
        <w:t>). Unconfirmed cases were significantly enriched near chromosome ends (within 1 kb of termini; Fisher’s exact test, P = 0.039), likely due to increased sequence complexity and reduced mapping accuracy in these regions. A total of 9 out of 25 translocations were not confirmed by long read mapping, often because of read discrepancies: most of the unconfirmed translocation cases exhibit a few reads confirming the translocation, while many does not, resulting in difficult SV validation for these types of SVs.</w:t>
      </w:r>
    </w:p>
    <w:p w14:paraId="26AF65B6" w14:textId="77777777" w:rsidR="00D73BDF" w:rsidRPr="00D77B57" w:rsidRDefault="00D73BDF" w:rsidP="00D73BDF">
      <w:pPr>
        <w:spacing w:afterLines="60" w:after="144" w:line="240" w:lineRule="auto"/>
        <w:rPr>
          <w:color w:val="000000" w:themeColor="text1"/>
          <w:lang w:val="en-US"/>
        </w:rPr>
      </w:pPr>
      <w:r w:rsidRPr="00D77B57">
        <w:rPr>
          <w:noProof/>
          <w:color w:val="000000" w:themeColor="text1"/>
          <w:lang w:val="en-US"/>
        </w:rPr>
        <w:lastRenderedPageBreak/>
        <w:drawing>
          <wp:inline distT="0" distB="0" distL="0" distR="0" wp14:anchorId="393F428A" wp14:editId="559F874B">
            <wp:extent cx="5315240" cy="7118252"/>
            <wp:effectExtent l="0" t="0" r="5080" b="5715"/>
            <wp:docPr id="1874653203" name="Picture 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4653203" name="Picture 2" descr="A screenshot of a computer&#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315240" cy="7118252"/>
                    </a:xfrm>
                    <a:prstGeom prst="rect">
                      <a:avLst/>
                    </a:prstGeom>
                  </pic:spPr>
                </pic:pic>
              </a:graphicData>
            </a:graphic>
          </wp:inline>
        </w:drawing>
      </w:r>
    </w:p>
    <w:p w14:paraId="31DDC5B8" w14:textId="77EEC781" w:rsidR="00D73BDF" w:rsidRDefault="009304A1" w:rsidP="00D73BDF">
      <w:pPr>
        <w:spacing w:afterLines="60" w:after="144" w:line="240" w:lineRule="auto"/>
        <w:rPr>
          <w:color w:val="000000" w:themeColor="text1"/>
          <w:lang w:val="en-US"/>
        </w:rPr>
      </w:pPr>
      <w:r>
        <w:rPr>
          <w:b/>
          <w:bCs/>
          <w:color w:val="000000" w:themeColor="text1"/>
          <w:lang w:val="en-US"/>
        </w:rPr>
        <w:t>Fig. S17</w:t>
      </w:r>
      <w:r w:rsidR="00D73BDF" w:rsidRPr="00D77B57">
        <w:rPr>
          <w:b/>
          <w:bCs/>
          <w:color w:val="000000" w:themeColor="text1"/>
          <w:lang w:val="en-US"/>
        </w:rPr>
        <w:t xml:space="preserve"> | Validation of SVs using long-read alignments. </w:t>
      </w:r>
      <w:r w:rsidR="00D73BDF" w:rsidRPr="00D77B57">
        <w:rPr>
          <w:color w:val="000000" w:themeColor="text1"/>
          <w:lang w:val="en-US"/>
        </w:rPr>
        <w:t>Examples include a deletion (</w:t>
      </w:r>
      <w:r w:rsidR="00D73BDF" w:rsidRPr="00D77B57">
        <w:rPr>
          <w:b/>
          <w:bCs/>
          <w:color w:val="000000" w:themeColor="text1"/>
          <w:lang w:val="en-US"/>
        </w:rPr>
        <w:t>a</w:t>
      </w:r>
      <w:r w:rsidR="00D73BDF" w:rsidRPr="00D77B57">
        <w:rPr>
          <w:color w:val="000000" w:themeColor="text1"/>
          <w:lang w:val="en-US"/>
        </w:rPr>
        <w:t>), an insertion (</w:t>
      </w:r>
      <w:r w:rsidR="00D73BDF" w:rsidRPr="00D77B57">
        <w:rPr>
          <w:b/>
          <w:bCs/>
          <w:color w:val="000000" w:themeColor="text1"/>
          <w:lang w:val="en-US"/>
        </w:rPr>
        <w:t>b</w:t>
      </w:r>
      <w:r w:rsidR="00D73BDF" w:rsidRPr="00D77B57">
        <w:rPr>
          <w:color w:val="000000" w:themeColor="text1"/>
          <w:lang w:val="en-US"/>
        </w:rPr>
        <w:t>) and a duplication (</w:t>
      </w:r>
      <w:r w:rsidR="00D73BDF" w:rsidRPr="00D77B57">
        <w:rPr>
          <w:b/>
          <w:bCs/>
          <w:color w:val="000000" w:themeColor="text1"/>
          <w:lang w:val="en-US"/>
        </w:rPr>
        <w:t>c</w:t>
      </w:r>
      <w:r w:rsidR="00D73BDF" w:rsidRPr="00D77B57">
        <w:rPr>
          <w:color w:val="000000" w:themeColor="text1"/>
          <w:lang w:val="en-US"/>
        </w:rPr>
        <w:t>).</w:t>
      </w:r>
    </w:p>
    <w:p w14:paraId="23F6EC14" w14:textId="77777777" w:rsidR="00D73BDF" w:rsidRPr="00D77B57" w:rsidRDefault="00D73BDF" w:rsidP="00D73BDF">
      <w:pPr>
        <w:spacing w:afterLines="60" w:after="144" w:line="240" w:lineRule="auto"/>
        <w:rPr>
          <w:color w:val="000000" w:themeColor="text1"/>
          <w:lang w:val="en-US"/>
        </w:rPr>
      </w:pPr>
    </w:p>
    <w:p w14:paraId="52CB72A3" w14:textId="77777777" w:rsidR="00D73BDF" w:rsidRPr="00D77B57" w:rsidRDefault="00D73BDF" w:rsidP="00D73BDF">
      <w:pPr>
        <w:spacing w:afterLines="60" w:after="144" w:line="240" w:lineRule="auto"/>
        <w:rPr>
          <w:color w:val="000000" w:themeColor="text1"/>
        </w:rPr>
      </w:pPr>
      <w:r w:rsidRPr="00D77B57">
        <w:rPr>
          <w:color w:val="000000" w:themeColor="text1"/>
          <w:lang w:val="en-US"/>
        </w:rPr>
        <w:t xml:space="preserve">Together, this </w:t>
      </w:r>
      <w:r>
        <w:rPr>
          <w:color w:val="000000" w:themeColor="text1"/>
          <w:lang w:val="en-US"/>
        </w:rPr>
        <w:t>systematic</w:t>
      </w:r>
      <w:r w:rsidRPr="00D77B57">
        <w:rPr>
          <w:color w:val="000000" w:themeColor="text1"/>
          <w:lang w:val="en-US"/>
        </w:rPr>
        <w:t xml:space="preserve"> inspection of sequencing reads supports the presence of the majority </w:t>
      </w:r>
      <w:r>
        <w:rPr>
          <w:color w:val="000000" w:themeColor="text1"/>
          <w:lang w:val="en-US"/>
        </w:rPr>
        <w:t>(</w:t>
      </w:r>
      <w:r w:rsidRPr="00D77B57">
        <w:rPr>
          <w:color w:val="000000" w:themeColor="text1"/>
          <w:lang w:val="en-US"/>
        </w:rPr>
        <w:t>94.8%</w:t>
      </w:r>
      <w:r>
        <w:rPr>
          <w:color w:val="000000" w:themeColor="text1"/>
          <w:lang w:val="en-US"/>
        </w:rPr>
        <w:t xml:space="preserve">) </w:t>
      </w:r>
      <w:r w:rsidRPr="00D77B57">
        <w:rPr>
          <w:color w:val="000000" w:themeColor="text1"/>
          <w:lang w:val="en-US"/>
        </w:rPr>
        <w:t>of SVs in the selected cases.</w:t>
      </w:r>
    </w:p>
    <w:p w14:paraId="61F9B9F8" w14:textId="77777777" w:rsidR="00D73BDF" w:rsidRPr="00D77B57" w:rsidRDefault="00D73BDF" w:rsidP="00D73BDF">
      <w:pPr>
        <w:spacing w:afterLines="60" w:after="144" w:line="240" w:lineRule="auto"/>
        <w:jc w:val="left"/>
      </w:pPr>
      <w:r>
        <w:br w:type="page"/>
      </w:r>
    </w:p>
    <w:p w14:paraId="3CC51FDB" w14:textId="1A6BB3A7" w:rsidR="00D73BDF" w:rsidRPr="00BB7DAD" w:rsidRDefault="00D73BDF" w:rsidP="00BB7DAD">
      <w:pPr>
        <w:pStyle w:val="Heading3"/>
        <w:rPr>
          <w:sz w:val="24"/>
          <w:szCs w:val="24"/>
        </w:rPr>
      </w:pPr>
      <w:bookmarkStart w:id="6" w:name="_Toc207031027"/>
      <w:r w:rsidRPr="00BB7DAD">
        <w:rPr>
          <w:sz w:val="24"/>
          <w:szCs w:val="24"/>
        </w:rPr>
        <w:lastRenderedPageBreak/>
        <w:t>Supplementary note 4 - Graph pangenome analysis</w:t>
      </w:r>
      <w:bookmarkEnd w:id="6"/>
    </w:p>
    <w:p w14:paraId="20EE9A0A" w14:textId="30D7CC3C" w:rsidR="00D73BDF" w:rsidRDefault="00D73BDF" w:rsidP="00BB7DAD">
      <w:pPr>
        <w:pStyle w:val="Heading4"/>
      </w:pPr>
      <w:r>
        <w:t>Description of the graph pangenome</w:t>
      </w:r>
    </w:p>
    <w:p w14:paraId="7C9840D4" w14:textId="2D840CED" w:rsidR="00D73BDF" w:rsidRDefault="00D73BDF" w:rsidP="00D73BDF">
      <w:pPr>
        <w:spacing w:afterLines="60" w:after="144" w:line="240" w:lineRule="auto"/>
      </w:pPr>
      <w:r w:rsidRPr="000E2686">
        <w:t xml:space="preserve">We used 500 haplotypes selected to maximize the structural diversity to build a graph pangenome. Two graphs were built using </w:t>
      </w:r>
      <w:r>
        <w:t>(</w:t>
      </w:r>
      <w:proofErr w:type="spellStart"/>
      <w:r>
        <w:t>i</w:t>
      </w:r>
      <w:proofErr w:type="spellEnd"/>
      <w:r>
        <w:t xml:space="preserve">) </w:t>
      </w:r>
      <w:proofErr w:type="spellStart"/>
      <w:r w:rsidRPr="000E2686">
        <w:t>Minigraph</w:t>
      </w:r>
      <w:proofErr w:type="spellEnd"/>
      <w:r>
        <w:fldChar w:fldCharType="begin"/>
      </w:r>
      <w:r w:rsidR="00F229A9">
        <w:instrText xml:space="preserve"> ADDIN ZOTERO_ITEM CSL_CITATION {"citationID":"lseiYeU0","properties":{"formattedCitation":"\\super 7\\nosupersub{}","plainCitation":"7","noteIndex":0},"citationItems":[{"id":786,"uris":["http://zotero.org/users/4681074/items/584FSK9I"],"itemData":{"id":786,"type":"article-journal","abstract":"The recent advances in sequencing technologies enable the assembly of individual genomes to the quality of the reference genome. How to integrate multiple genomes from the same species and make the integrated representation accessible to biologists remains an open challenge. Here, we propose a graph-based data model and associated formats to represent multiple genomes while preserving the coordinate of the linear reference genome. We implement our ideas in the minigraph toolkit and demonstrate that we can efficiently construct a pangenome graph and compactly encode tens of thousands of structural variants missing from the current reference genome.","container-title":"Genome Biology","DOI":"10.1186/s13059-020-02168-z","ISSN":"1474-760X","issue":"1","journalAbbreviation":"Genome Biology","page":"265","source":"BioMed Central","title":"The design and construction of reference pangenome graphs with minigraph","volume":"21","author":[{"family":"Li","given":"Heng"},{"family":"Feng","given":"Xiaowen"},{"family":"Chu","given":"Chong"}],"issued":{"date-parts":[["2020",10,16]]}}}],"schema":"https://github.com/citation-style-language/schema/raw/master/csl-citation.json"} </w:instrText>
      </w:r>
      <w:r>
        <w:fldChar w:fldCharType="separate"/>
      </w:r>
      <w:r w:rsidR="00F229A9" w:rsidRPr="00F229A9">
        <w:rPr>
          <w:vertAlign w:val="superscript"/>
          <w:lang w:val="en-GB"/>
        </w:rPr>
        <w:t>7</w:t>
      </w:r>
      <w:r>
        <w:fldChar w:fldCharType="end"/>
      </w:r>
      <w:r>
        <w:t>,</w:t>
      </w:r>
      <w:r w:rsidRPr="000E2686">
        <w:t xml:space="preserve"> </w:t>
      </w:r>
      <w:r>
        <w:t xml:space="preserve">which </w:t>
      </w:r>
      <w:r w:rsidRPr="000E2686">
        <w:t>captur</w:t>
      </w:r>
      <w:r>
        <w:t>es</w:t>
      </w:r>
      <w:r w:rsidRPr="000E2686">
        <w:t xml:space="preserve"> only SV</w:t>
      </w:r>
      <w:r>
        <w:t>s</w:t>
      </w:r>
      <w:r w:rsidRPr="000E2686">
        <w:t xml:space="preserve"> and</w:t>
      </w:r>
      <w:r>
        <w:t xml:space="preserve"> (ii)</w:t>
      </w:r>
      <w:r w:rsidRPr="000E2686">
        <w:t xml:space="preserve"> </w:t>
      </w:r>
      <w:proofErr w:type="spellStart"/>
      <w:r w:rsidRPr="000E2686">
        <w:t>Minigraph</w:t>
      </w:r>
      <w:proofErr w:type="spellEnd"/>
      <w:r w:rsidRPr="000E2686">
        <w:t>-Cactus (</w:t>
      </w:r>
      <w:r>
        <w:t>MC)</w:t>
      </w:r>
      <w:r>
        <w:fldChar w:fldCharType="begin"/>
      </w:r>
      <w:r w:rsidR="00F229A9">
        <w:instrText xml:space="preserve"> ADDIN ZOTERO_ITEM CSL_CITATION {"citationID":"3g9wmew1","properties":{"formattedCitation":"\\super 8\\nosupersub{}","plainCitation":"8","noteIndex":0},"citationItems":[{"id":788,"uris":["http://zotero.org/users/4681074/items/J873HDRX"],"itemData":{"id":788,"type":"article-journal","abstract":"Pangenome references address biases of reference genomes by storing a representative set of diverse haplotypes and their alignment, usually as a graph. Alternate alleles determined by variant callers can be used to construct pangenome graphs, but advances in long-read sequencing are leading to widely available, high-quality phased assemblies. Constructing a pangenome graph directly from assemblies, as opposed to variant calls, leverages the graph’s ability to represent variation at different scales. Here we present the Minigraph-Cactus pangenome pipeline, which creates pangenomes directly from whole-genome alignments, and demonstrate its ability to scale to 90 human haplotypes from the Human Pangenome Reference Consortium. The method builds graphs containing all forms of genetic variation while allowing use of current mapping and genotyping tools. We measure the effect of the quality and completeness of reference genomes used for analysis within the pangenomes and show that using the CHM13 reference from the Telomere-to-Telomere Consortium improves the accuracy of our methods. We also demonstrate construction of a Drosophila melanogaster pangenome.","container-title":"Nature Biotechnology","DOI":"10.1038/s41587-023-01793-w","ISSN":"1546-1696","issue":"4","journalAbbreviation":"Nat Biotechnol","language":"en","license":"2023 The Author(s), under exclusive licence to Springer Nature America, Inc.","note":"publisher: Nature Publishing Group","page":"663-673","source":"www.nature.com","title":"Pangenome graph construction from genome alignments with Minigraph-Cactus","volume":"42","author":[{"family":"Hickey","given":"Glenn"},{"family":"Monlong","given":"Jean"},{"family":"Ebler","given":"Jana"},{"family":"Novak","given":"Adam M."},{"family":"Eizenga","given":"Jordan M."},{"family":"Gao","given":"Yan"},{"family":"Marschall","given":"Tobias"},{"family":"Li","given":"Heng"},{"family":"Paten","given":"Benedict"}],"issued":{"date-parts":[["2024",4]]}}}],"schema":"https://github.com/citation-style-language/schema/raw/master/csl-citation.json"} </w:instrText>
      </w:r>
      <w:r>
        <w:fldChar w:fldCharType="separate"/>
      </w:r>
      <w:r w:rsidR="00F229A9" w:rsidRPr="00F229A9">
        <w:rPr>
          <w:vertAlign w:val="superscript"/>
          <w:lang w:val="en-GB"/>
        </w:rPr>
        <w:t>8</w:t>
      </w:r>
      <w:r>
        <w:fldChar w:fldCharType="end"/>
      </w:r>
      <w:r>
        <w:t xml:space="preserve">, which </w:t>
      </w:r>
      <w:r w:rsidRPr="000E2686">
        <w:t>includ</w:t>
      </w:r>
      <w:r>
        <w:t>es</w:t>
      </w:r>
      <w:r w:rsidRPr="000E2686">
        <w:t xml:space="preserve"> SNPs, InDels and SVs</w:t>
      </w:r>
      <w:r>
        <w:t>, but results</w:t>
      </w:r>
      <w:r w:rsidRPr="000E2686">
        <w:t xml:space="preserve"> in </w:t>
      </w:r>
      <w:r>
        <w:t xml:space="preserve">a </w:t>
      </w:r>
      <w:r w:rsidRPr="000E2686">
        <w:t>graph</w:t>
      </w:r>
      <w:r>
        <w:t xml:space="preserve"> of much higher complexity</w:t>
      </w:r>
      <w:r w:rsidRPr="000E2686">
        <w:t>. Although the size of the graphs differ</w:t>
      </w:r>
      <w:r>
        <w:t>s</w:t>
      </w:r>
      <w:r w:rsidRPr="000E2686">
        <w:t xml:space="preserve">, they are both much larger than the linear </w:t>
      </w:r>
      <w:r w:rsidRPr="00552C12">
        <w:t xml:space="preserve">reference (Table S13). The main reason for this increase in size is the large redundancy present in the graph, caused by non-collapsed CNVs. Out of 34,319 segments larger than 100 bp in the </w:t>
      </w:r>
      <w:proofErr w:type="spellStart"/>
      <w:r w:rsidRPr="00552C12">
        <w:t>Minigraph</w:t>
      </w:r>
      <w:proofErr w:type="spellEnd"/>
      <w:r w:rsidRPr="00552C12">
        <w:t xml:space="preserve"> pangenome</w:t>
      </w:r>
      <w:r>
        <w:t xml:space="preserve"> (for a cumulative length of 47,416,522 bp)</w:t>
      </w:r>
      <w:r w:rsidRPr="000E2686">
        <w:t>,</w:t>
      </w:r>
      <w:r>
        <w:t xml:space="preserve"> 19,276 segments (cumulative length of 41,783,718 bp)</w:t>
      </w:r>
      <w:r w:rsidRPr="000E2686">
        <w:t xml:space="preserve"> align back to the reference genome. </w:t>
      </w:r>
      <w:r>
        <w:t>Some regions of the linear reference are present more than a hundred times in the graph, mostly corresponding to Ty elements or long terminal repeats (LTR) (</w:t>
      </w:r>
      <w:r w:rsidR="009304A1">
        <w:t>Fig. S18</w:t>
      </w:r>
      <w:r>
        <w:t xml:space="preserve">). </w:t>
      </w:r>
      <w:r w:rsidRPr="000E2686">
        <w:t xml:space="preserve">We used the </w:t>
      </w:r>
      <w:proofErr w:type="spellStart"/>
      <w:r w:rsidRPr="000E2686">
        <w:t>Min</w:t>
      </w:r>
      <w:r>
        <w:t>i</w:t>
      </w:r>
      <w:r w:rsidRPr="000E2686">
        <w:t>graph</w:t>
      </w:r>
      <w:proofErr w:type="spellEnd"/>
      <w:r w:rsidRPr="000E2686">
        <w:t xml:space="preserve"> pangenome to quantify the non-redundant length of the graph and identify non-reference sequences. </w:t>
      </w:r>
      <w:r>
        <w:t xml:space="preserve">The graph displays a total non-redundant length of 11.9 Mb, of which </w:t>
      </w:r>
      <w:r w:rsidRPr="000E2686">
        <w:t>2.5 Mb</w:t>
      </w:r>
      <w:r>
        <w:t xml:space="preserve"> are not present in the linear reference. A total of </w:t>
      </w:r>
      <w:r w:rsidRPr="000E2686">
        <w:t>267 kb w</w:t>
      </w:r>
      <w:r>
        <w:t>as</w:t>
      </w:r>
      <w:r w:rsidRPr="000E2686">
        <w:t xml:space="preserve"> subsequently identified as </w:t>
      </w:r>
      <w:proofErr w:type="spellStart"/>
      <w:r w:rsidRPr="000E2686">
        <w:t>introgressed</w:t>
      </w:r>
      <w:proofErr w:type="spellEnd"/>
      <w:r w:rsidRPr="000E2686">
        <w:t xml:space="preserve"> sequences. </w:t>
      </w:r>
    </w:p>
    <w:p w14:paraId="77FC04FD" w14:textId="77777777" w:rsidR="00D73BDF" w:rsidRDefault="00D73BDF" w:rsidP="00D73BDF">
      <w:pPr>
        <w:spacing w:afterLines="60" w:after="144" w:line="240" w:lineRule="auto"/>
      </w:pPr>
    </w:p>
    <w:tbl>
      <w:tblPr>
        <w:tblStyle w:val="TableGrid"/>
        <w:tblW w:w="907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left w:w="57" w:type="dxa"/>
          <w:bottom w:w="57" w:type="dxa"/>
          <w:right w:w="57" w:type="dxa"/>
        </w:tblCellMar>
        <w:tblLook w:val="04A0" w:firstRow="1" w:lastRow="0" w:firstColumn="1" w:lastColumn="0" w:noHBand="0" w:noVBand="1"/>
      </w:tblPr>
      <w:tblGrid>
        <w:gridCol w:w="9121"/>
      </w:tblGrid>
      <w:tr w:rsidR="00D73BDF" w14:paraId="4C83C03F" w14:textId="77777777" w:rsidTr="00B20E3E">
        <w:trPr>
          <w:trHeight w:val="4640"/>
          <w:jc w:val="center"/>
        </w:trPr>
        <w:tc>
          <w:tcPr>
            <w:tcW w:w="9071" w:type="dxa"/>
          </w:tcPr>
          <w:p w14:paraId="1A586768" w14:textId="77777777" w:rsidR="00D73BDF" w:rsidRDefault="00D73BDF" w:rsidP="000536E1">
            <w:pPr>
              <w:spacing w:afterLines="60" w:after="144"/>
              <w:jc w:val="center"/>
            </w:pPr>
            <w:r>
              <w:rPr>
                <w:noProof/>
              </w:rPr>
              <w:drawing>
                <wp:inline distT="0" distB="0" distL="0" distR="0" wp14:anchorId="55CBF3BF" wp14:editId="44462D3D">
                  <wp:extent cx="5719864" cy="2983301"/>
                  <wp:effectExtent l="0" t="0" r="0" b="1270"/>
                  <wp:docPr id="1729749368" name="Graphic 9" descr="A graph of a number of chromosom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9749368" name="Graphic 9" descr="A graph of a number of chromosome&#10;&#10;Description automatically generated with medium confidenc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744563" cy="2996183"/>
                          </a:xfrm>
                          <a:prstGeom prst="rect">
                            <a:avLst/>
                          </a:prstGeom>
                        </pic:spPr>
                      </pic:pic>
                    </a:graphicData>
                  </a:graphic>
                </wp:inline>
              </w:drawing>
            </w:r>
          </w:p>
        </w:tc>
      </w:tr>
      <w:tr w:rsidR="00D73BDF" w:rsidRPr="00044796" w14:paraId="5891FD33" w14:textId="77777777" w:rsidTr="00B20E3E">
        <w:trPr>
          <w:trHeight w:val="607"/>
          <w:jc w:val="center"/>
        </w:trPr>
        <w:tc>
          <w:tcPr>
            <w:tcW w:w="9071" w:type="dxa"/>
          </w:tcPr>
          <w:p w14:paraId="757304F4" w14:textId="54FAB64D" w:rsidR="00D73BDF" w:rsidRPr="00044796" w:rsidRDefault="009304A1" w:rsidP="000536E1">
            <w:pPr>
              <w:spacing w:afterLines="60" w:after="144"/>
            </w:pPr>
            <w:r>
              <w:rPr>
                <w:b/>
                <w:bCs/>
              </w:rPr>
              <w:t>Fig. S18</w:t>
            </w:r>
            <w:r w:rsidR="00D73BDF" w:rsidRPr="00C933D8">
              <w:rPr>
                <w:b/>
                <w:bCs/>
              </w:rPr>
              <w:t xml:space="preserve"> | </w:t>
            </w:r>
            <w:r w:rsidR="00D73BDF">
              <w:rPr>
                <w:b/>
                <w:bCs/>
              </w:rPr>
              <w:t xml:space="preserve">Number of occurrences of linear reference segments in the </w:t>
            </w:r>
            <w:proofErr w:type="spellStart"/>
            <w:r w:rsidR="00D73BDF">
              <w:rPr>
                <w:b/>
                <w:bCs/>
              </w:rPr>
              <w:t>Minigraph</w:t>
            </w:r>
            <w:proofErr w:type="spellEnd"/>
            <w:r w:rsidR="00D73BDF">
              <w:rPr>
                <w:b/>
                <w:bCs/>
              </w:rPr>
              <w:t xml:space="preserve"> pangenome. </w:t>
            </w:r>
            <w:r w:rsidR="00D73BDF" w:rsidRPr="00F100D5">
              <w:t xml:space="preserve">The pangenome </w:t>
            </w:r>
            <w:r w:rsidR="00D73BDF">
              <w:t xml:space="preserve">segments were mapped against the linear reference to identify regions highly redundant in the graph. </w:t>
            </w:r>
          </w:p>
        </w:tc>
      </w:tr>
    </w:tbl>
    <w:p w14:paraId="73AB7167" w14:textId="77777777" w:rsidR="00D73BDF" w:rsidRDefault="00D73BDF" w:rsidP="00D73BDF">
      <w:pPr>
        <w:spacing w:afterLines="60" w:after="144" w:line="240" w:lineRule="auto"/>
        <w:rPr>
          <w:b/>
          <w:bCs/>
        </w:rPr>
      </w:pPr>
    </w:p>
    <w:p w14:paraId="60B68907" w14:textId="61C2E6F9" w:rsidR="00D73BDF" w:rsidRDefault="00D73BDF" w:rsidP="00BB7DAD">
      <w:pPr>
        <w:pStyle w:val="Heading4"/>
      </w:pPr>
      <w:r w:rsidRPr="00D128C5">
        <w:t>Genotyping SVs in an extended population</w:t>
      </w:r>
    </w:p>
    <w:p w14:paraId="55B3AB9B" w14:textId="2E9D26F7" w:rsidR="00D73BDF" w:rsidRDefault="00D73BDF" w:rsidP="00D73BDF">
      <w:pPr>
        <w:spacing w:afterLines="60" w:after="144" w:line="240" w:lineRule="auto"/>
      </w:pPr>
      <w:r w:rsidRPr="000E2686">
        <w:t>We genotyped 2,874 isolates</w:t>
      </w:r>
      <w:r>
        <w:fldChar w:fldCharType="begin"/>
      </w:r>
      <w:r w:rsidR="00F229A9">
        <w:instrText xml:space="preserve"> ADDIN ZOTERO_ITEM CSL_CITATION {"citationID":"HdZIqTbK","properties":{"formattedCitation":"\\super 1\\nosupersub{}","plainCitation":"1","noteIndex":0},"citationItems":[{"id":2331,"uris":["http://zotero.org/users/4681074/items/PVZ9HFF2"],"itemData":{"id":2331,"type":"article-journal","abstract":"With the rise of high-throughput sequencing technologies, a holistic view of genetic variation within populations—through population genomics studies—appears feasible, although it remains an ongoing effort. Genetic variation arises from a diverse range of evolutionary forces, with mutation and recombination being key drivers in shaping genomes. Studying genetic variation within a population represents a crucial first step in understanding the relationship between genotype and phenotype and the evolutionary history of species. In this context, the budding yeast Saccharomyces cerevisiae has been at the forefront of population genomic studies. In addition, it has a complex history that involves adaptation to a wide range of wild and human-related ecological niches. Although to date more than 3,000 diverse isolates have been sequenced, there is currently a lack of a resource bringing together sequencing data and associated metadata for all sequenced isolates. To perform a comprehensive analysis of the population structure of S. cerevisiae, we collected genome sequencing data from 3,034 natural isolates and processed the data uniformly. We determined ploidy levels, identified single nucleotide polymorphisms (SNPs), small insertion–deletions (InDels), copy number variations (CNVs), and aneuploidies across the population, creating a publicly accessible resource for the yeast research community. Interestingly, we showed that this population captures </w:instrText>
      </w:r>
      <w:r w:rsidR="00F229A9">
        <w:rPr>
          <w:rFonts w:ascii="Cambria Math" w:hAnsi="Cambria Math" w:cs="Cambria Math"/>
        </w:rPr>
        <w:instrText>∼</w:instrText>
      </w:r>
      <w:r w:rsidR="00F229A9">
        <w:instrText xml:space="preserve">93% of the species diversity. Using neighbor-joining and Bayesian methods, we redefined the populations, revealing clustering patterns primarily based on ecological origin. This work represents a valuable resource for the community and efforts have been made to make it evolvable and integrable to future yeast population studies.","container-title":"G3 Genes|Genomes|Genetics","DOI":"10.1093/g3journal/jkae245","ISSN":"2160-1836","issue":"12","journalAbbreviation":"G3 Genes|Genomes|Genetics","page":"jkae245","source":"Silverchair","title":"Overview of the Saccharomyces cerevisiae population structure through the lens of 3,034 genomes","volume":"14","author":[{"family":"Loegler","given":"Victor"},{"family":"Friedrich","given":"Anne"},{"family":"Schacherer","given":"Joseph"}],"issued":{"date-parts":[["2024",12,1]]}}}],"schema":"https://github.com/citation-style-language/schema/raw/master/csl-citation.json"} </w:instrText>
      </w:r>
      <w:r>
        <w:fldChar w:fldCharType="separate"/>
      </w:r>
      <w:r w:rsidR="00F229A9" w:rsidRPr="00F229A9">
        <w:rPr>
          <w:vertAlign w:val="superscript"/>
          <w:lang w:val="en-GB"/>
        </w:rPr>
        <w:t>1</w:t>
      </w:r>
      <w:r>
        <w:fldChar w:fldCharType="end"/>
      </w:r>
      <w:r w:rsidRPr="000E2686">
        <w:t xml:space="preserve"> using the MC pangenome to characterize SVs in a larger population. The increased population was genotyped for </w:t>
      </w:r>
      <w:r>
        <w:t>2</w:t>
      </w:r>
      <w:r w:rsidRPr="000E2686">
        <w:t>,</w:t>
      </w:r>
      <w:r>
        <w:t>081</w:t>
      </w:r>
      <w:r w:rsidRPr="000E2686">
        <w:t>,</w:t>
      </w:r>
      <w:r>
        <w:t>695</w:t>
      </w:r>
      <w:r w:rsidRPr="000E2686">
        <w:t xml:space="preserve"> </w:t>
      </w:r>
      <w:r>
        <w:t>snarls, corresponding to bubbles along the graph. These</w:t>
      </w:r>
      <w:r w:rsidRPr="000E2686">
        <w:t xml:space="preserve"> </w:t>
      </w:r>
      <w:r>
        <w:t xml:space="preserve">contain alleles for </w:t>
      </w:r>
      <w:r w:rsidRPr="00E87D37">
        <w:t>2</w:t>
      </w:r>
      <w:r>
        <w:t>,</w:t>
      </w:r>
      <w:r w:rsidRPr="00E87D37">
        <w:t>190</w:t>
      </w:r>
      <w:r>
        <w:t>,</w:t>
      </w:r>
      <w:r w:rsidRPr="00E87D37">
        <w:t>642</w:t>
      </w:r>
      <w:r w:rsidRPr="000E2686">
        <w:t xml:space="preserve"> SNPs, </w:t>
      </w:r>
      <w:r w:rsidRPr="00E87D37">
        <w:t>293</w:t>
      </w:r>
      <w:r>
        <w:t>,</w:t>
      </w:r>
      <w:r w:rsidRPr="00E87D37">
        <w:t>367</w:t>
      </w:r>
      <w:r w:rsidRPr="000E2686">
        <w:t xml:space="preserve"> InDels and </w:t>
      </w:r>
      <w:r w:rsidRPr="00E87D37">
        <w:t>13</w:t>
      </w:r>
      <w:r>
        <w:t>,</w:t>
      </w:r>
      <w:r w:rsidRPr="00E87D37">
        <w:t>877</w:t>
      </w:r>
      <w:r w:rsidRPr="000E2686">
        <w:t xml:space="preserve"> SVs</w:t>
      </w:r>
      <w:r>
        <w:t>, with</w:t>
      </w:r>
      <w:r w:rsidRPr="000E2686">
        <w:t xml:space="preserve"> some </w:t>
      </w:r>
      <w:r>
        <w:t>highly multiallelic snarls</w:t>
      </w:r>
      <w:r w:rsidRPr="000E2686">
        <w:t xml:space="preserve">. The reference allele is major in </w:t>
      </w:r>
      <w:r w:rsidRPr="00E87D37">
        <w:t>1</w:t>
      </w:r>
      <w:r>
        <w:t>,</w:t>
      </w:r>
      <w:r w:rsidRPr="00E87D37">
        <w:t>989</w:t>
      </w:r>
      <w:r>
        <w:t>,</w:t>
      </w:r>
      <w:r w:rsidRPr="00E87D37">
        <w:t>499</w:t>
      </w:r>
      <w:r w:rsidRPr="000E2686">
        <w:t xml:space="preserve"> </w:t>
      </w:r>
      <w:r>
        <w:t>snarls (95.6%)</w:t>
      </w:r>
      <w:r w:rsidRPr="000E2686">
        <w:t xml:space="preserve">, first minor in </w:t>
      </w:r>
      <w:r w:rsidRPr="00E87D37">
        <w:t>85</w:t>
      </w:r>
      <w:r>
        <w:t>,</w:t>
      </w:r>
      <w:r w:rsidRPr="00E87D37">
        <w:t>170</w:t>
      </w:r>
      <w:r>
        <w:t xml:space="preserve"> snarls (4.1%)</w:t>
      </w:r>
      <w:r w:rsidRPr="000E2686">
        <w:t xml:space="preserve"> and second or more minor in </w:t>
      </w:r>
      <w:r w:rsidRPr="00E87D37">
        <w:t>7</w:t>
      </w:r>
      <w:r>
        <w:t>,</w:t>
      </w:r>
      <w:r w:rsidRPr="00E87D37">
        <w:t>026</w:t>
      </w:r>
      <w:r w:rsidRPr="000E2686">
        <w:t xml:space="preserve"> </w:t>
      </w:r>
      <w:r>
        <w:t>snarls</w:t>
      </w:r>
      <w:r w:rsidRPr="000E2686">
        <w:t xml:space="preserve"> (</w:t>
      </w:r>
      <w:r>
        <w:t>0.3</w:t>
      </w:r>
      <w:r w:rsidRPr="000E2686">
        <w:t xml:space="preserve">%). We kept the reference allele and the most frequent alternative allele of each site to build a neighbor joining tree (based on </w:t>
      </w:r>
      <w:r w:rsidRPr="00452A51">
        <w:t>1</w:t>
      </w:r>
      <w:r>
        <w:t>,</w:t>
      </w:r>
      <w:r w:rsidRPr="00452A51">
        <w:t>926</w:t>
      </w:r>
      <w:r>
        <w:t>,</w:t>
      </w:r>
      <w:r w:rsidRPr="00452A51">
        <w:t>578</w:t>
      </w:r>
      <w:r w:rsidRPr="000E2686">
        <w:t xml:space="preserve"> SNPs, </w:t>
      </w:r>
      <w:r w:rsidRPr="00452A51">
        <w:t>152</w:t>
      </w:r>
      <w:r>
        <w:t>,</w:t>
      </w:r>
      <w:r w:rsidRPr="00452A51">
        <w:t>796</w:t>
      </w:r>
      <w:r w:rsidRPr="000E2686">
        <w:t xml:space="preserve"> InDels and </w:t>
      </w:r>
      <w:r w:rsidRPr="00452A51">
        <w:t>2</w:t>
      </w:r>
      <w:r>
        <w:t>,</w:t>
      </w:r>
      <w:r w:rsidRPr="00452A51">
        <w:t>321</w:t>
      </w:r>
      <w:r w:rsidRPr="000E2686">
        <w:t xml:space="preserve"> SVs), which shows </w:t>
      </w:r>
      <w:r>
        <w:t xml:space="preserve">a </w:t>
      </w:r>
      <w:r w:rsidRPr="000E2686">
        <w:t>structure</w:t>
      </w:r>
      <w:r>
        <w:t xml:space="preserve"> highly </w:t>
      </w:r>
      <w:r w:rsidRPr="000E2686">
        <w:t>similar to th</w:t>
      </w:r>
      <w:r>
        <w:t xml:space="preserve">at </w:t>
      </w:r>
      <w:r w:rsidRPr="000E2686">
        <w:t>obtained from SNP calling on the linear reference</w:t>
      </w:r>
      <w:r>
        <w:t xml:space="preserve"> </w:t>
      </w:r>
      <w:r w:rsidRPr="00552C12">
        <w:t>(</w:t>
      </w:r>
      <w:r w:rsidR="009304A1">
        <w:t>Fig. S19</w:t>
      </w:r>
      <w:r>
        <w:t>)</w:t>
      </w:r>
      <w:r w:rsidRPr="000E2686">
        <w:t xml:space="preserve">. </w:t>
      </w:r>
    </w:p>
    <w:tbl>
      <w:tblPr>
        <w:tblStyle w:val="TableGrid"/>
        <w:tblW w:w="849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left w:w="57" w:type="dxa"/>
          <w:bottom w:w="57" w:type="dxa"/>
          <w:right w:w="57" w:type="dxa"/>
        </w:tblCellMar>
        <w:tblLook w:val="04A0" w:firstRow="1" w:lastRow="0" w:firstColumn="1" w:lastColumn="0" w:noHBand="0" w:noVBand="1"/>
      </w:tblPr>
      <w:tblGrid>
        <w:gridCol w:w="9020"/>
      </w:tblGrid>
      <w:tr w:rsidR="00D73BDF" w14:paraId="585EB47D" w14:textId="77777777" w:rsidTr="00B20E3E">
        <w:trPr>
          <w:trHeight w:val="4874"/>
          <w:jc w:val="center"/>
        </w:trPr>
        <w:tc>
          <w:tcPr>
            <w:tcW w:w="8492" w:type="dxa"/>
          </w:tcPr>
          <w:p w14:paraId="68CB3FE2" w14:textId="77777777" w:rsidR="00D73BDF" w:rsidRDefault="00D73BDF" w:rsidP="000536E1">
            <w:pPr>
              <w:spacing w:afterLines="60" w:after="144"/>
              <w:jc w:val="center"/>
            </w:pPr>
            <w:r>
              <w:rPr>
                <w:noProof/>
              </w:rPr>
              <w:lastRenderedPageBreak/>
              <w:drawing>
                <wp:inline distT="0" distB="0" distL="0" distR="0" wp14:anchorId="60B8DF4E" wp14:editId="307175AF">
                  <wp:extent cx="5778209" cy="3557563"/>
                  <wp:effectExtent l="0" t="0" r="635" b="0"/>
                  <wp:docPr id="1997119744" name="Graphic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119744" name="Graphic 9"/>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778209" cy="3557563"/>
                          </a:xfrm>
                          <a:prstGeom prst="rect">
                            <a:avLst/>
                          </a:prstGeom>
                        </pic:spPr>
                      </pic:pic>
                    </a:graphicData>
                  </a:graphic>
                </wp:inline>
              </w:drawing>
            </w:r>
          </w:p>
        </w:tc>
      </w:tr>
      <w:tr w:rsidR="00D73BDF" w:rsidRPr="00044796" w14:paraId="431A2DD0" w14:textId="77777777" w:rsidTr="00B20E3E">
        <w:trPr>
          <w:trHeight w:val="548"/>
          <w:jc w:val="center"/>
        </w:trPr>
        <w:tc>
          <w:tcPr>
            <w:tcW w:w="8492" w:type="dxa"/>
          </w:tcPr>
          <w:p w14:paraId="443F151F" w14:textId="2EAA0EE2" w:rsidR="00D73BDF" w:rsidRPr="00044796" w:rsidRDefault="009304A1" w:rsidP="000536E1">
            <w:pPr>
              <w:spacing w:afterLines="60" w:after="144"/>
            </w:pPr>
            <w:r>
              <w:rPr>
                <w:b/>
                <w:bCs/>
              </w:rPr>
              <w:t>Fig. S19</w:t>
            </w:r>
            <w:r w:rsidR="00D73BDF" w:rsidRPr="00C933D8">
              <w:rPr>
                <w:b/>
                <w:bCs/>
              </w:rPr>
              <w:t xml:space="preserve"> | </w:t>
            </w:r>
            <w:r w:rsidR="00D73BDF">
              <w:rPr>
                <w:b/>
                <w:bCs/>
              </w:rPr>
              <w:t xml:space="preserve">Neighbor joining tree of 2,874 isolates of </w:t>
            </w:r>
            <w:proofErr w:type="spellStart"/>
            <w:r w:rsidR="00D73BDF" w:rsidRPr="00B012D8">
              <w:rPr>
                <w:b/>
                <w:bCs/>
                <w:i/>
                <w:iCs/>
              </w:rPr>
              <w:t>Sacharomyces</w:t>
            </w:r>
            <w:proofErr w:type="spellEnd"/>
            <w:r w:rsidR="00D73BDF" w:rsidRPr="00B012D8">
              <w:rPr>
                <w:b/>
                <w:bCs/>
                <w:i/>
                <w:iCs/>
              </w:rPr>
              <w:t xml:space="preserve"> cerevisiae</w:t>
            </w:r>
            <w:r w:rsidR="00D73BDF">
              <w:rPr>
                <w:b/>
                <w:bCs/>
              </w:rPr>
              <w:t xml:space="preserve">. </w:t>
            </w:r>
            <w:r w:rsidR="00D73BDF" w:rsidRPr="00F100D5">
              <w:t>T</w:t>
            </w:r>
            <w:r w:rsidR="00D73BDF">
              <w:t>rees were constructed from variants detected from the graph-pangenome (</w:t>
            </w:r>
            <w:r w:rsidR="009228F9">
              <w:rPr>
                <w:b/>
                <w:bCs/>
              </w:rPr>
              <w:t>a</w:t>
            </w:r>
            <w:r w:rsidR="00D73BDF">
              <w:t>) or from the linear reference (</w:t>
            </w:r>
            <w:r w:rsidR="009228F9">
              <w:rPr>
                <w:b/>
                <w:bCs/>
              </w:rPr>
              <w:t>b</w:t>
            </w:r>
            <w:r w:rsidR="00D73BDF">
              <w:t xml:space="preserve">). </w:t>
            </w:r>
          </w:p>
        </w:tc>
      </w:tr>
    </w:tbl>
    <w:p w14:paraId="5E5C5F73" w14:textId="77777777" w:rsidR="00D73BDF" w:rsidRDefault="00D73BDF" w:rsidP="00D73BDF">
      <w:pPr>
        <w:spacing w:afterLines="60" w:after="144" w:line="240" w:lineRule="auto"/>
        <w:rPr>
          <w:b/>
          <w:bCs/>
        </w:rPr>
      </w:pPr>
    </w:p>
    <w:p w14:paraId="17BF8138" w14:textId="0D23BBBF" w:rsidR="00D73BDF" w:rsidRDefault="00D73BDF" w:rsidP="00BB7DAD">
      <w:pPr>
        <w:pStyle w:val="Heading4"/>
      </w:pPr>
      <w:r>
        <w:t>The graph pangenome enhances heritability estimations</w:t>
      </w:r>
    </w:p>
    <w:p w14:paraId="28CCEE74" w14:textId="357DD3A1" w:rsidR="00D73BDF" w:rsidRDefault="00D73BDF" w:rsidP="00D73BDF">
      <w:pPr>
        <w:spacing w:afterLines="60" w:after="144" w:line="240" w:lineRule="auto"/>
      </w:pPr>
      <w:r w:rsidRPr="000E2686">
        <w:t>We estimated the narrow-sense heritability of 8,</w:t>
      </w:r>
      <w:r>
        <w:t>153</w:t>
      </w:r>
      <w:r w:rsidRPr="000E2686">
        <w:t xml:space="preserve"> complex traits using </w:t>
      </w:r>
      <w:r>
        <w:t xml:space="preserve">three kinship matrices: a first one based on SNPs called using a linear reference; a second one built from the exhaustive catalog of variants we constructed from high quality genome assemblies, containing SNPs, InDels and SVs; and a third one built using the MC graph pangenome reference. </w:t>
      </w:r>
      <w:r w:rsidRPr="000E2686">
        <w:t xml:space="preserve">The </w:t>
      </w:r>
      <w:r>
        <w:t>average</w:t>
      </w:r>
      <w:r w:rsidRPr="000E2686">
        <w:t xml:space="preserve"> heritability</w:t>
      </w:r>
      <w:r>
        <w:t xml:space="preserve"> using the MC graph pangenome</w:t>
      </w:r>
      <w:r w:rsidRPr="000E2686">
        <w:t xml:space="preserve"> is 10</w:t>
      </w:r>
      <w:r>
        <w:t>.6</w:t>
      </w:r>
      <w:r w:rsidRPr="000E2686">
        <w:t>% higher than SNP</w:t>
      </w:r>
      <w:r>
        <w:t>-based</w:t>
      </w:r>
      <w:r w:rsidRPr="000E2686">
        <w:t xml:space="preserve"> estimates, but </w:t>
      </w:r>
      <w:r>
        <w:t>3.2</w:t>
      </w:r>
      <w:r w:rsidRPr="000E2686">
        <w:t xml:space="preserve">% lower than </w:t>
      </w:r>
      <w:r>
        <w:t>catalog estimates (</w:t>
      </w:r>
      <w:r w:rsidR="009304A1">
        <w:t>Fig. S20</w:t>
      </w:r>
      <w:r>
        <w:t>)</w:t>
      </w:r>
      <w:r w:rsidRPr="000E2686">
        <w:t xml:space="preserve">. </w:t>
      </w:r>
    </w:p>
    <w:tbl>
      <w:tblPr>
        <w:tblStyle w:val="TableGrid"/>
        <w:tblW w:w="831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left w:w="57" w:type="dxa"/>
          <w:bottom w:w="57" w:type="dxa"/>
          <w:right w:w="57" w:type="dxa"/>
        </w:tblCellMar>
        <w:tblLook w:val="04A0" w:firstRow="1" w:lastRow="0" w:firstColumn="1" w:lastColumn="0" w:noHBand="0" w:noVBand="1"/>
      </w:tblPr>
      <w:tblGrid>
        <w:gridCol w:w="9020"/>
      </w:tblGrid>
      <w:tr w:rsidR="00D73BDF" w14:paraId="54CCA70D" w14:textId="77777777" w:rsidTr="00B20E3E">
        <w:trPr>
          <w:trHeight w:val="3102"/>
          <w:jc w:val="center"/>
        </w:trPr>
        <w:tc>
          <w:tcPr>
            <w:tcW w:w="8311" w:type="dxa"/>
          </w:tcPr>
          <w:p w14:paraId="58E498F4" w14:textId="77777777" w:rsidR="00D73BDF" w:rsidRDefault="00D73BDF" w:rsidP="000536E1">
            <w:pPr>
              <w:spacing w:afterLines="60" w:after="144"/>
              <w:jc w:val="center"/>
            </w:pPr>
            <w:r>
              <w:rPr>
                <w:noProof/>
              </w:rPr>
              <w:drawing>
                <wp:inline distT="0" distB="0" distL="0" distR="0" wp14:anchorId="6974244A" wp14:editId="1C51191E">
                  <wp:extent cx="5760000" cy="2462117"/>
                  <wp:effectExtent l="0" t="0" r="6350" b="1905"/>
                  <wp:docPr id="1583748066" name="Graphic 9" descr="A diagram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3748066" name="Graphic 9" descr="A diagram of a graph&#10;&#10;Description automatically generated"/>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760000" cy="2462117"/>
                          </a:xfrm>
                          <a:prstGeom prst="rect">
                            <a:avLst/>
                          </a:prstGeom>
                        </pic:spPr>
                      </pic:pic>
                    </a:graphicData>
                  </a:graphic>
                </wp:inline>
              </w:drawing>
            </w:r>
          </w:p>
        </w:tc>
      </w:tr>
      <w:tr w:rsidR="00D73BDF" w:rsidRPr="00044796" w14:paraId="660129C7" w14:textId="77777777" w:rsidTr="00B20E3E">
        <w:trPr>
          <w:trHeight w:val="888"/>
          <w:jc w:val="center"/>
        </w:trPr>
        <w:tc>
          <w:tcPr>
            <w:tcW w:w="8311" w:type="dxa"/>
          </w:tcPr>
          <w:p w14:paraId="4A317277" w14:textId="4319A903" w:rsidR="00D73BDF" w:rsidRPr="00B012D8" w:rsidRDefault="009304A1" w:rsidP="000536E1">
            <w:pPr>
              <w:spacing w:afterLines="60" w:after="144"/>
            </w:pPr>
            <w:r>
              <w:rPr>
                <w:b/>
                <w:bCs/>
              </w:rPr>
              <w:lastRenderedPageBreak/>
              <w:t>Fig. S20</w:t>
            </w:r>
            <w:r w:rsidR="00D73BDF" w:rsidRPr="00C933D8">
              <w:rPr>
                <w:b/>
                <w:bCs/>
              </w:rPr>
              <w:t xml:space="preserve"> | </w:t>
            </w:r>
            <w:r w:rsidR="00D73BDF">
              <w:rPr>
                <w:b/>
                <w:bCs/>
              </w:rPr>
              <w:t xml:space="preserve">Heritability estimates for 8,153 complex traits. </w:t>
            </w:r>
            <w:r w:rsidR="00D73BDF">
              <w:t xml:space="preserve">Heritability was estimated using SNPs inferred from the linear reference, variants inferred from the graph pangenome and a catalog of SNPs, InDels and SVs inferred from high quality genome assemblies. </w:t>
            </w:r>
            <w:r w:rsidR="00D73BDF" w:rsidRPr="00B012D8">
              <w:rPr>
                <w:i/>
                <w:iCs/>
              </w:rPr>
              <w:t>P</w:t>
            </w:r>
            <w:r w:rsidR="00D73BDF">
              <w:rPr>
                <w:i/>
                <w:iCs/>
              </w:rPr>
              <w:t xml:space="preserve"> </w:t>
            </w:r>
            <w:r w:rsidR="00D73BDF">
              <w:t xml:space="preserve">values were calculated using Wilcoxon signed-rank tests. The median and average heritability are indicated in white and red, respectively. </w:t>
            </w:r>
          </w:p>
        </w:tc>
      </w:tr>
    </w:tbl>
    <w:p w14:paraId="55AC9C5F" w14:textId="77777777" w:rsidR="00D73BDF" w:rsidRDefault="00D73BDF" w:rsidP="00D73BDF">
      <w:pPr>
        <w:spacing w:afterLines="60" w:after="144" w:line="240" w:lineRule="auto"/>
      </w:pPr>
    </w:p>
    <w:p w14:paraId="59F7C3A0" w14:textId="055F49DB" w:rsidR="00D73BDF" w:rsidRDefault="00D73BDF" w:rsidP="00D73BDF">
      <w:pPr>
        <w:spacing w:afterLines="60" w:after="144" w:line="240" w:lineRule="auto"/>
      </w:pPr>
      <w:r>
        <w:t>Comparisons</w:t>
      </w:r>
      <w:r w:rsidRPr="000E2686">
        <w:t xml:space="preserve"> between SNP, graph and catalog estimates indicate that </w:t>
      </w:r>
      <w:r>
        <w:t xml:space="preserve">the enhancement of heritability of the graph and catalog method have different origins. </w:t>
      </w:r>
      <w:r w:rsidRPr="000E2686">
        <w:t xml:space="preserve">On the one hand, catalog estimates are increased for certain traits, mainly </w:t>
      </w:r>
      <w:proofErr w:type="spellStart"/>
      <w:r w:rsidRPr="000E2686">
        <w:t>InDel</w:t>
      </w:r>
      <w:proofErr w:type="spellEnd"/>
      <w:r w:rsidRPr="000E2686">
        <w:t xml:space="preserve"> and SV-dominant traits, whereas estimates for SNP-dominant traits are less increased</w:t>
      </w:r>
      <w:r>
        <w:t xml:space="preserve"> (</w:t>
      </w:r>
      <w:r w:rsidR="009304A1">
        <w:t>Fig. S21</w:t>
      </w:r>
      <w:r w:rsidR="006A6881">
        <w:t>a</w:t>
      </w:r>
      <w:r>
        <w:t>)</w:t>
      </w:r>
      <w:r w:rsidRPr="000E2686">
        <w:t xml:space="preserve">. On the other hand, graph estimates are increased globally, and the difference between SNP, </w:t>
      </w:r>
      <w:proofErr w:type="spellStart"/>
      <w:r w:rsidRPr="000E2686">
        <w:t>InDel</w:t>
      </w:r>
      <w:proofErr w:type="spellEnd"/>
      <w:r w:rsidRPr="000E2686">
        <w:t xml:space="preserve"> and SV-dominant traits is weaker, although significant</w:t>
      </w:r>
      <w:r>
        <w:t xml:space="preserve"> (</w:t>
      </w:r>
      <w:r w:rsidR="009304A1">
        <w:t>Fig. S21</w:t>
      </w:r>
      <w:r w:rsidR="006A6881">
        <w:t>b</w:t>
      </w:r>
      <w:r>
        <w:t>)</w:t>
      </w:r>
      <w:r w:rsidRPr="000E2686">
        <w:t xml:space="preserve">. This suggests that the increase in heritability obtained from the graph pangenome is </w:t>
      </w:r>
      <w:r>
        <w:t>less</w:t>
      </w:r>
      <w:r w:rsidRPr="000E2686">
        <w:t xml:space="preserve"> related to specific types of variants, but more globally to the consideration of a pangenom</w:t>
      </w:r>
      <w:r w:rsidR="00787677">
        <w:t>e</w:t>
      </w:r>
      <w:r w:rsidRPr="000E2686">
        <w:t xml:space="preserve"> reference. One explanation for the observed difference between catalog and graph estimates may be that the graph pangenome has difficulty capturing copy-number variation, which accounts for a substantial part of heritability in many traits. </w:t>
      </w:r>
    </w:p>
    <w:p w14:paraId="1118A62C" w14:textId="77777777" w:rsidR="00D73BDF" w:rsidRPr="000E2686" w:rsidRDefault="00D73BDF" w:rsidP="00D73BDF">
      <w:pPr>
        <w:spacing w:afterLines="60" w:after="144" w:line="240" w:lineRule="auto"/>
      </w:pPr>
    </w:p>
    <w:tbl>
      <w:tblPr>
        <w:tblStyle w:val="TableGrid"/>
        <w:tblW w:w="874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left w:w="57" w:type="dxa"/>
          <w:bottom w:w="57" w:type="dxa"/>
          <w:right w:w="57" w:type="dxa"/>
        </w:tblCellMar>
        <w:tblLook w:val="04A0" w:firstRow="1" w:lastRow="0" w:firstColumn="1" w:lastColumn="0" w:noHBand="0" w:noVBand="1"/>
      </w:tblPr>
      <w:tblGrid>
        <w:gridCol w:w="9020"/>
      </w:tblGrid>
      <w:tr w:rsidR="00D73BDF" w14:paraId="4819AACE" w14:textId="77777777" w:rsidTr="00B20E3E">
        <w:trPr>
          <w:trHeight w:val="4447"/>
          <w:jc w:val="center"/>
        </w:trPr>
        <w:tc>
          <w:tcPr>
            <w:tcW w:w="8740" w:type="dxa"/>
          </w:tcPr>
          <w:p w14:paraId="79AB9FAD" w14:textId="77777777" w:rsidR="00D73BDF" w:rsidRDefault="00D73BDF" w:rsidP="000536E1">
            <w:pPr>
              <w:spacing w:afterLines="60" w:after="144"/>
              <w:jc w:val="center"/>
            </w:pPr>
            <w:r>
              <w:rPr>
                <w:noProof/>
              </w:rPr>
              <w:drawing>
                <wp:inline distT="0" distB="0" distL="0" distR="0" wp14:anchorId="6A021F10" wp14:editId="75FEA060">
                  <wp:extent cx="5760000" cy="3196235"/>
                  <wp:effectExtent l="0" t="0" r="6350" b="4445"/>
                  <wp:docPr id="832842410" name="Graphic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2842410" name="Graphic 9"/>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760000" cy="3196235"/>
                          </a:xfrm>
                          <a:prstGeom prst="rect">
                            <a:avLst/>
                          </a:prstGeom>
                        </pic:spPr>
                      </pic:pic>
                    </a:graphicData>
                  </a:graphic>
                </wp:inline>
              </w:drawing>
            </w:r>
          </w:p>
        </w:tc>
      </w:tr>
      <w:tr w:rsidR="00D73BDF" w:rsidRPr="00B012D8" w14:paraId="4AE11CB4" w14:textId="77777777" w:rsidTr="00B20E3E">
        <w:trPr>
          <w:trHeight w:val="763"/>
          <w:jc w:val="center"/>
        </w:trPr>
        <w:tc>
          <w:tcPr>
            <w:tcW w:w="8740" w:type="dxa"/>
          </w:tcPr>
          <w:p w14:paraId="5DEC3CB0" w14:textId="65F152B4" w:rsidR="00D73BDF" w:rsidRPr="00B012D8" w:rsidRDefault="009304A1" w:rsidP="000536E1">
            <w:pPr>
              <w:spacing w:afterLines="60" w:after="144"/>
            </w:pPr>
            <w:r>
              <w:rPr>
                <w:b/>
                <w:bCs/>
              </w:rPr>
              <w:t>Fig. S21</w:t>
            </w:r>
            <w:r w:rsidR="00D73BDF" w:rsidRPr="00C933D8">
              <w:rPr>
                <w:b/>
                <w:bCs/>
              </w:rPr>
              <w:t xml:space="preserve"> | </w:t>
            </w:r>
            <w:r w:rsidR="00D73BDF">
              <w:rPr>
                <w:b/>
                <w:bCs/>
              </w:rPr>
              <w:t xml:space="preserve">Comparison of heritability estimates depending on traits categories. </w:t>
            </w:r>
            <w:r w:rsidR="009943BC">
              <w:rPr>
                <w:b/>
                <w:bCs/>
              </w:rPr>
              <w:t>a</w:t>
            </w:r>
            <w:r w:rsidR="00D73BDF">
              <w:rPr>
                <w:b/>
                <w:bCs/>
              </w:rPr>
              <w:t xml:space="preserve">. </w:t>
            </w:r>
            <w:r w:rsidR="00D73BDF">
              <w:t xml:space="preserve">Ratio of the catalog heritability to the SNP heritability for SNP, </w:t>
            </w:r>
            <w:proofErr w:type="spellStart"/>
            <w:r w:rsidR="00D73BDF">
              <w:t>InDel</w:t>
            </w:r>
            <w:proofErr w:type="spellEnd"/>
            <w:r w:rsidR="00D73BDF">
              <w:t>, SV dominant and balanced traits.</w:t>
            </w:r>
            <w:r w:rsidR="006A6881">
              <w:t xml:space="preserve"> </w:t>
            </w:r>
            <w:r w:rsidR="006A6881" w:rsidRPr="006A6881">
              <w:rPr>
                <w:b/>
                <w:bCs/>
              </w:rPr>
              <w:t>b.</w:t>
            </w:r>
            <w:r w:rsidR="006A6881">
              <w:t xml:space="preserve"> </w:t>
            </w:r>
            <w:r w:rsidR="006A6881">
              <w:t xml:space="preserve">Ratio of the graph heritability to the SNP heritability for SNP, </w:t>
            </w:r>
            <w:proofErr w:type="spellStart"/>
            <w:r w:rsidR="006A6881">
              <w:t>InDel</w:t>
            </w:r>
            <w:proofErr w:type="spellEnd"/>
            <w:r w:rsidR="006A6881">
              <w:t>, SV dominant and balanced traits.</w:t>
            </w:r>
            <w:r w:rsidR="006A6881">
              <w:t xml:space="preserve"> </w:t>
            </w:r>
          </w:p>
        </w:tc>
      </w:tr>
    </w:tbl>
    <w:p w14:paraId="39170D64" w14:textId="77777777" w:rsidR="00D73BDF" w:rsidRDefault="00D73BDF" w:rsidP="00D73BDF">
      <w:pPr>
        <w:spacing w:afterLines="60" w:after="144" w:line="240" w:lineRule="auto"/>
      </w:pPr>
    </w:p>
    <w:p w14:paraId="446993AA" w14:textId="77777777" w:rsidR="00D73BDF" w:rsidRDefault="00D73BDF" w:rsidP="00D73BDF">
      <w:pPr>
        <w:spacing w:afterLines="60" w:after="144" w:line="240" w:lineRule="auto"/>
      </w:pPr>
    </w:p>
    <w:p w14:paraId="2152AE89" w14:textId="77777777" w:rsidR="00D73BDF" w:rsidRDefault="00D73BDF" w:rsidP="00D73BDF">
      <w:pPr>
        <w:spacing w:afterLines="60" w:after="144" w:line="240" w:lineRule="auto"/>
      </w:pPr>
    </w:p>
    <w:p w14:paraId="737ABB00" w14:textId="77777777" w:rsidR="009304A1" w:rsidRDefault="009304A1" w:rsidP="00D73BDF">
      <w:pPr>
        <w:spacing w:afterLines="60" w:after="144" w:line="240" w:lineRule="auto"/>
      </w:pPr>
    </w:p>
    <w:p w14:paraId="67AF5DC4" w14:textId="77777777" w:rsidR="00B20E3E" w:rsidRPr="00553237" w:rsidRDefault="00B20E3E" w:rsidP="00B20E3E">
      <w:pPr>
        <w:pStyle w:val="Heading3"/>
        <w:rPr>
          <w:sz w:val="24"/>
          <w:szCs w:val="24"/>
          <w:lang w:val="en-US"/>
        </w:rPr>
      </w:pPr>
      <w:bookmarkStart w:id="7" w:name="_Toc207031028"/>
      <w:r w:rsidRPr="00553237">
        <w:rPr>
          <w:sz w:val="24"/>
          <w:szCs w:val="24"/>
          <w:lang w:val="en-US"/>
        </w:rPr>
        <w:lastRenderedPageBreak/>
        <w:t>References</w:t>
      </w:r>
      <w:bookmarkEnd w:id="7"/>
    </w:p>
    <w:p w14:paraId="7A06415C" w14:textId="77777777" w:rsidR="00F229A9" w:rsidRPr="00F229A9" w:rsidRDefault="00B20E3E" w:rsidP="009943BC">
      <w:pPr>
        <w:pStyle w:val="Bibliography"/>
        <w:spacing w:line="240" w:lineRule="auto"/>
        <w:rPr>
          <w:lang w:val="en-GB"/>
        </w:rPr>
      </w:pPr>
      <w:r>
        <w:fldChar w:fldCharType="begin"/>
      </w:r>
      <w:r w:rsidR="00F229A9" w:rsidRPr="00F229A9">
        <w:rPr>
          <w:lang w:val="en-US"/>
        </w:rPr>
        <w:instrText xml:space="preserve"> ADDIN ZOTERO_BIBL {"uncited":[],"omitted":[],"custom":[]} CSL_BIBLIOGRAPHY </w:instrText>
      </w:r>
      <w:r>
        <w:fldChar w:fldCharType="separate"/>
      </w:r>
      <w:r w:rsidR="00F229A9" w:rsidRPr="00F229A9">
        <w:rPr>
          <w:lang w:val="en-GB"/>
        </w:rPr>
        <w:t>1.</w:t>
      </w:r>
      <w:r w:rsidR="00F229A9" w:rsidRPr="00F229A9">
        <w:rPr>
          <w:lang w:val="en-GB"/>
        </w:rPr>
        <w:tab/>
      </w:r>
      <w:proofErr w:type="spellStart"/>
      <w:r w:rsidR="00F229A9" w:rsidRPr="00F229A9">
        <w:rPr>
          <w:lang w:val="en-GB"/>
        </w:rPr>
        <w:t>Loegler</w:t>
      </w:r>
      <w:proofErr w:type="spellEnd"/>
      <w:r w:rsidR="00F229A9" w:rsidRPr="00F229A9">
        <w:rPr>
          <w:lang w:val="en-GB"/>
        </w:rPr>
        <w:t xml:space="preserve">, V., Friedrich, A. &amp; Schacherer, J. Overview of the Saccharomyces cerevisiae population structure through the lens of 3,034 genomes. </w:t>
      </w:r>
      <w:r w:rsidR="00F229A9" w:rsidRPr="00F229A9">
        <w:rPr>
          <w:i/>
          <w:iCs/>
          <w:lang w:val="en-GB"/>
        </w:rPr>
        <w:t>G3 Genes|Genomes|Genetics</w:t>
      </w:r>
      <w:r w:rsidR="00F229A9" w:rsidRPr="00F229A9">
        <w:rPr>
          <w:lang w:val="en-GB"/>
        </w:rPr>
        <w:t xml:space="preserve"> </w:t>
      </w:r>
      <w:r w:rsidR="00F229A9" w:rsidRPr="00F229A9">
        <w:rPr>
          <w:b/>
          <w:bCs/>
          <w:lang w:val="en-GB"/>
        </w:rPr>
        <w:t>14</w:t>
      </w:r>
      <w:r w:rsidR="00F229A9" w:rsidRPr="00F229A9">
        <w:rPr>
          <w:lang w:val="en-GB"/>
        </w:rPr>
        <w:t>, jkae245 (2024).</w:t>
      </w:r>
    </w:p>
    <w:p w14:paraId="5D066D97" w14:textId="77777777" w:rsidR="00F229A9" w:rsidRPr="00F229A9" w:rsidRDefault="00F229A9" w:rsidP="009943BC">
      <w:pPr>
        <w:pStyle w:val="Bibliography"/>
        <w:spacing w:line="240" w:lineRule="auto"/>
        <w:rPr>
          <w:lang w:val="en-GB"/>
        </w:rPr>
      </w:pPr>
      <w:r w:rsidRPr="00F229A9">
        <w:rPr>
          <w:lang w:val="en-GB"/>
        </w:rPr>
        <w:t>2.</w:t>
      </w:r>
      <w:r w:rsidRPr="00F229A9">
        <w:rPr>
          <w:lang w:val="en-GB"/>
        </w:rPr>
        <w:tab/>
        <w:t xml:space="preserve">O’Donnell, S. </w:t>
      </w:r>
      <w:r w:rsidRPr="00F229A9">
        <w:rPr>
          <w:i/>
          <w:iCs/>
          <w:lang w:val="en-GB"/>
        </w:rPr>
        <w:t>et al.</w:t>
      </w:r>
      <w:r w:rsidRPr="00F229A9">
        <w:rPr>
          <w:lang w:val="en-GB"/>
        </w:rPr>
        <w:t xml:space="preserve"> Telomere-to-telomere assemblies of 142 strains characterize the genome structural landscape in Saccharomyces cerevisiae. </w:t>
      </w:r>
      <w:r w:rsidRPr="00F229A9">
        <w:rPr>
          <w:i/>
          <w:iCs/>
          <w:lang w:val="en-GB"/>
        </w:rPr>
        <w:t>Nat Genet</w:t>
      </w:r>
      <w:r w:rsidRPr="00F229A9">
        <w:rPr>
          <w:lang w:val="en-GB"/>
        </w:rPr>
        <w:t xml:space="preserve"> </w:t>
      </w:r>
      <w:r w:rsidRPr="00F229A9">
        <w:rPr>
          <w:b/>
          <w:bCs/>
          <w:lang w:val="en-GB"/>
        </w:rPr>
        <w:t>55</w:t>
      </w:r>
      <w:r w:rsidRPr="00F229A9">
        <w:rPr>
          <w:lang w:val="en-GB"/>
        </w:rPr>
        <w:t>, 1390–1399 (2023).</w:t>
      </w:r>
    </w:p>
    <w:p w14:paraId="5AA72DC5" w14:textId="77777777" w:rsidR="00F229A9" w:rsidRPr="00F229A9" w:rsidRDefault="00F229A9" w:rsidP="009943BC">
      <w:pPr>
        <w:pStyle w:val="Bibliography"/>
        <w:spacing w:line="240" w:lineRule="auto"/>
        <w:rPr>
          <w:lang w:val="en-GB"/>
        </w:rPr>
      </w:pPr>
      <w:r w:rsidRPr="00F229A9">
        <w:rPr>
          <w:lang w:val="en-GB"/>
        </w:rPr>
        <w:t>3.</w:t>
      </w:r>
      <w:r w:rsidRPr="00F229A9">
        <w:rPr>
          <w:lang w:val="en-GB"/>
        </w:rPr>
        <w:tab/>
        <w:t xml:space="preserve">Vasimuddin, Md., Misra, S., Li, H. &amp; Aluru, S. Efficient Architecture-Aware Acceleration of BWA-MEM for Multicore Systems. in </w:t>
      </w:r>
      <w:r w:rsidRPr="00F229A9">
        <w:rPr>
          <w:i/>
          <w:iCs/>
          <w:lang w:val="en-GB"/>
        </w:rPr>
        <w:t>2019 IEEE International Parallel and Distributed Processing Symposium (IPDPS)</w:t>
      </w:r>
      <w:r w:rsidRPr="00F229A9">
        <w:rPr>
          <w:lang w:val="en-GB"/>
        </w:rPr>
        <w:t xml:space="preserve"> 314–324 (2019). doi:10.1109/IPDPS.2019.00041.</w:t>
      </w:r>
    </w:p>
    <w:p w14:paraId="5A93B854" w14:textId="77777777" w:rsidR="00F229A9" w:rsidRPr="00F229A9" w:rsidRDefault="00F229A9" w:rsidP="009943BC">
      <w:pPr>
        <w:pStyle w:val="Bibliography"/>
        <w:spacing w:line="240" w:lineRule="auto"/>
        <w:rPr>
          <w:lang w:val="en-GB"/>
        </w:rPr>
      </w:pPr>
      <w:r w:rsidRPr="00F229A9">
        <w:rPr>
          <w:lang w:val="en-GB"/>
        </w:rPr>
        <w:t>4.</w:t>
      </w:r>
      <w:r w:rsidRPr="00F229A9">
        <w:rPr>
          <w:lang w:val="en-GB"/>
        </w:rPr>
        <w:tab/>
        <w:t xml:space="preserve">Li, H. Minimap2: pairwise alignment for nucleotide sequences. </w:t>
      </w:r>
      <w:r w:rsidRPr="00F229A9">
        <w:rPr>
          <w:i/>
          <w:iCs/>
          <w:lang w:val="en-GB"/>
        </w:rPr>
        <w:t>Bioinformatics</w:t>
      </w:r>
      <w:r w:rsidRPr="00F229A9">
        <w:rPr>
          <w:lang w:val="en-GB"/>
        </w:rPr>
        <w:t xml:space="preserve"> </w:t>
      </w:r>
      <w:r w:rsidRPr="00F229A9">
        <w:rPr>
          <w:b/>
          <w:bCs/>
          <w:lang w:val="en-GB"/>
        </w:rPr>
        <w:t>34</w:t>
      </w:r>
      <w:r w:rsidRPr="00F229A9">
        <w:rPr>
          <w:lang w:val="en-GB"/>
        </w:rPr>
        <w:t>, 3094–3100 (2018).</w:t>
      </w:r>
    </w:p>
    <w:p w14:paraId="70135F94" w14:textId="77777777" w:rsidR="00F229A9" w:rsidRPr="00F229A9" w:rsidRDefault="00F229A9" w:rsidP="009943BC">
      <w:pPr>
        <w:pStyle w:val="Bibliography"/>
        <w:spacing w:line="240" w:lineRule="auto"/>
        <w:rPr>
          <w:lang w:val="en-GB"/>
        </w:rPr>
      </w:pPr>
      <w:r w:rsidRPr="00553237">
        <w:rPr>
          <w:lang w:val="en-US"/>
        </w:rPr>
        <w:t>5.</w:t>
      </w:r>
      <w:r w:rsidRPr="00553237">
        <w:rPr>
          <w:lang w:val="en-US"/>
        </w:rPr>
        <w:tab/>
        <w:t xml:space="preserve">Robinson, J. T. </w:t>
      </w:r>
      <w:r w:rsidRPr="00553237">
        <w:rPr>
          <w:i/>
          <w:iCs/>
          <w:lang w:val="en-US"/>
        </w:rPr>
        <w:t>et al.</w:t>
      </w:r>
      <w:r w:rsidRPr="00553237">
        <w:rPr>
          <w:lang w:val="en-US"/>
        </w:rPr>
        <w:t xml:space="preserve"> </w:t>
      </w:r>
      <w:r w:rsidRPr="00F229A9">
        <w:rPr>
          <w:lang w:val="en-GB"/>
        </w:rPr>
        <w:t xml:space="preserve">Integrative genomics viewer. </w:t>
      </w:r>
      <w:r w:rsidRPr="00F229A9">
        <w:rPr>
          <w:i/>
          <w:iCs/>
          <w:lang w:val="en-GB"/>
        </w:rPr>
        <w:t>Nat Biotechnol</w:t>
      </w:r>
      <w:r w:rsidRPr="00F229A9">
        <w:rPr>
          <w:lang w:val="en-GB"/>
        </w:rPr>
        <w:t xml:space="preserve"> </w:t>
      </w:r>
      <w:r w:rsidRPr="00F229A9">
        <w:rPr>
          <w:b/>
          <w:bCs/>
          <w:lang w:val="en-GB"/>
        </w:rPr>
        <w:t>29</w:t>
      </w:r>
      <w:r w:rsidRPr="00F229A9">
        <w:rPr>
          <w:lang w:val="en-GB"/>
        </w:rPr>
        <w:t>, 24–26 (2011).</w:t>
      </w:r>
    </w:p>
    <w:p w14:paraId="3246B4A4" w14:textId="77777777" w:rsidR="00F229A9" w:rsidRPr="00F229A9" w:rsidRDefault="00F229A9" w:rsidP="009943BC">
      <w:pPr>
        <w:pStyle w:val="Bibliography"/>
        <w:spacing w:line="240" w:lineRule="auto"/>
        <w:rPr>
          <w:lang w:val="en-GB"/>
        </w:rPr>
      </w:pPr>
      <w:r w:rsidRPr="00F229A9">
        <w:rPr>
          <w:lang w:val="en-GB"/>
        </w:rPr>
        <w:t>6.</w:t>
      </w:r>
      <w:r w:rsidRPr="00F229A9">
        <w:rPr>
          <w:lang w:val="en-GB"/>
        </w:rPr>
        <w:tab/>
        <w:t xml:space="preserve">Delage, W. J., Thevenon, J. &amp; Lemaitre, C. Towards a better understanding of the low recall of insertion variants with short-read based variant callers. </w:t>
      </w:r>
      <w:r w:rsidRPr="00F229A9">
        <w:rPr>
          <w:i/>
          <w:iCs/>
          <w:lang w:val="en-GB"/>
        </w:rPr>
        <w:t>BMC Genomics</w:t>
      </w:r>
      <w:r w:rsidRPr="00F229A9">
        <w:rPr>
          <w:lang w:val="en-GB"/>
        </w:rPr>
        <w:t xml:space="preserve"> </w:t>
      </w:r>
      <w:r w:rsidRPr="00F229A9">
        <w:rPr>
          <w:b/>
          <w:bCs/>
          <w:lang w:val="en-GB"/>
        </w:rPr>
        <w:t>21</w:t>
      </w:r>
      <w:r w:rsidRPr="00F229A9">
        <w:rPr>
          <w:lang w:val="en-GB"/>
        </w:rPr>
        <w:t>, 762 (2020).</w:t>
      </w:r>
    </w:p>
    <w:p w14:paraId="5D8CC56D" w14:textId="77777777" w:rsidR="00F229A9" w:rsidRPr="00F229A9" w:rsidRDefault="00F229A9" w:rsidP="009943BC">
      <w:pPr>
        <w:pStyle w:val="Bibliography"/>
        <w:spacing w:line="240" w:lineRule="auto"/>
        <w:rPr>
          <w:lang w:val="en-GB"/>
        </w:rPr>
      </w:pPr>
      <w:r w:rsidRPr="00F229A9">
        <w:rPr>
          <w:lang w:val="en-GB"/>
        </w:rPr>
        <w:t>7.</w:t>
      </w:r>
      <w:r w:rsidRPr="00F229A9">
        <w:rPr>
          <w:lang w:val="en-GB"/>
        </w:rPr>
        <w:tab/>
        <w:t xml:space="preserve">Li, H., Feng, X. &amp; Chu, C. The design and construction of reference pangenome graphs with minigraph. </w:t>
      </w:r>
      <w:r w:rsidRPr="00F229A9">
        <w:rPr>
          <w:i/>
          <w:iCs/>
          <w:lang w:val="en-GB"/>
        </w:rPr>
        <w:t>Genome Biology</w:t>
      </w:r>
      <w:r w:rsidRPr="00F229A9">
        <w:rPr>
          <w:lang w:val="en-GB"/>
        </w:rPr>
        <w:t xml:space="preserve"> </w:t>
      </w:r>
      <w:r w:rsidRPr="00F229A9">
        <w:rPr>
          <w:b/>
          <w:bCs/>
          <w:lang w:val="en-GB"/>
        </w:rPr>
        <w:t>21</w:t>
      </w:r>
      <w:r w:rsidRPr="00F229A9">
        <w:rPr>
          <w:lang w:val="en-GB"/>
        </w:rPr>
        <w:t>, 265 (2020).</w:t>
      </w:r>
    </w:p>
    <w:p w14:paraId="7C7EDC3B" w14:textId="77777777" w:rsidR="00F229A9" w:rsidRPr="00F229A9" w:rsidRDefault="00F229A9" w:rsidP="009943BC">
      <w:pPr>
        <w:pStyle w:val="Bibliography"/>
        <w:spacing w:line="240" w:lineRule="auto"/>
        <w:rPr>
          <w:lang w:val="en-GB"/>
        </w:rPr>
      </w:pPr>
      <w:r w:rsidRPr="00F229A9">
        <w:rPr>
          <w:lang w:val="en-GB"/>
        </w:rPr>
        <w:t>8.</w:t>
      </w:r>
      <w:r w:rsidRPr="00F229A9">
        <w:rPr>
          <w:lang w:val="en-GB"/>
        </w:rPr>
        <w:tab/>
        <w:t xml:space="preserve">Hickey, G. </w:t>
      </w:r>
      <w:r w:rsidRPr="00F229A9">
        <w:rPr>
          <w:i/>
          <w:iCs/>
          <w:lang w:val="en-GB"/>
        </w:rPr>
        <w:t>et al.</w:t>
      </w:r>
      <w:r w:rsidRPr="00F229A9">
        <w:rPr>
          <w:lang w:val="en-GB"/>
        </w:rPr>
        <w:t xml:space="preserve"> Pangenome graph construction from genome alignments with Minigraph-Cactus. </w:t>
      </w:r>
      <w:r w:rsidRPr="00F229A9">
        <w:rPr>
          <w:i/>
          <w:iCs/>
          <w:lang w:val="en-GB"/>
        </w:rPr>
        <w:t>Nat Biotechnol</w:t>
      </w:r>
      <w:r w:rsidRPr="00F229A9">
        <w:rPr>
          <w:lang w:val="en-GB"/>
        </w:rPr>
        <w:t xml:space="preserve"> </w:t>
      </w:r>
      <w:r w:rsidRPr="00F229A9">
        <w:rPr>
          <w:b/>
          <w:bCs/>
          <w:lang w:val="en-GB"/>
        </w:rPr>
        <w:t>42</w:t>
      </w:r>
      <w:r w:rsidRPr="00F229A9">
        <w:rPr>
          <w:lang w:val="en-GB"/>
        </w:rPr>
        <w:t>, 663–673 (2024).</w:t>
      </w:r>
    </w:p>
    <w:p w14:paraId="4DE666A9" w14:textId="5FA5A342" w:rsidR="00D73BDF" w:rsidRDefault="00B20E3E" w:rsidP="009943BC">
      <w:pPr>
        <w:spacing w:line="240" w:lineRule="auto"/>
        <w:jc w:val="left"/>
      </w:pPr>
      <w:r>
        <w:fldChar w:fldCharType="end"/>
      </w:r>
    </w:p>
    <w:sectPr w:rsidR="00D73BDF" w:rsidSect="00494A26">
      <w:headerReference w:type="even" r:id="rId29"/>
      <w:headerReference w:type="default" r:id="rId30"/>
      <w:footerReference w:type="even" r:id="rId31"/>
      <w:footerReference w:type="default" r:id="rId32"/>
      <w:headerReference w:type="first" r:id="rId33"/>
      <w:footerReference w:type="first" r:id="rId34"/>
      <w:pgSz w:w="11900" w:h="16840"/>
      <w:pgMar w:top="1440" w:right="1440" w:bottom="1440" w:left="144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79E51B" w14:textId="77777777" w:rsidR="00421CD0" w:rsidRDefault="00421CD0" w:rsidP="00D77383">
      <w:pPr>
        <w:spacing w:line="240" w:lineRule="auto"/>
      </w:pPr>
      <w:r>
        <w:separator/>
      </w:r>
    </w:p>
  </w:endnote>
  <w:endnote w:type="continuationSeparator" w:id="0">
    <w:p w14:paraId="7959CA07" w14:textId="77777777" w:rsidR="00421CD0" w:rsidRDefault="00421CD0" w:rsidP="00D7738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8731362"/>
      <w:docPartObj>
        <w:docPartGallery w:val="Page Numbers (Bottom of Page)"/>
        <w:docPartUnique/>
      </w:docPartObj>
    </w:sdtPr>
    <w:sdtContent>
      <w:p w14:paraId="4FF251E1" w14:textId="7D82D25E" w:rsidR="00D77383" w:rsidRDefault="00D77383" w:rsidP="005F463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37FFBF9" w14:textId="77777777" w:rsidR="00D77383" w:rsidRDefault="00D77383" w:rsidP="00D7738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15581604"/>
      <w:docPartObj>
        <w:docPartGallery w:val="Page Numbers (Bottom of Page)"/>
        <w:docPartUnique/>
      </w:docPartObj>
    </w:sdtPr>
    <w:sdtContent>
      <w:p w14:paraId="598FD30E" w14:textId="45657CEC" w:rsidR="00D77383" w:rsidRDefault="00D77383" w:rsidP="005F463C">
        <w:pPr>
          <w:pStyle w:val="Footer"/>
          <w:framePr w:wrap="none" w:vAnchor="text" w:hAnchor="margin" w:xAlign="right" w:y="1"/>
          <w:rPr>
            <w:rStyle w:val="PageNumber"/>
          </w:rPr>
        </w:pPr>
        <w:r w:rsidRPr="00BB4CF8">
          <w:rPr>
            <w:rStyle w:val="PageNumber"/>
            <w:sz w:val="18"/>
            <w:szCs w:val="18"/>
          </w:rPr>
          <w:fldChar w:fldCharType="begin"/>
        </w:r>
        <w:r w:rsidRPr="00BB4CF8">
          <w:rPr>
            <w:rStyle w:val="PageNumber"/>
            <w:sz w:val="18"/>
            <w:szCs w:val="18"/>
          </w:rPr>
          <w:instrText xml:space="preserve"> PAGE </w:instrText>
        </w:r>
        <w:r w:rsidRPr="00BB4CF8">
          <w:rPr>
            <w:rStyle w:val="PageNumber"/>
            <w:sz w:val="18"/>
            <w:szCs w:val="18"/>
          </w:rPr>
          <w:fldChar w:fldCharType="separate"/>
        </w:r>
        <w:r w:rsidRPr="00BB4CF8">
          <w:rPr>
            <w:rStyle w:val="PageNumber"/>
            <w:noProof/>
            <w:sz w:val="18"/>
            <w:szCs w:val="18"/>
          </w:rPr>
          <w:t>1</w:t>
        </w:r>
        <w:r w:rsidRPr="00BB4CF8">
          <w:rPr>
            <w:rStyle w:val="PageNumber"/>
            <w:sz w:val="18"/>
            <w:szCs w:val="18"/>
          </w:rPr>
          <w:fldChar w:fldCharType="end"/>
        </w:r>
      </w:p>
    </w:sdtContent>
  </w:sdt>
  <w:p w14:paraId="672A3713" w14:textId="77777777" w:rsidR="00D77383" w:rsidRDefault="00D77383" w:rsidP="00D77383">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0E8BA" w14:textId="77777777" w:rsidR="00BB4CF8" w:rsidRDefault="00BB4C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F2CAB5" w14:textId="77777777" w:rsidR="00421CD0" w:rsidRDefault="00421CD0" w:rsidP="00D77383">
      <w:pPr>
        <w:spacing w:line="240" w:lineRule="auto"/>
      </w:pPr>
      <w:r>
        <w:separator/>
      </w:r>
    </w:p>
  </w:footnote>
  <w:footnote w:type="continuationSeparator" w:id="0">
    <w:p w14:paraId="71B2A6CC" w14:textId="77777777" w:rsidR="00421CD0" w:rsidRDefault="00421CD0" w:rsidP="00D7738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1C6DB" w14:textId="77777777" w:rsidR="00BB4CF8" w:rsidRDefault="00BB4CF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707D7" w14:textId="77777777" w:rsidR="00BB4CF8" w:rsidRDefault="00BB4CF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706F6" w14:textId="77777777" w:rsidR="00BB4CF8" w:rsidRDefault="00BB4CF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084A22"/>
    <w:multiLevelType w:val="multilevel"/>
    <w:tmpl w:val="86BA33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E7A6BDB"/>
    <w:multiLevelType w:val="multilevel"/>
    <w:tmpl w:val="1C621D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EA975AB"/>
    <w:multiLevelType w:val="multilevel"/>
    <w:tmpl w:val="D51E8D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6AF4EF0"/>
    <w:multiLevelType w:val="multilevel"/>
    <w:tmpl w:val="46A0CF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C7F2CA4"/>
    <w:multiLevelType w:val="multilevel"/>
    <w:tmpl w:val="709A5D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CA0277A"/>
    <w:multiLevelType w:val="multilevel"/>
    <w:tmpl w:val="697AEA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E2E1A01"/>
    <w:multiLevelType w:val="multilevel"/>
    <w:tmpl w:val="B0DA2E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41AD59EF"/>
    <w:multiLevelType w:val="multilevel"/>
    <w:tmpl w:val="BACCC3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666F7A87"/>
    <w:multiLevelType w:val="hybridMultilevel"/>
    <w:tmpl w:val="A544AAFE"/>
    <w:lvl w:ilvl="0" w:tplc="EA14C572">
      <w:start w:val="989"/>
      <w:numFmt w:val="bullet"/>
      <w:lvlText w:val=""/>
      <w:lvlJc w:val="left"/>
      <w:pPr>
        <w:ind w:left="720" w:hanging="360"/>
      </w:pPr>
      <w:rPr>
        <w:rFonts w:ascii="Symbol" w:eastAsiaTheme="minorEastAsia"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C2B06F1"/>
    <w:multiLevelType w:val="multilevel"/>
    <w:tmpl w:val="E1702A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400375582">
    <w:abstractNumId w:val="3"/>
  </w:num>
  <w:num w:numId="2" w16cid:durableId="88543789">
    <w:abstractNumId w:val="1"/>
  </w:num>
  <w:num w:numId="3" w16cid:durableId="850340492">
    <w:abstractNumId w:val="5"/>
  </w:num>
  <w:num w:numId="4" w16cid:durableId="1723476617">
    <w:abstractNumId w:val="9"/>
  </w:num>
  <w:num w:numId="5" w16cid:durableId="1909270721">
    <w:abstractNumId w:val="4"/>
  </w:num>
  <w:num w:numId="6" w16cid:durableId="566231946">
    <w:abstractNumId w:val="7"/>
  </w:num>
  <w:num w:numId="7" w16cid:durableId="505285252">
    <w:abstractNumId w:val="0"/>
  </w:num>
  <w:num w:numId="8" w16cid:durableId="2027753855">
    <w:abstractNumId w:val="6"/>
  </w:num>
  <w:num w:numId="9" w16cid:durableId="1389455273">
    <w:abstractNumId w:val="2"/>
  </w:num>
  <w:num w:numId="10" w16cid:durableId="4147849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6C55"/>
    <w:rsid w:val="00000988"/>
    <w:rsid w:val="000163F3"/>
    <w:rsid w:val="000224B4"/>
    <w:rsid w:val="000230DE"/>
    <w:rsid w:val="00023702"/>
    <w:rsid w:val="00024530"/>
    <w:rsid w:val="00027BAE"/>
    <w:rsid w:val="0003780E"/>
    <w:rsid w:val="00037CF5"/>
    <w:rsid w:val="00044796"/>
    <w:rsid w:val="00047942"/>
    <w:rsid w:val="000515F2"/>
    <w:rsid w:val="00052245"/>
    <w:rsid w:val="00052BDA"/>
    <w:rsid w:val="00054D06"/>
    <w:rsid w:val="000634CA"/>
    <w:rsid w:val="00065B5E"/>
    <w:rsid w:val="00073800"/>
    <w:rsid w:val="00075B11"/>
    <w:rsid w:val="00076276"/>
    <w:rsid w:val="000763E2"/>
    <w:rsid w:val="00081756"/>
    <w:rsid w:val="000903B4"/>
    <w:rsid w:val="000B37EF"/>
    <w:rsid w:val="000B77F0"/>
    <w:rsid w:val="000C6C55"/>
    <w:rsid w:val="000D4D85"/>
    <w:rsid w:val="000D5089"/>
    <w:rsid w:val="000E0E04"/>
    <w:rsid w:val="000E2686"/>
    <w:rsid w:val="000E5D52"/>
    <w:rsid w:val="000E6666"/>
    <w:rsid w:val="000F3A7C"/>
    <w:rsid w:val="0010166A"/>
    <w:rsid w:val="0010248A"/>
    <w:rsid w:val="00103D72"/>
    <w:rsid w:val="00105D57"/>
    <w:rsid w:val="00120185"/>
    <w:rsid w:val="00120DFA"/>
    <w:rsid w:val="0012114A"/>
    <w:rsid w:val="00124189"/>
    <w:rsid w:val="00124CC9"/>
    <w:rsid w:val="00127D21"/>
    <w:rsid w:val="00132533"/>
    <w:rsid w:val="0013389F"/>
    <w:rsid w:val="00134059"/>
    <w:rsid w:val="00142D60"/>
    <w:rsid w:val="001504EE"/>
    <w:rsid w:val="001569D9"/>
    <w:rsid w:val="001575D7"/>
    <w:rsid w:val="00161EC1"/>
    <w:rsid w:val="00161F87"/>
    <w:rsid w:val="00164426"/>
    <w:rsid w:val="00173E9C"/>
    <w:rsid w:val="00181BF7"/>
    <w:rsid w:val="00184621"/>
    <w:rsid w:val="00184B1C"/>
    <w:rsid w:val="00185E51"/>
    <w:rsid w:val="001919CC"/>
    <w:rsid w:val="001A7D57"/>
    <w:rsid w:val="001B41B2"/>
    <w:rsid w:val="001C1799"/>
    <w:rsid w:val="001C55E4"/>
    <w:rsid w:val="001D05B5"/>
    <w:rsid w:val="001D0A71"/>
    <w:rsid w:val="001D2DF0"/>
    <w:rsid w:val="001D49F6"/>
    <w:rsid w:val="001D6BB7"/>
    <w:rsid w:val="001E239B"/>
    <w:rsid w:val="001F4B5C"/>
    <w:rsid w:val="002067A1"/>
    <w:rsid w:val="002165F9"/>
    <w:rsid w:val="00221FFA"/>
    <w:rsid w:val="00223739"/>
    <w:rsid w:val="00224634"/>
    <w:rsid w:val="00225CC2"/>
    <w:rsid w:val="00226E60"/>
    <w:rsid w:val="002270B8"/>
    <w:rsid w:val="00227137"/>
    <w:rsid w:val="00232C1A"/>
    <w:rsid w:val="0023434F"/>
    <w:rsid w:val="002346C1"/>
    <w:rsid w:val="0024355C"/>
    <w:rsid w:val="00256AC8"/>
    <w:rsid w:val="002630D1"/>
    <w:rsid w:val="0026399A"/>
    <w:rsid w:val="00265B2D"/>
    <w:rsid w:val="002667C9"/>
    <w:rsid w:val="002708B9"/>
    <w:rsid w:val="00274EDE"/>
    <w:rsid w:val="002752BD"/>
    <w:rsid w:val="00275D1F"/>
    <w:rsid w:val="00285EA8"/>
    <w:rsid w:val="002A3A74"/>
    <w:rsid w:val="002B03C4"/>
    <w:rsid w:val="002B376F"/>
    <w:rsid w:val="002B72CA"/>
    <w:rsid w:val="002C2D79"/>
    <w:rsid w:val="002C6A3F"/>
    <w:rsid w:val="002D2AEA"/>
    <w:rsid w:val="002D33A1"/>
    <w:rsid w:val="002F11A1"/>
    <w:rsid w:val="002F2DD9"/>
    <w:rsid w:val="00312CDD"/>
    <w:rsid w:val="00313585"/>
    <w:rsid w:val="00325768"/>
    <w:rsid w:val="003259CE"/>
    <w:rsid w:val="003306A7"/>
    <w:rsid w:val="003424D1"/>
    <w:rsid w:val="003424F2"/>
    <w:rsid w:val="00346C0A"/>
    <w:rsid w:val="0035558F"/>
    <w:rsid w:val="003609CF"/>
    <w:rsid w:val="00362095"/>
    <w:rsid w:val="00370D5C"/>
    <w:rsid w:val="003729BA"/>
    <w:rsid w:val="00372ADF"/>
    <w:rsid w:val="00372D23"/>
    <w:rsid w:val="003802E3"/>
    <w:rsid w:val="00383342"/>
    <w:rsid w:val="003870E0"/>
    <w:rsid w:val="003923C0"/>
    <w:rsid w:val="003A11D8"/>
    <w:rsid w:val="003A356B"/>
    <w:rsid w:val="003A3BA3"/>
    <w:rsid w:val="003A5A7E"/>
    <w:rsid w:val="003A6F75"/>
    <w:rsid w:val="003B22F7"/>
    <w:rsid w:val="003C250D"/>
    <w:rsid w:val="003D03CC"/>
    <w:rsid w:val="003D0A48"/>
    <w:rsid w:val="003E21A8"/>
    <w:rsid w:val="003E2480"/>
    <w:rsid w:val="003E43D8"/>
    <w:rsid w:val="003F79C7"/>
    <w:rsid w:val="0040330B"/>
    <w:rsid w:val="00404B22"/>
    <w:rsid w:val="00405CE2"/>
    <w:rsid w:val="00410204"/>
    <w:rsid w:val="00412464"/>
    <w:rsid w:val="00413A9A"/>
    <w:rsid w:val="00415AC3"/>
    <w:rsid w:val="00421CD0"/>
    <w:rsid w:val="00423A26"/>
    <w:rsid w:val="004304FA"/>
    <w:rsid w:val="00435751"/>
    <w:rsid w:val="004444B9"/>
    <w:rsid w:val="004445B7"/>
    <w:rsid w:val="00447666"/>
    <w:rsid w:val="00452200"/>
    <w:rsid w:val="00452A51"/>
    <w:rsid w:val="00453172"/>
    <w:rsid w:val="00462315"/>
    <w:rsid w:val="00465883"/>
    <w:rsid w:val="00466725"/>
    <w:rsid w:val="00482FA3"/>
    <w:rsid w:val="00484884"/>
    <w:rsid w:val="00487693"/>
    <w:rsid w:val="00491AA1"/>
    <w:rsid w:val="00494479"/>
    <w:rsid w:val="00494A26"/>
    <w:rsid w:val="00497035"/>
    <w:rsid w:val="004A0BA9"/>
    <w:rsid w:val="004A338A"/>
    <w:rsid w:val="004A350C"/>
    <w:rsid w:val="004A3E02"/>
    <w:rsid w:val="004B2D58"/>
    <w:rsid w:val="004B530E"/>
    <w:rsid w:val="004C1DDF"/>
    <w:rsid w:val="004C3357"/>
    <w:rsid w:val="004D5782"/>
    <w:rsid w:val="004E1A43"/>
    <w:rsid w:val="004E474A"/>
    <w:rsid w:val="004F67B4"/>
    <w:rsid w:val="00500462"/>
    <w:rsid w:val="00501F19"/>
    <w:rsid w:val="0050294C"/>
    <w:rsid w:val="005070B8"/>
    <w:rsid w:val="005110DB"/>
    <w:rsid w:val="005122E8"/>
    <w:rsid w:val="00520EBD"/>
    <w:rsid w:val="00524EEF"/>
    <w:rsid w:val="00525BC8"/>
    <w:rsid w:val="00533798"/>
    <w:rsid w:val="0053657E"/>
    <w:rsid w:val="005370A9"/>
    <w:rsid w:val="00537A7C"/>
    <w:rsid w:val="005441F6"/>
    <w:rsid w:val="0054479C"/>
    <w:rsid w:val="00547952"/>
    <w:rsid w:val="00552237"/>
    <w:rsid w:val="00552C12"/>
    <w:rsid w:val="00552D24"/>
    <w:rsid w:val="00553237"/>
    <w:rsid w:val="00555F10"/>
    <w:rsid w:val="00564E8F"/>
    <w:rsid w:val="005663CB"/>
    <w:rsid w:val="00573827"/>
    <w:rsid w:val="005804E9"/>
    <w:rsid w:val="005822FD"/>
    <w:rsid w:val="00584606"/>
    <w:rsid w:val="00587087"/>
    <w:rsid w:val="00590BDF"/>
    <w:rsid w:val="005917DD"/>
    <w:rsid w:val="00593CBF"/>
    <w:rsid w:val="00594203"/>
    <w:rsid w:val="00595ED3"/>
    <w:rsid w:val="005A0985"/>
    <w:rsid w:val="005A2572"/>
    <w:rsid w:val="005A2F5F"/>
    <w:rsid w:val="005A65DB"/>
    <w:rsid w:val="005A7717"/>
    <w:rsid w:val="005A7749"/>
    <w:rsid w:val="005B5C79"/>
    <w:rsid w:val="005C0733"/>
    <w:rsid w:val="005C4D36"/>
    <w:rsid w:val="005C71E9"/>
    <w:rsid w:val="005C7577"/>
    <w:rsid w:val="005D4A6C"/>
    <w:rsid w:val="005D6157"/>
    <w:rsid w:val="005E589C"/>
    <w:rsid w:val="005E58A9"/>
    <w:rsid w:val="005E73ED"/>
    <w:rsid w:val="005F403A"/>
    <w:rsid w:val="00600688"/>
    <w:rsid w:val="006045B3"/>
    <w:rsid w:val="006060E9"/>
    <w:rsid w:val="00611E9B"/>
    <w:rsid w:val="006127BE"/>
    <w:rsid w:val="00623497"/>
    <w:rsid w:val="006266EB"/>
    <w:rsid w:val="00631400"/>
    <w:rsid w:val="006333E2"/>
    <w:rsid w:val="0063455E"/>
    <w:rsid w:val="00641DE1"/>
    <w:rsid w:val="006435AE"/>
    <w:rsid w:val="00651582"/>
    <w:rsid w:val="006517A4"/>
    <w:rsid w:val="00665C7E"/>
    <w:rsid w:val="006664A3"/>
    <w:rsid w:val="00672ACC"/>
    <w:rsid w:val="0067364B"/>
    <w:rsid w:val="006742CB"/>
    <w:rsid w:val="00674F7C"/>
    <w:rsid w:val="00680C03"/>
    <w:rsid w:val="00684967"/>
    <w:rsid w:val="00685FEE"/>
    <w:rsid w:val="00686457"/>
    <w:rsid w:val="0069176E"/>
    <w:rsid w:val="00692FEC"/>
    <w:rsid w:val="006959B8"/>
    <w:rsid w:val="006A11C2"/>
    <w:rsid w:val="006A2B6A"/>
    <w:rsid w:val="006A6881"/>
    <w:rsid w:val="006A7612"/>
    <w:rsid w:val="006C3C9E"/>
    <w:rsid w:val="006D08E4"/>
    <w:rsid w:val="006D0966"/>
    <w:rsid w:val="006D1A24"/>
    <w:rsid w:val="006D557B"/>
    <w:rsid w:val="006D6CC4"/>
    <w:rsid w:val="006E1ACB"/>
    <w:rsid w:val="006F0AEA"/>
    <w:rsid w:val="006F1A0D"/>
    <w:rsid w:val="006F2437"/>
    <w:rsid w:val="006F594F"/>
    <w:rsid w:val="006F7A71"/>
    <w:rsid w:val="007005E0"/>
    <w:rsid w:val="00703132"/>
    <w:rsid w:val="007131D7"/>
    <w:rsid w:val="00714145"/>
    <w:rsid w:val="00720E2A"/>
    <w:rsid w:val="00725D40"/>
    <w:rsid w:val="00726062"/>
    <w:rsid w:val="0073260B"/>
    <w:rsid w:val="00741769"/>
    <w:rsid w:val="00741E71"/>
    <w:rsid w:val="0074358C"/>
    <w:rsid w:val="00743649"/>
    <w:rsid w:val="0074365A"/>
    <w:rsid w:val="0074603A"/>
    <w:rsid w:val="00747891"/>
    <w:rsid w:val="00751C6C"/>
    <w:rsid w:val="0075582C"/>
    <w:rsid w:val="00763808"/>
    <w:rsid w:val="00764ECF"/>
    <w:rsid w:val="00765D93"/>
    <w:rsid w:val="00780977"/>
    <w:rsid w:val="0078250F"/>
    <w:rsid w:val="007849A4"/>
    <w:rsid w:val="00785F7B"/>
    <w:rsid w:val="00787677"/>
    <w:rsid w:val="00791E65"/>
    <w:rsid w:val="00793840"/>
    <w:rsid w:val="00795467"/>
    <w:rsid w:val="007A20CB"/>
    <w:rsid w:val="007B1509"/>
    <w:rsid w:val="007B23F9"/>
    <w:rsid w:val="007C3F91"/>
    <w:rsid w:val="007D4D21"/>
    <w:rsid w:val="007D5BFC"/>
    <w:rsid w:val="007D74F5"/>
    <w:rsid w:val="007E07FB"/>
    <w:rsid w:val="007E143C"/>
    <w:rsid w:val="007E22F6"/>
    <w:rsid w:val="007E4E05"/>
    <w:rsid w:val="007F2E26"/>
    <w:rsid w:val="007F6F20"/>
    <w:rsid w:val="007F73CA"/>
    <w:rsid w:val="007F7D78"/>
    <w:rsid w:val="00803790"/>
    <w:rsid w:val="00803CDE"/>
    <w:rsid w:val="008108AE"/>
    <w:rsid w:val="00811032"/>
    <w:rsid w:val="0081190D"/>
    <w:rsid w:val="00812988"/>
    <w:rsid w:val="008148DA"/>
    <w:rsid w:val="00817879"/>
    <w:rsid w:val="008217C7"/>
    <w:rsid w:val="00833373"/>
    <w:rsid w:val="0083664C"/>
    <w:rsid w:val="0083703C"/>
    <w:rsid w:val="00843FB8"/>
    <w:rsid w:val="00847C16"/>
    <w:rsid w:val="00852A77"/>
    <w:rsid w:val="0085775C"/>
    <w:rsid w:val="00857CFD"/>
    <w:rsid w:val="008605DE"/>
    <w:rsid w:val="00862845"/>
    <w:rsid w:val="008661A5"/>
    <w:rsid w:val="00873C6E"/>
    <w:rsid w:val="00880623"/>
    <w:rsid w:val="0089278B"/>
    <w:rsid w:val="008A1042"/>
    <w:rsid w:val="008A334E"/>
    <w:rsid w:val="008B4A0D"/>
    <w:rsid w:val="008B5DF3"/>
    <w:rsid w:val="008B644B"/>
    <w:rsid w:val="008C1484"/>
    <w:rsid w:val="008C2AAA"/>
    <w:rsid w:val="008D18FA"/>
    <w:rsid w:val="008D7EC9"/>
    <w:rsid w:val="008E0283"/>
    <w:rsid w:val="008E2C0B"/>
    <w:rsid w:val="008E39A2"/>
    <w:rsid w:val="008E3F55"/>
    <w:rsid w:val="008E7D91"/>
    <w:rsid w:val="008F1ED9"/>
    <w:rsid w:val="008F35D1"/>
    <w:rsid w:val="008F5751"/>
    <w:rsid w:val="00900C4C"/>
    <w:rsid w:val="00902C88"/>
    <w:rsid w:val="00902EDA"/>
    <w:rsid w:val="00905D86"/>
    <w:rsid w:val="00905FB9"/>
    <w:rsid w:val="00907FF0"/>
    <w:rsid w:val="00915B77"/>
    <w:rsid w:val="0092136A"/>
    <w:rsid w:val="00921436"/>
    <w:rsid w:val="009220AF"/>
    <w:rsid w:val="009228F9"/>
    <w:rsid w:val="009304A1"/>
    <w:rsid w:val="00933304"/>
    <w:rsid w:val="00933A96"/>
    <w:rsid w:val="00934496"/>
    <w:rsid w:val="00941EBE"/>
    <w:rsid w:val="00947BE9"/>
    <w:rsid w:val="009501C1"/>
    <w:rsid w:val="00953B54"/>
    <w:rsid w:val="009643A7"/>
    <w:rsid w:val="00972432"/>
    <w:rsid w:val="00973AA6"/>
    <w:rsid w:val="00982C9F"/>
    <w:rsid w:val="009836C8"/>
    <w:rsid w:val="00985003"/>
    <w:rsid w:val="009943BC"/>
    <w:rsid w:val="009975D9"/>
    <w:rsid w:val="00997F36"/>
    <w:rsid w:val="009A0B91"/>
    <w:rsid w:val="009A15F2"/>
    <w:rsid w:val="009A39DB"/>
    <w:rsid w:val="009B0FA5"/>
    <w:rsid w:val="009C313D"/>
    <w:rsid w:val="009C32D8"/>
    <w:rsid w:val="009C4C6D"/>
    <w:rsid w:val="009D7112"/>
    <w:rsid w:val="009D7AEE"/>
    <w:rsid w:val="009E57DE"/>
    <w:rsid w:val="009E62E8"/>
    <w:rsid w:val="009E7143"/>
    <w:rsid w:val="009F0635"/>
    <w:rsid w:val="009F58C3"/>
    <w:rsid w:val="00A01AB5"/>
    <w:rsid w:val="00A02113"/>
    <w:rsid w:val="00A02887"/>
    <w:rsid w:val="00A12278"/>
    <w:rsid w:val="00A24581"/>
    <w:rsid w:val="00A248E4"/>
    <w:rsid w:val="00A27546"/>
    <w:rsid w:val="00A31C5F"/>
    <w:rsid w:val="00A32830"/>
    <w:rsid w:val="00A374F2"/>
    <w:rsid w:val="00A41021"/>
    <w:rsid w:val="00A43C2B"/>
    <w:rsid w:val="00A508C5"/>
    <w:rsid w:val="00A520B8"/>
    <w:rsid w:val="00A53147"/>
    <w:rsid w:val="00A55733"/>
    <w:rsid w:val="00A568B1"/>
    <w:rsid w:val="00A76E4C"/>
    <w:rsid w:val="00A80A1A"/>
    <w:rsid w:val="00A854A8"/>
    <w:rsid w:val="00A930C4"/>
    <w:rsid w:val="00A93673"/>
    <w:rsid w:val="00A9531A"/>
    <w:rsid w:val="00AA7205"/>
    <w:rsid w:val="00AB3DB4"/>
    <w:rsid w:val="00AB41AB"/>
    <w:rsid w:val="00AB42BE"/>
    <w:rsid w:val="00AC1FA6"/>
    <w:rsid w:val="00AC220A"/>
    <w:rsid w:val="00AD118D"/>
    <w:rsid w:val="00AD6B37"/>
    <w:rsid w:val="00AE4D9D"/>
    <w:rsid w:val="00AF6234"/>
    <w:rsid w:val="00B012D8"/>
    <w:rsid w:val="00B019DB"/>
    <w:rsid w:val="00B058E8"/>
    <w:rsid w:val="00B12996"/>
    <w:rsid w:val="00B169A9"/>
    <w:rsid w:val="00B20E3E"/>
    <w:rsid w:val="00B215E4"/>
    <w:rsid w:val="00B26E5D"/>
    <w:rsid w:val="00B27353"/>
    <w:rsid w:val="00B34F57"/>
    <w:rsid w:val="00B3621D"/>
    <w:rsid w:val="00B41C41"/>
    <w:rsid w:val="00B44567"/>
    <w:rsid w:val="00B4503D"/>
    <w:rsid w:val="00B514F4"/>
    <w:rsid w:val="00B53C6E"/>
    <w:rsid w:val="00B674F9"/>
    <w:rsid w:val="00B70DFC"/>
    <w:rsid w:val="00B71B0F"/>
    <w:rsid w:val="00B80EC9"/>
    <w:rsid w:val="00B845E2"/>
    <w:rsid w:val="00B851AF"/>
    <w:rsid w:val="00BA5740"/>
    <w:rsid w:val="00BA60DB"/>
    <w:rsid w:val="00BB4CF8"/>
    <w:rsid w:val="00BB6CE9"/>
    <w:rsid w:val="00BB7DAD"/>
    <w:rsid w:val="00BC107B"/>
    <w:rsid w:val="00BC31BB"/>
    <w:rsid w:val="00BD39A9"/>
    <w:rsid w:val="00BE0AE1"/>
    <w:rsid w:val="00BE3CB6"/>
    <w:rsid w:val="00BE50BE"/>
    <w:rsid w:val="00BF22A6"/>
    <w:rsid w:val="00BF662E"/>
    <w:rsid w:val="00BF79B9"/>
    <w:rsid w:val="00C003D1"/>
    <w:rsid w:val="00C0613A"/>
    <w:rsid w:val="00C11708"/>
    <w:rsid w:val="00C14167"/>
    <w:rsid w:val="00C2159C"/>
    <w:rsid w:val="00C21CB4"/>
    <w:rsid w:val="00C24887"/>
    <w:rsid w:val="00C259BD"/>
    <w:rsid w:val="00C2749B"/>
    <w:rsid w:val="00C3284C"/>
    <w:rsid w:val="00C34247"/>
    <w:rsid w:val="00C45810"/>
    <w:rsid w:val="00C51974"/>
    <w:rsid w:val="00C604DE"/>
    <w:rsid w:val="00C62A81"/>
    <w:rsid w:val="00C64F0E"/>
    <w:rsid w:val="00C66411"/>
    <w:rsid w:val="00C74637"/>
    <w:rsid w:val="00C777EC"/>
    <w:rsid w:val="00C815B4"/>
    <w:rsid w:val="00C825DD"/>
    <w:rsid w:val="00C933D8"/>
    <w:rsid w:val="00C9492D"/>
    <w:rsid w:val="00CA3E5B"/>
    <w:rsid w:val="00CA3EF2"/>
    <w:rsid w:val="00CB1938"/>
    <w:rsid w:val="00CB69E6"/>
    <w:rsid w:val="00CC186F"/>
    <w:rsid w:val="00CC1FA7"/>
    <w:rsid w:val="00CC27E4"/>
    <w:rsid w:val="00CC37E2"/>
    <w:rsid w:val="00CC6F01"/>
    <w:rsid w:val="00CD2889"/>
    <w:rsid w:val="00CD2EB2"/>
    <w:rsid w:val="00CD2FF7"/>
    <w:rsid w:val="00CD31A8"/>
    <w:rsid w:val="00CE035E"/>
    <w:rsid w:val="00CE03D5"/>
    <w:rsid w:val="00CE1504"/>
    <w:rsid w:val="00CE2430"/>
    <w:rsid w:val="00CE6730"/>
    <w:rsid w:val="00CE75F2"/>
    <w:rsid w:val="00CE7A80"/>
    <w:rsid w:val="00D05B7F"/>
    <w:rsid w:val="00D05F8F"/>
    <w:rsid w:val="00D1113A"/>
    <w:rsid w:val="00D1214B"/>
    <w:rsid w:val="00D128C5"/>
    <w:rsid w:val="00D1332B"/>
    <w:rsid w:val="00D25059"/>
    <w:rsid w:val="00D27F15"/>
    <w:rsid w:val="00D41C85"/>
    <w:rsid w:val="00D542AE"/>
    <w:rsid w:val="00D55AE3"/>
    <w:rsid w:val="00D57E91"/>
    <w:rsid w:val="00D62115"/>
    <w:rsid w:val="00D65C9B"/>
    <w:rsid w:val="00D66951"/>
    <w:rsid w:val="00D731DA"/>
    <w:rsid w:val="00D73BDF"/>
    <w:rsid w:val="00D77383"/>
    <w:rsid w:val="00D80A70"/>
    <w:rsid w:val="00D80E46"/>
    <w:rsid w:val="00D87563"/>
    <w:rsid w:val="00D8775F"/>
    <w:rsid w:val="00D90B5D"/>
    <w:rsid w:val="00D90DCD"/>
    <w:rsid w:val="00D96F60"/>
    <w:rsid w:val="00DA0C11"/>
    <w:rsid w:val="00DA17B1"/>
    <w:rsid w:val="00DA35E4"/>
    <w:rsid w:val="00DA77C2"/>
    <w:rsid w:val="00DB22B8"/>
    <w:rsid w:val="00DB5993"/>
    <w:rsid w:val="00DC32A1"/>
    <w:rsid w:val="00DC4C70"/>
    <w:rsid w:val="00DD10B0"/>
    <w:rsid w:val="00DD38DB"/>
    <w:rsid w:val="00DE0DD7"/>
    <w:rsid w:val="00DE2D95"/>
    <w:rsid w:val="00DE4D14"/>
    <w:rsid w:val="00DE6B5A"/>
    <w:rsid w:val="00DE7AAE"/>
    <w:rsid w:val="00DE7E7B"/>
    <w:rsid w:val="00DF0D04"/>
    <w:rsid w:val="00DF2ADC"/>
    <w:rsid w:val="00DF6608"/>
    <w:rsid w:val="00E00B12"/>
    <w:rsid w:val="00E02D70"/>
    <w:rsid w:val="00E06699"/>
    <w:rsid w:val="00E103AC"/>
    <w:rsid w:val="00E10787"/>
    <w:rsid w:val="00E12C1D"/>
    <w:rsid w:val="00E16895"/>
    <w:rsid w:val="00E20403"/>
    <w:rsid w:val="00E2049D"/>
    <w:rsid w:val="00E209FB"/>
    <w:rsid w:val="00E2289B"/>
    <w:rsid w:val="00E3387D"/>
    <w:rsid w:val="00E42BB9"/>
    <w:rsid w:val="00E54D48"/>
    <w:rsid w:val="00E56B9F"/>
    <w:rsid w:val="00E75DA3"/>
    <w:rsid w:val="00E7713E"/>
    <w:rsid w:val="00E77827"/>
    <w:rsid w:val="00E81272"/>
    <w:rsid w:val="00E81BDE"/>
    <w:rsid w:val="00E83332"/>
    <w:rsid w:val="00E8614F"/>
    <w:rsid w:val="00E87D37"/>
    <w:rsid w:val="00E9247A"/>
    <w:rsid w:val="00E95EA7"/>
    <w:rsid w:val="00EA2454"/>
    <w:rsid w:val="00EA54CC"/>
    <w:rsid w:val="00EB69D6"/>
    <w:rsid w:val="00EC5F08"/>
    <w:rsid w:val="00ED38CF"/>
    <w:rsid w:val="00ED573F"/>
    <w:rsid w:val="00EE2A24"/>
    <w:rsid w:val="00EE4AD2"/>
    <w:rsid w:val="00F03B80"/>
    <w:rsid w:val="00F06CB2"/>
    <w:rsid w:val="00F100D5"/>
    <w:rsid w:val="00F15F5F"/>
    <w:rsid w:val="00F21097"/>
    <w:rsid w:val="00F2163A"/>
    <w:rsid w:val="00F229A9"/>
    <w:rsid w:val="00F2326A"/>
    <w:rsid w:val="00F24D38"/>
    <w:rsid w:val="00F25854"/>
    <w:rsid w:val="00F25DBD"/>
    <w:rsid w:val="00F30BDD"/>
    <w:rsid w:val="00F30D24"/>
    <w:rsid w:val="00F30EA5"/>
    <w:rsid w:val="00F3428D"/>
    <w:rsid w:val="00F35336"/>
    <w:rsid w:val="00F361FD"/>
    <w:rsid w:val="00F4711E"/>
    <w:rsid w:val="00F4772F"/>
    <w:rsid w:val="00F53793"/>
    <w:rsid w:val="00F6108F"/>
    <w:rsid w:val="00F646CD"/>
    <w:rsid w:val="00F74C0E"/>
    <w:rsid w:val="00F81EA7"/>
    <w:rsid w:val="00F82D51"/>
    <w:rsid w:val="00F8717A"/>
    <w:rsid w:val="00F87461"/>
    <w:rsid w:val="00F8787F"/>
    <w:rsid w:val="00F95068"/>
    <w:rsid w:val="00F95CD7"/>
    <w:rsid w:val="00F95CFE"/>
    <w:rsid w:val="00FB274E"/>
    <w:rsid w:val="00FB4F94"/>
    <w:rsid w:val="00FB73AA"/>
    <w:rsid w:val="00FC2B0C"/>
    <w:rsid w:val="00FC4306"/>
    <w:rsid w:val="00FC7FE3"/>
    <w:rsid w:val="00FD2938"/>
    <w:rsid w:val="00FD6A04"/>
    <w:rsid w:val="00FE0E58"/>
    <w:rsid w:val="00FE137B"/>
    <w:rsid w:val="00FE2B5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403BD9"/>
  <w15:docId w15:val="{B8616CD8-AFCA-484E-8BD0-FF782DAC1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fr-F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5DBD"/>
    <w:pPr>
      <w:jc w:val="both"/>
    </w:pPr>
    <w:rPr>
      <w:rFonts w:ascii="Times New Roman" w:hAnsi="Times New Roman" w:cs="Times New Roman"/>
    </w:rPr>
  </w:style>
  <w:style w:type="paragraph" w:styleId="Heading1">
    <w:name w:val="heading 1"/>
    <w:basedOn w:val="Normal"/>
    <w:next w:val="Normal"/>
    <w:uiPriority w:val="9"/>
    <w:qFormat/>
    <w:rsid w:val="000D5089"/>
    <w:pPr>
      <w:keepNext/>
      <w:keepLines/>
      <w:spacing w:before="400" w:after="120"/>
      <w:outlineLvl w:val="0"/>
    </w:pPr>
    <w:rPr>
      <w:b/>
      <w:bCs/>
      <w:sz w:val="40"/>
      <w:szCs w:val="40"/>
    </w:rPr>
  </w:style>
  <w:style w:type="paragraph" w:styleId="Heading2">
    <w:name w:val="heading 2"/>
    <w:basedOn w:val="Normal"/>
    <w:next w:val="Normal"/>
    <w:uiPriority w:val="9"/>
    <w:unhideWhenUsed/>
    <w:qFormat/>
    <w:rsid w:val="000D5089"/>
    <w:pPr>
      <w:keepNext/>
      <w:keepLines/>
      <w:spacing w:before="360" w:after="120"/>
      <w:outlineLvl w:val="1"/>
    </w:pPr>
    <w:rPr>
      <w:b/>
      <w:bCs/>
      <w:sz w:val="32"/>
      <w:szCs w:val="32"/>
    </w:rPr>
  </w:style>
  <w:style w:type="paragraph" w:styleId="Heading3">
    <w:name w:val="heading 3"/>
    <w:basedOn w:val="Normal"/>
    <w:next w:val="Normal"/>
    <w:uiPriority w:val="9"/>
    <w:unhideWhenUsed/>
    <w:qFormat/>
    <w:rsid w:val="00F25DBD"/>
    <w:pPr>
      <w:keepNext/>
      <w:keepLines/>
      <w:spacing w:before="320" w:after="80"/>
      <w:outlineLvl w:val="2"/>
    </w:pPr>
    <w:rPr>
      <w:b/>
      <w:bCs/>
      <w:color w:val="434343"/>
      <w:sz w:val="28"/>
      <w:szCs w:val="28"/>
    </w:rPr>
  </w:style>
  <w:style w:type="paragraph" w:styleId="Heading4">
    <w:name w:val="heading 4"/>
    <w:basedOn w:val="Normal"/>
    <w:next w:val="Normal"/>
    <w:uiPriority w:val="9"/>
    <w:unhideWhenUsed/>
    <w:qFormat/>
    <w:pPr>
      <w:keepNext/>
      <w:keepLines/>
      <w:spacing w:before="280" w:after="80"/>
      <w:outlineLvl w:val="3"/>
    </w:pPr>
    <w:rPr>
      <w:color w:val="666666"/>
      <w:sz w:val="24"/>
      <w:szCs w:val="24"/>
    </w:rPr>
  </w:style>
  <w:style w:type="paragraph" w:styleId="Heading5">
    <w:name w:val="heading 5"/>
    <w:basedOn w:val="Normal"/>
    <w:next w:val="Normal"/>
    <w:uiPriority w:val="9"/>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1"/>
    <w:tblPr>
      <w:tblStyleRowBandSize w:val="1"/>
      <w:tblStyleColBandSize w:val="1"/>
      <w:tblCellMar>
        <w:top w:w="100" w:type="dxa"/>
        <w:left w:w="100" w:type="dxa"/>
        <w:bottom w:w="100" w:type="dxa"/>
        <w:right w:w="100" w:type="dxa"/>
      </w:tblCellMar>
    </w:tblPr>
  </w:style>
  <w:style w:type="table" w:customStyle="1" w:styleId="a0">
    <w:basedOn w:val="TableNormal1"/>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0E2686"/>
    <w:pPr>
      <w:ind w:left="720"/>
      <w:contextualSpacing/>
    </w:pPr>
  </w:style>
  <w:style w:type="paragraph" w:styleId="NormalWeb">
    <w:name w:val="Normal (Web)"/>
    <w:basedOn w:val="Normal"/>
    <w:uiPriority w:val="99"/>
    <w:semiHidden/>
    <w:unhideWhenUsed/>
    <w:rsid w:val="00A374F2"/>
    <w:pPr>
      <w:spacing w:before="100" w:beforeAutospacing="1" w:after="100" w:afterAutospacing="1" w:line="240" w:lineRule="auto"/>
    </w:pPr>
    <w:rPr>
      <w:rFonts w:eastAsia="Times New Roman"/>
      <w:sz w:val="24"/>
      <w:szCs w:val="24"/>
      <w:lang w:eastAsia="en-GB"/>
    </w:rPr>
  </w:style>
  <w:style w:type="table" w:styleId="TableGrid">
    <w:name w:val="Table Grid"/>
    <w:basedOn w:val="TableNormal"/>
    <w:uiPriority w:val="39"/>
    <w:rsid w:val="00F25DB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D77383"/>
    <w:pPr>
      <w:tabs>
        <w:tab w:val="center" w:pos="4513"/>
        <w:tab w:val="right" w:pos="9026"/>
      </w:tabs>
      <w:spacing w:line="240" w:lineRule="auto"/>
    </w:pPr>
  </w:style>
  <w:style w:type="character" w:customStyle="1" w:styleId="FooterChar">
    <w:name w:val="Footer Char"/>
    <w:basedOn w:val="DefaultParagraphFont"/>
    <w:link w:val="Footer"/>
    <w:uiPriority w:val="99"/>
    <w:rsid w:val="00D77383"/>
    <w:rPr>
      <w:rFonts w:ascii="Times New Roman" w:hAnsi="Times New Roman" w:cs="Times New Roman"/>
    </w:rPr>
  </w:style>
  <w:style w:type="character" w:styleId="PageNumber">
    <w:name w:val="page number"/>
    <w:basedOn w:val="DefaultParagraphFont"/>
    <w:uiPriority w:val="99"/>
    <w:semiHidden/>
    <w:unhideWhenUsed/>
    <w:rsid w:val="00D77383"/>
  </w:style>
  <w:style w:type="paragraph" w:styleId="Header">
    <w:name w:val="header"/>
    <w:basedOn w:val="Normal"/>
    <w:link w:val="HeaderChar"/>
    <w:uiPriority w:val="99"/>
    <w:unhideWhenUsed/>
    <w:rsid w:val="00BB4CF8"/>
    <w:pPr>
      <w:tabs>
        <w:tab w:val="center" w:pos="4536"/>
        <w:tab w:val="right" w:pos="9072"/>
      </w:tabs>
      <w:spacing w:line="240" w:lineRule="auto"/>
    </w:pPr>
  </w:style>
  <w:style w:type="character" w:customStyle="1" w:styleId="HeaderChar">
    <w:name w:val="Header Char"/>
    <w:basedOn w:val="DefaultParagraphFont"/>
    <w:link w:val="Header"/>
    <w:uiPriority w:val="99"/>
    <w:rsid w:val="00BB4CF8"/>
    <w:rPr>
      <w:rFonts w:ascii="Times New Roman" w:hAnsi="Times New Roman" w:cs="Times New Roman"/>
    </w:rPr>
  </w:style>
  <w:style w:type="paragraph" w:styleId="TOCHeading">
    <w:name w:val="TOC Heading"/>
    <w:basedOn w:val="Heading1"/>
    <w:next w:val="Normal"/>
    <w:uiPriority w:val="39"/>
    <w:unhideWhenUsed/>
    <w:qFormat/>
    <w:rsid w:val="00D73BDF"/>
    <w:pPr>
      <w:spacing w:before="480" w:after="0"/>
      <w:jc w:val="left"/>
      <w:outlineLvl w:val="9"/>
    </w:pPr>
    <w:rPr>
      <w:rFonts w:asciiTheme="majorHAnsi" w:eastAsiaTheme="majorEastAsia" w:hAnsiTheme="majorHAnsi" w:cstheme="majorBidi"/>
      <w:color w:val="365F91" w:themeColor="accent1" w:themeShade="BF"/>
      <w:sz w:val="28"/>
      <w:szCs w:val="28"/>
      <w:lang w:val="en-US" w:eastAsia="en-US"/>
    </w:rPr>
  </w:style>
  <w:style w:type="paragraph" w:styleId="TOC1">
    <w:name w:val="toc 1"/>
    <w:basedOn w:val="Normal"/>
    <w:next w:val="Normal"/>
    <w:autoRedefine/>
    <w:uiPriority w:val="39"/>
    <w:unhideWhenUsed/>
    <w:rsid w:val="00D73BDF"/>
    <w:pPr>
      <w:spacing w:before="120"/>
      <w:jc w:val="left"/>
    </w:pPr>
    <w:rPr>
      <w:rFonts w:asciiTheme="minorHAnsi" w:hAnsiTheme="minorHAnsi"/>
      <w:bCs/>
      <w:i/>
      <w:iCs/>
      <w:sz w:val="24"/>
      <w:szCs w:val="24"/>
    </w:rPr>
  </w:style>
  <w:style w:type="paragraph" w:styleId="TOC2">
    <w:name w:val="toc 2"/>
    <w:basedOn w:val="Normal"/>
    <w:next w:val="Normal"/>
    <w:autoRedefine/>
    <w:uiPriority w:val="39"/>
    <w:unhideWhenUsed/>
    <w:rsid w:val="00D73BDF"/>
    <w:pPr>
      <w:spacing w:before="120"/>
      <w:ind w:left="220"/>
      <w:jc w:val="left"/>
    </w:pPr>
    <w:rPr>
      <w:rFonts w:asciiTheme="minorHAnsi" w:hAnsiTheme="minorHAnsi"/>
      <w:bCs/>
    </w:rPr>
  </w:style>
  <w:style w:type="character" w:styleId="Hyperlink">
    <w:name w:val="Hyperlink"/>
    <w:basedOn w:val="DefaultParagraphFont"/>
    <w:uiPriority w:val="99"/>
    <w:unhideWhenUsed/>
    <w:rsid w:val="00D73BDF"/>
    <w:rPr>
      <w:color w:val="0000FF" w:themeColor="hyperlink"/>
      <w:u w:val="single"/>
    </w:rPr>
  </w:style>
  <w:style w:type="paragraph" w:styleId="TOC3">
    <w:name w:val="toc 3"/>
    <w:basedOn w:val="Normal"/>
    <w:next w:val="Normal"/>
    <w:autoRedefine/>
    <w:uiPriority w:val="39"/>
    <w:semiHidden/>
    <w:unhideWhenUsed/>
    <w:rsid w:val="00D73BDF"/>
    <w:pPr>
      <w:ind w:left="440"/>
      <w:jc w:val="left"/>
    </w:pPr>
    <w:rPr>
      <w:rFonts w:asciiTheme="minorHAnsi" w:hAnsiTheme="minorHAnsi"/>
      <w:sz w:val="20"/>
      <w:szCs w:val="20"/>
    </w:rPr>
  </w:style>
  <w:style w:type="paragraph" w:styleId="TOC4">
    <w:name w:val="toc 4"/>
    <w:basedOn w:val="Normal"/>
    <w:next w:val="Normal"/>
    <w:autoRedefine/>
    <w:uiPriority w:val="39"/>
    <w:semiHidden/>
    <w:unhideWhenUsed/>
    <w:rsid w:val="00D73BDF"/>
    <w:pPr>
      <w:ind w:left="660"/>
      <w:jc w:val="left"/>
    </w:pPr>
    <w:rPr>
      <w:rFonts w:asciiTheme="minorHAnsi" w:hAnsiTheme="minorHAnsi"/>
      <w:sz w:val="20"/>
      <w:szCs w:val="20"/>
    </w:rPr>
  </w:style>
  <w:style w:type="paragraph" w:styleId="TOC5">
    <w:name w:val="toc 5"/>
    <w:basedOn w:val="Normal"/>
    <w:next w:val="Normal"/>
    <w:autoRedefine/>
    <w:uiPriority w:val="39"/>
    <w:semiHidden/>
    <w:unhideWhenUsed/>
    <w:rsid w:val="00D73BDF"/>
    <w:pPr>
      <w:ind w:left="880"/>
      <w:jc w:val="left"/>
    </w:pPr>
    <w:rPr>
      <w:rFonts w:asciiTheme="minorHAnsi" w:hAnsiTheme="minorHAnsi"/>
      <w:sz w:val="20"/>
      <w:szCs w:val="20"/>
    </w:rPr>
  </w:style>
  <w:style w:type="paragraph" w:styleId="TOC6">
    <w:name w:val="toc 6"/>
    <w:basedOn w:val="Normal"/>
    <w:next w:val="Normal"/>
    <w:autoRedefine/>
    <w:uiPriority w:val="39"/>
    <w:semiHidden/>
    <w:unhideWhenUsed/>
    <w:rsid w:val="00D73BDF"/>
    <w:pPr>
      <w:ind w:left="1100"/>
      <w:jc w:val="left"/>
    </w:pPr>
    <w:rPr>
      <w:rFonts w:asciiTheme="minorHAnsi" w:hAnsiTheme="minorHAnsi"/>
      <w:sz w:val="20"/>
      <w:szCs w:val="20"/>
    </w:rPr>
  </w:style>
  <w:style w:type="paragraph" w:styleId="TOC7">
    <w:name w:val="toc 7"/>
    <w:basedOn w:val="Normal"/>
    <w:next w:val="Normal"/>
    <w:autoRedefine/>
    <w:uiPriority w:val="39"/>
    <w:semiHidden/>
    <w:unhideWhenUsed/>
    <w:rsid w:val="00D73BDF"/>
    <w:pPr>
      <w:ind w:left="1320"/>
      <w:jc w:val="left"/>
    </w:pPr>
    <w:rPr>
      <w:rFonts w:asciiTheme="minorHAnsi" w:hAnsiTheme="minorHAnsi"/>
      <w:sz w:val="20"/>
      <w:szCs w:val="20"/>
    </w:rPr>
  </w:style>
  <w:style w:type="paragraph" w:styleId="TOC8">
    <w:name w:val="toc 8"/>
    <w:basedOn w:val="Normal"/>
    <w:next w:val="Normal"/>
    <w:autoRedefine/>
    <w:uiPriority w:val="39"/>
    <w:semiHidden/>
    <w:unhideWhenUsed/>
    <w:rsid w:val="00D73BDF"/>
    <w:pPr>
      <w:ind w:left="1540"/>
      <w:jc w:val="left"/>
    </w:pPr>
    <w:rPr>
      <w:rFonts w:asciiTheme="minorHAnsi" w:hAnsiTheme="minorHAnsi"/>
      <w:sz w:val="20"/>
      <w:szCs w:val="20"/>
    </w:rPr>
  </w:style>
  <w:style w:type="paragraph" w:styleId="TOC9">
    <w:name w:val="toc 9"/>
    <w:basedOn w:val="Normal"/>
    <w:next w:val="Normal"/>
    <w:autoRedefine/>
    <w:uiPriority w:val="39"/>
    <w:semiHidden/>
    <w:unhideWhenUsed/>
    <w:rsid w:val="00D73BDF"/>
    <w:pPr>
      <w:ind w:left="1760"/>
      <w:jc w:val="left"/>
    </w:pPr>
    <w:rPr>
      <w:rFonts w:asciiTheme="minorHAnsi" w:hAnsiTheme="minorHAnsi"/>
      <w:sz w:val="20"/>
      <w:szCs w:val="20"/>
    </w:rPr>
  </w:style>
  <w:style w:type="paragraph" w:styleId="Bibliography">
    <w:name w:val="Bibliography"/>
    <w:basedOn w:val="Normal"/>
    <w:next w:val="Normal"/>
    <w:uiPriority w:val="37"/>
    <w:unhideWhenUsed/>
    <w:rsid w:val="00D73BDF"/>
    <w:pPr>
      <w:tabs>
        <w:tab w:val="left" w:pos="260"/>
      </w:tabs>
      <w:spacing w:line="480" w:lineRule="auto"/>
      <w:ind w:left="264" w:hanging="26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2911908">
      <w:bodyDiv w:val="1"/>
      <w:marLeft w:val="0"/>
      <w:marRight w:val="0"/>
      <w:marTop w:val="0"/>
      <w:marBottom w:val="0"/>
      <w:divBdr>
        <w:top w:val="none" w:sz="0" w:space="0" w:color="auto"/>
        <w:left w:val="none" w:sz="0" w:space="0" w:color="auto"/>
        <w:bottom w:val="none" w:sz="0" w:space="0" w:color="auto"/>
        <w:right w:val="none" w:sz="0" w:space="0" w:color="auto"/>
      </w:divBdr>
    </w:div>
    <w:div w:id="1773360453">
      <w:bodyDiv w:val="1"/>
      <w:marLeft w:val="0"/>
      <w:marRight w:val="0"/>
      <w:marTop w:val="0"/>
      <w:marBottom w:val="0"/>
      <w:divBdr>
        <w:top w:val="none" w:sz="0" w:space="0" w:color="auto"/>
        <w:left w:val="none" w:sz="0" w:space="0" w:color="auto"/>
        <w:bottom w:val="none" w:sz="0" w:space="0" w:color="auto"/>
        <w:right w:val="none" w:sz="0" w:space="0" w:color="auto"/>
      </w:divBdr>
      <w:divsChild>
        <w:div w:id="1983925286">
          <w:marLeft w:val="0"/>
          <w:marRight w:val="0"/>
          <w:marTop w:val="0"/>
          <w:marBottom w:val="0"/>
          <w:divBdr>
            <w:top w:val="none" w:sz="0" w:space="0" w:color="auto"/>
            <w:left w:val="none" w:sz="0" w:space="0" w:color="auto"/>
            <w:bottom w:val="none" w:sz="0" w:space="0" w:color="auto"/>
            <w:right w:val="none" w:sz="0" w:space="0" w:color="auto"/>
          </w:divBdr>
          <w:divsChild>
            <w:div w:id="1693527173">
              <w:marLeft w:val="0"/>
              <w:marRight w:val="0"/>
              <w:marTop w:val="0"/>
              <w:marBottom w:val="0"/>
              <w:divBdr>
                <w:top w:val="none" w:sz="0" w:space="0" w:color="auto"/>
                <w:left w:val="none" w:sz="0" w:space="0" w:color="auto"/>
                <w:bottom w:val="none" w:sz="0" w:space="0" w:color="auto"/>
                <w:right w:val="none" w:sz="0" w:space="0" w:color="auto"/>
              </w:divBdr>
              <w:divsChild>
                <w:div w:id="371732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8997706">
      <w:bodyDiv w:val="1"/>
      <w:marLeft w:val="0"/>
      <w:marRight w:val="0"/>
      <w:marTop w:val="0"/>
      <w:marBottom w:val="0"/>
      <w:divBdr>
        <w:top w:val="none" w:sz="0" w:space="0" w:color="auto"/>
        <w:left w:val="none" w:sz="0" w:space="0" w:color="auto"/>
        <w:bottom w:val="none" w:sz="0" w:space="0" w:color="auto"/>
        <w:right w:val="none" w:sz="0" w:space="0" w:color="auto"/>
      </w:divBdr>
      <w:divsChild>
        <w:div w:id="1839534848">
          <w:marLeft w:val="0"/>
          <w:marRight w:val="0"/>
          <w:marTop w:val="0"/>
          <w:marBottom w:val="0"/>
          <w:divBdr>
            <w:top w:val="none" w:sz="0" w:space="0" w:color="auto"/>
            <w:left w:val="none" w:sz="0" w:space="0" w:color="auto"/>
            <w:bottom w:val="none" w:sz="0" w:space="0" w:color="auto"/>
            <w:right w:val="none" w:sz="0" w:space="0" w:color="auto"/>
          </w:divBdr>
          <w:divsChild>
            <w:div w:id="1033188075">
              <w:marLeft w:val="0"/>
              <w:marRight w:val="0"/>
              <w:marTop w:val="0"/>
              <w:marBottom w:val="0"/>
              <w:divBdr>
                <w:top w:val="none" w:sz="0" w:space="0" w:color="auto"/>
                <w:left w:val="none" w:sz="0" w:space="0" w:color="auto"/>
                <w:bottom w:val="none" w:sz="0" w:space="0" w:color="auto"/>
                <w:right w:val="none" w:sz="0" w:space="0" w:color="auto"/>
              </w:divBdr>
              <w:divsChild>
                <w:div w:id="2030182504">
                  <w:marLeft w:val="0"/>
                  <w:marRight w:val="0"/>
                  <w:marTop w:val="0"/>
                  <w:marBottom w:val="0"/>
                  <w:divBdr>
                    <w:top w:val="none" w:sz="0" w:space="0" w:color="auto"/>
                    <w:left w:val="none" w:sz="0" w:space="0" w:color="auto"/>
                    <w:bottom w:val="none" w:sz="0" w:space="0" w:color="auto"/>
                    <w:right w:val="none" w:sz="0" w:space="0" w:color="auto"/>
                  </w:divBdr>
                  <w:divsChild>
                    <w:div w:id="436682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71415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emf"/><Relationship Id="rId34"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header" Target="header2.xml"/><Relationship Id="rId35"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A1E051-C294-C54C-B0DA-ACFF4943DF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143</TotalTime>
  <Pages>22</Pages>
  <Words>6353</Words>
  <Characters>36213</Characters>
  <Application>Microsoft Office Word</Application>
  <DocSecurity>0</DocSecurity>
  <Lines>301</Lines>
  <Paragraphs>84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42482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Victor Loegler</cp:lastModifiedBy>
  <cp:revision>47</cp:revision>
  <cp:lastPrinted>2025-05-26T19:00:00Z</cp:lastPrinted>
  <dcterms:created xsi:type="dcterms:W3CDTF">2025-05-26T19:00:00Z</dcterms:created>
  <dcterms:modified xsi:type="dcterms:W3CDTF">2025-09-04T19:21:00Z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zotero-version="6.0.37"&gt;&lt;session id="VixaJDyE"/&gt;&lt;style id="http://www.zotero.org/styles/nature" hasBibliography="1" bibliographyStyleHasBeenSet="1"/&gt;&lt;prefs&gt;&lt;pref name="fieldType" value="Field"/&gt;&lt;/prefs&gt;&lt;/data&gt;</vt:lpwstr>
  </property>
</Properties>
</file>