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3104" w14:textId="77777777" w:rsidR="00D8713D" w:rsidRPr="00AC6336" w:rsidRDefault="00D8713D" w:rsidP="00D8713D">
      <w:pPr>
        <w:spacing w:after="0" w:line="480" w:lineRule="auto"/>
        <w:outlineLvl w:val="1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>Supplemental Table 1. Human cohorts used in the study.</w:t>
      </w:r>
    </w:p>
    <w:p w14:paraId="46F05619" w14:textId="77777777" w:rsidR="00D8713D" w:rsidRDefault="00D8713D" w:rsidP="00D8713D">
      <w:pPr>
        <w:spacing w:after="0" w:line="480" w:lineRule="auto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0D23C970" w14:textId="77777777" w:rsidR="00D8713D" w:rsidRPr="00CE1CAF" w:rsidRDefault="00D8713D" w:rsidP="00D8713D">
      <w:pPr>
        <w:spacing w:after="0" w:line="480" w:lineRule="auto"/>
        <w:outlineLvl w:val="1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Supplemental Table 2. DEGs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of n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euroblast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, </w:t>
      </w:r>
      <w:proofErr w:type="spellStart"/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mOli</w:t>
      </w:r>
      <w:proofErr w:type="spellEnd"/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, 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CA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, </w:t>
      </w:r>
      <w:proofErr w:type="spellStart"/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mmmature</w:t>
      </w:r>
      <w:proofErr w:type="spellEnd"/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and </w:t>
      </w:r>
      <w:proofErr w:type="spellStart"/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mGC</w:t>
      </w:r>
      <w:proofErr w:type="spellEnd"/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.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Differentially expressed genes (DEGs) and pathway analysis of neuroblasts, mature oligodendrocytes (</w:t>
      </w:r>
      <w:proofErr w:type="spellStart"/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mOli</w:t>
      </w:r>
      <w:proofErr w:type="spellEnd"/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), CA neurons, immature and mature granule neurons (</w:t>
      </w:r>
      <w:proofErr w:type="spellStart"/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mGC</w:t>
      </w:r>
      <w:proofErr w:type="spellEnd"/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) in the Young Adult (YA) cohort.</w:t>
      </w:r>
    </w:p>
    <w:p w14:paraId="30F384B0" w14:textId="77777777" w:rsidR="00D8713D" w:rsidRDefault="00D8713D" w:rsidP="00D8713D">
      <w:pPr>
        <w:spacing w:after="0" w:line="480" w:lineRule="auto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093613DB" w14:textId="77777777" w:rsidR="00D8713D" w:rsidRPr="00CE1CAF" w:rsidRDefault="00D8713D" w:rsidP="00D8713D">
      <w:pPr>
        <w:spacing w:after="0" w:line="480" w:lineRule="auto"/>
        <w:outlineLvl w:val="1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Supplemental Table 3.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DEGs of NSC and astrocytes in YA.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Differentially expressed genes (DEGs) and pathway analysis of 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NSC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and 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astrocytes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in the Young Adult (YA) cohort.</w:t>
      </w:r>
    </w:p>
    <w:p w14:paraId="7AA469B5" w14:textId="77777777" w:rsidR="00D8713D" w:rsidRDefault="00D8713D" w:rsidP="00D8713D">
      <w:pPr>
        <w:spacing w:after="0" w:line="480" w:lineRule="auto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10784AF4" w14:textId="77777777" w:rsidR="00D8713D" w:rsidRPr="00CE1CAF" w:rsidRDefault="00D8713D" w:rsidP="00D8713D">
      <w:pPr>
        <w:spacing w:after="0" w:line="480" w:lineRule="auto"/>
        <w:outlineLvl w:val="1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D70030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Supplemental Table 4. </w:t>
      </w:r>
      <w:r w:rsidRPr="00CE1CAF">
        <w:rPr>
          <w:rFonts w:ascii="Arial" w:hAnsi="Arial" w:cs="Arial"/>
          <w:sz w:val="22"/>
          <w:szCs w:val="22"/>
        </w:rPr>
        <w:t>Neuroblast and NSC DEG validation between the current study and Dumitru et al. dataset</w:t>
      </w:r>
      <w:r>
        <w:rPr>
          <w:rFonts w:ascii="Arial" w:hAnsi="Arial" w:cs="Arial"/>
          <w:sz w:val="22"/>
          <w:szCs w:val="22"/>
        </w:rPr>
        <w:t xml:space="preserve"> </w:t>
      </w:r>
      <w:r w:rsidRPr="00CE1CAF">
        <w:rPr>
          <w:rFonts w:ascii="Arial" w:hAnsi="Arial" w:cs="Arial"/>
          <w:color w:val="212121"/>
        </w:rPr>
        <w:fldChar w:fldCharType="begin">
          <w:fldData xml:space="preserve">PEVuZE5vdGU+PENpdGU+PEF1dGhvcj5EdW1pdHJ1PC9BdXRob3I+PFllYXI+MjAyNTwvWWVhcj48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</w:fldData>
        </w:fldChar>
      </w:r>
      <w:r w:rsidRPr="00CE1CAF">
        <w:rPr>
          <w:rFonts w:ascii="Arial" w:hAnsi="Arial" w:cs="Arial"/>
          <w:color w:val="212121"/>
        </w:rPr>
        <w:instrText xml:space="preserve"> ADDIN EN.CITE </w:instrText>
      </w:r>
      <w:r w:rsidRPr="00CE1CAF">
        <w:rPr>
          <w:rFonts w:ascii="Arial" w:hAnsi="Arial" w:cs="Arial"/>
          <w:color w:val="212121"/>
        </w:rPr>
        <w:fldChar w:fldCharType="begin">
          <w:fldData xml:space="preserve">PEVuZE5vdGU+PENpdGU+PEF1dGhvcj5EdW1pdHJ1PC9BdXRob3I+PFllYXI+MjAyNTwvWWVhcj48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</w:fldData>
        </w:fldChar>
      </w:r>
      <w:r w:rsidRPr="00CE1CAF">
        <w:rPr>
          <w:rFonts w:ascii="Arial" w:hAnsi="Arial" w:cs="Arial"/>
          <w:color w:val="212121"/>
        </w:rPr>
        <w:instrText xml:space="preserve"> ADDIN EN.CITE.DATA </w:instrText>
      </w:r>
      <w:r w:rsidRPr="00CE1CAF">
        <w:rPr>
          <w:rFonts w:ascii="Arial" w:hAnsi="Arial" w:cs="Arial"/>
          <w:color w:val="212121"/>
        </w:rPr>
      </w:r>
      <w:r w:rsidRPr="00CE1CAF">
        <w:rPr>
          <w:rFonts w:ascii="Arial" w:hAnsi="Arial" w:cs="Arial"/>
          <w:color w:val="212121"/>
        </w:rPr>
        <w:fldChar w:fldCharType="end"/>
      </w:r>
      <w:r w:rsidRPr="00CE1CAF">
        <w:rPr>
          <w:rFonts w:ascii="Arial" w:hAnsi="Arial" w:cs="Arial"/>
          <w:color w:val="212121"/>
        </w:rPr>
      </w:r>
      <w:r w:rsidRPr="00CE1CAF">
        <w:rPr>
          <w:rFonts w:ascii="Arial" w:hAnsi="Arial" w:cs="Arial"/>
          <w:color w:val="212121"/>
        </w:rPr>
        <w:fldChar w:fldCharType="separate"/>
      </w:r>
      <w:r w:rsidRPr="00CE1CAF">
        <w:rPr>
          <w:rFonts w:ascii="Arial" w:hAnsi="Arial" w:cs="Arial"/>
          <w:noProof/>
          <w:color w:val="212121"/>
          <w:vertAlign w:val="superscript"/>
        </w:rPr>
        <w:t>13</w:t>
      </w:r>
      <w:r w:rsidRPr="00CE1CAF">
        <w:rPr>
          <w:rFonts w:ascii="Arial" w:hAnsi="Arial" w:cs="Arial"/>
          <w:color w:val="212121"/>
        </w:rPr>
        <w:fldChar w:fldCharType="end"/>
      </w:r>
      <w:r w:rsidRPr="00CE1CAF">
        <w:rPr>
          <w:rFonts w:ascii="Arial" w:hAnsi="Arial" w:cs="Arial"/>
          <w:sz w:val="22"/>
          <w:szCs w:val="22"/>
        </w:rPr>
        <w:t>.</w:t>
      </w:r>
    </w:p>
    <w:p w14:paraId="71E03267" w14:textId="77777777" w:rsidR="00D8713D" w:rsidRDefault="00D8713D" w:rsidP="00D8713D">
      <w:pPr>
        <w:spacing w:after="0" w:line="480" w:lineRule="auto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40FA895C" w14:textId="77777777" w:rsidR="00D8713D" w:rsidRDefault="00D8713D" w:rsidP="00D8713D">
      <w:pPr>
        <w:spacing w:after="0" w:line="480" w:lineRule="auto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Supplemental Table 5. </w:t>
      </w:r>
      <w:r w:rsidRPr="00CE1CA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Differentially expressed genes (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DEGs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) of the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neurogenic population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in the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Y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oung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dults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(YA) cohort</w:t>
      </w:r>
      <w:r w:rsidRPr="00AC6336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.</w:t>
      </w:r>
    </w:p>
    <w:p w14:paraId="667476A5" w14:textId="77777777" w:rsidR="00D8713D" w:rsidRPr="00AC6336" w:rsidRDefault="00D8713D" w:rsidP="00D8713D">
      <w:pPr>
        <w:spacing w:after="0" w:line="480" w:lineRule="auto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</w:p>
    <w:p w14:paraId="1CF88B2F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6. NIGO pathway analysis </w:t>
      </w:r>
      <w:r>
        <w:rPr>
          <w:rFonts w:ascii="Arial" w:hAnsi="Arial" w:cs="Arial"/>
          <w:b/>
          <w:bCs/>
          <w:sz w:val="22"/>
          <w:szCs w:val="22"/>
        </w:rPr>
        <w:t>of</w:t>
      </w:r>
      <w:r w:rsidRPr="00AC6336">
        <w:rPr>
          <w:rFonts w:ascii="Arial" w:hAnsi="Arial" w:cs="Arial"/>
          <w:b/>
          <w:bCs/>
          <w:sz w:val="22"/>
          <w:szCs w:val="22"/>
        </w:rPr>
        <w:t xml:space="preserve"> the neurogenic population </w:t>
      </w:r>
      <w:r>
        <w:rPr>
          <w:rFonts w:ascii="Arial" w:hAnsi="Arial" w:cs="Arial"/>
          <w:b/>
          <w:bCs/>
          <w:sz w:val="22"/>
          <w:szCs w:val="22"/>
        </w:rPr>
        <w:t>in the Y</w:t>
      </w:r>
      <w:r w:rsidRPr="00AC6336">
        <w:rPr>
          <w:rFonts w:ascii="Arial" w:hAnsi="Arial" w:cs="Arial"/>
          <w:b/>
          <w:bCs/>
          <w:sz w:val="22"/>
          <w:szCs w:val="22"/>
        </w:rPr>
        <w:t xml:space="preserve">oung 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AC6336">
        <w:rPr>
          <w:rFonts w:ascii="Arial" w:hAnsi="Arial" w:cs="Arial"/>
          <w:b/>
          <w:bCs/>
          <w:sz w:val="22"/>
          <w:szCs w:val="22"/>
        </w:rPr>
        <w:t>dults</w:t>
      </w:r>
      <w:r>
        <w:rPr>
          <w:rFonts w:ascii="Arial" w:hAnsi="Arial" w:cs="Arial"/>
          <w:b/>
          <w:bCs/>
          <w:sz w:val="22"/>
          <w:szCs w:val="22"/>
        </w:rPr>
        <w:t xml:space="preserve"> (YA) cohort</w:t>
      </w:r>
      <w:r w:rsidRPr="00AC6336">
        <w:rPr>
          <w:rFonts w:ascii="Arial" w:hAnsi="Arial" w:cs="Arial"/>
          <w:b/>
          <w:bCs/>
          <w:sz w:val="22"/>
          <w:szCs w:val="22"/>
        </w:rPr>
        <w:t>.</w:t>
      </w:r>
    </w:p>
    <w:p w14:paraId="06004B7E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545CC3D7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7. Gene regulatory network </w:t>
      </w:r>
      <w:r>
        <w:rPr>
          <w:rFonts w:ascii="Arial" w:hAnsi="Arial" w:cs="Arial"/>
          <w:b/>
          <w:bCs/>
          <w:sz w:val="22"/>
          <w:szCs w:val="22"/>
        </w:rPr>
        <w:t xml:space="preserve">(GRNs) </w:t>
      </w:r>
      <w:r w:rsidRPr="00AC6336">
        <w:rPr>
          <w:rFonts w:ascii="Arial" w:hAnsi="Arial" w:cs="Arial"/>
          <w:b/>
          <w:bCs/>
          <w:sz w:val="22"/>
          <w:szCs w:val="22"/>
        </w:rPr>
        <w:t>and strongest motif interactions</w:t>
      </w:r>
      <w:r>
        <w:rPr>
          <w:rFonts w:ascii="Arial" w:hAnsi="Arial" w:cs="Arial"/>
          <w:b/>
          <w:bCs/>
          <w:sz w:val="22"/>
          <w:szCs w:val="22"/>
        </w:rPr>
        <w:t xml:space="preserve"> of</w:t>
      </w:r>
      <w:r w:rsidRPr="00AC6336">
        <w:rPr>
          <w:rFonts w:ascii="Arial" w:hAnsi="Arial" w:cs="Arial"/>
          <w:b/>
          <w:bCs/>
          <w:sz w:val="22"/>
          <w:szCs w:val="22"/>
        </w:rPr>
        <w:t xml:space="preserve"> the neurogenic population </w:t>
      </w:r>
      <w:r>
        <w:rPr>
          <w:rFonts w:ascii="Arial" w:hAnsi="Arial" w:cs="Arial"/>
          <w:b/>
          <w:bCs/>
          <w:sz w:val="22"/>
          <w:szCs w:val="22"/>
        </w:rPr>
        <w:t>in the Y</w:t>
      </w:r>
      <w:r w:rsidRPr="00AC6336">
        <w:rPr>
          <w:rFonts w:ascii="Arial" w:hAnsi="Arial" w:cs="Arial"/>
          <w:b/>
          <w:bCs/>
          <w:sz w:val="22"/>
          <w:szCs w:val="22"/>
        </w:rPr>
        <w:t xml:space="preserve">oung 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AC6336">
        <w:rPr>
          <w:rFonts w:ascii="Arial" w:hAnsi="Arial" w:cs="Arial"/>
          <w:b/>
          <w:bCs/>
          <w:sz w:val="22"/>
          <w:szCs w:val="22"/>
        </w:rPr>
        <w:t>dults</w:t>
      </w:r>
      <w:r>
        <w:rPr>
          <w:rFonts w:ascii="Arial" w:hAnsi="Arial" w:cs="Arial"/>
          <w:b/>
          <w:bCs/>
          <w:sz w:val="22"/>
          <w:szCs w:val="22"/>
        </w:rPr>
        <w:t xml:space="preserve"> (YA) cohort</w:t>
      </w:r>
      <w:r w:rsidRPr="00AC6336">
        <w:rPr>
          <w:rFonts w:ascii="Arial" w:hAnsi="Arial" w:cs="Arial"/>
          <w:b/>
          <w:bCs/>
          <w:sz w:val="22"/>
          <w:szCs w:val="22"/>
        </w:rPr>
        <w:t>.</w:t>
      </w:r>
    </w:p>
    <w:p w14:paraId="05D1E940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60EDDD11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AC6336">
        <w:rPr>
          <w:rFonts w:ascii="Arial" w:hAnsi="Arial" w:cs="Arial"/>
          <w:b/>
          <w:bCs/>
          <w:sz w:val="22"/>
          <w:szCs w:val="22"/>
        </w:rPr>
        <w:t>. Cell type abundance.</w:t>
      </w:r>
    </w:p>
    <w:p w14:paraId="2046C472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55EB1923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AC6336">
        <w:rPr>
          <w:rFonts w:ascii="Arial" w:hAnsi="Arial" w:cs="Arial"/>
          <w:b/>
          <w:bCs/>
          <w:sz w:val="22"/>
          <w:szCs w:val="22"/>
        </w:rPr>
        <w:t>. DEGs across diagnosis.</w:t>
      </w:r>
    </w:p>
    <w:p w14:paraId="373037BF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4FD760AB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lastRenderedPageBreak/>
        <w:t>Supplemental Table 1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Pr="00AC6336">
        <w:rPr>
          <w:rFonts w:ascii="Arial" w:hAnsi="Arial" w:cs="Arial"/>
          <w:b/>
          <w:bCs/>
          <w:sz w:val="22"/>
          <w:szCs w:val="22"/>
        </w:rPr>
        <w:t>. DARs across diagnosis.</w:t>
      </w:r>
    </w:p>
    <w:p w14:paraId="14A46880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0249AAF4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>Supplemental Table 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AC6336">
        <w:rPr>
          <w:rFonts w:ascii="Arial" w:hAnsi="Arial" w:cs="Arial"/>
          <w:b/>
          <w:bCs/>
          <w:sz w:val="22"/>
          <w:szCs w:val="22"/>
        </w:rPr>
        <w:t>. Pathway enrichment analysis of inferred target genes of top DARs that were upregulated in PCI.</w:t>
      </w:r>
    </w:p>
    <w:p w14:paraId="5F300BCF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5141F4BE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</w:t>
      </w:r>
      <w:r>
        <w:rPr>
          <w:rFonts w:ascii="Arial" w:hAnsi="Arial" w:cs="Arial"/>
          <w:b/>
          <w:bCs/>
          <w:sz w:val="22"/>
          <w:szCs w:val="22"/>
        </w:rPr>
        <w:t xml:space="preserve">12. </w:t>
      </w:r>
      <w:r w:rsidRPr="00D36A24">
        <w:rPr>
          <w:rFonts w:ascii="Arial" w:hAnsi="Arial" w:cs="Arial"/>
          <w:b/>
          <w:bCs/>
          <w:sz w:val="22"/>
          <w:szCs w:val="22"/>
        </w:rPr>
        <w:t>TF-target gene interactions across neurogenesis in each diagnosis group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A57071F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27B911E5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13. </w:t>
      </w:r>
      <w:r>
        <w:rPr>
          <w:rFonts w:ascii="Arial" w:hAnsi="Arial" w:cs="Arial"/>
          <w:b/>
          <w:bCs/>
          <w:sz w:val="22"/>
          <w:szCs w:val="22"/>
        </w:rPr>
        <w:t>Resilience ranking across diagnosis.</w:t>
      </w:r>
    </w:p>
    <w:p w14:paraId="01F04BAC" w14:textId="77777777" w:rsidR="00D8713D" w:rsidRPr="00AC6336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7A93B1EA" w14:textId="77777777" w:rsidR="00D8713D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5B2EE0">
        <w:rPr>
          <w:rFonts w:ascii="Arial" w:hAnsi="Arial" w:cs="Arial"/>
          <w:b/>
          <w:bCs/>
          <w:sz w:val="22"/>
          <w:szCs w:val="22"/>
        </w:rPr>
        <w:t xml:space="preserve">Supplemental Table </w:t>
      </w:r>
      <w:r>
        <w:rPr>
          <w:rFonts w:ascii="Arial" w:hAnsi="Arial" w:cs="Arial"/>
          <w:b/>
          <w:bCs/>
          <w:sz w:val="22"/>
          <w:szCs w:val="22"/>
        </w:rPr>
        <w:t>14</w:t>
      </w:r>
      <w:r w:rsidRPr="005B2EE0">
        <w:rPr>
          <w:rFonts w:ascii="Arial" w:hAnsi="Arial" w:cs="Arial"/>
          <w:b/>
          <w:bCs/>
          <w:sz w:val="22"/>
          <w:szCs w:val="22"/>
        </w:rPr>
        <w:t xml:space="preserve">. </w:t>
      </w:r>
      <w:r w:rsidRPr="00D36A24">
        <w:rPr>
          <w:rFonts w:ascii="Arial" w:hAnsi="Arial" w:cs="Arial"/>
          <w:b/>
          <w:bCs/>
          <w:sz w:val="22"/>
          <w:szCs w:val="22"/>
        </w:rPr>
        <w:t>DEGs contrary expression pattern in HA and SA compared to PCI in each cell type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0F1D5334" w14:textId="77777777" w:rsidR="00D8713D" w:rsidRPr="005B2EE0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</w:p>
    <w:p w14:paraId="730D9960" w14:textId="77777777" w:rsidR="00D8713D" w:rsidRPr="005B2EE0" w:rsidRDefault="00D8713D" w:rsidP="00D8713D">
      <w:pPr>
        <w:spacing w:after="0" w:line="480" w:lineRule="auto"/>
        <w:rPr>
          <w:rFonts w:ascii="Arial" w:hAnsi="Arial" w:cs="Arial"/>
          <w:b/>
          <w:bCs/>
          <w:sz w:val="22"/>
          <w:szCs w:val="22"/>
        </w:rPr>
      </w:pPr>
      <w:r w:rsidRPr="005B2EE0">
        <w:rPr>
          <w:rFonts w:ascii="Arial" w:hAnsi="Arial" w:cs="Arial"/>
          <w:b/>
          <w:bCs/>
          <w:sz w:val="22"/>
          <w:szCs w:val="22"/>
        </w:rPr>
        <w:t xml:space="preserve">Supplemental Table </w:t>
      </w:r>
      <w:r>
        <w:rPr>
          <w:rFonts w:ascii="Arial" w:hAnsi="Arial" w:cs="Arial"/>
          <w:b/>
          <w:bCs/>
          <w:sz w:val="22"/>
          <w:szCs w:val="22"/>
        </w:rPr>
        <w:t>15</w:t>
      </w:r>
      <w:r w:rsidRPr="005B2EE0">
        <w:rPr>
          <w:rFonts w:ascii="Arial" w:hAnsi="Arial" w:cs="Arial"/>
          <w:b/>
          <w:bCs/>
          <w:sz w:val="22"/>
          <w:szCs w:val="22"/>
        </w:rPr>
        <w:t>. DARs contrary expression pattern in HA and SA compared to PCI in each cell type.</w:t>
      </w:r>
    </w:p>
    <w:p w14:paraId="6BC1ED83" w14:textId="77777777" w:rsidR="00D8713D" w:rsidRDefault="00D8713D" w:rsidP="00D8713D">
      <w:pPr>
        <w:spacing w:after="0" w:line="480" w:lineRule="auto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9C19B53" w14:textId="77777777" w:rsidR="00D8713D" w:rsidRDefault="00D8713D" w:rsidP="00D8713D">
      <w:pPr>
        <w:spacing w:after="0" w:line="480" w:lineRule="auto"/>
        <w:outlineLvl w:val="1"/>
        <w:rPr>
          <w:rFonts w:ascii="Arial" w:hAnsi="Arial" w:cs="Arial"/>
          <w:b/>
          <w:bCs/>
          <w:sz w:val="22"/>
          <w:szCs w:val="22"/>
        </w:rPr>
      </w:pPr>
      <w:r w:rsidRPr="00AC6336">
        <w:rPr>
          <w:rFonts w:ascii="Arial" w:hAnsi="Arial" w:cs="Arial"/>
          <w:b/>
          <w:bCs/>
          <w:sz w:val="22"/>
          <w:szCs w:val="22"/>
        </w:rPr>
        <w:t xml:space="preserve">Supplemental Table </w:t>
      </w:r>
      <w:r>
        <w:rPr>
          <w:rFonts w:ascii="Arial" w:hAnsi="Arial" w:cs="Arial"/>
          <w:b/>
          <w:bCs/>
          <w:sz w:val="22"/>
          <w:szCs w:val="22"/>
        </w:rPr>
        <w:t>16</w:t>
      </w:r>
      <w:r w:rsidRPr="00AC6336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AC6336">
        <w:rPr>
          <w:rFonts w:ascii="Arial" w:hAnsi="Arial" w:cs="Arial"/>
          <w:b/>
          <w:bCs/>
          <w:sz w:val="22"/>
          <w:szCs w:val="22"/>
        </w:rPr>
        <w:t>CellChat</w:t>
      </w:r>
      <w:proofErr w:type="spellEnd"/>
      <w:r w:rsidRPr="00AC6336">
        <w:rPr>
          <w:rFonts w:ascii="Arial" w:hAnsi="Arial" w:cs="Arial"/>
          <w:b/>
          <w:bCs/>
          <w:sz w:val="22"/>
          <w:szCs w:val="22"/>
        </w:rPr>
        <w:t xml:space="preserve"> network interactions.</w:t>
      </w:r>
    </w:p>
    <w:p w14:paraId="615A45F7" w14:textId="77777777" w:rsidR="00507273" w:rsidRDefault="00507273"/>
    <w:sectPr w:rsidR="0050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13D"/>
    <w:rsid w:val="003B081C"/>
    <w:rsid w:val="00507273"/>
    <w:rsid w:val="00D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66AD5"/>
  <w15:chartTrackingRefBased/>
  <w15:docId w15:val="{5A0715A9-90D9-4FC0-A18B-65F1DD5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13D"/>
    <w:pPr>
      <w:spacing w:line="278" w:lineRule="auto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1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1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13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13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13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13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13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13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13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1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1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1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1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1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1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1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1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1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71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871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13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71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713D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D871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713D"/>
    <w:pPr>
      <w:spacing w:line="259" w:lineRule="auto"/>
      <w:ind w:left="720"/>
      <w:contextualSpacing/>
    </w:pPr>
    <w:rPr>
      <w:sz w:val="22"/>
      <w:szCs w:val="22"/>
      <w:lang w:val="en-GB"/>
    </w:rPr>
  </w:style>
  <w:style w:type="character" w:styleId="IntenseEmphasis">
    <w:name w:val="Intense Emphasis"/>
    <w:basedOn w:val="DefaultParagraphFont"/>
    <w:uiPriority w:val="21"/>
    <w:qFormat/>
    <w:rsid w:val="00D871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1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1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71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1453</Characters>
  <Application>Microsoft Office Word</Application>
  <DocSecurity>0</DocSecurity>
  <Lines>48</Lines>
  <Paragraphs>26</Paragraphs>
  <ScaleCrop>false</ScaleCrop>
  <Company>Springer Nature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Pentney</dc:creator>
  <cp:keywords/>
  <dc:description/>
  <cp:lastModifiedBy>David Pentney</cp:lastModifiedBy>
  <cp:revision>1</cp:revision>
  <dcterms:created xsi:type="dcterms:W3CDTF">2026-01-22T15:20:00Z</dcterms:created>
  <dcterms:modified xsi:type="dcterms:W3CDTF">2026-01-22T15:20:00Z</dcterms:modified>
</cp:coreProperties>
</file>