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0000005" w14:textId="77777777" w:rsidR="004B7A8B" w:rsidRDefault="00000000">
      <w:r>
        <w:t>Supplementary Tables: Additional supplementary tables.</w:t>
      </w:r>
      <w:r>
        <w:br/>
      </w:r>
    </w:p>
    <w:p w14:paraId="00000006" w14:textId="77777777" w:rsidR="004B7A8B" w:rsidRDefault="00000000">
      <w:pPr>
        <w:numPr>
          <w:ilvl w:val="0"/>
          <w:numId w:val="1"/>
        </w:numPr>
      </w:pPr>
      <w:r>
        <w:t>Supplementary Table 1: Survey respondent demographics and treatment response, partitioned by sex.</w:t>
      </w:r>
      <w:r>
        <w:br/>
      </w:r>
    </w:p>
    <w:p w14:paraId="00000007" w14:textId="77777777" w:rsidR="004B7A8B" w:rsidRDefault="00000000">
      <w:pPr>
        <w:numPr>
          <w:ilvl w:val="0"/>
          <w:numId w:val="1"/>
        </w:numPr>
      </w:pPr>
      <w:r>
        <w:t>Supplementary Table 2: Survey respondent demographics and treatment response, partitioned by ancestry.</w:t>
      </w:r>
      <w:r>
        <w:br/>
      </w:r>
    </w:p>
    <w:p w14:paraId="00000008" w14:textId="77777777" w:rsidR="004B7A8B" w:rsidRDefault="00000000">
      <w:pPr>
        <w:numPr>
          <w:ilvl w:val="0"/>
          <w:numId w:val="1"/>
        </w:numPr>
      </w:pPr>
      <w:r>
        <w:t xml:space="preserve">Supplementary Table 3: Non-genetic model parameters for </w:t>
      </w:r>
      <m:oMath>
        <m:r>
          <w:rPr>
            <w:rFonts w:ascii="Cambria Math" w:hAnsi="Cambria Math"/>
          </w:rPr>
          <m:t>ΔBM</m:t>
        </m:r>
        <m:sSub>
          <m:sSubPr>
            <m:ctrlPr>
              <w:rPr>
                <w:rFonts w:ascii="Cambria Math" w:hAnsi="Cambria Math"/>
              </w:rPr>
            </m:ctrlPr>
          </m:sSubPr>
          <m:e>
            <m:r>
              <w:rPr>
                <w:rFonts w:ascii="Cambria Math" w:hAnsi="Cambria Math"/>
              </w:rPr>
              <m:t>I</m:t>
            </m:r>
          </m:e>
          <m:sub>
            <m:r>
              <w:rPr>
                <w:rFonts w:ascii="Cambria Math" w:hAnsi="Cambria Math"/>
              </w:rPr>
              <m:t>%</m:t>
            </m:r>
          </m:sub>
        </m:sSub>
      </m:oMath>
      <w:r>
        <w:t xml:space="preserve"> as fitted in the whole sample.</w:t>
      </w:r>
      <w:r>
        <w:br/>
      </w:r>
    </w:p>
    <w:p w14:paraId="00000009" w14:textId="77777777" w:rsidR="004B7A8B" w:rsidRDefault="00000000">
      <w:pPr>
        <w:numPr>
          <w:ilvl w:val="0"/>
          <w:numId w:val="1"/>
        </w:numPr>
      </w:pPr>
      <w:r>
        <w:t xml:space="preserve">Supplementary Table 4: Non-genetic model parameters for  </w:t>
      </w:r>
      <m:oMath>
        <m:r>
          <w:rPr>
            <w:rFonts w:ascii="Cambria Math" w:hAnsi="Cambria Math"/>
          </w:rPr>
          <m:t>ΔBM</m:t>
        </m:r>
        <m:sSub>
          <m:sSubPr>
            <m:ctrlPr>
              <w:rPr>
                <w:rFonts w:ascii="Cambria Math" w:hAnsi="Cambria Math"/>
              </w:rPr>
            </m:ctrlPr>
          </m:sSubPr>
          <m:e>
            <m:r>
              <w:rPr>
                <w:rFonts w:ascii="Cambria Math" w:hAnsi="Cambria Math"/>
              </w:rPr>
              <m:t>I</m:t>
            </m:r>
          </m:e>
          <m:sub>
            <m:r>
              <w:rPr>
                <w:rFonts w:ascii="Cambria Math" w:hAnsi="Cambria Math"/>
              </w:rPr>
              <m:t>%</m:t>
            </m:r>
          </m:sub>
        </m:sSub>
      </m:oMath>
      <w:r>
        <w:t xml:space="preserve">, accounting for additional potential confounding factors. Left) Model parameters including T2D and European/non-European ancestry parameters. Right) Model parameters including additional ancestry parameters, pivoted </w:t>
      </w:r>
      <w:proofErr w:type="gramStart"/>
      <w:r>
        <w:t>on</w:t>
      </w:r>
      <w:proofErr w:type="gramEnd"/>
      <w:r>
        <w:t xml:space="preserve"> European ancestry.</w:t>
      </w:r>
      <w:r>
        <w:br/>
      </w:r>
    </w:p>
    <w:p w14:paraId="0000000A" w14:textId="77777777" w:rsidR="004B7A8B" w:rsidRDefault="00000000">
      <w:pPr>
        <w:numPr>
          <w:ilvl w:val="0"/>
          <w:numId w:val="1"/>
        </w:numPr>
      </w:pPr>
      <w:r>
        <w:t>Supplementary Table 5: Summary of Apple HealthKit EHR cohort.</w:t>
      </w:r>
      <w:r>
        <w:br/>
      </w:r>
    </w:p>
    <w:p w14:paraId="0000000B" w14:textId="77777777" w:rsidR="004B7A8B" w:rsidRDefault="00000000">
      <w:pPr>
        <w:numPr>
          <w:ilvl w:val="0"/>
          <w:numId w:val="1"/>
        </w:numPr>
      </w:pPr>
      <w:r>
        <w:t>Supplementary Table 6: Genome-wide significant associations across all phenotypes tested, combining semaglutide and tirzepatide.</w:t>
      </w:r>
      <w:r>
        <w:br/>
      </w:r>
    </w:p>
    <w:p w14:paraId="0000000C" w14:textId="77777777" w:rsidR="004B7A8B" w:rsidRDefault="00000000">
      <w:pPr>
        <w:numPr>
          <w:ilvl w:val="0"/>
          <w:numId w:val="1"/>
        </w:numPr>
      </w:pPr>
      <w:r>
        <w:t>Supplementary Table 7: Model testing for robustness of rs10305420 association to T2D status. Top) Model including T2D status, as well as an interaction with rs10305420. Bottom) Effect of rs10305420 in a stratified analysis, by T2D status.</w:t>
      </w:r>
      <w:r>
        <w:br/>
      </w:r>
    </w:p>
    <w:p w14:paraId="0000000D" w14:textId="77777777" w:rsidR="004B7A8B" w:rsidRDefault="00000000">
      <w:pPr>
        <w:numPr>
          <w:ilvl w:val="0"/>
          <w:numId w:val="1"/>
        </w:numPr>
      </w:pPr>
      <w:r>
        <w:t>Supplementary Table 8: Model testing for robustness of rs10305420 association to smoking status. Left) Model including 'current tobacco use' status, also including an interaction with rs10305420. Right) Model including 'ever tobacco use' status, also including an interaction with rs10305420.</w:t>
      </w:r>
      <w:r>
        <w:br/>
      </w:r>
    </w:p>
    <w:p w14:paraId="0000000E" w14:textId="77777777" w:rsidR="004B7A8B" w:rsidRDefault="00000000">
      <w:pPr>
        <w:numPr>
          <w:ilvl w:val="0"/>
          <w:numId w:val="1"/>
        </w:numPr>
      </w:pPr>
      <w:r>
        <w:t xml:space="preserve">Supplementary Table 9: GWAS credible sets. 99% credible sets in the GLP1R locus for </w:t>
      </w:r>
      <m:oMath>
        <m:r>
          <w:rPr>
            <w:rFonts w:ascii="Cambria Math" w:hAnsi="Cambria Math"/>
          </w:rPr>
          <m:t>ΔBM</m:t>
        </m:r>
        <m:sSub>
          <m:sSubPr>
            <m:ctrlPr>
              <w:rPr>
                <w:rFonts w:ascii="Cambria Math" w:hAnsi="Cambria Math"/>
              </w:rPr>
            </m:ctrlPr>
          </m:sSubPr>
          <m:e>
            <m:r>
              <w:rPr>
                <w:rFonts w:ascii="Cambria Math" w:hAnsi="Cambria Math"/>
              </w:rPr>
              <m:t>I</m:t>
            </m:r>
          </m:e>
          <m:sub>
            <m:r>
              <w:rPr>
                <w:rFonts w:ascii="Cambria Math" w:hAnsi="Cambria Math"/>
              </w:rPr>
              <m:t>%</m:t>
            </m:r>
          </m:sub>
        </m:sSub>
      </m:oMath>
      <w:r>
        <w:t xml:space="preserve"> (top), GLP-1 mediated nausea (middle), and GLP-1 mediated vomiting (bottom).</w:t>
      </w:r>
      <w:r>
        <w:br/>
      </w:r>
    </w:p>
    <w:p w14:paraId="0000000F" w14:textId="77777777" w:rsidR="004B7A8B" w:rsidRDefault="00000000">
      <w:pPr>
        <w:numPr>
          <w:ilvl w:val="0"/>
          <w:numId w:val="1"/>
        </w:numPr>
      </w:pPr>
      <w:r>
        <w:t>Supplementary Table 10: Replication in All of Us cohort. a) Association of rs10305420 in the All of Us cohort for individuals with complete data. b) As for a</w:t>
      </w:r>
      <w:proofErr w:type="gramStart"/>
      <w:r>
        <w:t>), but</w:t>
      </w:r>
      <w:proofErr w:type="gramEnd"/>
      <w:r>
        <w:t xml:space="preserve"> having mean-imputed missing data in the </w:t>
      </w:r>
      <w:proofErr w:type="spellStart"/>
      <w:r>
        <w:t>weekly_dose</w:t>
      </w:r>
      <w:proofErr w:type="spellEnd"/>
      <w:r>
        <w:t xml:space="preserve"> variable to maximize available sample size. c) Repeating the replication analysis as for a) and b</w:t>
      </w:r>
      <w:proofErr w:type="gramStart"/>
      <w:r>
        <w:t>), but</w:t>
      </w:r>
      <w:proofErr w:type="gramEnd"/>
      <w:r>
        <w:t xml:space="preserve"> restricting to European-ancestry individuals.</w:t>
      </w:r>
      <w:r>
        <w:br/>
      </w:r>
    </w:p>
    <w:p w14:paraId="00000010" w14:textId="77777777" w:rsidR="004B7A8B" w:rsidRDefault="00000000">
      <w:pPr>
        <w:numPr>
          <w:ilvl w:val="0"/>
          <w:numId w:val="1"/>
        </w:numPr>
      </w:pPr>
      <w:r>
        <w:t>Supplementary Table 11: Replication analysis of efficacy association in UK Biobank.</w:t>
      </w:r>
      <w:r>
        <w:br/>
      </w:r>
    </w:p>
    <w:p w14:paraId="00000011" w14:textId="77777777" w:rsidR="004B7A8B" w:rsidRDefault="00000000">
      <w:pPr>
        <w:numPr>
          <w:ilvl w:val="0"/>
          <w:numId w:val="1"/>
        </w:numPr>
      </w:pPr>
      <w:r>
        <w:t>Supplementary Table 12: Drug-specific genome-wide significant associations across all phenotypes tested.</w:t>
      </w:r>
      <w:r>
        <w:br/>
      </w:r>
    </w:p>
    <w:p w14:paraId="00000012" w14:textId="77777777" w:rsidR="004B7A8B" w:rsidRDefault="00000000">
      <w:pPr>
        <w:numPr>
          <w:ilvl w:val="0"/>
          <w:numId w:val="1"/>
        </w:numPr>
      </w:pPr>
      <w:r>
        <w:t>Supplementary Table 13: GWAS credible sets. 99% credible set in the GIPR locus for tirzepatide mediated vomiting, with functional annotation from VEP.</w:t>
      </w:r>
      <w:r>
        <w:br/>
      </w:r>
    </w:p>
    <w:p w14:paraId="00000013" w14:textId="77777777" w:rsidR="004B7A8B" w:rsidRDefault="00000000">
      <w:pPr>
        <w:numPr>
          <w:ilvl w:val="0"/>
          <w:numId w:val="1"/>
        </w:numPr>
      </w:pPr>
      <w:r>
        <w:t>Supplementary Table 14: Observed side effect prevalence as a function of GIPR rs1800437 genotype.</w:t>
      </w:r>
      <w:r>
        <w:br/>
      </w:r>
    </w:p>
    <w:p w14:paraId="00000014" w14:textId="77777777" w:rsidR="004B7A8B" w:rsidRDefault="00000000">
      <w:pPr>
        <w:numPr>
          <w:ilvl w:val="0"/>
          <w:numId w:val="1"/>
        </w:numPr>
      </w:pPr>
      <w:r>
        <w:t>Supplementary Table 15: Model for vomiting side effect, including both rs10305420 and rs1800437 and an interaction term.</w:t>
      </w:r>
      <w:r>
        <w:br/>
      </w:r>
    </w:p>
    <w:p w14:paraId="00000015" w14:textId="77777777" w:rsidR="004B7A8B" w:rsidRDefault="00000000">
      <w:pPr>
        <w:numPr>
          <w:ilvl w:val="0"/>
          <w:numId w:val="1"/>
        </w:numPr>
      </w:pPr>
      <w:r>
        <w:lastRenderedPageBreak/>
        <w:t xml:space="preserve">Supplementary Table 16: Association statistics for rs10305420 in the GWAS catalog (top), </w:t>
      </w:r>
      <w:proofErr w:type="spellStart"/>
      <w:r>
        <w:t>FinnGen</w:t>
      </w:r>
      <w:proofErr w:type="spellEnd"/>
      <w:r>
        <w:t xml:space="preserve"> (Middle) and Million Veterans Project (MVP; bottom). Note that no phenotypes were observed with p&lt;1e-4 in UK Biobank.</w:t>
      </w:r>
      <w:r>
        <w:br/>
      </w:r>
    </w:p>
    <w:p w14:paraId="00000016" w14:textId="77777777" w:rsidR="004B7A8B" w:rsidRDefault="00000000">
      <w:pPr>
        <w:numPr>
          <w:ilvl w:val="0"/>
          <w:numId w:val="1"/>
        </w:numPr>
      </w:pPr>
      <w:r>
        <w:t>Supplementary Table 17: Phenome-wide association statistics (</w:t>
      </w:r>
      <w:proofErr w:type="spellStart"/>
      <w:r>
        <w:t>PheWAS</w:t>
      </w:r>
      <w:proofErr w:type="spellEnd"/>
      <w:r>
        <w:t>) for rs10305420 in the 23andMe database.</w:t>
      </w:r>
      <w:r>
        <w:br/>
      </w:r>
    </w:p>
    <w:p w14:paraId="00000017" w14:textId="77777777" w:rsidR="004B7A8B" w:rsidRDefault="00000000">
      <w:pPr>
        <w:numPr>
          <w:ilvl w:val="0"/>
          <w:numId w:val="1"/>
        </w:numPr>
      </w:pPr>
      <w:r>
        <w:t xml:space="preserve">Supplementary Table 18: Association statistics for rs1800437 in the GWAS catalog (top), </w:t>
      </w:r>
      <w:proofErr w:type="spellStart"/>
      <w:r>
        <w:t>FinnGen</w:t>
      </w:r>
      <w:proofErr w:type="spellEnd"/>
      <w:r>
        <w:t xml:space="preserve"> (Middle) and Million Veterans Project (MVP; bottom). Note that UK Biobank associations are included in the GWAS catalog.</w:t>
      </w:r>
      <w:r>
        <w:br/>
      </w:r>
    </w:p>
    <w:p w14:paraId="00000018" w14:textId="77777777" w:rsidR="004B7A8B" w:rsidRDefault="00000000">
      <w:pPr>
        <w:numPr>
          <w:ilvl w:val="0"/>
          <w:numId w:val="1"/>
        </w:numPr>
      </w:pPr>
      <w:r>
        <w:t>Supplementary Table 19: Phenome-wide association statistics (</w:t>
      </w:r>
      <w:proofErr w:type="spellStart"/>
      <w:r>
        <w:t>PheWAS</w:t>
      </w:r>
      <w:proofErr w:type="spellEnd"/>
      <w:r>
        <w:t>) for rs1800437 in the 23andMe database.</w:t>
      </w:r>
      <w:r>
        <w:br/>
      </w:r>
    </w:p>
    <w:p w14:paraId="00000019" w14:textId="77777777" w:rsidR="004B7A8B" w:rsidRDefault="00000000">
      <w:pPr>
        <w:numPr>
          <w:ilvl w:val="0"/>
          <w:numId w:val="1"/>
        </w:numPr>
      </w:pPr>
      <w:r>
        <w:t>Supplementary Table 20: Combined genetic and non-genetic model parameters, derived from the training set in the efficacy (</w:t>
      </w:r>
      <m:oMath>
        <m:r>
          <w:rPr>
            <w:rFonts w:ascii="Cambria Math" w:hAnsi="Cambria Math"/>
          </w:rPr>
          <m:t>ΔBM</m:t>
        </m:r>
        <m:sSub>
          <m:sSubPr>
            <m:ctrlPr>
              <w:rPr>
                <w:rFonts w:ascii="Cambria Math" w:hAnsi="Cambria Math"/>
              </w:rPr>
            </m:ctrlPr>
          </m:sSubPr>
          <m:e>
            <m:r>
              <w:rPr>
                <w:rFonts w:ascii="Cambria Math" w:hAnsi="Cambria Math"/>
              </w:rPr>
              <m:t>I</m:t>
            </m:r>
          </m:e>
          <m:sub>
            <m:r>
              <w:rPr>
                <w:rFonts w:ascii="Cambria Math" w:hAnsi="Cambria Math"/>
              </w:rPr>
              <m:t>%</m:t>
            </m:r>
          </m:sub>
        </m:sSub>
      </m:oMath>
      <w:r>
        <w:t>) dataset.</w:t>
      </w:r>
      <w:r>
        <w:br/>
      </w:r>
    </w:p>
    <w:p w14:paraId="0000001A" w14:textId="77777777" w:rsidR="004B7A8B" w:rsidRDefault="00000000">
      <w:pPr>
        <w:numPr>
          <w:ilvl w:val="0"/>
          <w:numId w:val="1"/>
        </w:numPr>
      </w:pPr>
      <w:r>
        <w:t>Supplementary Table 21: Combined genetic and non-genetic model parameters, derived from the training set in the nausea and vomiting phenotypes.</w:t>
      </w:r>
      <w:r>
        <w:br/>
      </w:r>
    </w:p>
    <w:p w14:paraId="0000001B" w14:textId="77777777" w:rsidR="004B7A8B" w:rsidRDefault="00000000">
      <w:pPr>
        <w:numPr>
          <w:ilvl w:val="0"/>
          <w:numId w:val="1"/>
        </w:numPr>
      </w:pPr>
      <w:r>
        <w:t xml:space="preserve">Supplementary Table 22: Performance of combined genetic and non-genetic models in the held-out test set. Top) Receiver operating characteristic Area Under the Curve (AUC) for each phenotype, as ascertained in a </w:t>
      </w:r>
      <w:proofErr w:type="gramStart"/>
      <w:r>
        <w:t>held out</w:t>
      </w:r>
      <w:proofErr w:type="gramEnd"/>
      <w:r>
        <w:t xml:space="preserve"> test set. For the nausea and vomiting phenotypes, we also provide AUCs for models that do not include genetics. Bottom) Correlation between BMI loss predictions in test set, both including genetic </w:t>
      </w:r>
      <w:proofErr w:type="gramStart"/>
      <w:r>
        <w:t>variant</w:t>
      </w:r>
      <w:proofErr w:type="gramEnd"/>
      <w:r>
        <w:t xml:space="preserve"> and without.</w:t>
      </w:r>
      <w:r>
        <w:br/>
      </w:r>
    </w:p>
    <w:p w14:paraId="0000001C" w14:textId="77777777" w:rsidR="004B7A8B" w:rsidRDefault="00000000">
      <w:pPr>
        <w:numPr>
          <w:ilvl w:val="0"/>
          <w:numId w:val="1"/>
        </w:numPr>
      </w:pPr>
      <w:r>
        <w:t xml:space="preserve">Supplementary Table 23: Estimated power of previous studies to detect a weight loss effect </w:t>
      </w:r>
      <w:proofErr w:type="gramStart"/>
      <w:r>
        <w:t>similar to</w:t>
      </w:r>
      <w:proofErr w:type="gramEnd"/>
      <w:r>
        <w:t xml:space="preserve"> that observed at rs10305420 in this study.</w:t>
      </w:r>
      <w:r>
        <w:br/>
      </w:r>
    </w:p>
    <w:p w14:paraId="0000001D" w14:textId="77777777" w:rsidR="004B7A8B" w:rsidRDefault="00000000">
      <w:pPr>
        <w:numPr>
          <w:ilvl w:val="0"/>
          <w:numId w:val="1"/>
        </w:numPr>
      </w:pPr>
      <w:r>
        <w:t>Supplementary Table 24: GLP-1 medication survey questions, dependencies, and possible responses.</w:t>
      </w:r>
    </w:p>
    <w:sectPr w:rsidR="004B7A8B">
      <w:pgSz w:w="12240" w:h="15840"/>
      <w:pgMar w:top="720" w:right="720" w:bottom="720" w:left="72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embedRegular r:id="rId1" w:fontKey="{B79E9D67-45A6-46B5-B6C0-60710B9433F9}"/>
    <w:embedItalic r:id="rId2" w:fontKey="{3E70E9FB-7C4A-4EEF-8B4B-1798785ED9F1}"/>
  </w:font>
  <w:font w:name="Calibri">
    <w:panose1 w:val="020F0502020204030204"/>
    <w:charset w:val="00"/>
    <w:family w:val="swiss"/>
    <w:pitch w:val="variable"/>
    <w:sig w:usb0="E4002EFF" w:usb1="C000247B" w:usb2="00000009" w:usb3="00000000" w:csb0="000001FF" w:csb1="00000000"/>
    <w:embedRegular r:id="rId3" w:fontKey="{4DAAA497-5639-48CF-9DD9-96340681565E}"/>
  </w:font>
  <w:font w:name="Cambria">
    <w:panose1 w:val="02040503050406030204"/>
    <w:charset w:val="00"/>
    <w:family w:val="roman"/>
    <w:pitch w:val="variable"/>
    <w:sig w:usb0="E00006FF" w:usb1="420024FF" w:usb2="02000000" w:usb3="00000000" w:csb0="0000019F" w:csb1="00000000"/>
    <w:embedRegular r:id="rId4" w:fontKey="{15998B52-825B-4402-85B9-4CD89E28CCDE}"/>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64412F1"/>
    <w:multiLevelType w:val="multilevel"/>
    <w:tmpl w:val="DF86DC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7815715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isplayBackgroundShape/>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B7A8B"/>
    <w:rsid w:val="0024506F"/>
    <w:rsid w:val="004B7A8B"/>
    <w:rsid w:val="00E3068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BCFF11"/>
  <w15:docId w15:val="{FEDBF04B-EF6F-43DB-A768-2F0A5280A4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Pages>
  <Words>616</Words>
  <Characters>3512</Characters>
  <Application>Microsoft Office Word</Application>
  <DocSecurity>0</DocSecurity>
  <Lines>29</Lines>
  <Paragraphs>8</Paragraphs>
  <ScaleCrop>false</ScaleCrop>
  <Company>Springer Nature</Company>
  <LinksUpToDate>false</LinksUpToDate>
  <CharactersWithSpaces>4120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David Pentney</dc:creator>
  <cp:lastModifiedBy>David Pentney</cp:lastModifiedBy>
  <cp:revision>2</cp:revision>
  <dcterms:created xsi:type="dcterms:W3CDTF">2026-02-26T15:57:00Z</dcterms:created>
  <dcterms:modified xsi:type="dcterms:W3CDTF">2026-02-26T15:57:00Z</dcterms:modified>
</cp:coreProperties>
</file>