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B4379" w14:textId="77777777" w:rsidR="007136D7" w:rsidRPr="00723495" w:rsidRDefault="007136D7" w:rsidP="002B6EAD">
      <w:pPr>
        <w:pStyle w:val="2"/>
        <w:numPr>
          <w:ilvl w:val="0"/>
          <w:numId w:val="1"/>
        </w:numPr>
        <w:adjustRightInd w:val="0"/>
        <w:snapToGrid w:val="0"/>
        <w:spacing w:before="0" w:after="0" w:line="360" w:lineRule="auto"/>
        <w:jc w:val="both"/>
        <w:rPr>
          <w:rFonts w:ascii="Times New Roman" w:hAnsi="Times New Roman" w:cs="Times New Roman"/>
          <w:sz w:val="24"/>
          <w:szCs w:val="24"/>
          <w:lang w:val="en-GB"/>
        </w:rPr>
      </w:pPr>
      <w:r w:rsidRPr="00723495">
        <w:rPr>
          <w:rFonts w:ascii="Times New Roman" w:hAnsi="Times New Roman" w:cs="Times New Roman"/>
          <w:b/>
          <w:bCs/>
          <w:color w:val="00000A"/>
          <w:sz w:val="24"/>
          <w:szCs w:val="24"/>
          <w:lang w:val="en-GB"/>
        </w:rPr>
        <w:t>Supplementary</w:t>
      </w:r>
      <w:r w:rsidRPr="00723495">
        <w:rPr>
          <w:rFonts w:ascii="Times New Roman" w:eastAsia="等线" w:hAnsi="Times New Roman" w:cs="Times New Roman"/>
          <w:b/>
          <w:bCs/>
          <w:color w:val="00000A"/>
          <w:sz w:val="24"/>
          <w:szCs w:val="24"/>
          <w:lang w:val="en-GB"/>
        </w:rPr>
        <w:t xml:space="preserve"> Note</w:t>
      </w:r>
    </w:p>
    <w:p w14:paraId="06F85054" w14:textId="13CE9DF7" w:rsidR="007136D7" w:rsidRDefault="007136D7" w:rsidP="002B6EAD">
      <w:pPr>
        <w:pStyle w:val="af4"/>
        <w:adjustRightInd w:val="0"/>
        <w:snapToGrid w:val="0"/>
        <w:spacing w:after="0" w:line="360" w:lineRule="auto"/>
        <w:rPr>
          <w:rFonts w:ascii="Times New Roman" w:eastAsia="等线" w:hAnsi="Times New Roman" w:cs="Times New Roman"/>
          <w:sz w:val="24"/>
          <w:szCs w:val="24"/>
          <w:lang w:val="en-GB" w:eastAsia="zh-CN"/>
        </w:rPr>
      </w:pPr>
      <w:r w:rsidRPr="007136D7">
        <w:rPr>
          <w:rFonts w:ascii="Times New Roman" w:eastAsia="等线" w:hAnsi="Times New Roman" w:cs="Times New Roman"/>
          <w:sz w:val="24"/>
          <w:szCs w:val="24"/>
          <w:lang w:val="en-GB" w:eastAsia="zh-CN"/>
        </w:rPr>
        <w:t xml:space="preserve">Full systematic description of </w:t>
      </w:r>
      <w:r w:rsidRPr="007136D7">
        <w:rPr>
          <w:rFonts w:ascii="Times New Roman" w:eastAsia="等线" w:hAnsi="Times New Roman" w:cs="Times New Roman"/>
          <w:i/>
          <w:iCs/>
          <w:sz w:val="24"/>
          <w:szCs w:val="24"/>
          <w:lang w:val="en-GB" w:eastAsia="zh-CN"/>
        </w:rPr>
        <w:t>Pterocetus diamantinae</w:t>
      </w:r>
      <w:r w:rsidRPr="007136D7">
        <w:rPr>
          <w:rFonts w:ascii="Times New Roman" w:eastAsia="等线" w:hAnsi="Times New Roman" w:cs="Times New Roman"/>
          <w:sz w:val="24"/>
          <w:szCs w:val="24"/>
          <w:lang w:val="en-GB" w:eastAsia="zh-CN"/>
        </w:rPr>
        <w:t xml:space="preserve"> sp. nov., a new fossil beaked whale species discovered on the seafloor of the Diamantina Zone, Indian Ocean.</w:t>
      </w:r>
    </w:p>
    <w:p w14:paraId="1867B7CE" w14:textId="77777777" w:rsidR="007136D7" w:rsidRPr="00723495" w:rsidRDefault="007136D7" w:rsidP="002B6EAD">
      <w:pPr>
        <w:pStyle w:val="af4"/>
        <w:adjustRightInd w:val="0"/>
        <w:snapToGrid w:val="0"/>
        <w:spacing w:after="0" w:line="360" w:lineRule="auto"/>
        <w:rPr>
          <w:rFonts w:ascii="Times New Roman" w:eastAsia="等线" w:hAnsi="Times New Roman" w:cs="Times New Roman"/>
          <w:sz w:val="24"/>
          <w:szCs w:val="24"/>
          <w:lang w:val="en-GB" w:eastAsia="zh-CN"/>
        </w:rPr>
      </w:pPr>
    </w:p>
    <w:p w14:paraId="7F2E520C" w14:textId="77777777" w:rsidR="007136D7" w:rsidRPr="007136D7" w:rsidRDefault="007136D7" w:rsidP="002B6EAD">
      <w:pPr>
        <w:adjustRightInd w:val="0"/>
        <w:snapToGrid w:val="0"/>
        <w:spacing w:after="0" w:line="360" w:lineRule="auto"/>
        <w:rPr>
          <w:rFonts w:ascii="Times New Roman" w:hAnsi="Times New Roman" w:cs="Times New Roman"/>
          <w:b/>
          <w:bCs/>
        </w:rPr>
      </w:pPr>
      <w:r w:rsidRPr="007136D7">
        <w:rPr>
          <w:rFonts w:ascii="Times New Roman" w:hAnsi="Times New Roman" w:cs="Times New Roman"/>
          <w:b/>
          <w:bCs/>
          <w:color w:val="000000"/>
          <w:lang w:val="en-GB"/>
        </w:rPr>
        <w:t xml:space="preserve">Systematic </w:t>
      </w:r>
      <w:r w:rsidRPr="007136D7">
        <w:rPr>
          <w:rFonts w:ascii="Times New Roman" w:eastAsia="等线" w:hAnsi="Times New Roman" w:cs="Times New Roman"/>
          <w:b/>
          <w:bCs/>
          <w:color w:val="000000"/>
          <w:lang w:val="en-GB"/>
        </w:rPr>
        <w:t>palaeontology</w:t>
      </w:r>
      <w:r w:rsidRPr="007136D7">
        <w:rPr>
          <w:rFonts w:ascii="Times New Roman" w:hAnsi="Times New Roman" w:cs="Times New Roman"/>
          <w:b/>
          <w:bCs/>
          <w:color w:val="000000"/>
          <w:lang w:val="en-GB"/>
        </w:rPr>
        <w:t xml:space="preserve"> </w:t>
      </w:r>
    </w:p>
    <w:p w14:paraId="2F0E84A8" w14:textId="77777777" w:rsidR="007136D7" w:rsidRPr="00723495" w:rsidRDefault="007136D7" w:rsidP="002B6EAD">
      <w:pPr>
        <w:adjustRightInd w:val="0"/>
        <w:snapToGrid w:val="0"/>
        <w:spacing w:after="0" w:line="360" w:lineRule="auto"/>
        <w:jc w:val="center"/>
        <w:rPr>
          <w:rFonts w:ascii="Times New Roman" w:hAnsi="Times New Roman" w:cs="Times New Roman"/>
          <w:color w:val="000000"/>
          <w:lang w:val="en-GB"/>
        </w:rPr>
      </w:pPr>
      <w:r w:rsidRPr="00723495">
        <w:rPr>
          <w:rFonts w:ascii="Times New Roman" w:hAnsi="Times New Roman" w:cs="Times New Roman"/>
          <w:color w:val="000000"/>
          <w:lang w:val="en-GB"/>
        </w:rPr>
        <w:t>Cetacea Brisson, 1762</w:t>
      </w:r>
    </w:p>
    <w:p w14:paraId="5B03E2E4" w14:textId="77777777" w:rsidR="007136D7" w:rsidRPr="00723495" w:rsidRDefault="007136D7" w:rsidP="002B6EAD">
      <w:pPr>
        <w:adjustRightInd w:val="0"/>
        <w:snapToGrid w:val="0"/>
        <w:spacing w:after="0" w:line="360" w:lineRule="auto"/>
        <w:jc w:val="center"/>
        <w:rPr>
          <w:rFonts w:ascii="Times New Roman" w:hAnsi="Times New Roman" w:cs="Times New Roman"/>
          <w:color w:val="000000"/>
          <w:lang w:val="en-GB"/>
        </w:rPr>
      </w:pPr>
      <w:r w:rsidRPr="00723495">
        <w:rPr>
          <w:rFonts w:ascii="Times New Roman" w:hAnsi="Times New Roman" w:cs="Times New Roman"/>
          <w:color w:val="000000"/>
          <w:lang w:val="en-GB"/>
        </w:rPr>
        <w:t>Odontoceti Flower, 1867</w:t>
      </w:r>
    </w:p>
    <w:p w14:paraId="3F243811" w14:textId="77777777" w:rsidR="007136D7" w:rsidRPr="00723495" w:rsidRDefault="007136D7" w:rsidP="002B6EAD">
      <w:pPr>
        <w:adjustRightInd w:val="0"/>
        <w:snapToGrid w:val="0"/>
        <w:spacing w:after="0" w:line="360" w:lineRule="auto"/>
        <w:jc w:val="center"/>
        <w:rPr>
          <w:rFonts w:ascii="Times New Roman" w:hAnsi="Times New Roman" w:cs="Times New Roman"/>
          <w:color w:val="000000"/>
          <w:lang w:val="en-GB"/>
        </w:rPr>
      </w:pPr>
      <w:r w:rsidRPr="00723495">
        <w:rPr>
          <w:rFonts w:ascii="Times New Roman" w:hAnsi="Times New Roman" w:cs="Times New Roman"/>
          <w:color w:val="000000"/>
          <w:lang w:val="en-GB"/>
        </w:rPr>
        <w:t>Ziphiidae</w:t>
      </w:r>
      <w:r w:rsidRPr="00723495">
        <w:rPr>
          <w:rFonts w:ascii="Times New Roman" w:hAnsi="Times New Roman" w:cs="Times New Roman"/>
          <w:color w:val="222222"/>
          <w:lang w:val="en-GB"/>
        </w:rPr>
        <w:t xml:space="preserve"> Gray, 1850</w:t>
      </w:r>
    </w:p>
    <w:p w14:paraId="6B87CBF3" w14:textId="77777777" w:rsidR="007136D7" w:rsidRPr="00723495" w:rsidRDefault="007136D7" w:rsidP="002B6EAD">
      <w:pPr>
        <w:adjustRightInd w:val="0"/>
        <w:snapToGrid w:val="0"/>
        <w:spacing w:after="0" w:line="360" w:lineRule="auto"/>
        <w:jc w:val="center"/>
        <w:rPr>
          <w:rFonts w:ascii="Times New Roman" w:hAnsi="Times New Roman" w:cs="Times New Roman"/>
          <w:color w:val="222222"/>
        </w:rPr>
      </w:pPr>
      <w:r w:rsidRPr="00723495">
        <w:rPr>
          <w:rFonts w:ascii="Times New Roman" w:hAnsi="Times New Roman" w:cs="Times New Roman"/>
          <w:color w:val="000000"/>
        </w:rPr>
        <w:t xml:space="preserve">Vomeroziphii </w:t>
      </w:r>
      <w:r w:rsidRPr="00723495">
        <w:rPr>
          <w:rFonts w:ascii="Times New Roman" w:hAnsi="Times New Roman" w:cs="Times New Roman"/>
          <w:color w:val="222222"/>
        </w:rPr>
        <w:t>Bianucci et al., 2024</w:t>
      </w:r>
    </w:p>
    <w:p w14:paraId="53A81912" w14:textId="77777777" w:rsidR="007136D7" w:rsidRPr="00723495" w:rsidRDefault="007136D7" w:rsidP="002B6EAD">
      <w:pPr>
        <w:adjustRightInd w:val="0"/>
        <w:snapToGrid w:val="0"/>
        <w:spacing w:after="0" w:line="360" w:lineRule="auto"/>
        <w:jc w:val="center"/>
        <w:rPr>
          <w:rFonts w:ascii="Times New Roman" w:hAnsi="Times New Roman" w:cs="Times New Roman"/>
          <w:i/>
          <w:iCs/>
          <w:color w:val="222222"/>
        </w:rPr>
      </w:pPr>
      <w:r w:rsidRPr="00723495">
        <w:rPr>
          <w:rFonts w:ascii="Times New Roman" w:hAnsi="Times New Roman" w:cs="Times New Roman"/>
          <w:color w:val="222222"/>
        </w:rPr>
        <w:t>Hyperoodontinae Gray, 1866 (</w:t>
      </w:r>
      <w:r w:rsidRPr="00723495">
        <w:rPr>
          <w:rFonts w:ascii="Times New Roman" w:hAnsi="Times New Roman" w:cs="Times New Roman"/>
          <w:i/>
          <w:iCs/>
          <w:color w:val="222222"/>
        </w:rPr>
        <w:t xml:space="preserve">sensu </w:t>
      </w:r>
      <w:r w:rsidRPr="00723495">
        <w:rPr>
          <w:rFonts w:ascii="Times New Roman" w:hAnsi="Times New Roman" w:cs="Times New Roman"/>
          <w:color w:val="222222"/>
        </w:rPr>
        <w:t xml:space="preserve">Bianucci </w:t>
      </w:r>
      <w:r w:rsidRPr="00723495">
        <w:rPr>
          <w:rFonts w:ascii="Times New Roman" w:hAnsi="Times New Roman" w:cs="Times New Roman"/>
          <w:i/>
          <w:iCs/>
          <w:color w:val="222222"/>
        </w:rPr>
        <w:t>et al.</w:t>
      </w:r>
      <w:r w:rsidRPr="00723495">
        <w:rPr>
          <w:rFonts w:ascii="Times New Roman" w:hAnsi="Times New Roman" w:cs="Times New Roman"/>
          <w:color w:val="222222"/>
        </w:rPr>
        <w:t>,</w:t>
      </w:r>
      <w:r w:rsidRPr="00723495">
        <w:rPr>
          <w:rFonts w:ascii="Times New Roman" w:hAnsi="Times New Roman" w:cs="Times New Roman"/>
          <w:i/>
          <w:iCs/>
          <w:color w:val="222222"/>
        </w:rPr>
        <w:t xml:space="preserve"> </w:t>
      </w:r>
      <w:r w:rsidRPr="00723495">
        <w:rPr>
          <w:rFonts w:ascii="Times New Roman" w:hAnsi="Times New Roman" w:cs="Times New Roman"/>
          <w:color w:val="222222"/>
        </w:rPr>
        <w:t>2024)</w:t>
      </w:r>
    </w:p>
    <w:p w14:paraId="72D6A1AD" w14:textId="77777777" w:rsidR="007136D7" w:rsidRPr="00723495" w:rsidRDefault="007136D7" w:rsidP="002B6EAD">
      <w:pPr>
        <w:adjustRightInd w:val="0"/>
        <w:snapToGrid w:val="0"/>
        <w:spacing w:after="0" w:line="360" w:lineRule="auto"/>
        <w:jc w:val="center"/>
        <w:rPr>
          <w:rFonts w:ascii="Times New Roman" w:hAnsi="Times New Roman" w:cs="Times New Roman"/>
          <w:i/>
          <w:iCs/>
          <w:color w:val="222222"/>
        </w:rPr>
      </w:pPr>
      <w:r w:rsidRPr="00723495">
        <w:rPr>
          <w:rFonts w:ascii="Times New Roman" w:hAnsi="Times New Roman" w:cs="Times New Roman"/>
          <w:i/>
          <w:iCs/>
          <w:color w:val="222222"/>
        </w:rPr>
        <w:t>Pterocetus</w:t>
      </w:r>
      <w:r w:rsidRPr="00723495">
        <w:rPr>
          <w:rFonts w:ascii="Times New Roman" w:hAnsi="Times New Roman" w:cs="Times New Roman"/>
          <w:color w:val="222222"/>
        </w:rPr>
        <w:t xml:space="preserve"> Bianucci, Lambert and Post, 2007</w:t>
      </w:r>
    </w:p>
    <w:p w14:paraId="2F055765" w14:textId="77777777" w:rsidR="007136D7" w:rsidRPr="00723495" w:rsidRDefault="007136D7" w:rsidP="002B6EAD">
      <w:pPr>
        <w:adjustRightInd w:val="0"/>
        <w:snapToGrid w:val="0"/>
        <w:spacing w:after="0" w:line="360" w:lineRule="auto"/>
        <w:jc w:val="center"/>
        <w:rPr>
          <w:rFonts w:ascii="Times New Roman" w:hAnsi="Times New Roman" w:cs="Times New Roman"/>
          <w:b/>
          <w:bCs/>
          <w:color w:val="222222"/>
        </w:rPr>
      </w:pPr>
      <w:r w:rsidRPr="00723495">
        <w:rPr>
          <w:rFonts w:ascii="Times New Roman" w:hAnsi="Times New Roman" w:cs="Times New Roman"/>
          <w:b/>
          <w:bCs/>
          <w:i/>
          <w:iCs/>
          <w:color w:val="222222"/>
        </w:rPr>
        <w:t xml:space="preserve">Pterocetus diamantinae </w:t>
      </w:r>
      <w:r w:rsidRPr="00723495">
        <w:rPr>
          <w:rFonts w:ascii="Times New Roman" w:eastAsia="等线" w:hAnsi="Times New Roman" w:cs="Times New Roman"/>
          <w:b/>
          <w:bCs/>
          <w:color w:val="222222"/>
        </w:rPr>
        <w:t>Bianucci &amp; Collareta, sp. nov.</w:t>
      </w:r>
    </w:p>
    <w:p w14:paraId="7AF686BE" w14:textId="35058478" w:rsidR="007136D7" w:rsidRPr="00723495" w:rsidRDefault="007136D7" w:rsidP="002B6EAD">
      <w:pPr>
        <w:adjustRightInd w:val="0"/>
        <w:snapToGrid w:val="0"/>
        <w:spacing w:after="0" w:line="360" w:lineRule="auto"/>
        <w:jc w:val="center"/>
        <w:rPr>
          <w:rFonts w:ascii="Times New Roman" w:hAnsi="Times New Roman" w:cs="Times New Roman"/>
          <w:b/>
          <w:bCs/>
          <w:color w:val="222222"/>
        </w:rPr>
      </w:pPr>
      <w:r w:rsidRPr="00723495">
        <w:rPr>
          <w:rFonts w:ascii="Times New Roman" w:hAnsi="Times New Roman" w:cs="Times New Roman"/>
          <w:color w:val="222222"/>
        </w:rPr>
        <w:t>(Fig. 3e–g; Extended Data Fig. 5a, b</w:t>
      </w:r>
      <w:r w:rsidR="00B44582">
        <w:rPr>
          <w:rFonts w:ascii="Times New Roman" w:hAnsi="Times New Roman" w:cs="Times New Roman" w:hint="eastAsia"/>
          <w:color w:val="222222"/>
        </w:rPr>
        <w:t xml:space="preserve"> and 6</w:t>
      </w:r>
      <w:r w:rsidRPr="00723495">
        <w:rPr>
          <w:rFonts w:ascii="Times New Roman" w:hAnsi="Times New Roman" w:cs="Times New Roman"/>
          <w:color w:val="222222"/>
        </w:rPr>
        <w:t>; Extended Data Table 3)</w:t>
      </w:r>
    </w:p>
    <w:p w14:paraId="5E9C2B0C" w14:textId="77777777" w:rsidR="007136D7" w:rsidRPr="00723495" w:rsidRDefault="007136D7" w:rsidP="002B6EAD">
      <w:pPr>
        <w:adjustRightInd w:val="0"/>
        <w:snapToGrid w:val="0"/>
        <w:spacing w:after="0" w:line="360" w:lineRule="auto"/>
        <w:rPr>
          <w:rFonts w:ascii="Times New Roman" w:hAnsi="Times New Roman" w:cs="Times New Roman"/>
          <w:b/>
          <w:bCs/>
          <w:color w:val="222222"/>
        </w:rPr>
      </w:pPr>
      <w:r w:rsidRPr="00723495">
        <w:rPr>
          <w:rFonts w:ascii="Times New Roman" w:hAnsi="Times New Roman" w:cs="Times New Roman"/>
          <w:b/>
          <w:bCs/>
          <w:color w:val="222222"/>
        </w:rPr>
        <w:t>ZooBank</w:t>
      </w:r>
      <w:r w:rsidRPr="00723495">
        <w:rPr>
          <w:rFonts w:ascii="Times New Roman" w:eastAsia="宋体" w:hAnsi="Times New Roman" w:cs="Times New Roman"/>
          <w:b/>
          <w:bCs/>
          <w:color w:val="222222"/>
        </w:rPr>
        <w:t>.</w:t>
      </w:r>
      <w:r w:rsidRPr="00723495">
        <w:rPr>
          <w:rFonts w:ascii="Times New Roman" w:hAnsi="Times New Roman" w:cs="Times New Roman"/>
          <w:b/>
          <w:bCs/>
          <w:color w:val="222222"/>
        </w:rPr>
        <w:t xml:space="preserve"> </w:t>
      </w:r>
      <w:r w:rsidRPr="00723495">
        <w:rPr>
          <w:rFonts w:ascii="Times New Roman" w:hAnsi="Times New Roman" w:cs="Times New Roman"/>
          <w:color w:val="222222"/>
        </w:rPr>
        <w:t>LSID: urn:lsid:zoobank.org:act:406FD05A-360B-4DD5-B146-4E355504AFD2.</w:t>
      </w:r>
    </w:p>
    <w:p w14:paraId="282C474C" w14:textId="710B3D91" w:rsidR="007136D7" w:rsidRPr="00723495" w:rsidRDefault="007136D7" w:rsidP="002B6EAD">
      <w:pPr>
        <w:adjustRightInd w:val="0"/>
        <w:snapToGrid w:val="0"/>
        <w:spacing w:after="0" w:line="360" w:lineRule="auto"/>
        <w:rPr>
          <w:rFonts w:ascii="Times New Roman" w:eastAsia="等线" w:hAnsi="Times New Roman" w:cs="Times New Roman"/>
          <w:b/>
          <w:bCs/>
          <w:color w:val="222222"/>
          <w:lang w:val="en-GB"/>
        </w:rPr>
      </w:pPr>
      <w:r w:rsidRPr="00723495">
        <w:rPr>
          <w:rFonts w:ascii="Times New Roman" w:hAnsi="Times New Roman" w:cs="Times New Roman"/>
          <w:b/>
          <w:bCs/>
          <w:color w:val="222222"/>
          <w:lang w:val="en-GB"/>
        </w:rPr>
        <w:t xml:space="preserve">Holotype. </w:t>
      </w:r>
      <w:r w:rsidRPr="00723495">
        <w:rPr>
          <w:rFonts w:ascii="Times New Roman" w:hAnsi="Times New Roman" w:cs="Times New Roman"/>
          <w:color w:val="222222"/>
          <w:lang w:val="en-GB"/>
        </w:rPr>
        <w:t>FDZ182-R1a</w:t>
      </w:r>
      <w:r w:rsidRPr="0081471B">
        <w:rPr>
          <w:rFonts w:ascii="Times New Roman" w:hAnsi="Times New Roman" w:cs="Times New Roman"/>
          <w:color w:val="222222"/>
          <w:lang w:val="en-GB"/>
        </w:rPr>
        <w:t xml:space="preserve"> (deposited at </w:t>
      </w:r>
      <w:r w:rsidR="00752913">
        <w:rPr>
          <w:rFonts w:ascii="Times New Roman" w:hAnsi="Times New Roman" w:cs="Times New Roman" w:hint="eastAsia"/>
          <w:color w:val="222222"/>
          <w:lang w:val="en-GB"/>
        </w:rPr>
        <w:t xml:space="preserve">the </w:t>
      </w:r>
      <w:r w:rsidRPr="0081471B">
        <w:rPr>
          <w:rFonts w:ascii="Times New Roman" w:hAnsi="Times New Roman" w:cs="Times New Roman"/>
          <w:color w:val="222222"/>
          <w:lang w:val="en-GB"/>
        </w:rPr>
        <w:t>Hadal Museum, IDSSE-CAS, Sanya, China)</w:t>
      </w:r>
      <w:r w:rsidRPr="00723495">
        <w:rPr>
          <w:rFonts w:ascii="Times New Roman" w:hAnsi="Times New Roman" w:cs="Times New Roman"/>
          <w:color w:val="222222"/>
          <w:lang w:val="en-GB"/>
        </w:rPr>
        <w:t>, a partial skull including the rostrum and anterior neurocranium.</w:t>
      </w:r>
    </w:p>
    <w:p w14:paraId="45B80394" w14:textId="77777777" w:rsidR="007136D7" w:rsidRPr="00723495" w:rsidRDefault="007136D7" w:rsidP="002B6EAD">
      <w:pPr>
        <w:adjustRightInd w:val="0"/>
        <w:snapToGrid w:val="0"/>
        <w:spacing w:after="0" w:line="360" w:lineRule="auto"/>
        <w:rPr>
          <w:rFonts w:ascii="Times New Roman" w:hAnsi="Times New Roman" w:cs="Times New Roman"/>
          <w:b/>
          <w:bCs/>
          <w:color w:val="222222"/>
          <w:lang w:val="en-GB"/>
        </w:rPr>
      </w:pPr>
      <w:r w:rsidRPr="00723495">
        <w:rPr>
          <w:rFonts w:ascii="Times New Roman" w:hAnsi="Times New Roman" w:cs="Times New Roman"/>
          <w:b/>
          <w:bCs/>
          <w:color w:val="222222"/>
          <w:lang w:val="en-GB"/>
        </w:rPr>
        <w:t xml:space="preserve">Locality and age. </w:t>
      </w:r>
      <w:r w:rsidRPr="00723495">
        <w:rPr>
          <w:rFonts w:ascii="Times New Roman" w:hAnsi="Times New Roman" w:cs="Times New Roman"/>
          <w:color w:val="222222"/>
          <w:lang w:val="en-GB"/>
        </w:rPr>
        <w:t>Diamantina Zone seafloor, 1280 km west of Cape Lewin (Australia), Indian Ocean, at a depth of 6878.4 m; geographic coordinates 33°38'40.92"S, 101°15'37.44"E. The age of FDZ182-R1a</w:t>
      </w:r>
      <w:r w:rsidRPr="00723495">
        <w:rPr>
          <w:rFonts w:ascii="Times New Roman" w:eastAsia="等线" w:hAnsi="Times New Roman" w:cs="Times New Roman"/>
          <w:color w:val="222222"/>
          <w:lang w:val="en-GB"/>
        </w:rPr>
        <w:t xml:space="preserve"> </w:t>
      </w:r>
      <w:r w:rsidRPr="00723495">
        <w:rPr>
          <w:rFonts w:ascii="Times New Roman" w:hAnsi="Times New Roman" w:cs="Times New Roman"/>
          <w:color w:val="222222"/>
          <w:lang w:val="en-GB"/>
        </w:rPr>
        <w:t xml:space="preserve">is unknown because the holotype proved unsuitable for </w:t>
      </w:r>
      <w:r w:rsidRPr="00723495">
        <w:rPr>
          <w:rFonts w:ascii="Times New Roman" w:hAnsi="Times New Roman" w:cs="Times New Roman"/>
          <w:color w:val="222222"/>
          <w:vertAlign w:val="superscript"/>
        </w:rPr>
        <w:t>87</w:t>
      </w:r>
      <w:r w:rsidRPr="00723495">
        <w:rPr>
          <w:rFonts w:ascii="Times New Roman" w:hAnsi="Times New Roman" w:cs="Times New Roman"/>
          <w:color w:val="222222"/>
        </w:rPr>
        <w:t>Sr/</w:t>
      </w:r>
      <w:r w:rsidRPr="00723495">
        <w:rPr>
          <w:rFonts w:ascii="Times New Roman" w:hAnsi="Times New Roman" w:cs="Times New Roman"/>
          <w:color w:val="222222"/>
          <w:vertAlign w:val="superscript"/>
        </w:rPr>
        <w:t>86</w:t>
      </w:r>
      <w:r w:rsidRPr="00723495">
        <w:rPr>
          <w:rFonts w:ascii="Times New Roman" w:hAnsi="Times New Roman" w:cs="Times New Roman"/>
          <w:color w:val="222222"/>
        </w:rPr>
        <w:t>Sr</w:t>
      </w:r>
      <w:r w:rsidRPr="00723495">
        <w:rPr>
          <w:rFonts w:ascii="Times New Roman" w:hAnsi="Times New Roman" w:cs="Times New Roman"/>
          <w:color w:val="222222"/>
          <w:lang w:val="en-GB"/>
        </w:rPr>
        <w:t xml:space="preserve"> analysis. However, it is likely not older than the Early Pliocene, as other ziphiid crania collected in the Diamantina Zone seafloor have yielded ages ranging between 5.26–0 million years ago.</w:t>
      </w:r>
    </w:p>
    <w:p w14:paraId="3F6E1DDB" w14:textId="77777777" w:rsidR="007136D7" w:rsidRPr="00723495" w:rsidRDefault="007136D7" w:rsidP="002B6EAD">
      <w:pPr>
        <w:adjustRightInd w:val="0"/>
        <w:snapToGrid w:val="0"/>
        <w:spacing w:after="0" w:line="360" w:lineRule="auto"/>
        <w:rPr>
          <w:rFonts w:ascii="Times New Roman" w:hAnsi="Times New Roman" w:cs="Times New Roman"/>
          <w:b/>
          <w:bCs/>
          <w:color w:val="222222"/>
          <w:lang w:val="en-GB"/>
        </w:rPr>
      </w:pPr>
      <w:r w:rsidRPr="00723495">
        <w:rPr>
          <w:rFonts w:ascii="Times New Roman" w:hAnsi="Times New Roman" w:cs="Times New Roman"/>
          <w:b/>
          <w:bCs/>
          <w:color w:val="222222"/>
          <w:lang w:val="en-GB"/>
        </w:rPr>
        <w:t xml:space="preserve">Etymology. </w:t>
      </w:r>
      <w:r w:rsidRPr="00723495">
        <w:rPr>
          <w:rFonts w:ascii="Times New Roman" w:hAnsi="Times New Roman" w:cs="Times New Roman"/>
          <w:color w:val="222222"/>
          <w:lang w:val="en-GB"/>
        </w:rPr>
        <w:t>Named after the type locality.</w:t>
      </w:r>
    </w:p>
    <w:p w14:paraId="7E7C3345" w14:textId="77777777" w:rsidR="007136D7" w:rsidRPr="00723495" w:rsidRDefault="007136D7" w:rsidP="002B6EAD">
      <w:pPr>
        <w:pStyle w:val="af4"/>
        <w:adjustRightInd w:val="0"/>
        <w:snapToGrid w:val="0"/>
        <w:spacing w:after="0" w:line="360" w:lineRule="auto"/>
        <w:rPr>
          <w:rFonts w:ascii="Times New Roman" w:hAnsi="Times New Roman" w:cs="Times New Roman"/>
          <w:color w:val="222222"/>
          <w:sz w:val="24"/>
          <w:szCs w:val="24"/>
          <w:lang w:val="en-GB"/>
        </w:rPr>
      </w:pPr>
      <w:r w:rsidRPr="00723495">
        <w:rPr>
          <w:rFonts w:ascii="Times New Roman" w:hAnsi="Times New Roman" w:cs="Times New Roman"/>
          <w:b/>
          <w:bCs/>
          <w:color w:val="222222"/>
          <w:sz w:val="24"/>
          <w:szCs w:val="24"/>
          <w:lang w:val="en-GB"/>
        </w:rPr>
        <w:t>Diagnosis.</w:t>
      </w:r>
      <w:r w:rsidRPr="00723495">
        <w:rPr>
          <w:rFonts w:ascii="Times New Roman" w:hAnsi="Times New Roman" w:cs="Times New Roman"/>
          <w:color w:val="222222"/>
          <w:sz w:val="24"/>
          <w:szCs w:val="24"/>
          <w:lang w:val="en-GB"/>
        </w:rPr>
        <w:t xml:space="preserve"> </w:t>
      </w:r>
      <w:r w:rsidRPr="00723495">
        <w:rPr>
          <w:rFonts w:ascii="Times New Roman" w:hAnsi="Times New Roman" w:cs="Times New Roman"/>
          <w:i/>
          <w:iCs/>
          <w:color w:val="222222"/>
          <w:sz w:val="24"/>
          <w:szCs w:val="24"/>
          <w:lang w:val="en-GB"/>
        </w:rPr>
        <w:t xml:space="preserve">Pterocetus diamantinae </w:t>
      </w:r>
      <w:r w:rsidRPr="00723495">
        <w:rPr>
          <w:rFonts w:ascii="Times New Roman" w:hAnsi="Times New Roman" w:cs="Times New Roman"/>
          <w:color w:val="222222"/>
          <w:sz w:val="24"/>
          <w:szCs w:val="24"/>
          <w:lang w:val="en-GB"/>
        </w:rPr>
        <w:t xml:space="preserve">is a congener of </w:t>
      </w:r>
      <w:r w:rsidRPr="00723495">
        <w:rPr>
          <w:rFonts w:ascii="Times New Roman" w:hAnsi="Times New Roman" w:cs="Times New Roman"/>
          <w:i/>
          <w:iCs/>
          <w:color w:val="222222"/>
          <w:sz w:val="24"/>
          <w:szCs w:val="24"/>
          <w:lang w:val="en-GB"/>
        </w:rPr>
        <w:t>Pterocetus</w:t>
      </w:r>
      <w:r w:rsidRPr="00723495">
        <w:rPr>
          <w:rFonts w:ascii="Times New Roman" w:hAnsi="Times New Roman" w:cs="Times New Roman"/>
          <w:color w:val="222222"/>
          <w:sz w:val="24"/>
          <w:szCs w:val="24"/>
          <w:lang w:val="en-GB"/>
        </w:rPr>
        <w:t xml:space="preserve"> </w:t>
      </w:r>
      <w:r w:rsidRPr="00723495">
        <w:rPr>
          <w:rFonts w:ascii="Times New Roman" w:hAnsi="Times New Roman" w:cs="Times New Roman"/>
          <w:i/>
          <w:iCs/>
          <w:color w:val="222222"/>
          <w:sz w:val="24"/>
          <w:szCs w:val="24"/>
          <w:lang w:val="en-GB"/>
        </w:rPr>
        <w:t xml:space="preserve">benguelae </w:t>
      </w:r>
      <w:r w:rsidRPr="00723495">
        <w:rPr>
          <w:rFonts w:ascii="Times New Roman" w:hAnsi="Times New Roman" w:cs="Times New Roman"/>
          <w:color w:val="222222"/>
          <w:sz w:val="24"/>
          <w:szCs w:val="24"/>
          <w:lang w:val="en-GB"/>
        </w:rPr>
        <w:t xml:space="preserve">based on the observation of notably wide and deep antorbital notches, anterolaterally expanded preorbital processes, and premaxillary foramina that are located distinctly anterior to the antorbital notches. </w:t>
      </w:r>
      <w:r w:rsidRPr="00723495">
        <w:rPr>
          <w:rFonts w:ascii="Times New Roman" w:hAnsi="Times New Roman" w:cs="Times New Roman"/>
          <w:i/>
          <w:iCs/>
          <w:color w:val="222222"/>
          <w:sz w:val="24"/>
          <w:szCs w:val="24"/>
          <w:lang w:val="en-GB"/>
        </w:rPr>
        <w:t xml:space="preserve">Pterocetus diamantinae </w:t>
      </w:r>
      <w:r w:rsidRPr="00723495">
        <w:rPr>
          <w:rFonts w:ascii="Times New Roman" w:hAnsi="Times New Roman" w:cs="Times New Roman"/>
          <w:color w:val="222222"/>
          <w:sz w:val="24"/>
          <w:szCs w:val="24"/>
          <w:lang w:val="en-GB"/>
        </w:rPr>
        <w:t xml:space="preserve">differs from </w:t>
      </w:r>
      <w:r w:rsidRPr="00723495">
        <w:rPr>
          <w:rFonts w:ascii="Times New Roman" w:hAnsi="Times New Roman" w:cs="Times New Roman"/>
          <w:i/>
          <w:iCs/>
          <w:color w:val="222222"/>
          <w:sz w:val="24"/>
          <w:szCs w:val="24"/>
          <w:lang w:val="en-GB"/>
        </w:rPr>
        <w:t>P. benguelae</w:t>
      </w:r>
      <w:r w:rsidRPr="00723495">
        <w:rPr>
          <w:rFonts w:ascii="Times New Roman" w:hAnsi="Times New Roman" w:cs="Times New Roman"/>
          <w:color w:val="222222"/>
          <w:sz w:val="24"/>
          <w:szCs w:val="24"/>
          <w:lang w:val="en-GB"/>
        </w:rPr>
        <w:t xml:space="preserve"> by having higher, medially located, anteroposteriorly long maxillary crests that extend onto the rostrum base, and smaller premaxillary foramina.</w:t>
      </w:r>
    </w:p>
    <w:p w14:paraId="7DC7E0AA" w14:textId="77777777" w:rsidR="007136D7" w:rsidRPr="00723495" w:rsidRDefault="007136D7" w:rsidP="002B6EAD">
      <w:pPr>
        <w:adjustRightInd w:val="0"/>
        <w:snapToGrid w:val="0"/>
        <w:spacing w:after="0" w:line="360" w:lineRule="auto"/>
        <w:jc w:val="both"/>
        <w:rPr>
          <w:rFonts w:ascii="Times New Roman" w:hAnsi="Times New Roman" w:cs="Times New Roman"/>
          <w:lang w:val="en-GB"/>
        </w:rPr>
      </w:pPr>
      <w:r w:rsidRPr="00723495">
        <w:rPr>
          <w:rFonts w:ascii="Times New Roman" w:hAnsi="Times New Roman" w:cs="Times New Roman"/>
          <w:b/>
          <w:bCs/>
          <w:color w:val="222222"/>
          <w:lang w:val="en-GB"/>
        </w:rPr>
        <w:lastRenderedPageBreak/>
        <w:t xml:space="preserve">Description. </w:t>
      </w:r>
      <w:r w:rsidRPr="00723495">
        <w:rPr>
          <w:rFonts w:ascii="Times New Roman" w:hAnsi="Times New Roman" w:cs="Times New Roman"/>
          <w:lang w:val="en-GB"/>
        </w:rPr>
        <w:t xml:space="preserve">Considering the closure and partial fusion of the cranial sutures as well as the marked pachyosteosclerosis of the vomer, we identify the </w:t>
      </w:r>
      <w:r w:rsidRPr="00723495">
        <w:rPr>
          <w:rFonts w:ascii="Times New Roman" w:hAnsi="Times New Roman" w:cs="Times New Roman"/>
          <w:color w:val="222222"/>
          <w:lang w:val="en-GB"/>
        </w:rPr>
        <w:t xml:space="preserve">FDZ182-R1a </w:t>
      </w:r>
      <w:r w:rsidRPr="00723495">
        <w:rPr>
          <w:rFonts w:ascii="Times New Roman" w:hAnsi="Times New Roman" w:cs="Times New Roman"/>
          <w:lang w:val="en-GB"/>
        </w:rPr>
        <w:t>skull as originating from an adult, probably male, beaked whale individual.</w:t>
      </w:r>
    </w:p>
    <w:p w14:paraId="7802CAAC" w14:textId="77777777" w:rsidR="007136D7" w:rsidRPr="00723495" w:rsidRDefault="007136D7" w:rsidP="002B6EAD">
      <w:pPr>
        <w:adjustRightInd w:val="0"/>
        <w:snapToGrid w:val="0"/>
        <w:spacing w:after="0" w:line="360" w:lineRule="auto"/>
        <w:jc w:val="both"/>
        <w:rPr>
          <w:rFonts w:ascii="Times New Roman" w:hAnsi="Times New Roman" w:cs="Times New Roman"/>
          <w:lang w:val="en-GB"/>
        </w:rPr>
      </w:pPr>
      <w:r w:rsidRPr="00723495">
        <w:rPr>
          <w:rFonts w:ascii="Times New Roman" w:hAnsi="Times New Roman" w:cs="Times New Roman"/>
          <w:lang w:val="en-GB"/>
        </w:rPr>
        <w:t xml:space="preserve">The rostrum is higher than wide throughout its length. When viewed dorsally, the rostrum is moderately long and rather narrow at its base </w:t>
      </w:r>
      <w:r w:rsidRPr="00723495">
        <w:rPr>
          <w:rFonts w:ascii="Times New Roman" w:hAnsi="Times New Roman" w:cs="Times New Roman"/>
          <w:color w:val="222222"/>
          <w:lang w:val="en-GB"/>
        </w:rPr>
        <w:t>(Fig. 3e)</w:t>
      </w:r>
      <w:r w:rsidRPr="00723495">
        <w:rPr>
          <w:rFonts w:ascii="Times New Roman" w:hAnsi="Times New Roman" w:cs="Times New Roman"/>
          <w:lang w:val="en-GB"/>
        </w:rPr>
        <w:t xml:space="preserve">. The rostral portion of the mesorostral groove is completely filled by the pachyosteoscleorotic vomer. </w:t>
      </w:r>
      <w:r w:rsidRPr="00723495">
        <w:rPr>
          <w:rFonts w:ascii="Times New Roman" w:hAnsi="Times New Roman" w:cs="Times New Roman"/>
          <w:color w:val="000000"/>
          <w:lang w:val="en-GB"/>
        </w:rPr>
        <w:t xml:space="preserve">That said, the vomer does not extend significantly beyond the dorsal level of the premaxillae, and its dorsal profile lacks the bulge(s) that characterise other vomeroziphiids. </w:t>
      </w:r>
      <w:r w:rsidRPr="00723495">
        <w:rPr>
          <w:rFonts w:ascii="Times New Roman" w:hAnsi="Times New Roman" w:cs="Times New Roman"/>
          <w:lang w:val="en-GB"/>
        </w:rPr>
        <w:t xml:space="preserve">A distinct median suture is visible on the vomer along the posterior third of the rostrum. When viewed laterally, both the dorsal and ventral margins of the rostrum are very gently concave upward (hence the slightly upturned tip of the rostrum), and the same can be said for the shallow alveolar groove </w:t>
      </w:r>
      <w:r w:rsidRPr="00723495">
        <w:rPr>
          <w:rFonts w:ascii="Times New Roman" w:hAnsi="Times New Roman" w:cs="Times New Roman"/>
          <w:color w:val="222222"/>
          <w:lang w:val="en-GB"/>
        </w:rPr>
        <w:t>(Fig. 3f)</w:t>
      </w:r>
      <w:r w:rsidRPr="00723495">
        <w:rPr>
          <w:rFonts w:ascii="Times New Roman" w:hAnsi="Times New Roman" w:cs="Times New Roman"/>
          <w:lang w:val="en-GB"/>
        </w:rPr>
        <w:t xml:space="preserve">. The groove is narrow and relic, lacking as it does distinct dental alveoli, and does not enter the antorbital notch. </w:t>
      </w:r>
      <w:r w:rsidRPr="00723495">
        <w:rPr>
          <w:rFonts w:ascii="Times New Roman" w:hAnsi="Times New Roman" w:cs="Times New Roman"/>
          <w:color w:val="000000"/>
          <w:lang w:val="en-GB"/>
        </w:rPr>
        <w:t>The latter is deep and widely open due to the remarkable development of the preorbital process, which forms a peculiar anterolateral extension of the neurocranium.</w:t>
      </w:r>
      <w:r w:rsidRPr="00723495">
        <w:rPr>
          <w:rFonts w:ascii="Times New Roman" w:hAnsi="Times New Roman" w:cs="Times New Roman"/>
          <w:lang w:val="en-GB"/>
        </w:rPr>
        <w:t xml:space="preserve"> </w:t>
      </w:r>
    </w:p>
    <w:p w14:paraId="1E261E80" w14:textId="77777777" w:rsidR="007136D7" w:rsidRPr="00723495" w:rsidRDefault="007136D7" w:rsidP="002B6EAD">
      <w:pPr>
        <w:adjustRightInd w:val="0"/>
        <w:snapToGrid w:val="0"/>
        <w:spacing w:after="0" w:line="360" w:lineRule="auto"/>
        <w:jc w:val="both"/>
        <w:rPr>
          <w:rFonts w:ascii="Times New Roman" w:hAnsi="Times New Roman" w:cs="Times New Roman"/>
          <w:lang w:val="en-GB"/>
        </w:rPr>
      </w:pPr>
      <w:r w:rsidRPr="00723495">
        <w:rPr>
          <w:rFonts w:ascii="Times New Roman" w:hAnsi="Times New Roman" w:cs="Times New Roman"/>
          <w:lang w:val="en-GB"/>
        </w:rPr>
        <w:t xml:space="preserve">Each premaxillary foramen is located some 3 centimetres anterior to the corresponding antorbital notch, which results in the premaxillary sac fossae being anteroposteriorly long. With a transverse diameter of 4 mm, the right premaxillary foramen is smaller than observed in the holotype of </w:t>
      </w:r>
      <w:r w:rsidRPr="00723495">
        <w:rPr>
          <w:rFonts w:ascii="Times New Roman" w:hAnsi="Times New Roman" w:cs="Times New Roman"/>
          <w:i/>
          <w:iCs/>
          <w:color w:val="222222"/>
          <w:lang w:val="en-GB"/>
        </w:rPr>
        <w:t>P. benguelae</w:t>
      </w:r>
      <w:r w:rsidRPr="00723495">
        <w:rPr>
          <w:rFonts w:ascii="Times New Roman" w:hAnsi="Times New Roman" w:cs="Times New Roman"/>
          <w:color w:val="222222"/>
          <w:lang w:val="en-GB"/>
        </w:rPr>
        <w:t>.</w:t>
      </w:r>
      <w:r w:rsidRPr="00723495">
        <w:rPr>
          <w:rFonts w:ascii="Times New Roman" w:hAnsi="Times New Roman" w:cs="Times New Roman"/>
          <w:lang w:val="en-GB"/>
        </w:rPr>
        <w:t xml:space="preserve"> The premaxillary sac fossae are incomplete as well as strongly worn out posteriorly. The onset of the premaxillary crest is preserved on the right side of the cranium, being partially obscured by an iron-manganese concretion (</w:t>
      </w:r>
      <w:r w:rsidRPr="00723495">
        <w:rPr>
          <w:rFonts w:ascii="Times New Roman" w:hAnsi="Times New Roman" w:cs="Times New Roman"/>
          <w:color w:val="222222"/>
          <w:lang w:val="en-GB"/>
        </w:rPr>
        <w:t>Extended Data Fig. 5b)</w:t>
      </w:r>
      <w:r w:rsidRPr="00723495">
        <w:rPr>
          <w:rFonts w:ascii="Times New Roman" w:hAnsi="Times New Roman" w:cs="Times New Roman"/>
          <w:lang w:val="en-GB"/>
        </w:rPr>
        <w:t>.</w:t>
      </w:r>
    </w:p>
    <w:p w14:paraId="376CCB46" w14:textId="77777777" w:rsidR="007136D7" w:rsidRPr="00723495" w:rsidRDefault="007136D7" w:rsidP="002B6EAD">
      <w:pPr>
        <w:adjustRightInd w:val="0"/>
        <w:snapToGrid w:val="0"/>
        <w:spacing w:after="0" w:line="360" w:lineRule="auto"/>
        <w:jc w:val="both"/>
        <w:rPr>
          <w:rFonts w:ascii="Times New Roman" w:hAnsi="Times New Roman" w:cs="Times New Roman"/>
          <w:lang w:val="en-GB"/>
        </w:rPr>
      </w:pPr>
      <w:r w:rsidRPr="00723495">
        <w:rPr>
          <w:rFonts w:ascii="Times New Roman" w:hAnsi="Times New Roman" w:cs="Times New Roman"/>
          <w:lang w:val="en-GB"/>
        </w:rPr>
        <w:t xml:space="preserve">Just lateral to the premaxillary sac fossa, anterolateral to the incompletely preserved external bony nares, each maxilla bears a thick, prominent, anteroposteriorly elongated crest that extends onto the posterior third of the rostrum in the form of a long, dorsolaterally rounded ridge. These maxillary crests are slightly but clearly asymmetrical, the right crest being higher, apically sharper and transversely narrower than the left (Fig. 3g). Two dorsal infraorbital foramina pierce the medial side of the left maxillary crest, with a third foramen (transverse diameter 6 mm) being found on the medial side of the right crest, just lateral to the premaxilla-maxilla suture. Another dorsal infraorbital foramen is found on the lateral side of said crest, being followed anteriorly by a short sulcus. </w:t>
      </w:r>
    </w:p>
    <w:p w14:paraId="63BF0DCD" w14:textId="77777777" w:rsidR="007136D7" w:rsidRPr="00723495" w:rsidRDefault="007136D7" w:rsidP="002B6EAD">
      <w:pPr>
        <w:adjustRightInd w:val="0"/>
        <w:snapToGrid w:val="0"/>
        <w:spacing w:after="0" w:line="360" w:lineRule="auto"/>
        <w:jc w:val="both"/>
        <w:rPr>
          <w:rFonts w:ascii="Times New Roman" w:eastAsia="等线" w:hAnsi="Times New Roman" w:cs="Times New Roman"/>
          <w:color w:val="222222"/>
          <w:lang w:val="en-GB"/>
        </w:rPr>
      </w:pPr>
      <w:r w:rsidRPr="00723495">
        <w:rPr>
          <w:rFonts w:ascii="Times New Roman" w:hAnsi="Times New Roman" w:cs="Times New Roman"/>
          <w:lang w:val="en-GB"/>
        </w:rPr>
        <w:lastRenderedPageBreak/>
        <w:t>The poorly preserved ventral surface of the cranium features remnants of both palatines (</w:t>
      </w:r>
      <w:r w:rsidRPr="00723495">
        <w:rPr>
          <w:rFonts w:ascii="Times New Roman" w:hAnsi="Times New Roman" w:cs="Times New Roman"/>
          <w:color w:val="222222"/>
          <w:lang w:val="en-GB"/>
        </w:rPr>
        <w:t>Extended Data Fig. 5a)</w:t>
      </w:r>
      <w:r w:rsidRPr="00723495">
        <w:rPr>
          <w:rFonts w:ascii="Times New Roman" w:hAnsi="Times New Roman" w:cs="Times New Roman"/>
          <w:lang w:val="en-GB"/>
        </w:rPr>
        <w:t>. Marks of the palatine-pterygoid suture are observed up to some 15 centimetres anterior to the rostrum base. In the posterior rostrum and anterior neurocranium, the vomer forms a sharp ventral keel. A poorly preserved ventral infraorbital foramen is observed ca. 25 mm posterior to the right antorbital notch.</w:t>
      </w:r>
    </w:p>
    <w:p w14:paraId="18B67D29" w14:textId="6B592E3C" w:rsidR="007136D7" w:rsidRDefault="007136D7" w:rsidP="002B6EAD">
      <w:pPr>
        <w:spacing w:line="360" w:lineRule="auto"/>
        <w:jc w:val="both"/>
        <w:rPr>
          <w:rFonts w:ascii="Times New Roman" w:hAnsi="Times New Roman" w:cs="Times New Roman"/>
          <w:color w:val="222222"/>
          <w:lang w:val="en-GB"/>
        </w:rPr>
      </w:pPr>
      <w:r w:rsidRPr="00723495">
        <w:rPr>
          <w:rFonts w:ascii="Times New Roman" w:hAnsi="Times New Roman" w:cs="Times New Roman"/>
          <w:color w:val="222222"/>
          <w:lang w:val="en-GB"/>
        </w:rPr>
        <w:t xml:space="preserve">Although FDZ182-R1a does not preserve the well-diagnostic skull vertex, it exhibits a combination of characters that are regarded as unique to </w:t>
      </w:r>
      <w:r w:rsidRPr="00723495">
        <w:rPr>
          <w:rFonts w:ascii="Times New Roman" w:hAnsi="Times New Roman" w:cs="Times New Roman"/>
          <w:i/>
          <w:iCs/>
          <w:color w:val="222222"/>
          <w:lang w:val="en-GB"/>
        </w:rPr>
        <w:t>Pterocetus</w:t>
      </w:r>
      <w:r w:rsidRPr="00723495">
        <w:rPr>
          <w:rFonts w:ascii="Times New Roman" w:hAnsi="Times New Roman" w:cs="Times New Roman"/>
          <w:color w:val="222222"/>
          <w:lang w:val="en-GB"/>
        </w:rPr>
        <w:t>, namely, the notably wide and deep antorbital notches, anterolaterally expanded preorbital processes, and premaxillary foramina that are located distinctly anterior to the corresponding antorbital notches (Bianucci et al., 2007)</w:t>
      </w:r>
      <w:r w:rsidRPr="00723495">
        <w:rPr>
          <w:rFonts w:ascii="Times New Roman" w:eastAsia="等线" w:hAnsi="Times New Roman" w:cs="Times New Roman"/>
          <w:color w:val="222222"/>
          <w:vertAlign w:val="superscript"/>
          <w:lang w:val="en-GB"/>
        </w:rPr>
        <w:t>22</w:t>
      </w:r>
      <w:r w:rsidRPr="00723495">
        <w:rPr>
          <w:rFonts w:ascii="Times New Roman" w:hAnsi="Times New Roman" w:cs="Times New Roman"/>
          <w:color w:val="222222"/>
          <w:lang w:val="en-GB"/>
        </w:rPr>
        <w:t xml:space="preserve">. An assignment of FDZ182-R1a to </w:t>
      </w:r>
      <w:r w:rsidRPr="00723495">
        <w:rPr>
          <w:rFonts w:ascii="Times New Roman" w:hAnsi="Times New Roman" w:cs="Times New Roman"/>
          <w:i/>
          <w:iCs/>
          <w:color w:val="222222"/>
          <w:lang w:val="en-GB"/>
        </w:rPr>
        <w:t xml:space="preserve">Pterocetus </w:t>
      </w:r>
      <w:r w:rsidRPr="00723495">
        <w:rPr>
          <w:rFonts w:ascii="Times New Roman" w:hAnsi="Times New Roman" w:cs="Times New Roman"/>
          <w:color w:val="222222"/>
          <w:lang w:val="en-GB"/>
        </w:rPr>
        <w:t>is also consistent with the results of a phylogenetic analysis (Extended Data Fig. 6)</w:t>
      </w:r>
      <w:r w:rsidRPr="00723495">
        <w:rPr>
          <w:rFonts w:ascii="Times New Roman" w:eastAsia="等线" w:hAnsi="Times New Roman" w:cs="Times New Roman"/>
          <w:color w:val="222222"/>
          <w:lang w:val="en-GB"/>
        </w:rPr>
        <w:t xml:space="preserve">. </w:t>
      </w:r>
      <w:r w:rsidRPr="00723495">
        <w:rPr>
          <w:rFonts w:ascii="Times New Roman" w:hAnsi="Times New Roman" w:cs="Times New Roman"/>
          <w:color w:val="222222"/>
          <w:lang w:val="en-GB"/>
        </w:rPr>
        <w:t xml:space="preserve">However, FDZ182-R1a differs from the holotype and referred specimens of </w:t>
      </w:r>
      <w:r w:rsidRPr="00723495">
        <w:rPr>
          <w:rFonts w:ascii="Times New Roman" w:hAnsi="Times New Roman" w:cs="Times New Roman"/>
          <w:i/>
          <w:iCs/>
          <w:color w:val="222222"/>
          <w:lang w:val="en-GB"/>
        </w:rPr>
        <w:t>P. benguelae</w:t>
      </w:r>
      <w:r w:rsidRPr="00723495">
        <w:rPr>
          <w:rFonts w:ascii="Times New Roman" w:hAnsi="Times New Roman" w:cs="Times New Roman"/>
          <w:color w:val="222222"/>
          <w:lang w:val="en-GB"/>
        </w:rPr>
        <w:t xml:space="preserve"> by having higher, medially located, anteroposteriorly long maxillary crests that extend onto the rostrum base. On the whole, these differences exceed the range of intraspecific variation (due to e.g. sexual dimorphism, ontogeny, or individual variability) observed in extant ziphiids. As such, they allow for a species-level distinction between </w:t>
      </w:r>
      <w:r w:rsidRPr="00723495">
        <w:rPr>
          <w:rFonts w:ascii="Times New Roman" w:eastAsia="等线" w:hAnsi="Times New Roman" w:cs="Times New Roman"/>
          <w:color w:val="222222"/>
          <w:lang w:val="en-GB"/>
        </w:rPr>
        <w:t>the holotype (</w:t>
      </w:r>
      <w:r w:rsidRPr="00723495">
        <w:rPr>
          <w:rFonts w:ascii="Times New Roman" w:hAnsi="Times New Roman" w:cs="Times New Roman"/>
          <w:color w:val="222222"/>
          <w:lang w:val="en-GB"/>
        </w:rPr>
        <w:t>FDZ182-R1a</w:t>
      </w:r>
      <w:r w:rsidRPr="00723495">
        <w:rPr>
          <w:rFonts w:ascii="Times New Roman" w:eastAsia="等线" w:hAnsi="Times New Roman" w:cs="Times New Roman"/>
          <w:color w:val="222222"/>
          <w:lang w:val="en-GB"/>
        </w:rPr>
        <w:t>)</w:t>
      </w:r>
      <w:r w:rsidRPr="00723495">
        <w:rPr>
          <w:rFonts w:ascii="Times New Roman" w:hAnsi="Times New Roman" w:cs="Times New Roman"/>
          <w:color w:val="222222"/>
          <w:lang w:val="en-GB"/>
        </w:rPr>
        <w:t xml:space="preserve"> of </w:t>
      </w:r>
      <w:r w:rsidRPr="00723495">
        <w:rPr>
          <w:rFonts w:ascii="Times New Roman" w:hAnsi="Times New Roman" w:cs="Times New Roman"/>
          <w:i/>
          <w:iCs/>
          <w:color w:val="222222"/>
          <w:lang w:val="en-GB"/>
        </w:rPr>
        <w:t>Pterocetus diamantinae</w:t>
      </w:r>
      <w:r w:rsidRPr="00723495">
        <w:rPr>
          <w:rFonts w:ascii="Times New Roman" w:hAnsi="Times New Roman" w:cs="Times New Roman"/>
          <w:color w:val="222222"/>
          <w:lang w:val="en-GB"/>
        </w:rPr>
        <w:t xml:space="preserve"> </w:t>
      </w:r>
      <w:r w:rsidRPr="00723495">
        <w:rPr>
          <w:rFonts w:ascii="Times New Roman" w:eastAsia="等线" w:hAnsi="Times New Roman" w:cs="Times New Roman"/>
          <w:color w:val="222222"/>
          <w:lang w:val="en-GB"/>
        </w:rPr>
        <w:t>sp.</w:t>
      </w:r>
      <w:r w:rsidRPr="00723495">
        <w:rPr>
          <w:rFonts w:ascii="Times New Roman" w:hAnsi="Times New Roman" w:cs="Times New Roman"/>
          <w:color w:val="222222"/>
          <w:lang w:val="en-GB"/>
        </w:rPr>
        <w:t xml:space="preserve"> </w:t>
      </w:r>
      <w:r w:rsidRPr="00723495">
        <w:rPr>
          <w:rFonts w:ascii="Times New Roman" w:eastAsia="等线" w:hAnsi="Times New Roman" w:cs="Times New Roman"/>
          <w:color w:val="222222"/>
          <w:lang w:val="en-GB"/>
        </w:rPr>
        <w:t>nov</w:t>
      </w:r>
      <w:r w:rsidRPr="00723495">
        <w:rPr>
          <w:rFonts w:ascii="Times New Roman" w:hAnsi="Times New Roman" w:cs="Times New Roman"/>
          <w:color w:val="222222"/>
          <w:lang w:val="en-GB"/>
        </w:rPr>
        <w:t xml:space="preserve">. and </w:t>
      </w:r>
      <w:r w:rsidRPr="00723495">
        <w:rPr>
          <w:rFonts w:ascii="Times New Roman" w:hAnsi="Times New Roman" w:cs="Times New Roman"/>
          <w:i/>
          <w:iCs/>
          <w:color w:val="222222"/>
          <w:lang w:val="en-GB"/>
        </w:rPr>
        <w:t>P. benguelae</w:t>
      </w:r>
      <w:r w:rsidRPr="00723495">
        <w:rPr>
          <w:rFonts w:ascii="Times New Roman" w:hAnsi="Times New Roman" w:cs="Times New Roman"/>
          <w:color w:val="222222"/>
          <w:lang w:val="en-GB"/>
        </w:rPr>
        <w:t>.</w:t>
      </w:r>
    </w:p>
    <w:sectPr w:rsidR="007136D7" w:rsidSect="007136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BD23C" w14:textId="77777777" w:rsidR="001E4E4E" w:rsidRDefault="001E4E4E" w:rsidP="00335A02">
      <w:pPr>
        <w:spacing w:after="0" w:line="240" w:lineRule="auto"/>
      </w:pPr>
      <w:r>
        <w:separator/>
      </w:r>
    </w:p>
  </w:endnote>
  <w:endnote w:type="continuationSeparator" w:id="0">
    <w:p w14:paraId="0524BC68" w14:textId="77777777" w:rsidR="001E4E4E" w:rsidRDefault="001E4E4E" w:rsidP="00335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2F1B" w14:textId="77777777" w:rsidR="001E4E4E" w:rsidRDefault="001E4E4E" w:rsidP="00335A02">
      <w:pPr>
        <w:spacing w:after="0" w:line="240" w:lineRule="auto"/>
      </w:pPr>
      <w:r>
        <w:separator/>
      </w:r>
    </w:p>
  </w:footnote>
  <w:footnote w:type="continuationSeparator" w:id="0">
    <w:p w14:paraId="2739EE4D" w14:textId="77777777" w:rsidR="001E4E4E" w:rsidRDefault="001E4E4E" w:rsidP="00335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04984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F8C"/>
    <w:rsid w:val="00027857"/>
    <w:rsid w:val="00031997"/>
    <w:rsid w:val="00051089"/>
    <w:rsid w:val="00087D04"/>
    <w:rsid w:val="00090C94"/>
    <w:rsid w:val="001C0C81"/>
    <w:rsid w:val="001C53DB"/>
    <w:rsid w:val="001E4E4E"/>
    <w:rsid w:val="0026205E"/>
    <w:rsid w:val="00277303"/>
    <w:rsid w:val="002B6EAD"/>
    <w:rsid w:val="002E6F1F"/>
    <w:rsid w:val="002E77E3"/>
    <w:rsid w:val="002F3AF6"/>
    <w:rsid w:val="00330CD9"/>
    <w:rsid w:val="00335A02"/>
    <w:rsid w:val="003A7440"/>
    <w:rsid w:val="003D0A69"/>
    <w:rsid w:val="0042081F"/>
    <w:rsid w:val="004458E6"/>
    <w:rsid w:val="00465C8E"/>
    <w:rsid w:val="004A535F"/>
    <w:rsid w:val="004B72E6"/>
    <w:rsid w:val="00522071"/>
    <w:rsid w:val="00547ACA"/>
    <w:rsid w:val="00560A68"/>
    <w:rsid w:val="0057314E"/>
    <w:rsid w:val="005F3D53"/>
    <w:rsid w:val="00667DE0"/>
    <w:rsid w:val="006B4033"/>
    <w:rsid w:val="007136D7"/>
    <w:rsid w:val="00715BED"/>
    <w:rsid w:val="00715CF4"/>
    <w:rsid w:val="00730082"/>
    <w:rsid w:val="00752913"/>
    <w:rsid w:val="007846C9"/>
    <w:rsid w:val="007D2796"/>
    <w:rsid w:val="00853E4C"/>
    <w:rsid w:val="008F6E9E"/>
    <w:rsid w:val="00996FF5"/>
    <w:rsid w:val="00A24E68"/>
    <w:rsid w:val="00AE1935"/>
    <w:rsid w:val="00B24767"/>
    <w:rsid w:val="00B419FE"/>
    <w:rsid w:val="00B44582"/>
    <w:rsid w:val="00B5432D"/>
    <w:rsid w:val="00BB2A44"/>
    <w:rsid w:val="00D46F8C"/>
    <w:rsid w:val="00D802A1"/>
    <w:rsid w:val="00D86ADE"/>
    <w:rsid w:val="00DC480B"/>
    <w:rsid w:val="00DC5544"/>
    <w:rsid w:val="00DD397D"/>
    <w:rsid w:val="00DE0C07"/>
    <w:rsid w:val="00E0229F"/>
    <w:rsid w:val="00FF5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DF2D2"/>
  <w15:chartTrackingRefBased/>
  <w15:docId w15:val="{D2B2132F-EB29-4D5A-94E4-550DFDC2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46F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46F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46F8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46F8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46F8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46F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6F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6F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6F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6F8C"/>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semiHidden/>
    <w:rsid w:val="00D46F8C"/>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semiHidden/>
    <w:rsid w:val="00D46F8C"/>
    <w:rPr>
      <w:rFonts w:eastAsiaTheme="majorEastAsia" w:cstheme="majorBidi"/>
      <w:color w:val="2F5496" w:themeColor="accent1" w:themeShade="BF"/>
      <w:sz w:val="28"/>
      <w:szCs w:val="28"/>
    </w:rPr>
  </w:style>
  <w:style w:type="character" w:customStyle="1" w:styleId="40">
    <w:name w:val="标题 4 字符"/>
    <w:basedOn w:val="a0"/>
    <w:link w:val="4"/>
    <w:uiPriority w:val="9"/>
    <w:semiHidden/>
    <w:rsid w:val="00D46F8C"/>
    <w:rPr>
      <w:rFonts w:eastAsiaTheme="majorEastAsia" w:cstheme="majorBidi"/>
      <w:i/>
      <w:iCs/>
      <w:color w:val="2F5496" w:themeColor="accent1" w:themeShade="BF"/>
    </w:rPr>
  </w:style>
  <w:style w:type="character" w:customStyle="1" w:styleId="50">
    <w:name w:val="标题 5 字符"/>
    <w:basedOn w:val="a0"/>
    <w:link w:val="5"/>
    <w:uiPriority w:val="9"/>
    <w:semiHidden/>
    <w:rsid w:val="00D46F8C"/>
    <w:rPr>
      <w:rFonts w:eastAsiaTheme="majorEastAsia" w:cstheme="majorBidi"/>
      <w:color w:val="2F5496" w:themeColor="accent1" w:themeShade="BF"/>
    </w:rPr>
  </w:style>
  <w:style w:type="character" w:customStyle="1" w:styleId="60">
    <w:name w:val="标题 6 字符"/>
    <w:basedOn w:val="a0"/>
    <w:link w:val="6"/>
    <w:uiPriority w:val="9"/>
    <w:semiHidden/>
    <w:rsid w:val="00D46F8C"/>
    <w:rPr>
      <w:rFonts w:eastAsiaTheme="majorEastAsia" w:cstheme="majorBidi"/>
      <w:i/>
      <w:iCs/>
      <w:color w:val="595959" w:themeColor="text1" w:themeTint="A6"/>
    </w:rPr>
  </w:style>
  <w:style w:type="character" w:customStyle="1" w:styleId="70">
    <w:name w:val="标题 7 字符"/>
    <w:basedOn w:val="a0"/>
    <w:link w:val="7"/>
    <w:uiPriority w:val="9"/>
    <w:semiHidden/>
    <w:rsid w:val="00D46F8C"/>
    <w:rPr>
      <w:rFonts w:eastAsiaTheme="majorEastAsia" w:cstheme="majorBidi"/>
      <w:color w:val="595959" w:themeColor="text1" w:themeTint="A6"/>
    </w:rPr>
  </w:style>
  <w:style w:type="character" w:customStyle="1" w:styleId="80">
    <w:name w:val="标题 8 字符"/>
    <w:basedOn w:val="a0"/>
    <w:link w:val="8"/>
    <w:uiPriority w:val="9"/>
    <w:semiHidden/>
    <w:rsid w:val="00D46F8C"/>
    <w:rPr>
      <w:rFonts w:eastAsiaTheme="majorEastAsia" w:cstheme="majorBidi"/>
      <w:i/>
      <w:iCs/>
      <w:color w:val="272727" w:themeColor="text1" w:themeTint="D8"/>
    </w:rPr>
  </w:style>
  <w:style w:type="character" w:customStyle="1" w:styleId="90">
    <w:name w:val="标题 9 字符"/>
    <w:basedOn w:val="a0"/>
    <w:link w:val="9"/>
    <w:uiPriority w:val="9"/>
    <w:semiHidden/>
    <w:rsid w:val="00D46F8C"/>
    <w:rPr>
      <w:rFonts w:eastAsiaTheme="majorEastAsia" w:cstheme="majorBidi"/>
      <w:color w:val="272727" w:themeColor="text1" w:themeTint="D8"/>
    </w:rPr>
  </w:style>
  <w:style w:type="paragraph" w:styleId="a3">
    <w:name w:val="Title"/>
    <w:basedOn w:val="a"/>
    <w:next w:val="a"/>
    <w:link w:val="a4"/>
    <w:uiPriority w:val="10"/>
    <w:qFormat/>
    <w:rsid w:val="00D46F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46F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6F8C"/>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D46F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46F8C"/>
    <w:pPr>
      <w:spacing w:before="160"/>
      <w:jc w:val="center"/>
    </w:pPr>
    <w:rPr>
      <w:i/>
      <w:iCs/>
      <w:color w:val="404040" w:themeColor="text1" w:themeTint="BF"/>
    </w:rPr>
  </w:style>
  <w:style w:type="character" w:customStyle="1" w:styleId="a8">
    <w:name w:val="引用 字符"/>
    <w:basedOn w:val="a0"/>
    <w:link w:val="a7"/>
    <w:uiPriority w:val="29"/>
    <w:rsid w:val="00D46F8C"/>
    <w:rPr>
      <w:i/>
      <w:iCs/>
      <w:color w:val="404040" w:themeColor="text1" w:themeTint="BF"/>
    </w:rPr>
  </w:style>
  <w:style w:type="paragraph" w:styleId="a9">
    <w:name w:val="List Paragraph"/>
    <w:basedOn w:val="a"/>
    <w:uiPriority w:val="34"/>
    <w:qFormat/>
    <w:rsid w:val="00D46F8C"/>
    <w:pPr>
      <w:ind w:left="720"/>
      <w:contextualSpacing/>
    </w:pPr>
  </w:style>
  <w:style w:type="character" w:styleId="aa">
    <w:name w:val="Intense Emphasis"/>
    <w:basedOn w:val="a0"/>
    <w:uiPriority w:val="21"/>
    <w:qFormat/>
    <w:rsid w:val="00D46F8C"/>
    <w:rPr>
      <w:i/>
      <w:iCs/>
      <w:color w:val="2F5496" w:themeColor="accent1" w:themeShade="BF"/>
    </w:rPr>
  </w:style>
  <w:style w:type="paragraph" w:styleId="ab">
    <w:name w:val="Intense Quote"/>
    <w:basedOn w:val="a"/>
    <w:next w:val="a"/>
    <w:link w:val="ac"/>
    <w:uiPriority w:val="30"/>
    <w:qFormat/>
    <w:rsid w:val="00D46F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46F8C"/>
    <w:rPr>
      <w:i/>
      <w:iCs/>
      <w:color w:val="2F5496" w:themeColor="accent1" w:themeShade="BF"/>
    </w:rPr>
  </w:style>
  <w:style w:type="character" w:styleId="ad">
    <w:name w:val="Intense Reference"/>
    <w:basedOn w:val="a0"/>
    <w:uiPriority w:val="32"/>
    <w:qFormat/>
    <w:rsid w:val="00D46F8C"/>
    <w:rPr>
      <w:b/>
      <w:bCs/>
      <w:smallCaps/>
      <w:color w:val="2F5496" w:themeColor="accent1" w:themeShade="BF"/>
      <w:spacing w:val="5"/>
    </w:rPr>
  </w:style>
  <w:style w:type="paragraph" w:styleId="ae">
    <w:name w:val="header"/>
    <w:basedOn w:val="a"/>
    <w:link w:val="af"/>
    <w:uiPriority w:val="99"/>
    <w:unhideWhenUsed/>
    <w:rsid w:val="00335A02"/>
    <w:pPr>
      <w:tabs>
        <w:tab w:val="center" w:pos="4320"/>
        <w:tab w:val="right" w:pos="8640"/>
      </w:tabs>
      <w:spacing w:after="0" w:line="240" w:lineRule="auto"/>
    </w:pPr>
  </w:style>
  <w:style w:type="character" w:customStyle="1" w:styleId="af">
    <w:name w:val="页眉 字符"/>
    <w:basedOn w:val="a0"/>
    <w:link w:val="ae"/>
    <w:uiPriority w:val="99"/>
    <w:rsid w:val="00335A02"/>
  </w:style>
  <w:style w:type="paragraph" w:styleId="af0">
    <w:name w:val="footer"/>
    <w:basedOn w:val="a"/>
    <w:link w:val="af1"/>
    <w:uiPriority w:val="99"/>
    <w:unhideWhenUsed/>
    <w:rsid w:val="00335A02"/>
    <w:pPr>
      <w:tabs>
        <w:tab w:val="center" w:pos="4320"/>
        <w:tab w:val="right" w:pos="8640"/>
      </w:tabs>
      <w:spacing w:after="0" w:line="240" w:lineRule="auto"/>
    </w:pPr>
  </w:style>
  <w:style w:type="character" w:customStyle="1" w:styleId="af1">
    <w:name w:val="页脚 字符"/>
    <w:basedOn w:val="a0"/>
    <w:link w:val="af0"/>
    <w:uiPriority w:val="99"/>
    <w:rsid w:val="00335A02"/>
  </w:style>
  <w:style w:type="character" w:styleId="af2">
    <w:name w:val="line number"/>
    <w:basedOn w:val="a0"/>
    <w:uiPriority w:val="99"/>
    <w:semiHidden/>
    <w:unhideWhenUsed/>
    <w:rsid w:val="0057314E"/>
  </w:style>
  <w:style w:type="character" w:styleId="af3">
    <w:name w:val="Hyperlink"/>
    <w:rsid w:val="00730082"/>
    <w:rPr>
      <w:color w:val="0000FF"/>
      <w:u w:val="single"/>
    </w:rPr>
  </w:style>
  <w:style w:type="paragraph" w:styleId="af4">
    <w:name w:val="Body Text"/>
    <w:basedOn w:val="a"/>
    <w:link w:val="af5"/>
    <w:rsid w:val="007136D7"/>
    <w:pPr>
      <w:suppressAutoHyphens/>
      <w:spacing w:after="120" w:line="100" w:lineRule="atLeast"/>
    </w:pPr>
    <w:rPr>
      <w:rFonts w:ascii="Aptos" w:eastAsia="Arial Unicode MS" w:hAnsi="Aptos" w:cs="Aptos"/>
      <w:kern w:val="1"/>
      <w:sz w:val="22"/>
      <w:szCs w:val="22"/>
      <w:lang w:val="it-IT" w:eastAsia="ar-SA"/>
      <w14:ligatures w14:val="none"/>
    </w:rPr>
  </w:style>
  <w:style w:type="character" w:customStyle="1" w:styleId="af5">
    <w:name w:val="正文文本 字符"/>
    <w:basedOn w:val="a0"/>
    <w:link w:val="af4"/>
    <w:rsid w:val="007136D7"/>
    <w:rPr>
      <w:rFonts w:ascii="Aptos" w:eastAsia="Arial Unicode MS" w:hAnsi="Aptos" w:cs="Aptos"/>
      <w:kern w:val="1"/>
      <w:sz w:val="22"/>
      <w:szCs w:val="22"/>
      <w:lang w:val="it-IT"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758FD-A603-4850-8153-D3039B1BE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Peng</dc:creator>
  <cp:keywords/>
  <dc:description/>
  <cp:lastModifiedBy>Xikun Song</cp:lastModifiedBy>
  <cp:revision>27</cp:revision>
  <dcterms:created xsi:type="dcterms:W3CDTF">2026-03-13T13:04:00Z</dcterms:created>
  <dcterms:modified xsi:type="dcterms:W3CDTF">2026-04-09T12:50:00Z</dcterms:modified>
</cp:coreProperties>
</file>