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6EABA" w14:textId="2974A9D9" w:rsidR="000420FE" w:rsidRDefault="00000000">
      <w:pPr>
        <w:spacing w:after="200"/>
      </w:pPr>
      <w:r>
        <w:rPr>
          <w:b/>
          <w:bCs/>
          <w:sz w:val="22"/>
          <w:szCs w:val="22"/>
        </w:rPr>
        <w:t xml:space="preserve">Supplementary Table </w:t>
      </w:r>
      <w:r w:rsidR="00D75F43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 Primary antibodies used in this study and validation evidence.</w:t>
      </w:r>
    </w:p>
    <w:p w14:paraId="22B7DA95" w14:textId="5D3C25F8" w:rsidR="000420FE" w:rsidRDefault="00000000">
      <w:pPr>
        <w:spacing w:after="240"/>
        <w:jc w:val="both"/>
      </w:pPr>
      <w:r>
        <w:t xml:space="preserve">All primary antibodies used in this study were validated for the species and application in which they were used. Validation evidence includes manufacturer datasheets, peer-reviewed citations (CiteAb antibody database, </w:t>
      </w:r>
      <w:r>
        <w:rPr>
          <w:i/>
          <w:iCs/>
        </w:rPr>
        <w:t>https://www.citeab.com/</w:t>
      </w:r>
      <w:r>
        <w:t xml:space="preserve">), and where applicable, in-house genetic validation by loss-of-function in this study. </w:t>
      </w:r>
      <w:r w:rsidR="007D70E6">
        <w:t>A</w:t>
      </w:r>
      <w:r>
        <w:t xml:space="preserve">ntibodies against the Arp2/3 complex subunits (Arp2, ARPC1A, ARPC2, ARPC3, ARPC4, ARPC5) were validated in-house by reduction of signal in </w:t>
      </w:r>
      <w:r w:rsidRPr="00AF0714">
        <w:rPr>
          <w:i/>
          <w:iCs/>
        </w:rPr>
        <w:t>Actr3</w:t>
      </w:r>
      <w:r>
        <w:t xml:space="preserve"> conditional knockout cortical lysates (Fig. 4b, c).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2"/>
        <w:gridCol w:w="1294"/>
        <w:gridCol w:w="1493"/>
        <w:gridCol w:w="1685"/>
        <w:gridCol w:w="1489"/>
        <w:gridCol w:w="1614"/>
        <w:gridCol w:w="3753"/>
        <w:gridCol w:w="1780"/>
      </w:tblGrid>
      <w:tr w:rsidR="000420FE" w14:paraId="668996CA" w14:textId="77777777" w:rsidTr="00036313">
        <w:trPr>
          <w:tblHeader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2E5C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494719" w14:textId="77777777" w:rsidR="000420FE" w:rsidRDefault="00000000">
            <w:pPr>
              <w:spacing w:after="40"/>
            </w:pPr>
            <w:r>
              <w:rPr>
                <w:b/>
                <w:bCs/>
                <w:color w:val="FFFFFF"/>
                <w:sz w:val="16"/>
                <w:szCs w:val="16"/>
              </w:rPr>
              <w:t>Target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2E5C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3929B3" w14:textId="77777777" w:rsidR="000420FE" w:rsidRDefault="00000000">
            <w:pPr>
              <w:spacing w:after="40"/>
            </w:pPr>
            <w:r>
              <w:rPr>
                <w:b/>
                <w:bCs/>
                <w:color w:val="FFFFFF"/>
                <w:sz w:val="16"/>
                <w:szCs w:val="16"/>
              </w:rPr>
              <w:t>Catalog #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2E5C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1AAE5" w14:textId="77777777" w:rsidR="000420FE" w:rsidRDefault="00000000">
            <w:pPr>
              <w:spacing w:after="40"/>
            </w:pPr>
            <w:r>
              <w:rPr>
                <w:b/>
                <w:bCs/>
                <w:color w:val="FFFFFF"/>
                <w:sz w:val="16"/>
                <w:szCs w:val="16"/>
              </w:rPr>
              <w:t>Supplier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2E5C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05EF21" w14:textId="77777777" w:rsidR="000420FE" w:rsidRDefault="00000000">
            <w:pPr>
              <w:spacing w:after="40"/>
            </w:pPr>
            <w:r>
              <w:rPr>
                <w:b/>
                <w:bCs/>
                <w:color w:val="FFFFFF"/>
                <w:sz w:val="16"/>
                <w:szCs w:val="16"/>
              </w:rPr>
              <w:t>Host / Clonality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2E5C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B399F5" w14:textId="77777777" w:rsidR="000420FE" w:rsidRDefault="00000000">
            <w:pPr>
              <w:spacing w:after="40"/>
            </w:pPr>
            <w:r>
              <w:rPr>
                <w:b/>
                <w:bCs/>
                <w:color w:val="FFFFFF"/>
                <w:sz w:val="16"/>
                <w:szCs w:val="16"/>
              </w:rPr>
              <w:t>Species reactivity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2E5C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262517" w14:textId="77777777" w:rsidR="000420FE" w:rsidRDefault="00000000">
            <w:pPr>
              <w:spacing w:after="40"/>
            </w:pPr>
            <w:r>
              <w:rPr>
                <w:b/>
                <w:bCs/>
                <w:color w:val="FFFFFF"/>
                <w:sz w:val="16"/>
                <w:szCs w:val="16"/>
              </w:rPr>
              <w:t>Application in this study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2E5C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69E26F" w14:textId="77777777" w:rsidR="000420FE" w:rsidRDefault="00000000">
            <w:pPr>
              <w:spacing w:after="40"/>
            </w:pPr>
            <w:r>
              <w:rPr>
                <w:b/>
                <w:bCs/>
                <w:color w:val="FFFFFF"/>
                <w:sz w:val="16"/>
                <w:szCs w:val="16"/>
              </w:rPr>
              <w:t>Validation evidence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2E5C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20988F" w14:textId="77777777" w:rsidR="000420FE" w:rsidRDefault="00000000">
            <w:pPr>
              <w:spacing w:after="40"/>
            </w:pPr>
            <w:r>
              <w:rPr>
                <w:b/>
                <w:bCs/>
                <w:color w:val="FFFFFF"/>
                <w:sz w:val="16"/>
                <w:szCs w:val="16"/>
              </w:rPr>
              <w:t>Reference figures</w:t>
            </w:r>
          </w:p>
        </w:tc>
      </w:tr>
      <w:tr w:rsidR="000420FE" w14:paraId="276A0E96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6AB25A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Arp3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4900E8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07-272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B4B8CC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Millipore (Upstate)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222EE4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Rabbit polyclonal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6DD74B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Human, mouse, rat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E92964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WB, ICC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EEAB62" w14:textId="77777777" w:rsidR="00D54DC9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Manufacturer datasheet: WB validated, single band at ~47 kDa. </w:t>
            </w:r>
          </w:p>
          <w:p w14:paraId="77E5D6AA" w14:textId="64136AA2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 xml:space="preserve">Knockout-validated in this study by loss of signal in Actr3 conditional KO cortical lysates and neurons. </w:t>
            </w:r>
            <w:r w:rsidR="00D54733">
              <w:rPr>
                <w:color w:val="000000"/>
                <w:sz w:val="16"/>
                <w:szCs w:val="16"/>
              </w:rPr>
              <w:t>Cited in 9 peer-reviewed publications (CiteAb).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F338F8" w14:textId="75D84D5C" w:rsidR="00D75F43" w:rsidRPr="00D75F43" w:rsidRDefault="00D75F43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Fig. 3a;</w:t>
            </w:r>
          </w:p>
          <w:p w14:paraId="5E1D55D2" w14:textId="061CBA9C" w:rsidR="00D75F43" w:rsidRP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Fig. 4b, </w:t>
            </w:r>
            <w:r w:rsidR="00D75F43">
              <w:rPr>
                <w:color w:val="000000"/>
                <w:sz w:val="16"/>
                <w:szCs w:val="16"/>
              </w:rPr>
              <w:t>c;</w:t>
            </w:r>
          </w:p>
          <w:p w14:paraId="476922D5" w14:textId="36D7602F" w:rsidR="000420FE" w:rsidRPr="00D75F43" w:rsidRDefault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Ext. Data Fig. 9a</w:t>
            </w:r>
          </w:p>
        </w:tc>
      </w:tr>
      <w:tr w:rsidR="000420FE" w14:paraId="07E7B6DD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BE55BA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Arp3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EB941D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A5979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9E0AAF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Sigma-Aldrich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0C8F81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Mouse monoclonal (FMS338)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E9F69E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Human, mouse, rat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A7096C" w14:textId="500F6DFF" w:rsidR="000420FE" w:rsidRDefault="009C0DEE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8F9352" w14:textId="77777777" w:rsidR="00D54DC9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Manufacturer datasheet: validated by WB and ICC. </w:t>
            </w:r>
          </w:p>
          <w:p w14:paraId="55215A5C" w14:textId="553C68DC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Used in this study as orthogonal Arp3 antibody for ICC; complemented Millipore 07-272 used for WB.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946B5D" w14:textId="6BDE48C4" w:rsidR="00D75F43" w:rsidRPr="00D75F43" w:rsidRDefault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Ext. Data Fig. 9h</w:t>
            </w:r>
            <w:r w:rsidRPr="00D75F43">
              <w:t xml:space="preserve"> </w:t>
            </w:r>
          </w:p>
        </w:tc>
      </w:tr>
      <w:tr w:rsidR="000420FE" w14:paraId="22B952EE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5EFB4C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Arp2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DB8998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5614S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3A7724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Cell Signaling Technology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F981A3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Rabbit monoclonal (D85D5, XP)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EF10B9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Human, mouse, rat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61601F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24D642" w14:textId="77777777" w:rsidR="00D54DC9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Manufacturer datasheet: rigorously validated in-house by WB; recognizes endogenous Arp2; does not cross-react with Arp3. </w:t>
            </w:r>
          </w:p>
          <w:p w14:paraId="1DB17A14" w14:textId="45506AFA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Specificity confirmed in this study by reduction of signal in Actr3 conditional KO lysates (consistent with co-destabilization of Arp2/3 complex subunits upon Arp3 loss).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A50B8F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Fig. 4b, c</w:t>
            </w:r>
          </w:p>
        </w:tc>
      </w:tr>
      <w:tr w:rsidR="000420FE" w14:paraId="71E33A53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AF301B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ARPC1A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D545C3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HPA004334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E22E65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Sigma-Aldrich (Atlas / Prestige)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1AA963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Rabbit polyclonal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E12CDB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 (validated); cross-reactivity inferred for mouse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82AAFF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1CFE30" w14:textId="77777777" w:rsidR="00D54DC9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Human Protein Atlas Prestige antibody, validated by WB, ICC and IHC against the human proteome. </w:t>
            </w:r>
          </w:p>
          <w:p w14:paraId="1EE6BF85" w14:textId="4D1A041F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Specificity in this study supported by reduction of signal in Actr3 conditional KO lysates (Arp2/3 subunit co-destabilization).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4E24B7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Fig. 4c</w:t>
            </w:r>
          </w:p>
        </w:tc>
      </w:tr>
      <w:tr w:rsidR="000420FE" w14:paraId="1485AD56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6CDF8E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ARPC2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C9015C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07-227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45F7CC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Millipore (Upstate)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400AA0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Rabbit polyclonal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E47AD6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Human, mouse, rat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492DFF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28DE2" w14:textId="77777777" w:rsidR="00D54DC9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Manufacturer datasheet: validated by WB, ICC, IHC. Cited in 90+ peer-reviewed publications (CiteAb). </w:t>
            </w:r>
          </w:p>
          <w:p w14:paraId="5F7669B3" w14:textId="449A5242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Specificity in this study supported by reduction of signal in Actr3 conditional KO lysates (Arp2/3 subunit co-destabilization).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C1DE9A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Fig. 4b, c</w:t>
            </w:r>
          </w:p>
        </w:tc>
      </w:tr>
      <w:tr w:rsidR="000420FE" w14:paraId="5AC99D54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72425F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ARPC4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691B98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sc-68394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544AF7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Santa Cruz Biotechnology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CCE123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Mouse monoclonal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E5DBC5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Mouse, rat, human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2D0F85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846EC6" w14:textId="77777777" w:rsidR="00D54DC9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Manufacturer datasheet: validated by WB. </w:t>
            </w:r>
          </w:p>
          <w:p w14:paraId="73B9644A" w14:textId="632B0C51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Specificity in this study supported by reduction of signal in Actr3 conditional KO lysates (Arp2/3 subunit co-destabilization).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95834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Fig. 4c</w:t>
            </w:r>
          </w:p>
        </w:tc>
      </w:tr>
      <w:tr w:rsidR="000420FE" w14:paraId="41C647CA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A58293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ARPC5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8EF9D2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sc-166760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12E4E0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Santa Cruz Biotechnology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E33B52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Mouse monoclonal (C-3)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677961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Mouse, rat, human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A847BF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94526D" w14:textId="77777777" w:rsidR="00D54DC9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Manufacturer datasheet: validated by WB; cited in published studies</w:t>
            </w:r>
            <w:r w:rsidR="00D54DC9">
              <w:rPr>
                <w:color w:val="000000"/>
                <w:sz w:val="16"/>
                <w:szCs w:val="16"/>
              </w:rPr>
              <w:t xml:space="preserve"> (CiteAb)</w:t>
            </w:r>
            <w:r>
              <w:rPr>
                <w:color w:val="000000"/>
                <w:sz w:val="16"/>
                <w:szCs w:val="16"/>
              </w:rPr>
              <w:t xml:space="preserve">. </w:t>
            </w:r>
          </w:p>
          <w:p w14:paraId="2CD52522" w14:textId="6FBAA68D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Specificity in this study supported by reduction of signal in Actr3 conditional KO lysates.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FE4C6B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Fig. 4b, c</w:t>
            </w:r>
          </w:p>
        </w:tc>
      </w:tr>
      <w:tr w:rsidR="000420FE" w14:paraId="1F04D6D9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FF035A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Tau-1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307314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MAB3420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BBA8DF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Millipore (Chemicon)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A4E5A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Mouse monoclonal (PC1C6, IgG2a)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AC9647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Bovine, human, rat (validated); mouse (used in this study)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0E1BD9" w14:textId="3BC84601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ICC</w:t>
            </w:r>
            <w:r w:rsidR="00D54DC9">
              <w:rPr>
                <w:color w:val="000000"/>
                <w:sz w:val="16"/>
                <w:szCs w:val="16"/>
              </w:rPr>
              <w:t>, IHC</w:t>
            </w:r>
            <w:r>
              <w:rPr>
                <w:color w:val="000000"/>
                <w:sz w:val="16"/>
                <w:szCs w:val="16"/>
              </w:rPr>
              <w:t xml:space="preserve"> (axon marker)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45F229" w14:textId="77777777" w:rsidR="00D54DC9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Manufacturer datasheet: validated by WB and IHC; recognizes dephosphorylated Tau (Ser195/198/199/202). Cited in 65+ publications</w:t>
            </w:r>
            <w:r w:rsidR="00D54DC9">
              <w:rPr>
                <w:color w:val="000000"/>
                <w:sz w:val="16"/>
                <w:szCs w:val="16"/>
              </w:rPr>
              <w:t xml:space="preserve"> (CiteAb)</w:t>
            </w:r>
            <w:r>
              <w:rPr>
                <w:color w:val="000000"/>
                <w:sz w:val="16"/>
                <w:szCs w:val="16"/>
              </w:rPr>
              <w:t xml:space="preserve">. </w:t>
            </w:r>
          </w:p>
          <w:p w14:paraId="754F4FFC" w14:textId="7A31A2F8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Established axon marker in neuronal polarization research, consistent with seminal use by Dotti &amp; Banker.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3A2A5B" w14:textId="77777777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Fig. 3f; </w:t>
            </w:r>
          </w:p>
          <w:p w14:paraId="70567590" w14:textId="77777777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Fig. 4e, i; </w:t>
            </w:r>
          </w:p>
          <w:p w14:paraId="679E4C28" w14:textId="099DB202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Fig. 5a, i; </w:t>
            </w:r>
          </w:p>
          <w:p w14:paraId="06ABB70B" w14:textId="6767D84C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Ext. Data Fig. 4</w:t>
            </w:r>
            <w:r w:rsidR="00B937B6">
              <w:rPr>
                <w:color w:val="000000"/>
                <w:sz w:val="16"/>
                <w:szCs w:val="16"/>
              </w:rPr>
              <w:t>g</w:t>
            </w:r>
            <w:r>
              <w:rPr>
                <w:color w:val="000000"/>
                <w:sz w:val="16"/>
                <w:szCs w:val="16"/>
              </w:rPr>
              <w:t xml:space="preserve">; </w:t>
            </w:r>
          </w:p>
          <w:p w14:paraId="2B29C985" w14:textId="193DB919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Ext. Data Fig. 8a, l, o; </w:t>
            </w:r>
          </w:p>
          <w:p w14:paraId="7EBC75EC" w14:textId="3EDC7964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Ext. Data Fig. 12e, k</w:t>
            </w:r>
          </w:p>
        </w:tc>
      </w:tr>
      <w:tr w:rsidR="000420FE" w14:paraId="6B1CA284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B2FCE7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β-tubulin III (TUJ1)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9CFAFD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T2200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55AA47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Sigma-Aldrich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7254FC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Rabbit polyclonal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3336AB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Human, mouse, rat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C4FFFC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ICC (neurite/microtubule marker)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9D336D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Manufacturer datasheet: validated by WB, ICC, IHC, IP. Cited in 580+ publications (CiteAb). Single band at ~50 kDa; specificity confirmed against neuronal lysates.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9223C9" w14:textId="77777777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Fig. 3f; </w:t>
            </w:r>
          </w:p>
          <w:p w14:paraId="65EB6617" w14:textId="77777777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Fig. 4i; </w:t>
            </w:r>
          </w:p>
          <w:p w14:paraId="08C6F7A0" w14:textId="6B4FF130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Fig. 5a, i; </w:t>
            </w:r>
          </w:p>
          <w:p w14:paraId="61372DF7" w14:textId="1CEB451C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Ext. Data Fig. 4g; </w:t>
            </w:r>
          </w:p>
          <w:p w14:paraId="4B2D320F" w14:textId="0064E2CE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Ext. Data Fig. 8l, o; </w:t>
            </w:r>
          </w:p>
          <w:p w14:paraId="381D349E" w14:textId="53785A4E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Ext. Data Fig. 11a; </w:t>
            </w:r>
          </w:p>
          <w:p w14:paraId="0FCA9E03" w14:textId="2AC08E3B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Ext. Data Fig. 12e, k</w:t>
            </w:r>
          </w:p>
        </w:tc>
      </w:tr>
      <w:tr w:rsidR="000420FE" w14:paraId="0420C3B3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93A275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Non-muscle myosin IIb (MYH10)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CC29C2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8824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6AEDB7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Cell Signaling Technology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2E5116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Rabbit monoclonal (D8H8, XP)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E97709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Human, mouse, rat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885708" w14:textId="0C95D12C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ICC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7FA1AE" w14:textId="359E38EC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Manufacturer datasheet: validated in-house by WB and IF; recognizes endogenous total myosin IIb; does not cross-react with myosin IIa or IIc isoforms. Confirmed isoform specificity per Cell Signaling validation pipeline.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41D78F" w14:textId="77777777" w:rsidR="00D75F43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Fig. 4l, m;</w:t>
            </w:r>
          </w:p>
          <w:p w14:paraId="2C6A4689" w14:textId="62A5B1CF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Ext. Data Fig. 6f, g</w:t>
            </w:r>
          </w:p>
        </w:tc>
      </w:tr>
      <w:tr w:rsidR="000420FE" w14:paraId="47E4A489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0059E7" w14:textId="77777777" w:rsidR="000420FE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Phospho-MRLC (Ser19)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85F5BE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ab2480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315968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Abcam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3FCD62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Rabbit polyclonal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B72A4E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Human, mouse, rat, C. elegans, Xenopus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DEB5FE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20CEE0" w14:textId="6D44920B" w:rsidR="00D54DC9" w:rsidRDefault="00000000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Manufacturer datasheet: validated by WB, IP, IHC-P, ICC/IF; &lt;1% cross-reactivity with non-phosphorylated MRLC by ELISA. Cited in 140+ publications</w:t>
            </w:r>
            <w:r w:rsidR="00013C5A">
              <w:rPr>
                <w:color w:val="000000"/>
                <w:sz w:val="16"/>
                <w:szCs w:val="16"/>
              </w:rPr>
              <w:t xml:space="preserve"> (CiteAb)</w:t>
            </w:r>
            <w:r>
              <w:rPr>
                <w:color w:val="000000"/>
                <w:sz w:val="16"/>
                <w:szCs w:val="16"/>
              </w:rPr>
              <w:t xml:space="preserve">. </w:t>
            </w:r>
          </w:p>
          <w:p w14:paraId="7BF8D24C" w14:textId="5F6808A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Specificity in this study supported by Western blot at expected MW with WT/KO comparison.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A8A593" w14:textId="77777777" w:rsidR="000420FE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Ext. Data Fig. 9h, i</w:t>
            </w:r>
          </w:p>
        </w:tc>
      </w:tr>
      <w:tr w:rsidR="00D75F43" w14:paraId="391A92F3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88F516" w14:textId="77777777" w:rsidR="00D75F43" w:rsidRDefault="00D75F43" w:rsidP="00D75F43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Phospho-MRLC (Ser19)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2F1441" w14:textId="00270F14" w:rsidR="00D75F43" w:rsidRPr="00D54DC9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3675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28AB1F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Cell Signaling Technology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39B63A" w14:textId="7F77E522" w:rsidR="00D75F43" w:rsidRPr="00D54DC9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Mouse monoclonal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10B37A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Human, mouse, rat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C21214" w14:textId="5E30B35C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0F3B92" w14:textId="77777777" w:rsidR="00013C5A" w:rsidRDefault="00D75F43" w:rsidP="00D75F43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Manufacturer datasheets: rigorously validated in-house by WB and IF; specific for Ser19-phosphorylated MRLC. </w:t>
            </w:r>
          </w:p>
          <w:p w14:paraId="0E3C8367" w14:textId="0128108A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Used as orthogonal antibodies to ab2480 to confirm phospho-MRLC localization.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89BCBE" w14:textId="37648954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Ext. Data Fig. 9h, i</w:t>
            </w:r>
          </w:p>
        </w:tc>
      </w:tr>
      <w:tr w:rsidR="00D75F43" w14:paraId="472C1EFF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844A85" w14:textId="77777777" w:rsidR="00D75F43" w:rsidRDefault="00D75F43" w:rsidP="00D75F43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MRLC (total)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2BACC8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PA5-17624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902DAC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Thermo Fisher (Invitrogen)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352874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Rabbit polyclonal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5DC57A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Human, mouse, rat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6DC346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E901C2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Manufacturer datasheet: validated by WB. Used to assess total MRLC levels alongside phospho-MRLC for normalization.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F56B8F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Ext. Data Fig. 9h, i</w:t>
            </w:r>
          </w:p>
        </w:tc>
      </w:tr>
      <w:tr w:rsidR="00D75F43" w14:paraId="14CD1A3D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DF282" w14:textId="77777777" w:rsidR="00D75F43" w:rsidRDefault="00D75F43" w:rsidP="00D75F43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MRLC (total)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D1ED8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3672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D53876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Cell Signaling Technology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E3D83C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Rabbit polyclonal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EB8009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Human, mouse, rat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9BDE6A" w14:textId="50E84456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WB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B0802C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Manufacturer datasheet: rigorously validated in-house by WB and IF; recognizes endogenous total MRLC. Used as orthogonal antibody to PA5-17624.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31CE88" w14:textId="742C19CB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Ext. Data Fig. 9h, i</w:t>
            </w:r>
          </w:p>
        </w:tc>
      </w:tr>
      <w:tr w:rsidR="00D75F43" w14:paraId="1B7A017D" w14:textId="77777777" w:rsidTr="00036313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74600B" w14:textId="77777777" w:rsidR="00D75F43" w:rsidRDefault="00D75F43" w:rsidP="00D75F43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GFP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953D38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ab13970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5A622A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Abcam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74B069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Chicken polyclonal (IgY)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A08D1A" w14:textId="77777777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Recognizes GFP (Aequorea victoria) and derivatives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51F9EF" w14:textId="6549C6E1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ICC (signal amplification of GFP-tagged constructs)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F91DA8" w14:textId="77777777" w:rsidR="00D54DC9" w:rsidRDefault="00D75F43" w:rsidP="00D75F43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Manufacturer datasheet: validated by ICC/IF and WB; specifically detects GFP (UniProt P42212, ~27 kDa). Cited in 5,400+ publications since 2004</w:t>
            </w:r>
            <w:r w:rsidR="00D54DC9">
              <w:rPr>
                <w:color w:val="000000"/>
                <w:sz w:val="16"/>
                <w:szCs w:val="16"/>
              </w:rPr>
              <w:t xml:space="preserve"> (CiteAb)</w:t>
            </w:r>
            <w:r>
              <w:rPr>
                <w:color w:val="000000"/>
                <w:sz w:val="16"/>
                <w:szCs w:val="16"/>
              </w:rPr>
              <w:t xml:space="preserve">. </w:t>
            </w:r>
          </w:p>
          <w:p w14:paraId="3CEE1759" w14:textId="46AD49E8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Specificity confirmed by absence of staining in non-GFP-transfected cells.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027CCA" w14:textId="0DA7D304" w:rsidR="00D75F43" w:rsidRDefault="00D75F43" w:rsidP="00D75F43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Ext. Data Fig. 8o</w:t>
            </w:r>
          </w:p>
        </w:tc>
      </w:tr>
      <w:tr w:rsidR="009C0DEE" w14:paraId="7AD208BB" w14:textId="77777777" w:rsidTr="009C0DEE">
        <w:trPr>
          <w:cantSplit/>
        </w:trPr>
        <w:tc>
          <w:tcPr>
            <w:tcW w:w="12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1A0FDB" w14:textId="44AC7C9A" w:rsidR="009C0DEE" w:rsidRDefault="009C0DEE" w:rsidP="00D75F43">
            <w:pPr>
              <w:spacing w:after="4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GAPDH</w:t>
            </w:r>
          </w:p>
        </w:tc>
        <w:tc>
          <w:tcPr>
            <w:tcW w:w="12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DF4357" w14:textId="137C09C3" w:rsidR="009C0DEE" w:rsidRDefault="009C0DEE" w:rsidP="00D75F43">
            <w:pPr>
              <w:spacing w:after="40"/>
              <w:rPr>
                <w:color w:val="000000"/>
                <w:sz w:val="16"/>
                <w:szCs w:val="16"/>
              </w:rPr>
            </w:pPr>
            <w:r w:rsidRPr="009C0DEE">
              <w:rPr>
                <w:color w:val="000000"/>
                <w:sz w:val="16"/>
                <w:szCs w:val="16"/>
              </w:rPr>
              <w:t>Acris</w:t>
            </w:r>
          </w:p>
        </w:tc>
        <w:tc>
          <w:tcPr>
            <w:tcW w:w="149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2720F8" w14:textId="4F6F6850" w:rsidR="009C0DEE" w:rsidRDefault="009C0DEE" w:rsidP="00D75F43">
            <w:pPr>
              <w:spacing w:after="40"/>
              <w:rPr>
                <w:color w:val="000000"/>
                <w:sz w:val="16"/>
                <w:szCs w:val="16"/>
              </w:rPr>
            </w:pPr>
            <w:r w:rsidRPr="009C0DEE">
              <w:rPr>
                <w:color w:val="000000"/>
                <w:sz w:val="16"/>
                <w:szCs w:val="16"/>
              </w:rPr>
              <w:t>ACR001P</w:t>
            </w:r>
          </w:p>
        </w:tc>
        <w:tc>
          <w:tcPr>
            <w:tcW w:w="168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28A50F" w14:textId="3A7E6127" w:rsidR="009C0DEE" w:rsidRDefault="009C0DEE" w:rsidP="00D75F43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Mouse monoclonal</w:t>
            </w:r>
          </w:p>
        </w:tc>
        <w:tc>
          <w:tcPr>
            <w:tcW w:w="148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50F78F" w14:textId="44E05B4D" w:rsidR="009C0DEE" w:rsidRDefault="009C0DEE" w:rsidP="00D75F43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Human, mouse, rat</w:t>
            </w:r>
          </w:p>
        </w:tc>
        <w:tc>
          <w:tcPr>
            <w:tcW w:w="161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35EAE2" w14:textId="5621DD63" w:rsidR="009C0DEE" w:rsidRDefault="009C0DEE" w:rsidP="00D75F43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WB (loading control)</w:t>
            </w:r>
          </w:p>
        </w:tc>
        <w:tc>
          <w:tcPr>
            <w:tcW w:w="375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80DA50" w14:textId="7ED41BFD" w:rsidR="009C0DEE" w:rsidRDefault="00AD069B" w:rsidP="00D75F43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Manufacturer datasheet: validated by ICC/IF and WB. Cited in 38 publications (CiteAb). </w:t>
            </w:r>
          </w:p>
        </w:tc>
        <w:tc>
          <w:tcPr>
            <w:tcW w:w="1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43EC6D" w14:textId="5CED0177" w:rsidR="009C0DEE" w:rsidRDefault="009C0DEE" w:rsidP="00D75F43">
            <w:pPr>
              <w:spacing w:after="4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Ext. Data Fig. 9h, i</w:t>
            </w:r>
          </w:p>
        </w:tc>
      </w:tr>
    </w:tbl>
    <w:p w14:paraId="3297E36A" w14:textId="26EDF1FD" w:rsidR="000420FE" w:rsidRDefault="00000000">
      <w:pPr>
        <w:spacing w:before="240" w:after="60"/>
      </w:pPr>
      <w:r>
        <w:rPr>
          <w:b/>
          <w:bCs/>
        </w:rPr>
        <w:t>Secondary antibodies.</w:t>
      </w:r>
      <w:r>
        <w:t xml:space="preserve"> All secondary antibodies (Alexa Fluor-conjugated and HRP-conjugated; Thermo Fisher and Jackson ImmunoResearch) were affinity-purified and cross-adsorbed against IgG of other species to minimize cross-reactivity. Each was validated by the manufacturer for the host species and application combination used. </w:t>
      </w:r>
    </w:p>
    <w:p w14:paraId="07FC2C88" w14:textId="77777777" w:rsidR="000420FE" w:rsidRDefault="00000000">
      <w:pPr>
        <w:spacing w:before="120"/>
      </w:pPr>
      <w:r>
        <w:rPr>
          <w:b/>
          <w:bCs/>
          <w:i/>
          <w:iCs/>
          <w:sz w:val="16"/>
          <w:szCs w:val="16"/>
        </w:rPr>
        <w:t xml:space="preserve">Abbreviations: </w:t>
      </w:r>
      <w:r>
        <w:rPr>
          <w:i/>
          <w:iCs/>
          <w:sz w:val="16"/>
          <w:szCs w:val="16"/>
        </w:rPr>
        <w:t>WB, western blot; ICC, immunocytochemistry; IF, immunofluorescence; IHC, immunohistochemistry; IP, immunoprecipitation; KO, knockout.</w:t>
      </w:r>
    </w:p>
    <w:sectPr w:rsidR="000420FE"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457B3"/>
    <w:multiLevelType w:val="hybridMultilevel"/>
    <w:tmpl w:val="9138BF4E"/>
    <w:lvl w:ilvl="0" w:tplc="92987A28">
      <w:start w:val="1"/>
      <w:numFmt w:val="bullet"/>
      <w:lvlText w:val="●"/>
      <w:lvlJc w:val="left"/>
      <w:pPr>
        <w:ind w:left="720" w:hanging="360"/>
      </w:pPr>
    </w:lvl>
    <w:lvl w:ilvl="1" w:tplc="E17C07CC">
      <w:start w:val="1"/>
      <w:numFmt w:val="bullet"/>
      <w:lvlText w:val="○"/>
      <w:lvlJc w:val="left"/>
      <w:pPr>
        <w:ind w:left="1440" w:hanging="360"/>
      </w:pPr>
    </w:lvl>
    <w:lvl w:ilvl="2" w:tplc="67ACD052">
      <w:start w:val="1"/>
      <w:numFmt w:val="bullet"/>
      <w:lvlText w:val="■"/>
      <w:lvlJc w:val="left"/>
      <w:pPr>
        <w:ind w:left="2160" w:hanging="360"/>
      </w:pPr>
    </w:lvl>
    <w:lvl w:ilvl="3" w:tplc="8C8C7F4C">
      <w:start w:val="1"/>
      <w:numFmt w:val="bullet"/>
      <w:lvlText w:val="●"/>
      <w:lvlJc w:val="left"/>
      <w:pPr>
        <w:ind w:left="2880" w:hanging="360"/>
      </w:pPr>
    </w:lvl>
    <w:lvl w:ilvl="4" w:tplc="E7A0A7B0">
      <w:start w:val="1"/>
      <w:numFmt w:val="bullet"/>
      <w:lvlText w:val="○"/>
      <w:lvlJc w:val="left"/>
      <w:pPr>
        <w:ind w:left="3600" w:hanging="360"/>
      </w:pPr>
    </w:lvl>
    <w:lvl w:ilvl="5" w:tplc="7F3CC3BE">
      <w:start w:val="1"/>
      <w:numFmt w:val="bullet"/>
      <w:lvlText w:val="■"/>
      <w:lvlJc w:val="left"/>
      <w:pPr>
        <w:ind w:left="4320" w:hanging="360"/>
      </w:pPr>
    </w:lvl>
    <w:lvl w:ilvl="6" w:tplc="FA645568">
      <w:start w:val="1"/>
      <w:numFmt w:val="bullet"/>
      <w:lvlText w:val="●"/>
      <w:lvlJc w:val="left"/>
      <w:pPr>
        <w:ind w:left="5040" w:hanging="360"/>
      </w:pPr>
    </w:lvl>
    <w:lvl w:ilvl="7" w:tplc="0EFE9CC4">
      <w:start w:val="1"/>
      <w:numFmt w:val="bullet"/>
      <w:lvlText w:val="●"/>
      <w:lvlJc w:val="left"/>
      <w:pPr>
        <w:ind w:left="5760" w:hanging="360"/>
      </w:pPr>
    </w:lvl>
    <w:lvl w:ilvl="8" w:tplc="707E1658">
      <w:start w:val="1"/>
      <w:numFmt w:val="bullet"/>
      <w:lvlText w:val="●"/>
      <w:lvlJc w:val="left"/>
      <w:pPr>
        <w:ind w:left="6480" w:hanging="360"/>
      </w:pPr>
    </w:lvl>
  </w:abstractNum>
  <w:num w:numId="1" w16cid:durableId="12552418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0FE"/>
    <w:rsid w:val="00013C5A"/>
    <w:rsid w:val="00036313"/>
    <w:rsid w:val="000420FE"/>
    <w:rsid w:val="001C3D65"/>
    <w:rsid w:val="006F52E4"/>
    <w:rsid w:val="007129A4"/>
    <w:rsid w:val="00727D50"/>
    <w:rsid w:val="007D70E6"/>
    <w:rsid w:val="00890338"/>
    <w:rsid w:val="008C0254"/>
    <w:rsid w:val="009C0DEE"/>
    <w:rsid w:val="00AD069B"/>
    <w:rsid w:val="00AF0714"/>
    <w:rsid w:val="00B937B6"/>
    <w:rsid w:val="00BD73B9"/>
    <w:rsid w:val="00D40D01"/>
    <w:rsid w:val="00D54733"/>
    <w:rsid w:val="00D54DC9"/>
    <w:rsid w:val="00D75F43"/>
    <w:rsid w:val="00DA2D0A"/>
    <w:rsid w:val="00D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67AC8"/>
  <w15:docId w15:val="{515B1BE3-06A7-E040-8BA6-29893BE8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Lin Dennis</cp:lastModifiedBy>
  <cp:revision>13</cp:revision>
  <dcterms:created xsi:type="dcterms:W3CDTF">2026-05-04T07:16:00Z</dcterms:created>
  <dcterms:modified xsi:type="dcterms:W3CDTF">2026-06-15T06:42:00Z</dcterms:modified>
</cp:coreProperties>
</file>