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0916DD7" w14:textId="77777777" w:rsidR="00401808" w:rsidRPr="00BB52D8" w:rsidRDefault="00401808" w:rsidP="00401808">
      <w:pPr>
        <w:spacing w:after="200" w:line="240" w:lineRule="auto"/>
        <w:jc w:val="both"/>
        <w:rPr>
          <w:sz w:val="28"/>
          <w:szCs w:val="28"/>
        </w:rPr>
      </w:pPr>
    </w:p>
    <w:p w14:paraId="462FBAAE" w14:textId="77777777" w:rsidR="00401808" w:rsidRDefault="00401808" w:rsidP="00401808">
      <w:pPr>
        <w:spacing w:line="240" w:lineRule="auto"/>
        <w:jc w:val="center"/>
        <w:rPr>
          <w:b/>
          <w:bCs/>
          <w:sz w:val="28"/>
          <w:szCs w:val="28"/>
        </w:rPr>
      </w:pPr>
      <w:r w:rsidRPr="00BB52D8">
        <w:rPr>
          <w:b/>
          <w:bCs/>
          <w:sz w:val="28"/>
          <w:szCs w:val="28"/>
        </w:rPr>
        <w:t>Supplementary Materials for</w:t>
      </w:r>
    </w:p>
    <w:p w14:paraId="7067ADDD" w14:textId="77777777" w:rsidR="00BB52D8" w:rsidRPr="00BB52D8" w:rsidRDefault="00BB52D8" w:rsidP="00401808">
      <w:pPr>
        <w:spacing w:line="240" w:lineRule="auto"/>
        <w:jc w:val="center"/>
        <w:rPr>
          <w:b/>
          <w:bCs/>
          <w:sz w:val="28"/>
          <w:szCs w:val="28"/>
        </w:rPr>
      </w:pPr>
    </w:p>
    <w:p w14:paraId="0A154C34" w14:textId="77777777" w:rsidR="00BB52D8" w:rsidRPr="00BB52D8" w:rsidRDefault="00BB52D8" w:rsidP="00BB52D8">
      <w:pPr>
        <w:pStyle w:val="Title"/>
        <w:jc w:val="center"/>
        <w:rPr>
          <w:rFonts w:ascii="Times New Roman" w:hAnsi="Times New Roman" w:cs="Times New Roman"/>
          <w:strike/>
          <w:sz w:val="28"/>
          <w:szCs w:val="28"/>
        </w:rPr>
      </w:pPr>
      <w:r w:rsidRPr="00BB52D8">
        <w:rPr>
          <w:rFonts w:ascii="Times New Roman" w:hAnsi="Times New Roman" w:cs="Times New Roman"/>
          <w:color w:val="000000"/>
          <w:sz w:val="28"/>
          <w:szCs w:val="28"/>
        </w:rPr>
        <w:t>Ubiquitous Kelvin-Helmholtz Instabilities Driving Plasma Mixing on the Sun</w:t>
      </w:r>
    </w:p>
    <w:p w14:paraId="5CC74BEB" w14:textId="173291EF" w:rsidR="00401808" w:rsidRDefault="00401808" w:rsidP="00401808">
      <w:pPr>
        <w:spacing w:before="120" w:line="240" w:lineRule="auto"/>
        <w:jc w:val="both"/>
      </w:pPr>
    </w:p>
    <w:tbl>
      <w:tblPr>
        <w:tblW w:w="9630" w:type="dxa"/>
        <w:tblBorders>
          <w:top w:val="nil"/>
          <w:left w:val="nil"/>
          <w:bottom w:val="nil"/>
          <w:right w:val="nil"/>
          <w:insideH w:val="nil"/>
          <w:insideV w:val="nil"/>
        </w:tblBorders>
        <w:tblLayout w:type="fixed"/>
        <w:tblLook w:val="0600" w:firstRow="0" w:lastRow="0" w:firstColumn="0" w:lastColumn="0" w:noHBand="1" w:noVBand="1"/>
      </w:tblPr>
      <w:tblGrid>
        <w:gridCol w:w="9630"/>
      </w:tblGrid>
      <w:tr w:rsidR="00401808" w14:paraId="1236E7C3" w14:textId="77777777" w:rsidTr="00C9295B">
        <w:trPr>
          <w:trHeight w:val="405"/>
        </w:trPr>
        <w:tc>
          <w:tcPr>
            <w:tcW w:w="9630" w:type="dxa"/>
            <w:tcBorders>
              <w:top w:val="nil"/>
              <w:left w:val="nil"/>
              <w:bottom w:val="nil"/>
              <w:right w:val="nil"/>
            </w:tcBorders>
            <w:tcMar>
              <w:top w:w="0" w:type="dxa"/>
              <w:left w:w="100" w:type="dxa"/>
              <w:bottom w:w="0" w:type="dxa"/>
              <w:right w:w="100" w:type="dxa"/>
            </w:tcMar>
          </w:tcPr>
          <w:p w14:paraId="64B86CE8" w14:textId="77777777" w:rsidR="00401808" w:rsidRDefault="00401808" w:rsidP="00C9295B">
            <w:pPr>
              <w:spacing w:before="120" w:line="240" w:lineRule="auto"/>
              <w:ind w:right="-232"/>
              <w:jc w:val="both"/>
            </w:pPr>
            <w:r>
              <w:rPr>
                <w:noProof/>
              </w:rPr>
              <w:drawing>
                <wp:inline distT="0" distB="0" distL="0" distR="0" wp14:anchorId="27F1198B" wp14:editId="676DB3BF">
                  <wp:extent cx="5988050" cy="1630045"/>
                  <wp:effectExtent l="0" t="0" r="6350" b="0"/>
                  <wp:docPr id="852305364"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305364" name="Picture 852305364"/>
                          <pic:cNvPicPr/>
                        </pic:nvPicPr>
                        <pic:blipFill>
                          <a:blip r:embed="rId4"/>
                          <a:stretch>
                            <a:fillRect/>
                          </a:stretch>
                        </pic:blipFill>
                        <pic:spPr>
                          <a:xfrm>
                            <a:off x="0" y="0"/>
                            <a:ext cx="5988050" cy="1630045"/>
                          </a:xfrm>
                          <a:prstGeom prst="rect">
                            <a:avLst/>
                          </a:prstGeom>
                        </pic:spPr>
                      </pic:pic>
                    </a:graphicData>
                  </a:graphic>
                </wp:inline>
              </w:drawing>
            </w:r>
          </w:p>
        </w:tc>
      </w:tr>
    </w:tbl>
    <w:p w14:paraId="5F65D165" w14:textId="30A85CDA" w:rsidR="00401808" w:rsidRDefault="00401808" w:rsidP="00401808">
      <w:pPr>
        <w:spacing w:after="200" w:line="240" w:lineRule="auto"/>
        <w:jc w:val="both"/>
      </w:pPr>
      <w:r>
        <w:rPr>
          <w:b/>
          <w:bCs/>
        </w:rPr>
        <w:t xml:space="preserve">Supplementary Fig. 1 </w:t>
      </w:r>
      <w:r>
        <w:t xml:space="preserve">| </w:t>
      </w:r>
      <w:r>
        <w:rPr>
          <w:b/>
          <w:bCs/>
        </w:rPr>
        <w:t xml:space="preserve">Comparison of vertical magnetic field in simulation and observation. </w:t>
      </w:r>
      <w:r>
        <w:t xml:space="preserve">(a) The vertical magnetic flux density, </w:t>
      </w:r>
      <m:oMath>
        <m:sSub>
          <m:sSubPr>
            <m:ctrlPr>
              <w:rPr>
                <w:rFonts w:ascii="Cambria Math" w:eastAsia="Cambria Math" w:hAnsi="Cambria Math" w:cs="Cambria Math"/>
              </w:rPr>
            </m:ctrlPr>
          </m:sSubPr>
          <m:e>
            <m:r>
              <w:rPr>
                <w:rFonts w:ascii="Cambria Math" w:eastAsia="Cambria Math" w:hAnsi="Cambria Math" w:cs="Cambria Math"/>
              </w:rPr>
              <m:t>B</m:t>
            </m:r>
          </m:e>
          <m:sub>
            <m:r>
              <w:rPr>
                <w:rFonts w:ascii="Cambria Math" w:eastAsia="Cambria Math" w:hAnsi="Cambria Math" w:cs="Cambria Math"/>
              </w:rPr>
              <m:t>z</m:t>
            </m:r>
          </m:sub>
        </m:sSub>
      </m:oMath>
      <w:r>
        <w:t xml:space="preserve">​, from the MURaM simulation at the original resolution; (b) </w:t>
      </w:r>
      <m:oMath>
        <m:sSub>
          <m:sSubPr>
            <m:ctrlPr>
              <w:rPr>
                <w:rFonts w:ascii="Cambria Math" w:eastAsia="Cambria Math" w:hAnsi="Cambria Math" w:cs="Cambria Math"/>
              </w:rPr>
            </m:ctrlPr>
          </m:sSubPr>
          <m:e>
            <m:r>
              <w:rPr>
                <w:rFonts w:ascii="Cambria Math" w:eastAsia="Cambria Math" w:hAnsi="Cambria Math" w:cs="Cambria Math"/>
              </w:rPr>
              <m:t>B</m:t>
            </m:r>
          </m:e>
          <m:sub>
            <m:r>
              <w:rPr>
                <w:rFonts w:ascii="Cambria Math" w:eastAsia="Cambria Math" w:hAnsi="Cambria Math" w:cs="Cambria Math"/>
              </w:rPr>
              <m:t>z</m:t>
            </m:r>
          </m:sub>
        </m:sSub>
      </m:oMath>
      <w:r>
        <w:t xml:space="preserve"> at </w:t>
      </w:r>
      <m:oMath>
        <m:r>
          <w:rPr>
            <w:rFonts w:ascii="Cambria Math" w:hAnsi="Cambria Math"/>
          </w:rPr>
          <m:t>τ</m:t>
        </m:r>
        <m:r>
          <w:rPr>
            <w:rFonts w:ascii="Cambria Math" w:eastAsia="Cambria Math" w:hAnsi="Cambria Math" w:cs="Cambria Math"/>
          </w:rPr>
          <m:t>=0.01</m:t>
        </m:r>
      </m:oMath>
      <w:r>
        <w:t>, corresponding to the formation height of the HMI Fe I 617.3 nm line (~250 km above the base of the photosphere) degraded to approximately HMI resolution, and (c) HMI magnetogram of the region observed with DKIST.</w:t>
      </w:r>
    </w:p>
    <w:p w14:paraId="601EFA50" w14:textId="77777777" w:rsidR="00401808" w:rsidRDefault="00401808" w:rsidP="00401808">
      <w:pPr>
        <w:spacing w:before="120" w:line="240" w:lineRule="auto"/>
        <w:jc w:val="both"/>
      </w:pPr>
      <w:r>
        <w:rPr>
          <w:noProof/>
        </w:rPr>
        <w:lastRenderedPageBreak/>
        <w:drawing>
          <wp:inline distT="0" distB="0" distL="0" distR="0" wp14:anchorId="7695A6D0" wp14:editId="662D6023">
            <wp:extent cx="5943600" cy="6179185"/>
            <wp:effectExtent l="0" t="0" r="0" b="5715"/>
            <wp:docPr id="1112776808"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776808" name="Picture 1112776808"/>
                    <pic:cNvPicPr/>
                  </pic:nvPicPr>
                  <pic:blipFill>
                    <a:blip r:embed="rId5"/>
                    <a:stretch>
                      <a:fillRect/>
                    </a:stretch>
                  </pic:blipFill>
                  <pic:spPr>
                    <a:xfrm>
                      <a:off x="0" y="0"/>
                      <a:ext cx="5943600" cy="6179185"/>
                    </a:xfrm>
                    <a:prstGeom prst="rect">
                      <a:avLst/>
                    </a:prstGeom>
                  </pic:spPr>
                </pic:pic>
              </a:graphicData>
            </a:graphic>
          </wp:inline>
        </w:drawing>
      </w:r>
    </w:p>
    <w:p w14:paraId="1F75BB1D" w14:textId="74B085EA" w:rsidR="00401808" w:rsidRDefault="00401808" w:rsidP="00401808">
      <w:pPr>
        <w:spacing w:before="120" w:line="240" w:lineRule="auto"/>
        <w:jc w:val="both"/>
      </w:pPr>
      <w:r>
        <w:rPr>
          <w:b/>
          <w:bCs/>
        </w:rPr>
        <w:t xml:space="preserve">Supplementary Fig. 2| Detected KHI surfaces and wavelength statistics in the magnetic field maps. </w:t>
      </w:r>
      <w:r>
        <w:t xml:space="preserve"> Same as Extended </w:t>
      </w:r>
      <w:r w:rsidR="004F4A81">
        <w:t>D</w:t>
      </w:r>
      <w:r w:rsidR="009E1ACB">
        <w:t xml:space="preserve">ata </w:t>
      </w:r>
      <w:r>
        <w:t xml:space="preserve">Fig. 5, except that now the magnetic field is shown instead of the emergent intensity. (a) MURaM image of the </w:t>
      </w:r>
      <m:oMath>
        <m:sSub>
          <m:sSubPr>
            <m:ctrlPr>
              <w:rPr>
                <w:rFonts w:ascii="Cambria Math" w:eastAsia="Cambria Math" w:hAnsi="Cambria Math" w:cs="Cambria Math"/>
              </w:rPr>
            </m:ctrlPr>
          </m:sSubPr>
          <m:e>
            <m:r>
              <w:rPr>
                <w:rFonts w:ascii="Cambria Math" w:eastAsia="Cambria Math" w:hAnsi="Cambria Math" w:cs="Cambria Math"/>
              </w:rPr>
              <m:t>B</m:t>
            </m:r>
          </m:e>
          <m:sub>
            <m:r>
              <w:rPr>
                <w:rFonts w:ascii="Cambria Math" w:eastAsia="Cambria Math" w:hAnsi="Cambria Math" w:cs="Cambria Math"/>
              </w:rPr>
              <m:t>z</m:t>
            </m:r>
          </m:sub>
        </m:sSub>
      </m:oMath>
      <w:r>
        <w:t xml:space="preserve"> with KHI interfaces marked with lines in cyan. (b) An example of a zoomed KHI interface. (c)  Example of an intensity profile along KHI surface #50 (left). The KHI wavelength is determined as the median separation between intensity dips. (d) shows the distribution of KHI wavelengths for 190 interfaces.</w:t>
      </w:r>
    </w:p>
    <w:tbl>
      <w:tblPr>
        <w:tblW w:w="9360" w:type="dxa"/>
        <w:tblBorders>
          <w:top w:val="nil"/>
          <w:left w:val="nil"/>
          <w:bottom w:val="nil"/>
          <w:right w:val="nil"/>
          <w:insideH w:val="nil"/>
          <w:insideV w:val="nil"/>
        </w:tblBorders>
        <w:tblLayout w:type="fixed"/>
        <w:tblLook w:val="0600" w:firstRow="0" w:lastRow="0" w:firstColumn="0" w:lastColumn="0" w:noHBand="1" w:noVBand="1"/>
      </w:tblPr>
      <w:tblGrid>
        <w:gridCol w:w="9360"/>
      </w:tblGrid>
      <w:tr w:rsidR="00401808" w14:paraId="1B1838AE" w14:textId="77777777" w:rsidTr="00C9295B">
        <w:trPr>
          <w:trHeight w:val="1500"/>
        </w:trPr>
        <w:tc>
          <w:tcPr>
            <w:tcW w:w="9360" w:type="dxa"/>
            <w:tcMar>
              <w:top w:w="0" w:type="dxa"/>
              <w:bottom w:w="0" w:type="dxa"/>
            </w:tcMar>
          </w:tcPr>
          <w:p w14:paraId="0297F82B" w14:textId="77777777" w:rsidR="00401808" w:rsidRDefault="00401808" w:rsidP="00C9295B">
            <w:pPr>
              <w:spacing w:before="120" w:line="240" w:lineRule="auto"/>
              <w:ind w:right="-539"/>
              <w:jc w:val="both"/>
            </w:pPr>
            <w:r>
              <w:rPr>
                <w:noProof/>
              </w:rPr>
              <w:lastRenderedPageBreak/>
              <w:drawing>
                <wp:inline distT="0" distB="0" distL="0" distR="0" wp14:anchorId="75CE122D" wp14:editId="7D9C4506">
                  <wp:extent cx="5816600" cy="2547620"/>
                  <wp:effectExtent l="0" t="0" r="0" b="5080"/>
                  <wp:docPr id="200190097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1900974" name="Picture 2001900974"/>
                          <pic:cNvPicPr/>
                        </pic:nvPicPr>
                        <pic:blipFill>
                          <a:blip r:embed="rId6"/>
                          <a:stretch>
                            <a:fillRect/>
                          </a:stretch>
                        </pic:blipFill>
                        <pic:spPr>
                          <a:xfrm>
                            <a:off x="0" y="0"/>
                            <a:ext cx="5816600" cy="2547620"/>
                          </a:xfrm>
                          <a:prstGeom prst="rect">
                            <a:avLst/>
                          </a:prstGeom>
                        </pic:spPr>
                      </pic:pic>
                    </a:graphicData>
                  </a:graphic>
                </wp:inline>
              </w:drawing>
            </w:r>
          </w:p>
        </w:tc>
      </w:tr>
    </w:tbl>
    <w:p w14:paraId="0B432164" w14:textId="7F4A8C19" w:rsidR="00401808" w:rsidRDefault="00401808" w:rsidP="00401808">
      <w:pPr>
        <w:spacing w:before="120" w:line="240" w:lineRule="auto"/>
        <w:jc w:val="both"/>
        <w:rPr>
          <w:b/>
          <w:bCs/>
        </w:rPr>
      </w:pPr>
      <w:r>
        <w:rPr>
          <w:b/>
          <w:bCs/>
        </w:rPr>
        <w:t xml:space="preserve">Supplementary Fig. 3 </w:t>
      </w:r>
      <w:r>
        <w:t xml:space="preserve">| </w:t>
      </w:r>
      <w:r>
        <w:rPr>
          <w:b/>
          <w:bCs/>
        </w:rPr>
        <w:t>Same as Extended Data Fig.</w:t>
      </w:r>
      <w:r w:rsidR="002B1408">
        <w:rPr>
          <w:b/>
          <w:bCs/>
        </w:rPr>
        <w:t xml:space="preserve"> </w:t>
      </w:r>
      <w:r>
        <w:rPr>
          <w:b/>
          <w:bCs/>
        </w:rPr>
        <w:t>7 for KHI case 2.</w:t>
      </w:r>
    </w:p>
    <w:p w14:paraId="2964A9F5" w14:textId="77777777" w:rsidR="00401808" w:rsidRDefault="00401808" w:rsidP="00401808">
      <w:pPr>
        <w:spacing w:before="120" w:line="240" w:lineRule="auto"/>
        <w:jc w:val="both"/>
        <w:rPr>
          <w:b/>
          <w:bCs/>
        </w:rPr>
      </w:pPr>
      <w:r>
        <w:rPr>
          <w:noProof/>
        </w:rPr>
        <w:drawing>
          <wp:inline distT="0" distB="0" distL="0" distR="0" wp14:anchorId="6F1100F8" wp14:editId="7A5F2BCB">
            <wp:extent cx="5873750" cy="3268345"/>
            <wp:effectExtent l="0" t="0" r="6350" b="0"/>
            <wp:docPr id="157511191"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980498" name="Picture 191980498"/>
                    <pic:cNvPicPr/>
                  </pic:nvPicPr>
                  <pic:blipFill>
                    <a:blip r:embed="rId7"/>
                    <a:stretch>
                      <a:fillRect/>
                    </a:stretch>
                  </pic:blipFill>
                  <pic:spPr>
                    <a:xfrm>
                      <a:off x="0" y="0"/>
                      <a:ext cx="5873750" cy="3268345"/>
                    </a:xfrm>
                    <a:prstGeom prst="rect">
                      <a:avLst/>
                    </a:prstGeom>
                  </pic:spPr>
                </pic:pic>
              </a:graphicData>
            </a:graphic>
          </wp:inline>
        </w:drawing>
      </w:r>
    </w:p>
    <w:p w14:paraId="15D8F16D" w14:textId="77777777" w:rsidR="00401808" w:rsidRDefault="00401808" w:rsidP="00401808">
      <w:pPr>
        <w:spacing w:before="120" w:line="240" w:lineRule="auto"/>
        <w:jc w:val="both"/>
        <w:rPr>
          <w:b/>
          <w:bCs/>
        </w:rPr>
      </w:pPr>
      <w:r>
        <w:rPr>
          <w:b/>
          <w:bCs/>
        </w:rPr>
        <w:t xml:space="preserve">Supplementary Fig. 4 </w:t>
      </w:r>
      <w:r>
        <w:t xml:space="preserve">| </w:t>
      </w:r>
      <w:r>
        <w:rPr>
          <w:b/>
          <w:bCs/>
        </w:rPr>
        <w:t>Same as Extended Data Fig. 7 for KHI case 3.</w:t>
      </w:r>
    </w:p>
    <w:p w14:paraId="3EB298C5" w14:textId="77777777" w:rsidR="00401808" w:rsidRPr="00E51792" w:rsidRDefault="00401808" w:rsidP="00401808">
      <w:pPr>
        <w:spacing w:before="120" w:line="240" w:lineRule="auto"/>
        <w:jc w:val="both"/>
        <w:rPr>
          <w:b/>
          <w:bCs/>
        </w:rPr>
      </w:pPr>
      <w:r>
        <w:rPr>
          <w:noProof/>
        </w:rPr>
        <w:lastRenderedPageBreak/>
        <w:drawing>
          <wp:inline distT="0" distB="0" distL="0" distR="0" wp14:anchorId="301FF4C5" wp14:editId="54FE044E">
            <wp:extent cx="5873750" cy="3787140"/>
            <wp:effectExtent l="0" t="0" r="6350" b="0"/>
            <wp:docPr id="879189979"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189979" name="Picture 879189979"/>
                    <pic:cNvPicPr/>
                  </pic:nvPicPr>
                  <pic:blipFill>
                    <a:blip r:embed="rId8"/>
                    <a:stretch>
                      <a:fillRect/>
                    </a:stretch>
                  </pic:blipFill>
                  <pic:spPr>
                    <a:xfrm>
                      <a:off x="0" y="0"/>
                      <a:ext cx="5873750" cy="3787140"/>
                    </a:xfrm>
                    <a:prstGeom prst="rect">
                      <a:avLst/>
                    </a:prstGeom>
                  </pic:spPr>
                </pic:pic>
              </a:graphicData>
            </a:graphic>
          </wp:inline>
        </w:drawing>
      </w:r>
    </w:p>
    <w:p w14:paraId="649BA3EB" w14:textId="77777777" w:rsidR="00401808" w:rsidRDefault="00401808" w:rsidP="00401808">
      <w:pPr>
        <w:spacing w:before="120" w:line="240" w:lineRule="auto"/>
        <w:jc w:val="both"/>
        <w:rPr>
          <w:b/>
          <w:bCs/>
        </w:rPr>
      </w:pPr>
      <w:r>
        <w:rPr>
          <w:b/>
          <w:bCs/>
        </w:rPr>
        <w:t xml:space="preserve">Supplementary Fig. 5 </w:t>
      </w:r>
      <w:r>
        <w:t xml:space="preserve">| </w:t>
      </w:r>
      <w:r>
        <w:rPr>
          <w:b/>
          <w:bCs/>
        </w:rPr>
        <w:t xml:space="preserve">Same as Extended Data Fig. </w:t>
      </w:r>
      <w:proofErr w:type="gramStart"/>
      <w:r>
        <w:rPr>
          <w:b/>
          <w:bCs/>
        </w:rPr>
        <w:t>7  KHI</w:t>
      </w:r>
      <w:proofErr w:type="gramEnd"/>
      <w:r>
        <w:rPr>
          <w:b/>
          <w:bCs/>
        </w:rPr>
        <w:t xml:space="preserve"> case 4.</w:t>
      </w:r>
    </w:p>
    <w:p w14:paraId="41EC4CDB" w14:textId="77777777" w:rsidR="00401808" w:rsidRDefault="00401808" w:rsidP="00401808">
      <w:pPr>
        <w:spacing w:before="120" w:line="240" w:lineRule="auto"/>
        <w:jc w:val="both"/>
      </w:pPr>
    </w:p>
    <w:p w14:paraId="214D4946" w14:textId="77777777" w:rsidR="00401808" w:rsidRDefault="00401808" w:rsidP="00401808">
      <w:pPr>
        <w:spacing w:before="120" w:line="240" w:lineRule="auto"/>
        <w:jc w:val="both"/>
      </w:pPr>
      <w:r>
        <w:rPr>
          <w:noProof/>
        </w:rPr>
        <w:drawing>
          <wp:inline distT="0" distB="0" distL="0" distR="0" wp14:anchorId="2FF7FCE7" wp14:editId="57ADF838">
            <wp:extent cx="5943600" cy="3204845"/>
            <wp:effectExtent l="0" t="0" r="0" b="0"/>
            <wp:docPr id="1198438767"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438767" name="Picture 1198438767"/>
                    <pic:cNvPicPr/>
                  </pic:nvPicPr>
                  <pic:blipFill>
                    <a:blip r:embed="rId9"/>
                    <a:stretch>
                      <a:fillRect/>
                    </a:stretch>
                  </pic:blipFill>
                  <pic:spPr>
                    <a:xfrm>
                      <a:off x="0" y="0"/>
                      <a:ext cx="5943600" cy="3204845"/>
                    </a:xfrm>
                    <a:prstGeom prst="rect">
                      <a:avLst/>
                    </a:prstGeom>
                  </pic:spPr>
                </pic:pic>
              </a:graphicData>
            </a:graphic>
          </wp:inline>
        </w:drawing>
      </w:r>
    </w:p>
    <w:p w14:paraId="2D00C27F" w14:textId="77777777" w:rsidR="00401808" w:rsidRDefault="00401808" w:rsidP="00401808">
      <w:pPr>
        <w:spacing w:before="120" w:line="240" w:lineRule="auto"/>
        <w:jc w:val="both"/>
        <w:rPr>
          <w:b/>
          <w:bCs/>
        </w:rPr>
      </w:pPr>
      <w:r>
        <w:rPr>
          <w:b/>
          <w:bCs/>
        </w:rPr>
        <w:t xml:space="preserve">Supplementary Fig. 6 </w:t>
      </w:r>
      <w:r>
        <w:t xml:space="preserve">| </w:t>
      </w:r>
      <w:r>
        <w:rPr>
          <w:b/>
          <w:bCs/>
        </w:rPr>
        <w:t>Same as Extended Data Fig. 7 for KHI case 5.</w:t>
      </w:r>
    </w:p>
    <w:p w14:paraId="1132413B" w14:textId="77777777" w:rsidR="00401808" w:rsidRDefault="00401808" w:rsidP="00401808">
      <w:pPr>
        <w:spacing w:before="120" w:line="240" w:lineRule="auto"/>
        <w:jc w:val="both"/>
      </w:pPr>
      <w:r>
        <w:rPr>
          <w:noProof/>
        </w:rPr>
        <w:lastRenderedPageBreak/>
        <w:drawing>
          <wp:inline distT="0" distB="0" distL="0" distR="0" wp14:anchorId="48184F10" wp14:editId="679E0708">
            <wp:extent cx="5943600" cy="4070350"/>
            <wp:effectExtent l="0" t="0" r="0" b="6350"/>
            <wp:docPr id="10452523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252307" name="Picture 1045252307"/>
                    <pic:cNvPicPr/>
                  </pic:nvPicPr>
                  <pic:blipFill>
                    <a:blip r:embed="rId10"/>
                    <a:stretch>
                      <a:fillRect/>
                    </a:stretch>
                  </pic:blipFill>
                  <pic:spPr>
                    <a:xfrm>
                      <a:off x="0" y="0"/>
                      <a:ext cx="5943600" cy="4070350"/>
                    </a:xfrm>
                    <a:prstGeom prst="rect">
                      <a:avLst/>
                    </a:prstGeom>
                  </pic:spPr>
                </pic:pic>
              </a:graphicData>
            </a:graphic>
          </wp:inline>
        </w:drawing>
      </w:r>
    </w:p>
    <w:p w14:paraId="4FFD25A9" w14:textId="7D0A368C" w:rsidR="00401808" w:rsidRDefault="00401808" w:rsidP="00401808">
      <w:pPr>
        <w:spacing w:before="120" w:line="240" w:lineRule="auto"/>
        <w:jc w:val="both"/>
        <w:rPr>
          <w:b/>
          <w:bCs/>
        </w:rPr>
      </w:pPr>
      <w:r>
        <w:rPr>
          <w:b/>
          <w:bCs/>
        </w:rPr>
        <w:t>Supplementary Fig. 7 |</w:t>
      </w:r>
      <w:r>
        <w:t xml:space="preserve"> </w:t>
      </w:r>
      <w:r>
        <w:rPr>
          <w:b/>
          <w:bCs/>
        </w:rPr>
        <w:t xml:space="preserve">Vertical structure of the MURaM model. (a) </w:t>
      </w:r>
      <w:r>
        <w:t xml:space="preserve">The map of the vertical magnetic flux density, </w:t>
      </w:r>
      <w:proofErr w:type="spellStart"/>
      <w:r>
        <w:t>B</w:t>
      </w:r>
      <w:r>
        <w:rPr>
          <w:vertAlign w:val="subscript"/>
        </w:rPr>
        <w:t>z</w:t>
      </w:r>
      <w:proofErr w:type="spellEnd"/>
      <w:r>
        <w:t xml:space="preserve">, from the MURaM snapshot at the height z = 0. </w:t>
      </w:r>
      <w:r w:rsidRPr="00D41A84">
        <w:t>(b-d)</w:t>
      </w:r>
      <w:r>
        <w:t xml:space="preserve"> Vertical cuts through the </w:t>
      </w:r>
      <w:proofErr w:type="spellStart"/>
      <w:r>
        <w:t>LoS</w:t>
      </w:r>
      <w:proofErr w:type="spellEnd"/>
      <w:r>
        <w:t xml:space="preserve"> magnetic field strength, vertical and horizontal velocities along the blue dashed line marked in panel a. (e-f) </w:t>
      </w:r>
      <w:r w:rsidRPr="00D41A84">
        <w:t>Vertical cuts of the vertical vorticity (</w:t>
      </w:r>
      <m:oMath>
        <m:sSub>
          <m:sSubPr>
            <m:ctrlPr>
              <w:rPr>
                <w:rFonts w:ascii="Cambria Math" w:eastAsia="Cambria Math" w:hAnsi="Cambria Math" w:cs="Cambria Math"/>
              </w:rPr>
            </m:ctrlPr>
          </m:sSubPr>
          <m:e>
            <m:r>
              <w:rPr>
                <w:rFonts w:ascii="Cambria Math" w:hAnsi="Cambria Math"/>
              </w:rPr>
              <m:t>ω</m:t>
            </m:r>
          </m:e>
          <m:sub>
            <m:r>
              <w:rPr>
                <w:rFonts w:ascii="Cambria Math" w:eastAsia="Cambria Math" w:hAnsi="Cambria Math" w:cs="Cambria Math"/>
              </w:rPr>
              <m:t>z</m:t>
            </m:r>
          </m:sub>
        </m:sSub>
      </m:oMath>
      <w:r w:rsidRPr="00D41A84">
        <w:t xml:space="preserve">) and plasma </w:t>
      </w:r>
      <m:oMath>
        <m:r>
          <w:rPr>
            <w:rFonts w:ascii="Cambria Math" w:hAnsi="Cambria Math"/>
          </w:rPr>
          <m:t>β</m:t>
        </m:r>
      </m:oMath>
      <w:r w:rsidRPr="00D41A84">
        <w:t xml:space="preserve"> along the blue dashed line marked in panel a.</w:t>
      </w:r>
    </w:p>
    <w:p w14:paraId="3D9AAB32" w14:textId="77777777" w:rsidR="00401808" w:rsidRDefault="00401808" w:rsidP="00401808">
      <w:pPr>
        <w:spacing w:after="200" w:line="240" w:lineRule="auto"/>
        <w:jc w:val="both"/>
      </w:pPr>
      <w:r>
        <w:rPr>
          <w:b/>
          <w:bCs/>
          <w:noProof/>
        </w:rPr>
        <w:lastRenderedPageBreak/>
        <w:drawing>
          <wp:inline distT="0" distB="0" distL="0" distR="0" wp14:anchorId="34809F2A" wp14:editId="4566DF41">
            <wp:extent cx="5943600" cy="6390005"/>
            <wp:effectExtent l="0" t="0" r="0" b="0"/>
            <wp:docPr id="1242827144"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2827144" name="Picture 1242827144"/>
                    <pic:cNvPicPr/>
                  </pic:nvPicPr>
                  <pic:blipFill>
                    <a:blip r:embed="rId11"/>
                    <a:stretch>
                      <a:fillRect/>
                    </a:stretch>
                  </pic:blipFill>
                  <pic:spPr>
                    <a:xfrm>
                      <a:off x="0" y="0"/>
                      <a:ext cx="5943600" cy="6390005"/>
                    </a:xfrm>
                    <a:prstGeom prst="rect">
                      <a:avLst/>
                    </a:prstGeom>
                  </pic:spPr>
                </pic:pic>
              </a:graphicData>
            </a:graphic>
          </wp:inline>
        </w:drawing>
      </w:r>
      <w:r>
        <w:rPr>
          <w:b/>
          <w:bCs/>
        </w:rPr>
        <w:t xml:space="preserve">Supplementary Fig. 8 </w:t>
      </w:r>
      <w:r>
        <w:t xml:space="preserve">| </w:t>
      </w:r>
      <w:r>
        <w:rPr>
          <w:b/>
          <w:bCs/>
        </w:rPr>
        <w:t>Striation dynamics in observed and synthetic images.</w:t>
      </w:r>
      <w:r>
        <w:t xml:space="preserve"> Comparison of the dynamics of striations in the DKIST (a) and synthetic (b) 416 nm images at a heliocentric viewing angle of 14° (the arrows at the top left indicate the direction of the disk </w:t>
      </w:r>
      <w:proofErr w:type="spellStart"/>
      <w:r>
        <w:t>center</w:t>
      </w:r>
      <w:proofErr w:type="spellEnd"/>
      <w:r>
        <w:t xml:space="preserve">). The viewing angle introduces significant asymmetry in the distribution of striations: in both images, extended striations originate from the corrugated KHI boundary on the limb-ward side of magnetic elements, while the disk </w:t>
      </w:r>
      <w:proofErr w:type="spellStart"/>
      <w:r>
        <w:t>center</w:t>
      </w:r>
      <w:proofErr w:type="spellEnd"/>
      <w:r>
        <w:t xml:space="preserve"> side shows fewer. The T-D diagrams (c-d) across the striations (along the blue lines) show that two striation patterns move simultaneously in opposite directions, driven by granular flows that generate velocity shear and KHI around circular-shaped magnetic elements. The simulated and observed striations exhibit very similar apparent speeds, ranging from 0 to 2 km s</w:t>
      </w:r>
      <w:r>
        <w:rPr>
          <w:vertAlign w:val="superscript"/>
        </w:rPr>
        <w:t>-1</w:t>
      </w:r>
      <w:r>
        <w:t>.</w:t>
      </w:r>
    </w:p>
    <w:p w14:paraId="71A67F18" w14:textId="08E1B784" w:rsidR="00401808" w:rsidRDefault="00401808" w:rsidP="00401808">
      <w:pPr>
        <w:spacing w:line="240" w:lineRule="auto"/>
        <w:jc w:val="both"/>
        <w:rPr>
          <w:b/>
          <w:bCs/>
          <w:color w:val="38761D"/>
          <w:highlight w:val="white"/>
        </w:rPr>
      </w:pPr>
      <w:r>
        <w:lastRenderedPageBreak/>
        <w:t xml:space="preserve"> </w:t>
      </w:r>
      <w:r w:rsidR="008A72EB">
        <w:rPr>
          <w:b/>
          <w:bCs/>
          <w:noProof/>
          <w14:ligatures w14:val="standardContextual"/>
        </w:rPr>
        <w:drawing>
          <wp:inline distT="0" distB="0" distL="0" distR="0" wp14:anchorId="0C949D8B" wp14:editId="78CE1A9C">
            <wp:extent cx="5943600" cy="2710180"/>
            <wp:effectExtent l="0" t="0" r="0" b="0"/>
            <wp:docPr id="8533649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3364907" name="Picture 853364907"/>
                    <pic:cNvPicPr/>
                  </pic:nvPicPr>
                  <pic:blipFill>
                    <a:blip r:embed="rId12"/>
                    <a:stretch>
                      <a:fillRect/>
                    </a:stretch>
                  </pic:blipFill>
                  <pic:spPr>
                    <a:xfrm>
                      <a:off x="0" y="0"/>
                      <a:ext cx="5943600" cy="2710180"/>
                    </a:xfrm>
                    <a:prstGeom prst="rect">
                      <a:avLst/>
                    </a:prstGeom>
                  </pic:spPr>
                </pic:pic>
              </a:graphicData>
            </a:graphic>
          </wp:inline>
        </w:drawing>
      </w:r>
      <w:r>
        <w:rPr>
          <w:b/>
          <w:bCs/>
        </w:rPr>
        <w:t xml:space="preserve">Supplementary Fig. 9 | MURaM simulation of disk </w:t>
      </w:r>
      <w:proofErr w:type="spellStart"/>
      <w:r>
        <w:rPr>
          <w:b/>
          <w:bCs/>
        </w:rPr>
        <w:t>center</w:t>
      </w:r>
      <w:proofErr w:type="spellEnd"/>
      <w:r>
        <w:rPr>
          <w:b/>
          <w:bCs/>
        </w:rPr>
        <w:t xml:space="preserve"> striation and its magnetic origin. </w:t>
      </w:r>
      <w:r w:rsidRPr="00897603">
        <w:rPr>
          <w:color w:val="000000" w:themeColor="text1"/>
          <w:highlight w:val="white"/>
        </w:rPr>
        <w:t xml:space="preserve">(a–d): Maps of the vertical magnetic flux density and plasma density from the MURaM snapshot at a height of z=128 km, the emergent intensity at disk </w:t>
      </w:r>
      <w:proofErr w:type="spellStart"/>
      <w:r w:rsidRPr="00897603">
        <w:rPr>
          <w:color w:val="000000" w:themeColor="text1"/>
          <w:highlight w:val="white"/>
        </w:rPr>
        <w:t>center</w:t>
      </w:r>
      <w:proofErr w:type="spellEnd"/>
      <w:r w:rsidRPr="00897603">
        <w:rPr>
          <w:color w:val="000000" w:themeColor="text1"/>
          <w:highlight w:val="white"/>
        </w:rPr>
        <w:t xml:space="preserve">, and the geometrical height where τ=1 at 415.9 nm. (e–h): Profiles of these parameters along the </w:t>
      </w:r>
      <w:r w:rsidR="00897603">
        <w:rPr>
          <w:color w:val="000000" w:themeColor="text1"/>
          <w:highlight w:val="white"/>
        </w:rPr>
        <w:t>red</w:t>
      </w:r>
      <w:r w:rsidRPr="00897603">
        <w:rPr>
          <w:color w:val="000000" w:themeColor="text1"/>
          <w:highlight w:val="white"/>
        </w:rPr>
        <w:t xml:space="preserve"> line crossing the dark striae. The correlation between the emergent intensity</w:t>
      </w:r>
      <w:r w:rsidR="000A40D1">
        <w:rPr>
          <w:color w:val="000000" w:themeColor="text1"/>
          <w:highlight w:val="white"/>
        </w:rPr>
        <w:t xml:space="preserve"> (red lines)</w:t>
      </w:r>
      <w:r w:rsidRPr="00897603">
        <w:rPr>
          <w:color w:val="000000" w:themeColor="text1"/>
          <w:highlight w:val="white"/>
        </w:rPr>
        <w:t xml:space="preserve"> and the magnetic field/plasma density confirms that variations in the magnetic field are responsible for the disk </w:t>
      </w:r>
      <w:proofErr w:type="spellStart"/>
      <w:r w:rsidRPr="00897603">
        <w:rPr>
          <w:color w:val="000000" w:themeColor="text1"/>
          <w:highlight w:val="white"/>
        </w:rPr>
        <w:t>center</w:t>
      </w:r>
      <w:proofErr w:type="spellEnd"/>
      <w:r w:rsidRPr="00897603">
        <w:rPr>
          <w:color w:val="000000" w:themeColor="text1"/>
          <w:highlight w:val="white"/>
        </w:rPr>
        <w:t xml:space="preserve"> striation.</w:t>
      </w:r>
    </w:p>
    <w:p w14:paraId="1B66A512" w14:textId="77777777" w:rsidR="00401808" w:rsidRDefault="00401808" w:rsidP="00401808">
      <w:pPr>
        <w:spacing w:line="240" w:lineRule="auto"/>
        <w:jc w:val="both"/>
      </w:pPr>
      <w:r>
        <w:t xml:space="preserve"> </w:t>
      </w:r>
    </w:p>
    <w:tbl>
      <w:tblPr>
        <w:tblW w:w="9449" w:type="dxa"/>
        <w:tblBorders>
          <w:top w:val="nil"/>
          <w:left w:val="nil"/>
          <w:bottom w:val="nil"/>
          <w:right w:val="nil"/>
          <w:insideH w:val="nil"/>
          <w:insideV w:val="nil"/>
        </w:tblBorders>
        <w:tblLayout w:type="fixed"/>
        <w:tblLook w:val="0600" w:firstRow="0" w:lastRow="0" w:firstColumn="0" w:lastColumn="0" w:noHBand="1" w:noVBand="1"/>
      </w:tblPr>
      <w:tblGrid>
        <w:gridCol w:w="4230"/>
        <w:gridCol w:w="5219"/>
      </w:tblGrid>
      <w:tr w:rsidR="00401808" w14:paraId="02AF16D5" w14:textId="77777777" w:rsidTr="00C9295B">
        <w:trPr>
          <w:trHeight w:val="671"/>
        </w:trPr>
        <w:tc>
          <w:tcPr>
            <w:tcW w:w="4230" w:type="dxa"/>
            <w:tcBorders>
              <w:top w:val="nil"/>
              <w:left w:val="nil"/>
              <w:bottom w:val="nil"/>
              <w:right w:val="nil"/>
            </w:tcBorders>
            <w:tcMar>
              <w:top w:w="100" w:type="dxa"/>
              <w:left w:w="100" w:type="dxa"/>
              <w:bottom w:w="100" w:type="dxa"/>
              <w:right w:w="100" w:type="dxa"/>
            </w:tcMar>
          </w:tcPr>
          <w:p w14:paraId="4BD765DA" w14:textId="77777777" w:rsidR="00401808" w:rsidRDefault="00401808" w:rsidP="00C9295B">
            <w:pPr>
              <w:spacing w:before="120" w:line="240" w:lineRule="auto"/>
              <w:jc w:val="both"/>
            </w:pPr>
            <w:r>
              <w:rPr>
                <w:noProof/>
              </w:rPr>
              <w:drawing>
                <wp:inline distT="0" distB="0" distL="0" distR="0" wp14:anchorId="09F1542A" wp14:editId="0A369492">
                  <wp:extent cx="2438400" cy="2297421"/>
                  <wp:effectExtent l="0" t="0" r="0" b="1905"/>
                  <wp:docPr id="1969836396"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634689" name="Picture 814634689"/>
                          <pic:cNvPicPr/>
                        </pic:nvPicPr>
                        <pic:blipFill>
                          <a:blip r:embed="rId13"/>
                          <a:stretch>
                            <a:fillRect/>
                          </a:stretch>
                        </pic:blipFill>
                        <pic:spPr>
                          <a:xfrm>
                            <a:off x="0" y="0"/>
                            <a:ext cx="2455842" cy="2313854"/>
                          </a:xfrm>
                          <a:prstGeom prst="rect">
                            <a:avLst/>
                          </a:prstGeom>
                        </pic:spPr>
                      </pic:pic>
                    </a:graphicData>
                  </a:graphic>
                </wp:inline>
              </w:drawing>
            </w:r>
          </w:p>
        </w:tc>
        <w:tc>
          <w:tcPr>
            <w:tcW w:w="5219" w:type="dxa"/>
            <w:tcBorders>
              <w:top w:val="nil"/>
              <w:left w:val="nil"/>
              <w:bottom w:val="nil"/>
              <w:right w:val="nil"/>
            </w:tcBorders>
            <w:tcMar>
              <w:top w:w="100" w:type="dxa"/>
              <w:left w:w="100" w:type="dxa"/>
              <w:bottom w:w="100" w:type="dxa"/>
              <w:right w:w="100" w:type="dxa"/>
            </w:tcMar>
          </w:tcPr>
          <w:p w14:paraId="216B2C85" w14:textId="77777777" w:rsidR="00401808" w:rsidRDefault="00401808" w:rsidP="00C9295B">
            <w:pPr>
              <w:spacing w:before="120" w:line="240" w:lineRule="auto"/>
              <w:jc w:val="both"/>
            </w:pPr>
            <w:r>
              <w:rPr>
                <w:b/>
                <w:bCs/>
              </w:rPr>
              <w:t>Supplementary Fig. 10:</w:t>
            </w:r>
            <w:r>
              <w:t xml:space="preserve"> </w:t>
            </w:r>
            <w:r>
              <w:rPr>
                <w:b/>
                <w:bCs/>
              </w:rPr>
              <w:t xml:space="preserve">Shear layer for which the KHI is investigated. </w:t>
            </w:r>
            <w:r>
              <w:t>Density and velocity profiles of the initial state in the KHI region (image adapted from Chandrasekhar 1961)</w:t>
            </w:r>
          </w:p>
          <w:p w14:paraId="2797B95E" w14:textId="77777777" w:rsidR="00401808" w:rsidRDefault="00401808" w:rsidP="00C9295B">
            <w:pPr>
              <w:spacing w:before="120" w:line="240" w:lineRule="auto"/>
              <w:jc w:val="both"/>
            </w:pPr>
            <w:r>
              <w:t xml:space="preserve"> </w:t>
            </w:r>
          </w:p>
        </w:tc>
      </w:tr>
    </w:tbl>
    <w:p w14:paraId="120B8807" w14:textId="77777777" w:rsidR="00401808" w:rsidRDefault="00401808" w:rsidP="00401808">
      <w:pPr>
        <w:spacing w:line="240" w:lineRule="auto"/>
        <w:jc w:val="both"/>
      </w:pPr>
    </w:p>
    <w:p w14:paraId="21AE7D39" w14:textId="68403AC2" w:rsidR="00401808" w:rsidRDefault="00401808" w:rsidP="00401808">
      <w:pPr>
        <w:spacing w:line="240" w:lineRule="auto"/>
        <w:jc w:val="both"/>
      </w:pPr>
      <w:r>
        <w:rPr>
          <w:noProof/>
        </w:rPr>
        <w:lastRenderedPageBreak/>
        <w:drawing>
          <wp:inline distT="0" distB="0" distL="0" distR="0" wp14:anchorId="6AEE5930" wp14:editId="54E07076">
            <wp:extent cx="5943600" cy="2319020"/>
            <wp:effectExtent l="0" t="0" r="0" b="5080"/>
            <wp:docPr id="76633079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6330798" name="Picture 766330798"/>
                    <pic:cNvPicPr/>
                  </pic:nvPicPr>
                  <pic:blipFill>
                    <a:blip r:embed="rId14"/>
                    <a:stretch>
                      <a:fillRect/>
                    </a:stretch>
                  </pic:blipFill>
                  <pic:spPr>
                    <a:xfrm>
                      <a:off x="0" y="0"/>
                      <a:ext cx="5943600" cy="2319020"/>
                    </a:xfrm>
                    <a:prstGeom prst="rect">
                      <a:avLst/>
                    </a:prstGeom>
                  </pic:spPr>
                </pic:pic>
              </a:graphicData>
            </a:graphic>
          </wp:inline>
        </w:drawing>
      </w:r>
    </w:p>
    <w:p w14:paraId="24929658" w14:textId="031B22F6" w:rsidR="00401808" w:rsidRDefault="00401808" w:rsidP="00B768A4">
      <w:pPr>
        <w:spacing w:line="240" w:lineRule="auto"/>
        <w:jc w:val="both"/>
      </w:pPr>
      <w:r>
        <w:rPr>
          <w:b/>
          <w:bCs/>
        </w:rPr>
        <w:t xml:space="preserve">Supplementary Fig. 11 </w:t>
      </w:r>
      <w:r>
        <w:t>|</w:t>
      </w:r>
      <w:r>
        <w:rPr>
          <w:b/>
          <w:bCs/>
        </w:rPr>
        <w:t xml:space="preserve"> Temporal evolution of the KHI amplitudes. </w:t>
      </w:r>
      <w:r>
        <w:t xml:space="preserve">KHI amplitudes derived from the observed (a-e) and synthetic (f-j) data for the cases listed in </w:t>
      </w:r>
      <w:r w:rsidRPr="00675B6C">
        <w:rPr>
          <w:color w:val="000000" w:themeColor="text1"/>
        </w:rPr>
        <w:t>Extended data Table 1</w:t>
      </w:r>
      <w:r w:rsidRPr="00675B6C">
        <w:t>.</w:t>
      </w:r>
      <w:r>
        <w:t xml:space="preserve"> Red circles indicate the amplitude values at different time steps measured from the corrugated interface of the unstable interface (see Methods). The blue curve shows the exponential fit, which is used to determine the growth rate (</w:t>
      </w:r>
      <m:oMath>
        <m:sSub>
          <m:sSubPr>
            <m:ctrlPr>
              <w:rPr>
                <w:rFonts w:ascii="Cambria Math" w:eastAsia="Cambria Math" w:hAnsi="Cambria Math" w:cs="Cambria Math"/>
              </w:rPr>
            </m:ctrlPr>
          </m:sSubPr>
          <m:e>
            <m:r>
              <w:rPr>
                <w:rFonts w:ascii="Cambria Math" w:hAnsi="Cambria Math"/>
              </w:rPr>
              <m:t>γ</m:t>
            </m:r>
          </m:e>
          <m:sub>
            <m:r>
              <w:rPr>
                <w:rFonts w:ascii="Cambria Math" w:eastAsia="Cambria Math" w:hAnsi="Cambria Math" w:cs="Cambria Math"/>
              </w:rPr>
              <m:t>im</m:t>
            </m:r>
          </m:sub>
        </m:sSub>
      </m:oMath>
      <w:r>
        <w:t xml:space="preserve">) of the instability.   </w:t>
      </w:r>
    </w:p>
    <w:p w14:paraId="2BB74C02" w14:textId="77777777" w:rsidR="00B768A4" w:rsidRDefault="00B768A4" w:rsidP="00B768A4">
      <w:pPr>
        <w:spacing w:line="240" w:lineRule="auto"/>
        <w:jc w:val="both"/>
      </w:pPr>
    </w:p>
    <w:p w14:paraId="269E8603" w14:textId="5CFC02E8" w:rsidR="00401808" w:rsidRDefault="00401808" w:rsidP="00401808">
      <w:pPr>
        <w:spacing w:line="240" w:lineRule="auto"/>
        <w:jc w:val="both"/>
        <w:rPr>
          <w:b/>
          <w:bCs/>
        </w:rPr>
      </w:pPr>
      <w:r>
        <w:rPr>
          <w:b/>
          <w:bCs/>
          <w:color w:val="1155CC"/>
          <w:u w:val="single"/>
        </w:rPr>
        <w:t xml:space="preserve">Supplementary Video S1: </w:t>
      </w:r>
    </w:p>
    <w:p w14:paraId="2A87E4FA" w14:textId="77777777" w:rsidR="00401808" w:rsidRDefault="00401808" w:rsidP="00401808">
      <w:pPr>
        <w:spacing w:line="240" w:lineRule="auto"/>
        <w:jc w:val="both"/>
        <w:rPr>
          <w:b/>
          <w:bCs/>
        </w:rPr>
      </w:pPr>
      <w:r>
        <w:t>The animation shows the dynamics of the solar photosphere as captured with DKIST/</w:t>
      </w:r>
      <w:proofErr w:type="spellStart"/>
      <w:r>
        <w:t>FastCam</w:t>
      </w:r>
      <w:proofErr w:type="spellEnd"/>
      <w:r>
        <w:t xml:space="preserve"> on 14 April 2025 within the active region NOAA 14060, observed in the blue continuum (416 nm) at a spatial resolution of approximately 19 km. Panels (d–f) show zoomed-in subregions, outlined by yellow boxes in the main panel, highlighting prominent examples of the Kelvin–Helmholtz instability.</w:t>
      </w:r>
    </w:p>
    <w:p w14:paraId="3A681407" w14:textId="77777777" w:rsidR="00401808" w:rsidRDefault="00401808" w:rsidP="00401808">
      <w:pPr>
        <w:spacing w:line="240" w:lineRule="auto"/>
        <w:jc w:val="both"/>
        <w:rPr>
          <w:b/>
          <w:bCs/>
        </w:rPr>
      </w:pPr>
    </w:p>
    <w:p w14:paraId="45D515C7" w14:textId="69945A58" w:rsidR="00401808" w:rsidRDefault="00401808" w:rsidP="00401808">
      <w:pPr>
        <w:spacing w:line="240" w:lineRule="auto"/>
        <w:jc w:val="both"/>
        <w:rPr>
          <w:b/>
          <w:bCs/>
        </w:rPr>
      </w:pPr>
      <w:r>
        <w:rPr>
          <w:b/>
          <w:bCs/>
          <w:color w:val="1155CC"/>
          <w:u w:val="single"/>
        </w:rPr>
        <w:t>Supplementary Video S2:</w:t>
      </w:r>
    </w:p>
    <w:p w14:paraId="1AB146D7" w14:textId="77777777" w:rsidR="00401808" w:rsidRDefault="00401808" w:rsidP="00401808">
      <w:pPr>
        <w:spacing w:line="240" w:lineRule="auto"/>
        <w:jc w:val="both"/>
      </w:pPr>
      <w:r>
        <w:t>The animation shows the evolution of the solar photosphere (the vertical magnetic flux density and velocity components) at z=0 km height from MURaM radiative-MHD simulation, together with corresponding synthetic continuum images at 500 nm computed from the simulation. The movie highlights the ubiquitous occurrence of the KHI at the interfaces of magnetic elements.</w:t>
      </w:r>
    </w:p>
    <w:p w14:paraId="1DF76DE4" w14:textId="77777777" w:rsidR="00401808" w:rsidRDefault="00401808" w:rsidP="00401808">
      <w:pPr>
        <w:spacing w:line="240" w:lineRule="auto"/>
        <w:jc w:val="both"/>
        <w:rPr>
          <w:b/>
          <w:bCs/>
        </w:rPr>
      </w:pPr>
    </w:p>
    <w:p w14:paraId="383F77C1" w14:textId="66A0FACE" w:rsidR="00401808" w:rsidRDefault="00401808" w:rsidP="00401808">
      <w:pPr>
        <w:spacing w:line="240" w:lineRule="auto"/>
        <w:jc w:val="both"/>
        <w:rPr>
          <w:b/>
          <w:bCs/>
        </w:rPr>
      </w:pPr>
      <w:r>
        <w:rPr>
          <w:b/>
          <w:bCs/>
          <w:color w:val="1155CC"/>
          <w:u w:val="single"/>
        </w:rPr>
        <w:t xml:space="preserve">Supplementary Video S3: </w:t>
      </w:r>
    </w:p>
    <w:p w14:paraId="75E1FC3B" w14:textId="77777777" w:rsidR="00401808" w:rsidRDefault="00401808" w:rsidP="00401808">
      <w:pPr>
        <w:spacing w:line="240" w:lineRule="auto"/>
        <w:jc w:val="both"/>
      </w:pPr>
      <w:r>
        <w:t>The animation shows the evolution of the vertical magnetic flux density in the solar photosphere (at z = 0 km) from a MURaM simulation. A zoomed-in subregion highlights a prominent example of the KHI together with corresponding synthetic continuum images at 500 nm at disk centre and at 416 nm for μ = 0.97, computed from the simulation.</w:t>
      </w:r>
    </w:p>
    <w:p w14:paraId="79964A75" w14:textId="77777777" w:rsidR="00401808" w:rsidRDefault="00401808" w:rsidP="00401808">
      <w:pPr>
        <w:spacing w:line="240" w:lineRule="auto"/>
        <w:jc w:val="both"/>
        <w:rPr>
          <w:b/>
          <w:bCs/>
        </w:rPr>
      </w:pPr>
    </w:p>
    <w:p w14:paraId="15B3616B" w14:textId="6B90D208" w:rsidR="00401808" w:rsidRDefault="00401808" w:rsidP="00401808">
      <w:pPr>
        <w:spacing w:line="240" w:lineRule="auto"/>
        <w:jc w:val="both"/>
        <w:rPr>
          <w:b/>
          <w:bCs/>
        </w:rPr>
      </w:pPr>
      <w:r>
        <w:rPr>
          <w:b/>
          <w:bCs/>
          <w:color w:val="1155CC"/>
          <w:u w:val="single"/>
        </w:rPr>
        <w:t>Supplementary Video S4:</w:t>
      </w:r>
    </w:p>
    <w:p w14:paraId="1DAD038A" w14:textId="77777777" w:rsidR="00401808" w:rsidRDefault="00401808" w:rsidP="00401808">
      <w:pPr>
        <w:spacing w:line="240" w:lineRule="auto"/>
        <w:jc w:val="both"/>
      </w:pPr>
      <w:r>
        <w:t xml:space="preserve">Same as Supplementary Video </w:t>
      </w:r>
      <w:proofErr w:type="gramStart"/>
      <w:r>
        <w:t>S3, but</w:t>
      </w:r>
      <w:proofErr w:type="gramEnd"/>
      <w:r>
        <w:t xml:space="preserve"> highlighting a different subregion exhibiting another prominent KHI case.</w:t>
      </w:r>
    </w:p>
    <w:p w14:paraId="116D8B6B" w14:textId="77777777" w:rsidR="00401808" w:rsidRDefault="00401808" w:rsidP="00401808">
      <w:pPr>
        <w:spacing w:line="240" w:lineRule="auto"/>
        <w:jc w:val="both"/>
        <w:rPr>
          <w:b/>
          <w:bCs/>
        </w:rPr>
      </w:pPr>
    </w:p>
    <w:p w14:paraId="328A49E2" w14:textId="184B2FC4" w:rsidR="00401808" w:rsidRDefault="00401808" w:rsidP="00401808">
      <w:pPr>
        <w:spacing w:line="240" w:lineRule="auto"/>
        <w:jc w:val="both"/>
        <w:rPr>
          <w:b/>
          <w:bCs/>
        </w:rPr>
      </w:pPr>
      <w:r>
        <w:rPr>
          <w:b/>
          <w:bCs/>
          <w:color w:val="1155CC"/>
          <w:u w:val="single"/>
        </w:rPr>
        <w:t>Supplementary Video S5:</w:t>
      </w:r>
    </w:p>
    <w:p w14:paraId="7E413DE9" w14:textId="77777777" w:rsidR="00401808" w:rsidRDefault="00401808" w:rsidP="00401808">
      <w:pPr>
        <w:spacing w:line="240" w:lineRule="auto"/>
        <w:jc w:val="both"/>
        <w:rPr>
          <w:b/>
          <w:bCs/>
        </w:rPr>
      </w:pPr>
      <w:r>
        <w:t xml:space="preserve">The animation shows the developing three-dimensional structure of the vertical magnetic field strength over the duration of the numerical simulation. The panels on the side show slices at different geometrical heights with the velocity field displayed as vectors. The movie highlights </w:t>
      </w:r>
      <w:r>
        <w:lastRenderedPageBreak/>
        <w:t>how the KHI impacts magnetic field morphology at all heights: the evolving KHI vortices drive the formation of separate but stable ‘strands’ of magnetic field patches below.</w:t>
      </w:r>
    </w:p>
    <w:p w14:paraId="751173C4" w14:textId="77777777" w:rsidR="003C31D6" w:rsidRDefault="003C31D6"/>
    <w:sectPr w:rsidR="003C31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1808"/>
    <w:rsid w:val="000A40D1"/>
    <w:rsid w:val="002B1408"/>
    <w:rsid w:val="002F3A04"/>
    <w:rsid w:val="003C31D6"/>
    <w:rsid w:val="00401808"/>
    <w:rsid w:val="00416B2B"/>
    <w:rsid w:val="00480A92"/>
    <w:rsid w:val="004F4A81"/>
    <w:rsid w:val="00675B6C"/>
    <w:rsid w:val="007A4F64"/>
    <w:rsid w:val="008629D0"/>
    <w:rsid w:val="00897603"/>
    <w:rsid w:val="008A72EB"/>
    <w:rsid w:val="009E1ACB"/>
    <w:rsid w:val="00B768A4"/>
    <w:rsid w:val="00BB52D8"/>
    <w:rsid w:val="00BF1EBA"/>
    <w:rsid w:val="00D41A84"/>
    <w:rsid w:val="00D833A6"/>
    <w:rsid w:val="00EF07F4"/>
    <w:rsid w:val="00FB24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156D149"/>
  <w15:chartTrackingRefBased/>
  <w15:docId w15:val="{DA5A5B22-F931-0647-ADEF-4016A4093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1808"/>
    <w:pPr>
      <w:spacing w:after="0" w:line="276" w:lineRule="auto"/>
    </w:pPr>
    <w:rPr>
      <w:rFonts w:ascii="Times New Roman" w:eastAsia="Times New Roman" w:hAnsi="Times New Roman" w:cs="Times New Roman"/>
      <w:kern w:val="0"/>
      <w:lang w:val="en-GB"/>
      <w14:ligatures w14:val="none"/>
    </w:rPr>
  </w:style>
  <w:style w:type="paragraph" w:styleId="Heading1">
    <w:name w:val="heading 1"/>
    <w:basedOn w:val="Normal"/>
    <w:next w:val="Normal"/>
    <w:link w:val="Heading1Char"/>
    <w:uiPriority w:val="9"/>
    <w:qFormat/>
    <w:rsid w:val="00401808"/>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401808"/>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401808"/>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401808"/>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val="en-US"/>
      <w14:ligatures w14:val="standardContextual"/>
    </w:rPr>
  </w:style>
  <w:style w:type="paragraph" w:styleId="Heading5">
    <w:name w:val="heading 5"/>
    <w:basedOn w:val="Normal"/>
    <w:next w:val="Normal"/>
    <w:link w:val="Heading5Char"/>
    <w:uiPriority w:val="9"/>
    <w:semiHidden/>
    <w:unhideWhenUsed/>
    <w:qFormat/>
    <w:rsid w:val="00401808"/>
    <w:pPr>
      <w:keepNext/>
      <w:keepLines/>
      <w:spacing w:before="80" w:after="40" w:line="278" w:lineRule="auto"/>
      <w:outlineLvl w:val="4"/>
    </w:pPr>
    <w:rPr>
      <w:rFonts w:asciiTheme="minorHAnsi" w:eastAsiaTheme="majorEastAsia" w:hAnsiTheme="minorHAnsi" w:cstheme="majorBidi"/>
      <w:color w:val="0F4761" w:themeColor="accent1" w:themeShade="BF"/>
      <w:kern w:val="2"/>
      <w:lang w:val="en-US"/>
      <w14:ligatures w14:val="standardContextual"/>
    </w:rPr>
  </w:style>
  <w:style w:type="paragraph" w:styleId="Heading6">
    <w:name w:val="heading 6"/>
    <w:basedOn w:val="Normal"/>
    <w:next w:val="Normal"/>
    <w:link w:val="Heading6Char"/>
    <w:uiPriority w:val="9"/>
    <w:semiHidden/>
    <w:unhideWhenUsed/>
    <w:qFormat/>
    <w:rsid w:val="00401808"/>
    <w:pPr>
      <w:keepNext/>
      <w:keepLines/>
      <w:spacing w:before="40" w:line="278" w:lineRule="auto"/>
      <w:outlineLvl w:val="5"/>
    </w:pPr>
    <w:rPr>
      <w:rFonts w:asciiTheme="minorHAnsi" w:eastAsiaTheme="majorEastAsia" w:hAnsiTheme="minorHAnsi" w:cstheme="majorBidi"/>
      <w:i/>
      <w:iCs/>
      <w:color w:val="595959" w:themeColor="text1" w:themeTint="A6"/>
      <w:kern w:val="2"/>
      <w:lang w:val="en-US"/>
      <w14:ligatures w14:val="standardContextual"/>
    </w:rPr>
  </w:style>
  <w:style w:type="paragraph" w:styleId="Heading7">
    <w:name w:val="heading 7"/>
    <w:basedOn w:val="Normal"/>
    <w:next w:val="Normal"/>
    <w:link w:val="Heading7Char"/>
    <w:uiPriority w:val="9"/>
    <w:semiHidden/>
    <w:unhideWhenUsed/>
    <w:qFormat/>
    <w:rsid w:val="00401808"/>
    <w:pPr>
      <w:keepNext/>
      <w:keepLines/>
      <w:spacing w:before="40" w:line="278" w:lineRule="auto"/>
      <w:outlineLvl w:val="6"/>
    </w:pPr>
    <w:rPr>
      <w:rFonts w:asciiTheme="minorHAnsi" w:eastAsiaTheme="majorEastAsia" w:hAnsiTheme="minorHAnsi" w:cstheme="majorBidi"/>
      <w:color w:val="595959" w:themeColor="text1" w:themeTint="A6"/>
      <w:kern w:val="2"/>
      <w:lang w:val="en-US"/>
      <w14:ligatures w14:val="standardContextual"/>
    </w:rPr>
  </w:style>
  <w:style w:type="paragraph" w:styleId="Heading8">
    <w:name w:val="heading 8"/>
    <w:basedOn w:val="Normal"/>
    <w:next w:val="Normal"/>
    <w:link w:val="Heading8Char"/>
    <w:uiPriority w:val="9"/>
    <w:semiHidden/>
    <w:unhideWhenUsed/>
    <w:qFormat/>
    <w:rsid w:val="00401808"/>
    <w:pPr>
      <w:keepNext/>
      <w:keepLines/>
      <w:spacing w:line="278" w:lineRule="auto"/>
      <w:outlineLvl w:val="7"/>
    </w:pPr>
    <w:rPr>
      <w:rFonts w:asciiTheme="minorHAnsi" w:eastAsiaTheme="majorEastAsia" w:hAnsiTheme="minorHAnsi" w:cstheme="majorBidi"/>
      <w:i/>
      <w:iCs/>
      <w:color w:val="272727" w:themeColor="text1" w:themeTint="D8"/>
      <w:kern w:val="2"/>
      <w:lang w:val="en-US"/>
      <w14:ligatures w14:val="standardContextual"/>
    </w:rPr>
  </w:style>
  <w:style w:type="paragraph" w:styleId="Heading9">
    <w:name w:val="heading 9"/>
    <w:basedOn w:val="Normal"/>
    <w:next w:val="Normal"/>
    <w:link w:val="Heading9Char"/>
    <w:uiPriority w:val="9"/>
    <w:semiHidden/>
    <w:unhideWhenUsed/>
    <w:qFormat/>
    <w:rsid w:val="00401808"/>
    <w:pPr>
      <w:keepNext/>
      <w:keepLines/>
      <w:spacing w:line="278" w:lineRule="auto"/>
      <w:outlineLvl w:val="8"/>
    </w:pPr>
    <w:rPr>
      <w:rFonts w:asciiTheme="minorHAnsi" w:eastAsiaTheme="majorEastAsia" w:hAnsiTheme="minorHAnsi" w:cstheme="majorBidi"/>
      <w:color w:val="272727" w:themeColor="text1" w:themeTint="D8"/>
      <w:kern w:val="2"/>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180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0180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0180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0180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0180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0180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0180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0180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01808"/>
    <w:rPr>
      <w:rFonts w:eastAsiaTheme="majorEastAsia" w:cstheme="majorBidi"/>
      <w:color w:val="272727" w:themeColor="text1" w:themeTint="D8"/>
    </w:rPr>
  </w:style>
  <w:style w:type="paragraph" w:styleId="Title">
    <w:name w:val="Title"/>
    <w:basedOn w:val="Normal"/>
    <w:next w:val="Normal"/>
    <w:link w:val="TitleChar"/>
    <w:uiPriority w:val="10"/>
    <w:qFormat/>
    <w:rsid w:val="00401808"/>
    <w:pPr>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40180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01808"/>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40180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01808"/>
    <w:pPr>
      <w:spacing w:before="160" w:after="160" w:line="278" w:lineRule="auto"/>
      <w:jc w:val="center"/>
    </w:pPr>
    <w:rPr>
      <w:rFonts w:asciiTheme="minorHAnsi" w:eastAsiaTheme="minorHAnsi" w:hAnsiTheme="minorHAnsi" w:cstheme="minorBidi"/>
      <w:i/>
      <w:iCs/>
      <w:color w:val="404040" w:themeColor="text1" w:themeTint="BF"/>
      <w:kern w:val="2"/>
      <w:lang w:val="en-US"/>
      <w14:ligatures w14:val="standardContextual"/>
    </w:rPr>
  </w:style>
  <w:style w:type="character" w:customStyle="1" w:styleId="QuoteChar">
    <w:name w:val="Quote Char"/>
    <w:basedOn w:val="DefaultParagraphFont"/>
    <w:link w:val="Quote"/>
    <w:uiPriority w:val="29"/>
    <w:rsid w:val="00401808"/>
    <w:rPr>
      <w:i/>
      <w:iCs/>
      <w:color w:val="404040" w:themeColor="text1" w:themeTint="BF"/>
    </w:rPr>
  </w:style>
  <w:style w:type="paragraph" w:styleId="ListParagraph">
    <w:name w:val="List Paragraph"/>
    <w:basedOn w:val="Normal"/>
    <w:uiPriority w:val="34"/>
    <w:qFormat/>
    <w:rsid w:val="00401808"/>
    <w:pPr>
      <w:spacing w:after="160" w:line="278" w:lineRule="auto"/>
      <w:ind w:left="720"/>
      <w:contextualSpacing/>
    </w:pPr>
    <w:rPr>
      <w:rFonts w:asciiTheme="minorHAnsi" w:eastAsiaTheme="minorHAnsi" w:hAnsiTheme="minorHAnsi" w:cstheme="minorBidi"/>
      <w:kern w:val="2"/>
      <w:lang w:val="en-US"/>
      <w14:ligatures w14:val="standardContextual"/>
    </w:rPr>
  </w:style>
  <w:style w:type="character" w:styleId="IntenseEmphasis">
    <w:name w:val="Intense Emphasis"/>
    <w:basedOn w:val="DefaultParagraphFont"/>
    <w:uiPriority w:val="21"/>
    <w:qFormat/>
    <w:rsid w:val="00401808"/>
    <w:rPr>
      <w:i/>
      <w:iCs/>
      <w:color w:val="0F4761" w:themeColor="accent1" w:themeShade="BF"/>
    </w:rPr>
  </w:style>
  <w:style w:type="paragraph" w:styleId="IntenseQuote">
    <w:name w:val="Intense Quote"/>
    <w:basedOn w:val="Normal"/>
    <w:next w:val="Normal"/>
    <w:link w:val="IntenseQuoteChar"/>
    <w:uiPriority w:val="30"/>
    <w:qFormat/>
    <w:rsid w:val="00401808"/>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val="en-US"/>
      <w14:ligatures w14:val="standardContextual"/>
    </w:rPr>
  </w:style>
  <w:style w:type="character" w:customStyle="1" w:styleId="IntenseQuoteChar">
    <w:name w:val="Intense Quote Char"/>
    <w:basedOn w:val="DefaultParagraphFont"/>
    <w:link w:val="IntenseQuote"/>
    <w:uiPriority w:val="30"/>
    <w:rsid w:val="00401808"/>
    <w:rPr>
      <w:i/>
      <w:iCs/>
      <w:color w:val="0F4761" w:themeColor="accent1" w:themeShade="BF"/>
    </w:rPr>
  </w:style>
  <w:style w:type="character" w:styleId="IntenseReference">
    <w:name w:val="Intense Reference"/>
    <w:basedOn w:val="DefaultParagraphFont"/>
    <w:uiPriority w:val="32"/>
    <w:qFormat/>
    <w:rsid w:val="0040180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emf"/><Relationship Id="rId13" Type="http://schemas.openxmlformats.org/officeDocument/2006/relationships/image" Target="media/image10.emf"/><Relationship Id="rId3" Type="http://schemas.openxmlformats.org/officeDocument/2006/relationships/webSettings" Target="webSettings.xml"/><Relationship Id="rId7" Type="http://schemas.openxmlformats.org/officeDocument/2006/relationships/image" Target="media/image4.emf"/><Relationship Id="rId12" Type="http://schemas.openxmlformats.org/officeDocument/2006/relationships/image" Target="media/image9.emf"/><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emf"/><Relationship Id="rId11" Type="http://schemas.openxmlformats.org/officeDocument/2006/relationships/image" Target="media/image8.emf"/><Relationship Id="rId5" Type="http://schemas.openxmlformats.org/officeDocument/2006/relationships/image" Target="media/image2.emf"/><Relationship Id="rId15" Type="http://schemas.openxmlformats.org/officeDocument/2006/relationships/fontTable" Target="fontTable.xml"/><Relationship Id="rId10" Type="http://schemas.openxmlformats.org/officeDocument/2006/relationships/image" Target="media/image7.emf"/><Relationship Id="rId4" Type="http://schemas.openxmlformats.org/officeDocument/2006/relationships/image" Target="media/image1.emf"/><Relationship Id="rId9" Type="http://schemas.openxmlformats.org/officeDocument/2006/relationships/image" Target="media/image6.emf"/><Relationship Id="rId14" Type="http://schemas.openxmlformats.org/officeDocument/2006/relationships/image" Target="media/image1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26</TotalTime>
  <Pages>9</Pages>
  <Words>845</Words>
  <Characters>4820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Kuridze [dak21] (Staff)</dc:creator>
  <cp:keywords/>
  <dc:description/>
  <cp:lastModifiedBy>David Kuridze [dak21] (Staff)</cp:lastModifiedBy>
  <cp:revision>13</cp:revision>
  <dcterms:created xsi:type="dcterms:W3CDTF">2026-06-16T19:31:00Z</dcterms:created>
  <dcterms:modified xsi:type="dcterms:W3CDTF">2026-07-27T15:30:00Z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2dfecbd-fc97-4e8a-a9cd-19ed496c406e_Enabled">
    <vt:lpwstr>true</vt:lpwstr>
  </property>
  <property fmtid="{D5CDD505-2E9C-101B-9397-08002B2CF9AE}" pid="3" name="MSIP_Label_f2dfecbd-fc97-4e8a-a9cd-19ed496c406e_SetDate">
    <vt:lpwstr>2026-06-16T19:32:51Z</vt:lpwstr>
  </property>
  <property fmtid="{D5CDD505-2E9C-101B-9397-08002B2CF9AE}" pid="4" name="MSIP_Label_f2dfecbd-fc97-4e8a-a9cd-19ed496c406e_Method">
    <vt:lpwstr>Standard</vt:lpwstr>
  </property>
  <property fmtid="{D5CDD505-2E9C-101B-9397-08002B2CF9AE}" pid="5" name="MSIP_Label_f2dfecbd-fc97-4e8a-a9cd-19ed496c406e_Name">
    <vt:lpwstr>defa4170-0d19-0005-0004-bc88714345d2</vt:lpwstr>
  </property>
  <property fmtid="{D5CDD505-2E9C-101B-9397-08002B2CF9AE}" pid="6" name="MSIP_Label_f2dfecbd-fc97-4e8a-a9cd-19ed496c406e_SiteId">
    <vt:lpwstr>d47b090e-3f5a-4ca0-84d0-9f89d269f175</vt:lpwstr>
  </property>
  <property fmtid="{D5CDD505-2E9C-101B-9397-08002B2CF9AE}" pid="7" name="MSIP_Label_f2dfecbd-fc97-4e8a-a9cd-19ed496c406e_ActionId">
    <vt:lpwstr>eceb4d2f-3de1-4c7d-8724-9399794b7f13</vt:lpwstr>
  </property>
  <property fmtid="{D5CDD505-2E9C-101B-9397-08002B2CF9AE}" pid="8" name="MSIP_Label_f2dfecbd-fc97-4e8a-a9cd-19ed496c406e_ContentBits">
    <vt:lpwstr>0</vt:lpwstr>
  </property>
  <property fmtid="{D5CDD505-2E9C-101B-9397-08002B2CF9AE}" pid="9" name="MSIP_Label_f2dfecbd-fc97-4e8a-a9cd-19ed496c406e_Tag">
    <vt:lpwstr>50, 3, 0, 1</vt:lpwstr>
  </property>
</Properties>
</file>