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DFEC82" w14:textId="77777777" w:rsidR="00246383" w:rsidRDefault="00246383" w:rsidP="00246383">
      <w:pPr>
        <w:spacing w:line="480" w:lineRule="auto"/>
        <w:rPr>
          <w:b/>
          <w:bCs/>
          <w:sz w:val="22"/>
          <w:szCs w:val="22"/>
          <w:lang w:val="en-GB"/>
        </w:rPr>
      </w:pPr>
      <w:r>
        <w:rPr>
          <w:b/>
          <w:bCs/>
          <w:sz w:val="22"/>
          <w:szCs w:val="22"/>
        </w:rPr>
        <w:t xml:space="preserve">Supplementary Information corresponding to “Learning </w:t>
      </w:r>
      <w:r>
        <w:rPr>
          <w:b/>
          <w:bCs/>
          <w:sz w:val="22"/>
          <w:szCs w:val="22"/>
          <w:lang w:val="en-GB"/>
        </w:rPr>
        <w:t>millisecond protein dynamics from what is missing in NMR spectra”</w:t>
      </w:r>
    </w:p>
    <w:p w14:paraId="54811257" w14:textId="77777777" w:rsidR="006823C0" w:rsidRPr="00853619" w:rsidRDefault="006823C0" w:rsidP="006823C0">
      <w:pPr>
        <w:rPr>
          <w:sz w:val="22"/>
          <w:szCs w:val="22"/>
          <w:vertAlign w:val="superscript"/>
        </w:rPr>
      </w:pPr>
      <w:r>
        <w:rPr>
          <w:sz w:val="22"/>
          <w:szCs w:val="22"/>
        </w:rPr>
        <w:t>Hannah K. Wayment-Steele, Gina El Nesr, Ramith Hettiarachchi, Adedolapo M. Ojoawo, Hasindu Kariyawasam, Sergey Ovchinnikov, Dorothee Kern</w:t>
      </w:r>
    </w:p>
    <w:p w14:paraId="76A968A5" w14:textId="77777777" w:rsidR="006823C0" w:rsidRPr="006823C0" w:rsidRDefault="006823C0" w:rsidP="00246383">
      <w:pPr>
        <w:spacing w:line="480" w:lineRule="auto"/>
        <w:rPr>
          <w:sz w:val="22"/>
          <w:szCs w:val="22"/>
        </w:rPr>
      </w:pPr>
    </w:p>
    <w:p w14:paraId="5C20885D" w14:textId="77777777" w:rsidR="00246383" w:rsidRPr="00FA61B0" w:rsidRDefault="00246383" w:rsidP="00246383">
      <w:pPr>
        <w:spacing w:line="480" w:lineRule="auto"/>
        <w:rPr>
          <w:sz w:val="22"/>
          <w:szCs w:val="22"/>
        </w:rPr>
      </w:pPr>
    </w:p>
    <w:p w14:paraId="671C2C61" w14:textId="03808CC9" w:rsidR="006823C0" w:rsidRPr="00FA61B0" w:rsidRDefault="00E0250D" w:rsidP="00246383">
      <w:pPr>
        <w:pStyle w:val="ListParagraph"/>
        <w:numPr>
          <w:ilvl w:val="0"/>
          <w:numId w:val="6"/>
        </w:numPr>
        <w:spacing w:line="480" w:lineRule="auto"/>
        <w:rPr>
          <w:sz w:val="22"/>
          <w:szCs w:val="22"/>
        </w:rPr>
      </w:pPr>
      <w:r>
        <w:rPr>
          <w:sz w:val="22"/>
          <w:szCs w:val="22"/>
        </w:rPr>
        <w:t xml:space="preserve">Supplementary Fig. 1: </w:t>
      </w:r>
      <w:r w:rsidR="00DF6CCD">
        <w:rPr>
          <w:sz w:val="22"/>
          <w:szCs w:val="22"/>
        </w:rPr>
        <w:t xml:space="preserve">Data corresponding to </w:t>
      </w:r>
      <w:proofErr w:type="spellStart"/>
      <w:r w:rsidR="00DF6CCD">
        <w:rPr>
          <w:sz w:val="22"/>
          <w:szCs w:val="22"/>
        </w:rPr>
        <w:t>RelaxDB</w:t>
      </w:r>
      <w:proofErr w:type="spellEnd"/>
      <w:r w:rsidR="00DF6CCD">
        <w:rPr>
          <w:sz w:val="22"/>
          <w:szCs w:val="22"/>
        </w:rPr>
        <w:t xml:space="preserve"> dataset</w:t>
      </w:r>
    </w:p>
    <w:p w14:paraId="3EDF61DA" w14:textId="71F5BADB" w:rsidR="006823C0" w:rsidRPr="00FA61B0" w:rsidRDefault="006823C0" w:rsidP="006823C0">
      <w:pPr>
        <w:pStyle w:val="ListParagraph"/>
        <w:numPr>
          <w:ilvl w:val="0"/>
          <w:numId w:val="6"/>
        </w:numPr>
        <w:spacing w:line="480" w:lineRule="auto"/>
        <w:rPr>
          <w:sz w:val="22"/>
          <w:szCs w:val="22"/>
        </w:rPr>
      </w:pPr>
      <w:r>
        <w:rPr>
          <w:sz w:val="22"/>
          <w:szCs w:val="22"/>
        </w:rPr>
        <w:t xml:space="preserve">Supplementary Fig. 2: </w:t>
      </w:r>
      <w:r w:rsidR="00E0250D">
        <w:rPr>
          <w:sz w:val="22"/>
          <w:szCs w:val="22"/>
        </w:rPr>
        <w:t>A</w:t>
      </w:r>
      <w:r>
        <w:rPr>
          <w:sz w:val="22"/>
          <w:szCs w:val="22"/>
        </w:rPr>
        <w:t>djusting logits for class imbalance</w:t>
      </w:r>
    </w:p>
    <w:p w14:paraId="1AB9AF28" w14:textId="77777777" w:rsidR="00246383" w:rsidRPr="00FA61B0" w:rsidRDefault="00246383" w:rsidP="00246383">
      <w:pPr>
        <w:pStyle w:val="ListParagraph"/>
        <w:numPr>
          <w:ilvl w:val="0"/>
          <w:numId w:val="6"/>
        </w:numPr>
        <w:spacing w:line="480" w:lineRule="auto"/>
        <w:rPr>
          <w:sz w:val="22"/>
          <w:szCs w:val="22"/>
        </w:rPr>
      </w:pPr>
      <w:r>
        <w:rPr>
          <w:sz w:val="22"/>
          <w:szCs w:val="22"/>
        </w:rPr>
        <w:t>Thorough evaluation of reported NMR relaxation data and corresponding publications increases Dyna-1 performance</w:t>
      </w:r>
    </w:p>
    <w:p w14:paraId="60814588" w14:textId="77777777" w:rsidR="00246383" w:rsidRDefault="00246383" w:rsidP="00246383">
      <w:pPr>
        <w:spacing w:line="480" w:lineRule="auto"/>
        <w:rPr>
          <w:b/>
          <w:bCs/>
          <w:sz w:val="22"/>
          <w:szCs w:val="22"/>
        </w:rPr>
      </w:pPr>
    </w:p>
    <w:p w14:paraId="5A554E7E" w14:textId="77777777" w:rsidR="00246383" w:rsidRDefault="00246383">
      <w:pPr>
        <w:spacing w:after="160" w:line="278" w:lineRule="auto"/>
        <w:rPr>
          <w:b/>
          <w:bCs/>
          <w:sz w:val="22"/>
          <w:szCs w:val="22"/>
        </w:rPr>
      </w:pPr>
      <w:r>
        <w:rPr>
          <w:b/>
          <w:bCs/>
          <w:sz w:val="22"/>
          <w:szCs w:val="22"/>
        </w:rPr>
        <w:br w:type="page"/>
      </w:r>
    </w:p>
    <w:p w14:paraId="15B11AAF" w14:textId="77777777" w:rsidR="00DF6CCD" w:rsidRPr="00DF6CCD" w:rsidRDefault="00DF6CCD" w:rsidP="00DF6CCD">
      <w:pPr>
        <w:pStyle w:val="ListParagraph"/>
        <w:numPr>
          <w:ilvl w:val="0"/>
          <w:numId w:val="7"/>
        </w:numPr>
        <w:spacing w:line="480" w:lineRule="auto"/>
        <w:rPr>
          <w:b/>
          <w:bCs/>
          <w:sz w:val="22"/>
          <w:szCs w:val="22"/>
        </w:rPr>
      </w:pPr>
      <w:r>
        <w:rPr>
          <w:b/>
          <w:bCs/>
          <w:sz w:val="22"/>
          <w:szCs w:val="22"/>
        </w:rPr>
        <w:lastRenderedPageBreak/>
        <w:t>Data corresponding to RelaxDB dataset</w:t>
      </w:r>
    </w:p>
    <w:p w14:paraId="4659560F" w14:textId="1F6B9318" w:rsidR="00E92088" w:rsidRDefault="00DF6CCD" w:rsidP="00E92088">
      <w:pPr>
        <w:spacing w:line="480" w:lineRule="auto"/>
        <w:rPr>
          <w:sz w:val="22"/>
          <w:szCs w:val="22"/>
        </w:rPr>
      </w:pPr>
      <w:r>
        <w:rPr>
          <w:sz w:val="22"/>
          <w:szCs w:val="22"/>
        </w:rPr>
        <w:t>Below we depict</w:t>
      </w:r>
      <w:r>
        <w:rPr>
          <w:sz w:val="22"/>
          <w:szCs w:val="22"/>
          <w:vertAlign w:val="superscript"/>
        </w:rPr>
        <w:t xml:space="preserve"> 15</w:t>
      </w:r>
      <w:r>
        <w:rPr>
          <w:sz w:val="22"/>
          <w:szCs w:val="22"/>
        </w:rPr>
        <w:t>N R</w:t>
      </w:r>
      <w:r>
        <w:rPr>
          <w:sz w:val="22"/>
          <w:szCs w:val="22"/>
          <w:vertAlign w:val="subscript"/>
        </w:rPr>
        <w:t>2</w:t>
      </w:r>
      <w:r>
        <w:rPr>
          <w:sz w:val="22"/>
          <w:szCs w:val="22"/>
        </w:rPr>
        <w:t>/R</w:t>
      </w:r>
      <w:r>
        <w:rPr>
          <w:sz w:val="22"/>
          <w:szCs w:val="22"/>
          <w:vertAlign w:val="subscript"/>
        </w:rPr>
        <w:t xml:space="preserve">1 </w:t>
      </w:r>
      <w:r>
        <w:rPr>
          <w:sz w:val="22"/>
          <w:szCs w:val="22"/>
        </w:rPr>
        <w:t>data and labels for all 133 proteins in RelaxDB and the 30 which were initially curated but excluded from final evaluation set for various reasons (see Methods). Calculated R</w:t>
      </w:r>
      <w:r>
        <w:rPr>
          <w:sz w:val="22"/>
          <w:szCs w:val="22"/>
          <w:vertAlign w:val="subscript"/>
        </w:rPr>
        <w:t>2</w:t>
      </w:r>
      <w:r>
        <w:rPr>
          <w:sz w:val="22"/>
          <w:szCs w:val="22"/>
        </w:rPr>
        <w:t>/ R</w:t>
      </w:r>
      <w:r>
        <w:rPr>
          <w:sz w:val="22"/>
          <w:szCs w:val="22"/>
          <w:vertAlign w:val="subscript"/>
        </w:rPr>
        <w:t xml:space="preserve">1 </w:t>
      </w:r>
      <w:r>
        <w:rPr>
          <w:sz w:val="22"/>
          <w:szCs w:val="22"/>
        </w:rPr>
        <w:t>from HYDRONMR</w:t>
      </w:r>
      <w:r w:rsidR="00E0250D" w:rsidRPr="00E0250D">
        <w:rPr>
          <w:sz w:val="22"/>
          <w:szCs w:val="22"/>
          <w:vertAlign w:val="superscript"/>
        </w:rPr>
        <w:t>5</w:t>
      </w:r>
      <w:r w:rsidR="00E0250D">
        <w:rPr>
          <w:sz w:val="22"/>
          <w:szCs w:val="22"/>
          <w:vertAlign w:val="superscript"/>
        </w:rPr>
        <w:t>1</w:t>
      </w:r>
      <w:r w:rsidR="00E0250D" w:rsidRPr="00E0250D">
        <w:rPr>
          <w:sz w:val="22"/>
          <w:szCs w:val="22"/>
          <w:vertAlign w:val="superscript"/>
        </w:rPr>
        <w:t>,5</w:t>
      </w:r>
      <w:r w:rsidR="00E0250D">
        <w:rPr>
          <w:sz w:val="22"/>
          <w:szCs w:val="22"/>
          <w:vertAlign w:val="superscript"/>
        </w:rPr>
        <w:t>2</w:t>
      </w:r>
      <w:r>
        <w:rPr>
          <w:sz w:val="22"/>
          <w:szCs w:val="22"/>
        </w:rPr>
        <w:t xml:space="preserve"> for rigid tumbling is depicted by grey line. Colors used are the same as in </w:t>
      </w:r>
      <w:r>
        <w:rPr>
          <w:bCs/>
          <w:sz w:val="22"/>
        </w:rPr>
        <w:t>Fig. 1</w:t>
      </w:r>
      <w:r>
        <w:rPr>
          <w:sz w:val="22"/>
          <w:szCs w:val="22"/>
        </w:rPr>
        <w:t xml:space="preserve">. Title for each is RelaxDB entry ID followed by normalized RMSD. </w:t>
      </w:r>
    </w:p>
    <w:p w14:paraId="6C4756E9" w14:textId="77777777" w:rsidR="00DF6CCD" w:rsidRDefault="00AA2A12" w:rsidP="00E92088">
      <w:pPr>
        <w:spacing w:line="480" w:lineRule="auto"/>
        <w:rPr>
          <w:sz w:val="22"/>
          <w:szCs w:val="22"/>
        </w:rPr>
      </w:pPr>
      <w:r>
        <w:rPr>
          <w:noProof/>
          <w:sz w:val="22"/>
          <w:szCs w:val="22"/>
        </w:rPr>
        <w:drawing>
          <wp:inline distT="0" distB="0" distL="0" distR="0" wp14:anchorId="11A3FB3B" wp14:editId="21E03395">
            <wp:extent cx="5943600" cy="5792175"/>
            <wp:effectExtent l="0" t="0" r="0" b="0"/>
            <wp:docPr id="891308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308484"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5792175"/>
                    </a:xfrm>
                    <a:prstGeom prst="rect">
                      <a:avLst/>
                    </a:prstGeom>
                  </pic:spPr>
                </pic:pic>
              </a:graphicData>
            </a:graphic>
          </wp:inline>
        </w:drawing>
      </w:r>
    </w:p>
    <w:p w14:paraId="07DE2434" w14:textId="77777777" w:rsidR="00AA2A12" w:rsidRDefault="00AA2A12">
      <w:pPr>
        <w:spacing w:after="160" w:line="278" w:lineRule="auto"/>
        <w:rPr>
          <w:sz w:val="22"/>
          <w:szCs w:val="22"/>
        </w:rPr>
      </w:pPr>
      <w:r>
        <w:rPr>
          <w:sz w:val="22"/>
          <w:szCs w:val="22"/>
        </w:rPr>
        <w:br w:type="page"/>
      </w:r>
    </w:p>
    <w:p w14:paraId="701FA698" w14:textId="77777777" w:rsidR="00AA2A12" w:rsidRDefault="00AA2A12" w:rsidP="00E92088">
      <w:pPr>
        <w:spacing w:line="480" w:lineRule="auto"/>
        <w:rPr>
          <w:sz w:val="22"/>
          <w:szCs w:val="22"/>
        </w:rPr>
      </w:pPr>
      <w:r>
        <w:rPr>
          <w:noProof/>
          <w:sz w:val="22"/>
          <w:szCs w:val="22"/>
        </w:rPr>
        <w:lastRenderedPageBreak/>
        <w:drawing>
          <wp:inline distT="0" distB="0" distL="0" distR="0" wp14:anchorId="3E201397" wp14:editId="6F9C5721">
            <wp:extent cx="5888647" cy="5747942"/>
            <wp:effectExtent l="0" t="0" r="4445" b="5715"/>
            <wp:docPr id="1779400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400029" name="Picture 1"/>
                    <pic:cNvPicPr/>
                  </pic:nvPicPr>
                  <pic:blipFill>
                    <a:blip r:embed="rId6" cstate="print">
                      <a:extLst>
                        <a:ext uri="{28A0092B-C50C-407E-A947-70E740481C1C}">
                          <a14:useLocalDpi xmlns:a14="http://schemas.microsoft.com/office/drawing/2010/main" val="0"/>
                        </a:ext>
                      </a:extLst>
                    </a:blip>
                    <a:srcRect l="81" r="81"/>
                    <a:stretch>
                      <a:fillRect/>
                    </a:stretch>
                  </pic:blipFill>
                  <pic:spPr bwMode="auto">
                    <a:xfrm>
                      <a:off x="0" y="0"/>
                      <a:ext cx="5888647" cy="5747942"/>
                    </a:xfrm>
                    <a:prstGeom prst="rect">
                      <a:avLst/>
                    </a:prstGeom>
                    <a:ln>
                      <a:noFill/>
                    </a:ln>
                    <a:extLst>
                      <a:ext uri="{53640926-AAD7-44D8-BBD7-CCE9431645EC}">
                        <a14:shadowObscured xmlns:a14="http://schemas.microsoft.com/office/drawing/2010/main"/>
                      </a:ext>
                    </a:extLst>
                  </pic:spPr>
                </pic:pic>
              </a:graphicData>
            </a:graphic>
          </wp:inline>
        </w:drawing>
      </w:r>
    </w:p>
    <w:p w14:paraId="09470EE8" w14:textId="77777777" w:rsidR="00AA2A12" w:rsidRDefault="00AA2A12">
      <w:pPr>
        <w:spacing w:after="160" w:line="278" w:lineRule="auto"/>
        <w:rPr>
          <w:sz w:val="22"/>
          <w:szCs w:val="22"/>
        </w:rPr>
      </w:pPr>
      <w:r>
        <w:rPr>
          <w:sz w:val="22"/>
          <w:szCs w:val="22"/>
        </w:rPr>
        <w:br w:type="page"/>
      </w:r>
    </w:p>
    <w:p w14:paraId="06138D29" w14:textId="77777777" w:rsidR="00AA2A12" w:rsidRPr="00853619" w:rsidRDefault="00AA2A12" w:rsidP="00E92088">
      <w:pPr>
        <w:spacing w:line="480" w:lineRule="auto"/>
        <w:rPr>
          <w:sz w:val="22"/>
          <w:szCs w:val="22"/>
        </w:rPr>
      </w:pPr>
      <w:r>
        <w:rPr>
          <w:noProof/>
          <w:sz w:val="22"/>
          <w:szCs w:val="22"/>
        </w:rPr>
        <w:lastRenderedPageBreak/>
        <mc:AlternateContent>
          <mc:Choice Requires="wps">
            <w:drawing>
              <wp:anchor distT="0" distB="0" distL="114300" distR="114300" simplePos="0" relativeHeight="251659264" behindDoc="0" locked="0" layoutInCell="1" allowOverlap="1" wp14:anchorId="4C2DBDC2" wp14:editId="735D0E3B">
                <wp:simplePos x="0" y="0"/>
                <wp:positionH relativeFrom="column">
                  <wp:posOffset>150471</wp:posOffset>
                </wp:positionH>
                <wp:positionV relativeFrom="paragraph">
                  <wp:posOffset>1701479</wp:posOffset>
                </wp:positionV>
                <wp:extent cx="914400" cy="230038"/>
                <wp:effectExtent l="0" t="0" r="18415" b="11430"/>
                <wp:wrapNone/>
                <wp:docPr id="1248449358" name="Text Box 1"/>
                <wp:cNvGraphicFramePr/>
                <a:graphic xmlns:a="http://schemas.openxmlformats.org/drawingml/2006/main">
                  <a:graphicData uri="http://schemas.microsoft.com/office/word/2010/wordprocessingShape">
                    <wps:wsp>
                      <wps:cNvSpPr txBox="1"/>
                      <wps:spPr>
                        <a:xfrm>
                          <a:off x="0" y="0"/>
                          <a:ext cx="914400" cy="230038"/>
                        </a:xfrm>
                        <a:prstGeom prst="rect">
                          <a:avLst/>
                        </a:prstGeom>
                        <a:solidFill>
                          <a:schemeClr val="lt1"/>
                        </a:solidFill>
                        <a:ln w="6350">
                          <a:solidFill>
                            <a:prstClr val="black"/>
                          </a:solidFill>
                        </a:ln>
                      </wps:spPr>
                      <wps:txbx>
                        <w:txbxContent>
                          <w:p w14:paraId="28DE4880" w14:textId="77777777" w:rsidR="00AA2A12" w:rsidRPr="00041078" w:rsidRDefault="00AA2A12" w:rsidP="00AA2A12">
                            <w:pPr>
                              <w:rPr>
                                <w:sz w:val="20"/>
                                <w:szCs w:val="20"/>
                              </w:rPr>
                            </w:pPr>
                            <w:r>
                              <w:rPr>
                                <w:sz w:val="20"/>
                                <w:szCs w:val="20"/>
                              </w:rPr>
                              <w:t>Initially curated, but excluded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C2DBDC2" id="_x0000_t202" coordsize="21600,21600" o:spt="202" path="m,l,21600r21600,l21600,xe">
                <v:stroke joinstyle="miter"/>
                <v:path gradientshapeok="t" o:connecttype="rect"/>
              </v:shapetype>
              <v:shape id="Text Box 1" o:spid="_x0000_s1026" type="#_x0000_t202" style="position:absolute;margin-left:11.85pt;margin-top:133.95pt;width:1in;height:18.1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ZJbXBMwIAAHkEAAAOAAAAZHJzL2Uyb0RvYy54bWysVE1v2zAMvQ/YfxB0X+x8tOuMOEWWIsOA oC2QDj3LshQbk0VBUmJnv36U7Hy022nYRaZE6ol8fPT8vmsUOQjratA5HY9SSoTmUNZ6l9MfL+tP d5Q4z3TJFGiR06Nw9H7x8cO8NZmYQAWqFJYgiHZZa3JaeW+yJHG8Eg1zIzBCo1OCbZjHrd0lpWUt ojcqmaTpbdKCLY0FLpzD04feSRcRX0rB/ZOUTniicoq5+bjauBZhTRZzlu0sM1XNhzTYP2TRsFrj o2eoB+YZ2dv6D6im5hYcSD/i0CQgZc1FrAGrGafvqtlWzIhYC5LjzJkm9/9g+eNha54t8d1X6LCB gZDWuMzhYaink7YJX8yUoB8pPJ5pE50nHA+/jGezFD0cXZNpmk7vAkpyuWys898ENCQYObXYlUgW O2yc70NPIeEtB6ou17VScROUIFbKkgPDHiofU0TwN1FKkzant9ObNAK/8QXo8/1CMf5zSO8qCvGU xpwvpQfLd0U38FFAeUSaLPQKcoava8TdMOefmUXJYP04Bv4JF6kAk4HBoqQC++tv5yEeO4leSlqU YE41zggl6rvGDkdWUbFxM7v5PMEX7LWnuPbofbMC5GeM42Z4NEO8VydTWmhecVaW4U10Mc3x5Zz6 k7ny/VjgrHGxXMYg1KhhfqO3hgfo0I/A5kv3yqwZuulRBo9wkirL3jW1jw03NSz3HmQdOx7o7Tkd WEd9R80MsxgG6Hofoy5/jMVvAAAA//8DAFBLAwQUAAYACAAAACEAxWTtSeIAAAAPAQAADwAAAGRy cy9kb3ducmV2LnhtbExPS0/DMAy+I/EfIiNxY+lW1o6u6YQGnJAmNpDgmDbuQzRO1WRb+fd4J7jY sv35e+SbyfbihKPvHCmYzyIQSJUzHTUKPt5f7lYgfNBkdO8IFfygh01xfZXrzLgz7fF0CI1gEvKZ VtCGMGRS+qpFq/3MDUh8q91odeBxbKQZ9ZnJbS8XUZRIqztihVYPuG2x+j4crYLdNnHLuJxW9fPb q9s3dSy/lp9K3d5MT2suj2sQAafw9wGXDOwfCjZWuiMZL3oFizhlJPckfQBxASQpb0oFcXQ/B1nk 8n+O4hcAAP//AwBQSwECLQAUAAYACAAAACEAtoM4kv4AAADhAQAAEwAAAAAAAAAAAAAAAAAAAAAA W0NvbnRlbnRfVHlwZXNdLnhtbFBLAQItABQABgAIAAAAIQA4/SH/1gAAAJQBAAALAAAAAAAAAAAA AAAAAC8BAABfcmVscy8ucmVsc1BLAQItABQABgAIAAAAIQAZJbXBMwIAAHkEAAAOAAAAAAAAAAAA AAAAAC4CAABkcnMvZTJvRG9jLnhtbFBLAQItABQABgAIAAAAIQDFZO1J4gAAAA8BAAAPAAAAAAAA AAAAAAAAAI0EAABkcnMvZG93bnJldi54bWxQSwUGAAAAAAQABADzAAAAnAUAAAAA " fillcolor="white [3201]" strokeweight=".5pt">
                <v:textbox>
                  <w:txbxContent>
                    <w:p w14:paraId="0CBCB0C6" w14:textId="77777777" w:rsidR="00AA2A12" w:rsidRPr="00041078" w:rsidRDefault="00AA2A12" w:rsidP="00AA2A12">
                      <w:pPr>
                        <w:rPr>
                          <w:sz w:val="20"/>
                          <w:szCs w:val="20"/>
                        </w:rPr>
                      </w:pPr>
                      <w:r>
                        <w:rPr>
                          <w:sz w:val="20"/>
                          <w:szCs w:val="20"/>
                        </w:rPr>
                        <w:t>Initially curated, but excluded</w:t>
                      </w:r>
                    </w:p>
                  </w:txbxContent>
                </v:textbox>
              </v:shape>
            </w:pict>
          </mc:Fallback>
        </mc:AlternateContent>
      </w:r>
      <w:r>
        <w:rPr>
          <w:noProof/>
          <w:sz w:val="22"/>
          <w:szCs w:val="22"/>
        </w:rPr>
        <w:drawing>
          <wp:inline distT="0" distB="0" distL="0" distR="0" wp14:anchorId="4CE5F6E9" wp14:editId="23C0433D">
            <wp:extent cx="5943600" cy="4718961"/>
            <wp:effectExtent l="0" t="0" r="0" b="5715"/>
            <wp:docPr id="914639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639569" name="Picture 1"/>
                    <pic:cNvPicPr/>
                  </pic:nvPicPr>
                  <pic:blipFill rotWithShape="1">
                    <a:blip r:embed="rId7" cstate="print">
                      <a:extLst>
                        <a:ext uri="{28A0092B-C50C-407E-A947-70E740481C1C}">
                          <a14:useLocalDpi xmlns:a14="http://schemas.microsoft.com/office/drawing/2010/main" val="0"/>
                        </a:ext>
                      </a:extLst>
                    </a:blip>
                    <a:srcRect t="475" b="18047"/>
                    <a:stretch/>
                  </pic:blipFill>
                  <pic:spPr bwMode="auto">
                    <a:xfrm>
                      <a:off x="0" y="0"/>
                      <a:ext cx="5943600" cy="4718961"/>
                    </a:xfrm>
                    <a:prstGeom prst="rect">
                      <a:avLst/>
                    </a:prstGeom>
                    <a:ln>
                      <a:noFill/>
                    </a:ln>
                    <a:extLst>
                      <a:ext uri="{53640926-AAD7-44D8-BBD7-CCE9431645EC}">
                        <a14:shadowObscured xmlns:a14="http://schemas.microsoft.com/office/drawing/2010/main"/>
                      </a:ext>
                    </a:extLst>
                  </pic:spPr>
                </pic:pic>
              </a:graphicData>
            </a:graphic>
          </wp:inline>
        </w:drawing>
      </w:r>
    </w:p>
    <w:p w14:paraId="371B1E2F" w14:textId="666B83BF" w:rsidR="00C2154D" w:rsidRDefault="00AA2A12" w:rsidP="00C2154D">
      <w:pPr>
        <w:spacing w:line="480" w:lineRule="auto"/>
        <w:rPr>
          <w:b/>
          <w:bCs/>
          <w:sz w:val="22"/>
          <w:szCs w:val="22"/>
        </w:rPr>
      </w:pPr>
      <w:r>
        <w:rPr>
          <w:b/>
          <w:bCs/>
          <w:sz w:val="22"/>
          <w:szCs w:val="22"/>
        </w:rPr>
        <w:t xml:space="preserve">Supplementary Fig. 1. </w:t>
      </w:r>
      <w:r>
        <w:rPr>
          <w:sz w:val="22"/>
          <w:szCs w:val="22"/>
        </w:rPr>
        <w:t>Calculated R</w:t>
      </w:r>
      <w:r>
        <w:rPr>
          <w:sz w:val="22"/>
          <w:szCs w:val="22"/>
          <w:vertAlign w:val="subscript"/>
        </w:rPr>
        <w:t>2</w:t>
      </w:r>
      <w:r>
        <w:rPr>
          <w:sz w:val="22"/>
          <w:szCs w:val="22"/>
        </w:rPr>
        <w:t>/ R</w:t>
      </w:r>
      <w:r>
        <w:rPr>
          <w:sz w:val="22"/>
          <w:szCs w:val="22"/>
          <w:vertAlign w:val="subscript"/>
        </w:rPr>
        <w:t xml:space="preserve">1 </w:t>
      </w:r>
      <w:r>
        <w:rPr>
          <w:sz w:val="22"/>
          <w:szCs w:val="22"/>
        </w:rPr>
        <w:t>from HYDRONM</w:t>
      </w:r>
      <w:r w:rsidR="00E0250D">
        <w:rPr>
          <w:sz w:val="22"/>
          <w:szCs w:val="22"/>
        </w:rPr>
        <w:t>R</w:t>
      </w:r>
      <w:r w:rsidR="00E0250D" w:rsidRPr="00E0250D">
        <w:rPr>
          <w:sz w:val="22"/>
          <w:szCs w:val="22"/>
          <w:vertAlign w:val="superscript"/>
        </w:rPr>
        <w:t>51,52</w:t>
      </w:r>
      <w:r>
        <w:rPr>
          <w:sz w:val="22"/>
          <w:szCs w:val="22"/>
        </w:rPr>
        <w:t xml:space="preserve"> for rigid tumbling is depicted by grey line. Colors used are the same as in </w:t>
      </w:r>
      <w:r>
        <w:rPr>
          <w:bCs/>
          <w:sz w:val="22"/>
        </w:rPr>
        <w:t>Fig. 1</w:t>
      </w:r>
      <w:r>
        <w:rPr>
          <w:sz w:val="22"/>
          <w:szCs w:val="22"/>
        </w:rPr>
        <w:t>. Title for each is RelaxDB entry ID followed by normalized RMSD.</w:t>
      </w:r>
    </w:p>
    <w:p w14:paraId="2661C512" w14:textId="77777777" w:rsidR="00CC4760" w:rsidRDefault="00CC4760" w:rsidP="00CC4760">
      <w:pPr>
        <w:spacing w:line="480" w:lineRule="auto"/>
        <w:rPr>
          <w:sz w:val="22"/>
          <w:szCs w:val="22"/>
        </w:rPr>
      </w:pPr>
    </w:p>
    <w:p w14:paraId="0FD20EC5" w14:textId="77777777" w:rsidR="00AA2A12" w:rsidRPr="00853619" w:rsidRDefault="00AA2A12" w:rsidP="00CC4760">
      <w:pPr>
        <w:spacing w:line="480" w:lineRule="auto"/>
        <w:rPr>
          <w:sz w:val="22"/>
          <w:szCs w:val="22"/>
        </w:rPr>
      </w:pPr>
    </w:p>
    <w:p w14:paraId="088D5D22" w14:textId="77777777" w:rsidR="00246383" w:rsidRDefault="00246383">
      <w:pPr>
        <w:spacing w:after="160" w:line="278" w:lineRule="auto"/>
        <w:rPr>
          <w:b/>
          <w:bCs/>
          <w:sz w:val="22"/>
          <w:szCs w:val="22"/>
        </w:rPr>
      </w:pPr>
      <w:r>
        <w:rPr>
          <w:b/>
          <w:bCs/>
          <w:sz w:val="22"/>
          <w:szCs w:val="22"/>
        </w:rPr>
        <w:br w:type="page"/>
      </w:r>
    </w:p>
    <w:p w14:paraId="323A925B" w14:textId="77777777" w:rsidR="00CC4760" w:rsidRPr="00DF6CCD" w:rsidRDefault="00CC4760" w:rsidP="00DF6CCD">
      <w:pPr>
        <w:pStyle w:val="ListParagraph"/>
        <w:numPr>
          <w:ilvl w:val="0"/>
          <w:numId w:val="7"/>
        </w:numPr>
        <w:spacing w:line="480" w:lineRule="auto"/>
        <w:rPr>
          <w:sz w:val="22"/>
          <w:szCs w:val="22"/>
        </w:rPr>
      </w:pPr>
      <w:r>
        <w:rPr>
          <w:b/>
          <w:bCs/>
          <w:sz w:val="22"/>
          <w:szCs w:val="22"/>
        </w:rPr>
        <w:lastRenderedPageBreak/>
        <w:t>Adjusting logits to account for class imbalance.</w:t>
      </w:r>
      <w:r>
        <w:rPr>
          <w:sz w:val="22"/>
          <w:szCs w:val="22"/>
        </w:rPr>
        <w:t xml:space="preserve"> </w:t>
      </w:r>
    </w:p>
    <w:p w14:paraId="0C0D7EF5" w14:textId="77777777" w:rsidR="00CC4760" w:rsidRPr="00853619" w:rsidRDefault="00CC4760" w:rsidP="00CC4760">
      <w:pPr>
        <w:spacing w:line="480" w:lineRule="auto"/>
        <w:rPr>
          <w:sz w:val="22"/>
          <w:szCs w:val="22"/>
        </w:rPr>
      </w:pPr>
      <w:r>
        <w:rPr>
          <w:sz w:val="22"/>
          <w:szCs w:val="22"/>
        </w:rPr>
        <w:t xml:space="preserve">When converting from logits to probabilities, we adjusted the raw logit outputs predicted by the model to account for the significant class imbalance in the problem following the practice in ref. </w:t>
      </w:r>
      <w:r>
        <w:rPr>
          <w:sz w:val="22"/>
          <w:szCs w:val="22"/>
        </w:rPr>
        <w:fldChar w:fldCharType="begin"/>
      </w:r>
      <w:r>
        <w:rPr>
          <w:sz w:val="22"/>
          <w:szCs w:val="22"/>
        </w:rPr>
        <w:instrText xml:space="preserve"> ADDIN EN.CITE &lt;EndNote&gt;&lt;Cite&gt;&lt;Author&gt;Menon&lt;/Author&gt;&lt;Year&gt;2020&lt;/Year&gt;&lt;RecNum&gt;74&lt;/RecNum&gt;&lt;DisplayText&gt;&lt;style face="superscript"&gt;7&lt;/style&gt;&lt;/DisplayText&gt;&lt;record&gt;&lt;rec-number&gt;74&lt;/rec-number&gt;&lt;foreign-keys&gt;&lt;key app="EN" db-id="dzvtpvtr3wsazdesz2o5pa59xdpa2a2fea9a" timestamp="1737993651"&gt;74&lt;/key&gt;&lt;/foreign-keys&gt;&lt;ref-type name="Journal Article"&gt;17&lt;/ref-type&gt;&lt;contributors&gt;&lt;authors&gt;&lt;author&gt;Menon, Aditya Krishna&lt;/author&gt;&lt;author&gt;Jayasumana, Sadeep&lt;/author&gt;&lt;author&gt;Rawat, Ankit Singh&lt;/author&gt;&lt;author&gt;Jain, Himanshu&lt;/author&gt;&lt;author&gt;Veit, Andreas&lt;/author&gt;&lt;author&gt;Kumar, Sanjiv&lt;/author&gt;&lt;/authors&gt;&lt;/contributors&gt;&lt;titles&gt;&lt;title&gt;Long-tail learning via logit adjustment&lt;/title&gt;&lt;secondary-title&gt;arXiv preprint arXiv:2007.07314&lt;/secondary-title&gt;&lt;/titles&gt;&lt;periodical&gt;&lt;full-title&gt;arXiv preprint arXiv:2007.07314&lt;/full-title&gt;&lt;/periodical&gt;&lt;dates&gt;&lt;year&gt;2020&lt;/year&gt;&lt;/dates&gt;&lt;urls&gt;&lt;/urls&gt;&lt;/record&gt;&lt;/Cite&gt;&lt;/EndNote&gt;</w:instrText>
      </w:r>
      <w:r>
        <w:rPr>
          <w:sz w:val="22"/>
          <w:szCs w:val="22"/>
        </w:rPr>
        <w:fldChar w:fldCharType="separate"/>
      </w:r>
      <w:r>
        <w:rPr>
          <w:noProof/>
          <w:sz w:val="22"/>
          <w:szCs w:val="22"/>
          <w:vertAlign w:val="superscript"/>
        </w:rPr>
        <w:t>81</w:t>
      </w:r>
      <w:r>
        <w:rPr>
          <w:sz w:val="22"/>
          <w:szCs w:val="22"/>
        </w:rPr>
        <w:fldChar w:fldCharType="end"/>
      </w:r>
      <w:r>
        <w:rPr>
          <w:sz w:val="22"/>
          <w:szCs w:val="22"/>
        </w:rPr>
        <w:t xml:space="preserve"> (cf. </w:t>
      </w:r>
      <w:r>
        <w:rPr>
          <w:b/>
          <w:bCs/>
          <w:sz w:val="22"/>
          <w:szCs w:val="22"/>
        </w:rPr>
        <w:t>Supplementary Fig. 2</w:t>
      </w:r>
      <w:r>
        <w:rPr>
          <w:sz w:val="22"/>
          <w:szCs w:val="22"/>
        </w:rPr>
        <w:t xml:space="preserve">). This practice seeks probabilities that minimizes the “balanced error”, the prediction error averaged over all classes. In brief, for data </w:t>
      </w:r>
      <w:r>
        <w:rPr>
          <w:i/>
          <w:iCs/>
          <w:sz w:val="22"/>
          <w:szCs w:val="22"/>
        </w:rPr>
        <w:t>x</w:t>
      </w:r>
      <w:r>
        <w:rPr>
          <w:sz w:val="22"/>
          <w:szCs w:val="22"/>
        </w:rPr>
        <w:t xml:space="preserve"> labelled with classes </w:t>
      </w:r>
      <w:r>
        <w:rPr>
          <w:i/>
          <w:iCs/>
          <w:sz w:val="22"/>
          <w:szCs w:val="22"/>
        </w:rPr>
        <w:t>y</w:t>
      </w:r>
      <w:r>
        <w:rPr>
          <w:sz w:val="22"/>
          <w:szCs w:val="22"/>
        </w:rPr>
        <w:t xml:space="preserve">, the native posterior probability </w:t>
      </w:r>
      <w:r>
        <w:rPr>
          <w:i/>
          <w:iCs/>
          <w:sz w:val="22"/>
          <w:szCs w:val="22"/>
        </w:rPr>
        <w:t>P(y | x)</w:t>
      </w:r>
      <w:r>
        <w:rPr>
          <w:sz w:val="22"/>
          <w:szCs w:val="22"/>
        </w:rPr>
        <w:t xml:space="preserve"> is proportional to the prior probability of class y, </w:t>
      </w:r>
      <m:oMath>
        <m:r>
          <w:rPr>
            <w:rFonts w:ascii="Cambria Math" w:hAnsi="Cambria Math"/>
            <w:sz w:val="22"/>
            <w:szCs w:val="22"/>
          </w:rPr>
          <m:t>π</m:t>
        </m:r>
        <m:d>
          <m:dPr>
            <m:ctrlPr>
              <w:rPr>
                <w:rFonts w:ascii="Cambria Math" w:hAnsi="Cambria Math"/>
                <w:i/>
                <w:sz w:val="22"/>
                <w:szCs w:val="22"/>
              </w:rPr>
            </m:ctrlPr>
          </m:dPr>
          <m:e>
            <m:r>
              <w:rPr>
                <w:rFonts w:ascii="Cambria Math" w:hAnsi="Cambria Math"/>
                <w:sz w:val="22"/>
                <w:szCs w:val="22"/>
              </w:rPr>
              <m:t>y</m:t>
            </m:r>
          </m:e>
        </m:d>
      </m:oMath>
      <w:r>
        <w:rPr>
          <w:sz w:val="22"/>
          <w:szCs w:val="22"/>
        </w:rPr>
        <w:t xml:space="preserve">: </w:t>
      </w:r>
    </w:p>
    <w:p w14:paraId="7CCC44EF" w14:textId="77777777" w:rsidR="00CC4760" w:rsidRPr="00853619" w:rsidRDefault="00CC4760" w:rsidP="00CC4760">
      <w:pPr>
        <w:spacing w:line="480" w:lineRule="auto"/>
        <w:jc w:val="center"/>
        <w:rPr>
          <w:sz w:val="22"/>
          <w:szCs w:val="22"/>
        </w:rPr>
      </w:pPr>
      <m:oMath>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y</m:t>
            </m:r>
          </m:e>
          <m:e>
            <m:r>
              <w:rPr>
                <w:rFonts w:ascii="Cambria Math" w:hAnsi="Cambria Math"/>
                <w:sz w:val="22"/>
                <w:szCs w:val="22"/>
              </w:rPr>
              <m:t>x</m:t>
            </m:r>
          </m:e>
        </m:d>
        <m:r>
          <w:rPr>
            <w:rFonts w:ascii="Cambria Math" w:hAnsi="Cambria Math"/>
            <w:sz w:val="22"/>
            <w:szCs w:val="22"/>
          </w:rPr>
          <m:t>∝π</m:t>
        </m:r>
        <m:d>
          <m:dPr>
            <m:ctrlPr>
              <w:rPr>
                <w:rFonts w:ascii="Cambria Math" w:hAnsi="Cambria Math"/>
                <w:i/>
                <w:sz w:val="22"/>
                <w:szCs w:val="22"/>
              </w:rPr>
            </m:ctrlPr>
          </m:dPr>
          <m:e>
            <m:r>
              <w:rPr>
                <w:rFonts w:ascii="Cambria Math" w:hAnsi="Cambria Math"/>
                <w:sz w:val="22"/>
                <w:szCs w:val="22"/>
              </w:rPr>
              <m:t>y</m:t>
            </m:r>
          </m:e>
        </m:d>
        <m:r>
          <w:rPr>
            <w:rFonts w:ascii="Cambria Math" w:hAnsi="Cambria Math"/>
            <w:sz w:val="22"/>
            <w:szCs w:val="22"/>
          </w:rPr>
          <m:t>P(x|y)</m:t>
        </m:r>
      </m:oMath>
      <w:r>
        <w:rPr>
          <w:rFonts w:eastAsiaTheme="minorEastAsia"/>
          <w:sz w:val="22"/>
          <w:szCs w:val="22"/>
        </w:rPr>
        <w:t>.</w:t>
      </w:r>
    </w:p>
    <w:p w14:paraId="437D6D0D" w14:textId="77777777" w:rsidR="00CC4760" w:rsidRPr="00853619" w:rsidRDefault="00CC4760" w:rsidP="00CC4760">
      <w:pPr>
        <w:spacing w:line="480" w:lineRule="auto"/>
        <w:rPr>
          <w:sz w:val="22"/>
          <w:szCs w:val="22"/>
        </w:rPr>
      </w:pPr>
    </w:p>
    <w:p w14:paraId="3DCD58AD" w14:textId="77777777" w:rsidR="00CC4760" w:rsidRPr="00853619" w:rsidRDefault="00CC4760" w:rsidP="00CC4760">
      <w:pPr>
        <w:spacing w:line="480" w:lineRule="auto"/>
        <w:rPr>
          <w:sz w:val="22"/>
          <w:szCs w:val="22"/>
        </w:rPr>
      </w:pPr>
      <w:r>
        <w:rPr>
          <w:sz w:val="22"/>
          <w:szCs w:val="22"/>
        </w:rPr>
        <w:t>In seeking to minimize the balanced error, the balanced class-probability function instead implicitly becomes</w:t>
      </w:r>
    </w:p>
    <w:p w14:paraId="09CFAD3B" w14:textId="77777777" w:rsidR="00CC4760" w:rsidRPr="00853619" w:rsidRDefault="00000000" w:rsidP="00CC4760">
      <w:pPr>
        <w:spacing w:line="480" w:lineRule="auto"/>
        <w:jc w:val="center"/>
        <w:rPr>
          <w:rFonts w:eastAsiaTheme="minorEastAsia"/>
          <w:sz w:val="22"/>
          <w:szCs w:val="22"/>
        </w:rPr>
      </w:pPr>
      <m:oMath>
        <m:sSup>
          <m:sSupPr>
            <m:ctrlPr>
              <w:rPr>
                <w:rFonts w:ascii="Cambria Math" w:hAnsi="Cambria Math"/>
                <w:i/>
                <w:sz w:val="22"/>
                <w:szCs w:val="22"/>
              </w:rPr>
            </m:ctrlPr>
          </m:sSupPr>
          <m:e>
            <m:r>
              <w:rPr>
                <w:rFonts w:ascii="Cambria Math" w:hAnsi="Cambria Math"/>
                <w:sz w:val="22"/>
                <w:szCs w:val="22"/>
              </w:rPr>
              <m:t>P</m:t>
            </m:r>
          </m:e>
          <m:sup>
            <m:r>
              <w:rPr>
                <w:rFonts w:ascii="Cambria Math" w:hAnsi="Cambria Math"/>
                <w:sz w:val="22"/>
                <w:szCs w:val="22"/>
              </w:rPr>
              <m:t>bal</m:t>
            </m:r>
          </m:sup>
        </m:sSup>
        <m:d>
          <m:dPr>
            <m:ctrlPr>
              <w:rPr>
                <w:rFonts w:ascii="Cambria Math" w:hAnsi="Cambria Math"/>
                <w:i/>
                <w:sz w:val="22"/>
                <w:szCs w:val="22"/>
              </w:rPr>
            </m:ctrlPr>
          </m:dPr>
          <m:e>
            <m:r>
              <w:rPr>
                <w:rFonts w:ascii="Cambria Math" w:hAnsi="Cambria Math"/>
                <w:sz w:val="22"/>
                <w:szCs w:val="22"/>
              </w:rPr>
              <m:t>y</m:t>
            </m:r>
          </m:e>
          <m:e>
            <m:r>
              <w:rPr>
                <w:rFonts w:ascii="Cambria Math" w:hAnsi="Cambria Math"/>
                <w:sz w:val="22"/>
                <w:szCs w:val="22"/>
              </w:rPr>
              <m:t>x</m:t>
            </m:r>
          </m:e>
        </m:d>
        <m:r>
          <w:rPr>
            <w:rFonts w:ascii="Cambria Math" w:hAnsi="Cambria Math"/>
            <w:sz w:val="22"/>
            <w:szCs w:val="22"/>
          </w:rPr>
          <m:t>∝P(x|y)</m:t>
        </m:r>
      </m:oMath>
      <w:r>
        <w:rPr>
          <w:rFonts w:eastAsiaTheme="minorEastAsia"/>
          <w:sz w:val="22"/>
          <w:szCs w:val="22"/>
        </w:rPr>
        <w:t>,</w:t>
      </w:r>
    </w:p>
    <w:p w14:paraId="7F3575BD" w14:textId="77777777" w:rsidR="00CC4760" w:rsidRPr="00853619" w:rsidRDefault="00CC4760" w:rsidP="00CC4760">
      <w:pPr>
        <w:spacing w:line="480" w:lineRule="auto"/>
        <w:rPr>
          <w:sz w:val="22"/>
          <w:szCs w:val="22"/>
        </w:rPr>
      </w:pPr>
      <w:r>
        <w:rPr>
          <w:rFonts w:eastAsiaTheme="minorEastAsia"/>
          <w:sz w:val="22"/>
          <w:szCs w:val="22"/>
        </w:rPr>
        <w:t xml:space="preserve">where </w:t>
      </w:r>
      <w:r>
        <w:rPr>
          <w:rFonts w:eastAsiaTheme="minorEastAsia"/>
          <w:i/>
          <w:iCs/>
          <w:sz w:val="22"/>
          <w:szCs w:val="22"/>
        </w:rPr>
        <w:t xml:space="preserve">L </w:t>
      </w:r>
      <w:r>
        <w:rPr>
          <w:rFonts w:eastAsiaTheme="minorEastAsia"/>
          <w:sz w:val="22"/>
          <w:szCs w:val="22"/>
        </w:rPr>
        <w:t>is the number of classes (L=2 in our binary classification context).</w:t>
      </w:r>
    </w:p>
    <w:p w14:paraId="40F2D489" w14:textId="77777777" w:rsidR="00CC4760" w:rsidRPr="00853619" w:rsidRDefault="00CC4760" w:rsidP="00CC4760">
      <w:pPr>
        <w:spacing w:line="480" w:lineRule="auto"/>
        <w:rPr>
          <w:sz w:val="22"/>
          <w:szCs w:val="22"/>
        </w:rPr>
      </w:pPr>
    </w:p>
    <w:p w14:paraId="3ED075CB" w14:textId="77777777" w:rsidR="00CC4760" w:rsidRPr="00853619" w:rsidRDefault="00CC4760" w:rsidP="00CC4760">
      <w:pPr>
        <w:spacing w:line="480" w:lineRule="auto"/>
        <w:rPr>
          <w:rFonts w:eastAsiaTheme="minorEastAsia"/>
          <w:sz w:val="22"/>
          <w:szCs w:val="22"/>
        </w:rPr>
      </w:pPr>
      <w:r>
        <w:rPr>
          <w:sz w:val="22"/>
          <w:szCs w:val="22"/>
        </w:rPr>
        <w:t xml:space="preserve">Menon et al. describe how </w:t>
      </w:r>
      <m:oMath>
        <m:sSup>
          <m:sSupPr>
            <m:ctrlPr>
              <w:rPr>
                <w:rFonts w:ascii="Cambria Math" w:hAnsi="Cambria Math"/>
                <w:i/>
                <w:sz w:val="22"/>
                <w:szCs w:val="22"/>
              </w:rPr>
            </m:ctrlPr>
          </m:sSupPr>
          <m:e>
            <m:r>
              <w:rPr>
                <w:rFonts w:ascii="Cambria Math" w:hAnsi="Cambria Math"/>
                <w:sz w:val="22"/>
                <w:szCs w:val="22"/>
              </w:rPr>
              <m:t>P</m:t>
            </m:r>
          </m:e>
          <m:sup>
            <m:r>
              <w:rPr>
                <w:rFonts w:ascii="Cambria Math" w:hAnsi="Cambria Math"/>
                <w:sz w:val="22"/>
                <w:szCs w:val="22"/>
              </w:rPr>
              <m:t>bal</m:t>
            </m:r>
          </m:sup>
        </m:sSup>
        <m:d>
          <m:dPr>
            <m:ctrlPr>
              <w:rPr>
                <w:rFonts w:ascii="Cambria Math" w:hAnsi="Cambria Math"/>
                <w:i/>
                <w:sz w:val="22"/>
                <w:szCs w:val="22"/>
              </w:rPr>
            </m:ctrlPr>
          </m:dPr>
          <m:e>
            <m:r>
              <w:rPr>
                <w:rFonts w:ascii="Cambria Math" w:hAnsi="Cambria Math"/>
                <w:sz w:val="22"/>
                <w:szCs w:val="22"/>
              </w:rPr>
              <m:t>y</m:t>
            </m:r>
          </m:e>
          <m:e>
            <m:r>
              <w:rPr>
                <w:rFonts w:ascii="Cambria Math" w:hAnsi="Cambria Math"/>
                <w:sz w:val="22"/>
                <w:szCs w:val="22"/>
              </w:rPr>
              <m:t>x</m:t>
            </m:r>
          </m:e>
        </m:d>
      </m:oMath>
      <w:r>
        <w:rPr>
          <w:rFonts w:eastAsiaTheme="minorEastAsia"/>
          <w:sz w:val="22"/>
          <w:szCs w:val="22"/>
        </w:rPr>
        <w:t xml:space="preserve"> is </w:t>
      </w:r>
      <w:r>
        <w:rPr>
          <w:sz w:val="22"/>
          <w:szCs w:val="22"/>
        </w:rPr>
        <w:t xml:space="preserve">a Bayes-optimal scorer for minimizing the balanced error. </w:t>
      </w:r>
      <w:r>
        <w:rPr>
          <w:rFonts w:eastAsiaTheme="minorEastAsia"/>
          <w:sz w:val="22"/>
          <w:szCs w:val="22"/>
        </w:rPr>
        <w:t>For a Bayes-optimal scorer, the accuracy of any given class is not proportional to its degree of representation in the training data, which is desirable in our context.</w:t>
      </w:r>
    </w:p>
    <w:p w14:paraId="5E43C768" w14:textId="77777777" w:rsidR="00CC4760" w:rsidRPr="00853619" w:rsidRDefault="00CC4760" w:rsidP="00CC4760">
      <w:pPr>
        <w:spacing w:line="480" w:lineRule="auto"/>
        <w:rPr>
          <w:rFonts w:eastAsiaTheme="minorEastAsia"/>
          <w:sz w:val="22"/>
          <w:szCs w:val="22"/>
        </w:rPr>
      </w:pPr>
    </w:p>
    <w:p w14:paraId="6945D8BD" w14:textId="77777777" w:rsidR="00CC4760" w:rsidRPr="00853619" w:rsidRDefault="00CC4760" w:rsidP="00CC4760">
      <w:pPr>
        <w:spacing w:line="480" w:lineRule="auto"/>
        <w:rPr>
          <w:rFonts w:eastAsiaTheme="minorEastAsia"/>
          <w:sz w:val="22"/>
          <w:szCs w:val="22"/>
        </w:rPr>
      </w:pPr>
      <w:r>
        <w:rPr>
          <w:rFonts w:eastAsiaTheme="minorEastAsia"/>
          <w:sz w:val="22"/>
          <w:szCs w:val="22"/>
        </w:rPr>
        <w:t xml:space="preserve">Consider our model to be a scoring function </w:t>
      </w:r>
      <m:oMath>
        <m:acc>
          <m:accPr>
            <m:ctrlPr>
              <w:rPr>
                <w:rFonts w:ascii="Cambria Math" w:eastAsiaTheme="minorEastAsia" w:hAnsi="Cambria Math"/>
                <w:i/>
                <w:sz w:val="22"/>
                <w:szCs w:val="22"/>
              </w:rPr>
            </m:ctrlPr>
          </m:accPr>
          <m:e>
            <m:r>
              <w:rPr>
                <w:rFonts w:ascii="Cambria Math" w:eastAsiaTheme="minorEastAsia" w:hAnsi="Cambria Math"/>
                <w:sz w:val="22"/>
                <w:szCs w:val="22"/>
              </w:rPr>
              <m:t>s</m:t>
            </m:r>
          </m:e>
        </m:acc>
      </m:oMath>
      <w:r>
        <w:rPr>
          <w:rFonts w:eastAsiaTheme="minorEastAsia"/>
          <w:sz w:val="22"/>
          <w:szCs w:val="22"/>
        </w:rPr>
        <w:t xml:space="preserve">, with learned class probabilities </w:t>
      </w:r>
      <m:oMath>
        <m:acc>
          <m:accPr>
            <m:ctrlPr>
              <w:rPr>
                <w:rFonts w:ascii="Cambria Math" w:eastAsiaTheme="minorEastAsia" w:hAnsi="Cambria Math"/>
                <w:i/>
                <w:sz w:val="22"/>
                <w:szCs w:val="22"/>
              </w:rPr>
            </m:ctrlPr>
          </m:accPr>
          <m:e>
            <m:r>
              <w:rPr>
                <w:rFonts w:ascii="Cambria Math" w:eastAsiaTheme="minorEastAsia" w:hAnsi="Cambria Math"/>
                <w:sz w:val="22"/>
                <w:szCs w:val="22"/>
              </w:rPr>
              <m:t>P</m:t>
            </m:r>
          </m:e>
        </m:acc>
        <m:d>
          <m:dPr>
            <m:ctrlPr>
              <w:rPr>
                <w:rFonts w:ascii="Cambria Math" w:eastAsiaTheme="minorEastAsia" w:hAnsi="Cambria Math"/>
                <w:i/>
                <w:sz w:val="22"/>
                <w:szCs w:val="22"/>
              </w:rPr>
            </m:ctrlPr>
          </m:dPr>
          <m:e>
            <m:r>
              <w:rPr>
                <w:rFonts w:ascii="Cambria Math" w:eastAsiaTheme="minorEastAsia" w:hAnsi="Cambria Math"/>
                <w:sz w:val="22"/>
                <w:szCs w:val="22"/>
              </w:rPr>
              <m:t>y</m:t>
            </m:r>
          </m:e>
          <m:e>
            <m:r>
              <w:rPr>
                <w:rFonts w:ascii="Cambria Math" w:eastAsiaTheme="minorEastAsia" w:hAnsi="Cambria Math"/>
                <w:sz w:val="22"/>
                <w:szCs w:val="22"/>
              </w:rPr>
              <m:t>x</m:t>
            </m:r>
          </m:e>
        </m:d>
        <m:r>
          <w:rPr>
            <w:rFonts w:ascii="Cambria Math" w:eastAsiaTheme="minorEastAsia" w:hAnsi="Cambria Math"/>
            <w:sz w:val="22"/>
            <w:szCs w:val="22"/>
          </w:rPr>
          <m:t>∝</m:t>
        </m:r>
        <m:sSup>
          <m:sSupPr>
            <m:ctrlPr>
              <w:rPr>
                <w:rFonts w:ascii="Cambria Math" w:eastAsiaTheme="minorEastAsia" w:hAnsi="Cambria Math"/>
                <w:i/>
                <w:sz w:val="22"/>
                <w:szCs w:val="22"/>
              </w:rPr>
            </m:ctrlPr>
          </m:sSupPr>
          <m:e>
            <m:r>
              <w:rPr>
                <w:rFonts w:ascii="Cambria Math" w:eastAsiaTheme="minorEastAsia" w:hAnsi="Cambria Math"/>
                <w:sz w:val="22"/>
                <w:szCs w:val="22"/>
              </w:rPr>
              <m:t>e</m:t>
            </m:r>
          </m:e>
          <m:sup>
            <m:acc>
              <m:accPr>
                <m:ctrlPr>
                  <w:rPr>
                    <w:rFonts w:ascii="Cambria Math" w:eastAsiaTheme="minorEastAsia" w:hAnsi="Cambria Math"/>
                    <w:i/>
                    <w:sz w:val="22"/>
                    <w:szCs w:val="22"/>
                  </w:rPr>
                </m:ctrlPr>
              </m:accPr>
              <m:e>
                <m:r>
                  <w:rPr>
                    <w:rFonts w:ascii="Cambria Math" w:eastAsiaTheme="minorEastAsia" w:hAnsi="Cambria Math"/>
                    <w:sz w:val="22"/>
                    <w:szCs w:val="22"/>
                  </w:rPr>
                  <m:t>s</m:t>
                </m:r>
              </m:e>
            </m:acc>
            <m:r>
              <w:rPr>
                <w:rFonts w:ascii="Cambria Math" w:eastAsiaTheme="minorEastAsia" w:hAnsi="Cambria Math"/>
                <w:sz w:val="22"/>
                <w:szCs w:val="22"/>
              </w:rPr>
              <m:t>(x)</m:t>
            </m:r>
          </m:sup>
        </m:sSup>
      </m:oMath>
      <w:r>
        <w:rPr>
          <w:rFonts w:eastAsiaTheme="minorEastAsia"/>
          <w:sz w:val="22"/>
          <w:szCs w:val="22"/>
        </w:rPr>
        <w:t xml:space="preserve">. Via the definition of </w:t>
      </w:r>
      <m:oMath>
        <m:sSup>
          <m:sSupPr>
            <m:ctrlPr>
              <w:rPr>
                <w:rFonts w:ascii="Cambria Math" w:hAnsi="Cambria Math"/>
                <w:i/>
                <w:sz w:val="22"/>
                <w:szCs w:val="22"/>
              </w:rPr>
            </m:ctrlPr>
          </m:sSupPr>
          <m:e>
            <m:r>
              <w:rPr>
                <w:rFonts w:ascii="Cambria Math" w:hAnsi="Cambria Math"/>
                <w:sz w:val="22"/>
                <w:szCs w:val="22"/>
              </w:rPr>
              <m:t>P</m:t>
            </m:r>
          </m:e>
          <m:sup>
            <m:r>
              <w:rPr>
                <w:rFonts w:ascii="Cambria Math" w:hAnsi="Cambria Math"/>
                <w:sz w:val="22"/>
                <w:szCs w:val="22"/>
              </w:rPr>
              <m:t>bal</m:t>
            </m:r>
          </m:sup>
        </m:sSup>
      </m:oMath>
      <w:r>
        <w:rPr>
          <w:rFonts w:eastAsiaTheme="minorEastAsia"/>
          <w:sz w:val="22"/>
          <w:szCs w:val="22"/>
        </w:rPr>
        <w:t xml:space="preserve">, we can approximate the Bayes-optimal scorer using our given scorer by using an adjusted scorer </w:t>
      </w:r>
      <m:oMath>
        <m:r>
          <w:rPr>
            <w:rFonts w:ascii="Cambria Math" w:eastAsiaTheme="minorEastAsia" w:hAnsi="Cambria Math"/>
            <w:sz w:val="22"/>
            <w:szCs w:val="22"/>
          </w:rPr>
          <m:t>s'</m:t>
        </m:r>
      </m:oMath>
      <w:r>
        <w:rPr>
          <w:rFonts w:eastAsiaTheme="minorEastAsia"/>
          <w:sz w:val="22"/>
          <w:szCs w:val="22"/>
        </w:rPr>
        <w:t>:</w:t>
      </w:r>
    </w:p>
    <w:p w14:paraId="3798C372" w14:textId="77777777" w:rsidR="00CC4760" w:rsidRPr="00853619" w:rsidRDefault="00000000" w:rsidP="00CC4760">
      <w:pPr>
        <w:spacing w:line="480" w:lineRule="auto"/>
        <w:rPr>
          <w:rFonts w:eastAsiaTheme="minorEastAsia"/>
          <w:sz w:val="22"/>
          <w:szCs w:val="22"/>
        </w:rPr>
      </w:pPr>
      <m:oMathPara>
        <m:oMath>
          <m:sSup>
            <m:sSupPr>
              <m:ctrlPr>
                <w:rPr>
                  <w:rFonts w:ascii="Cambria Math" w:hAnsi="Cambria Math"/>
                  <w:i/>
                  <w:sz w:val="22"/>
                  <w:szCs w:val="22"/>
                </w:rPr>
              </m:ctrlPr>
            </m:sSupPr>
            <m:e>
              <m:r>
                <w:rPr>
                  <w:rFonts w:ascii="Cambria Math" w:hAnsi="Cambria Math"/>
                  <w:sz w:val="22"/>
                  <w:szCs w:val="22"/>
                </w:rPr>
                <m:t>P</m:t>
              </m:r>
            </m:e>
            <m:sup>
              <m:r>
                <w:rPr>
                  <w:rFonts w:ascii="Cambria Math" w:hAnsi="Cambria Math"/>
                  <w:sz w:val="22"/>
                  <w:szCs w:val="22"/>
                </w:rPr>
                <m:t>bal</m:t>
              </m:r>
            </m:sup>
          </m:sSup>
          <m:d>
            <m:dPr>
              <m:ctrlPr>
                <w:rPr>
                  <w:rFonts w:ascii="Cambria Math" w:hAnsi="Cambria Math"/>
                  <w:i/>
                  <w:sz w:val="22"/>
                  <w:szCs w:val="22"/>
                </w:rPr>
              </m:ctrlPr>
            </m:dPr>
            <m:e>
              <m:r>
                <w:rPr>
                  <w:rFonts w:ascii="Cambria Math" w:hAnsi="Cambria Math"/>
                  <w:sz w:val="22"/>
                  <w:szCs w:val="22"/>
                </w:rPr>
                <m:t>y</m:t>
              </m:r>
            </m:e>
            <m:e>
              <m:r>
                <w:rPr>
                  <w:rFonts w:ascii="Cambria Math" w:hAnsi="Cambria Math"/>
                  <w:sz w:val="22"/>
                  <w:szCs w:val="22"/>
                </w:rPr>
                <m:t>x</m:t>
              </m:r>
            </m:e>
          </m:d>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e</m:t>
              </m:r>
            </m:e>
            <m:sup>
              <m:sSup>
                <m:sSupPr>
                  <m:ctrlPr>
                    <w:rPr>
                      <w:rFonts w:ascii="Cambria Math" w:hAnsi="Cambria Math"/>
                      <w:i/>
                      <w:sz w:val="22"/>
                      <w:szCs w:val="22"/>
                    </w:rPr>
                  </m:ctrlPr>
                </m:sSupPr>
                <m:e>
                  <m:r>
                    <w:rPr>
                      <w:rFonts w:ascii="Cambria Math" w:hAnsi="Cambria Math"/>
                      <w:sz w:val="22"/>
                      <w:szCs w:val="22"/>
                    </w:rPr>
                    <m:t>s</m:t>
                  </m:r>
                </m:e>
                <m:sup>
                  <m:r>
                    <w:rPr>
                      <w:rFonts w:ascii="Cambria Math" w:hAnsi="Cambria Math"/>
                      <w:sz w:val="22"/>
                      <w:szCs w:val="22"/>
                    </w:rPr>
                    <m:t>'</m:t>
                  </m:r>
                </m:sup>
              </m:sSup>
              <m:d>
                <m:dPr>
                  <m:ctrlPr>
                    <w:rPr>
                      <w:rFonts w:ascii="Cambria Math" w:hAnsi="Cambria Math"/>
                      <w:i/>
                      <w:sz w:val="22"/>
                      <w:szCs w:val="22"/>
                    </w:rPr>
                  </m:ctrlPr>
                </m:dPr>
                <m:e>
                  <m:r>
                    <w:rPr>
                      <w:rFonts w:ascii="Cambria Math" w:hAnsi="Cambria Math"/>
                      <w:sz w:val="22"/>
                      <w:szCs w:val="22"/>
                    </w:rPr>
                    <m:t>x</m:t>
                  </m:r>
                </m:e>
              </m:d>
            </m:sup>
          </m:sSup>
          <m:r>
            <w:rPr>
              <w:rFonts w:ascii="Cambria Math" w:hAnsi="Cambria Math"/>
              <w:sz w:val="22"/>
              <w:szCs w:val="22"/>
            </w:rPr>
            <m:t>=</m:t>
          </m:r>
          <m:f>
            <m:fPr>
              <m:ctrlPr>
                <w:rPr>
                  <w:rFonts w:ascii="Cambria Math" w:hAnsi="Cambria Math"/>
                  <w:i/>
                  <w:sz w:val="22"/>
                  <w:szCs w:val="22"/>
                </w:rPr>
              </m:ctrlPr>
            </m:fPr>
            <m:num>
              <m:acc>
                <m:accPr>
                  <m:ctrlPr>
                    <w:rPr>
                      <w:rFonts w:ascii="Cambria Math" w:hAnsi="Cambria Math"/>
                      <w:i/>
                      <w:sz w:val="22"/>
                      <w:szCs w:val="22"/>
                    </w:rPr>
                  </m:ctrlPr>
                </m:accPr>
                <m:e>
                  <m:r>
                    <w:rPr>
                      <w:rFonts w:ascii="Cambria Math" w:hAnsi="Cambria Math"/>
                      <w:sz w:val="22"/>
                      <w:szCs w:val="22"/>
                    </w:rPr>
                    <m:t>P</m:t>
                  </m:r>
                </m:e>
              </m:acc>
              <m:d>
                <m:dPr>
                  <m:ctrlPr>
                    <w:rPr>
                      <w:rFonts w:ascii="Cambria Math" w:hAnsi="Cambria Math"/>
                      <w:i/>
                      <w:sz w:val="22"/>
                      <w:szCs w:val="22"/>
                    </w:rPr>
                  </m:ctrlPr>
                </m:dPr>
                <m:e>
                  <m:r>
                    <w:rPr>
                      <w:rFonts w:ascii="Cambria Math" w:hAnsi="Cambria Math"/>
                      <w:sz w:val="22"/>
                      <w:szCs w:val="22"/>
                    </w:rPr>
                    <m:t>y</m:t>
                  </m:r>
                </m:e>
                <m:e>
                  <m:r>
                    <w:rPr>
                      <w:rFonts w:ascii="Cambria Math" w:hAnsi="Cambria Math"/>
                      <w:sz w:val="22"/>
                      <w:szCs w:val="22"/>
                    </w:rPr>
                    <m:t>x</m:t>
                  </m:r>
                </m:e>
              </m:d>
            </m:num>
            <m:den>
              <m:r>
                <w:rPr>
                  <w:rFonts w:ascii="Cambria Math" w:hAnsi="Cambria Math"/>
                  <w:sz w:val="22"/>
                  <w:szCs w:val="22"/>
                </w:rPr>
                <m:t>π</m:t>
              </m:r>
              <m:d>
                <m:dPr>
                  <m:ctrlPr>
                    <w:rPr>
                      <w:rFonts w:ascii="Cambria Math" w:hAnsi="Cambria Math"/>
                      <w:i/>
                      <w:sz w:val="22"/>
                      <w:szCs w:val="22"/>
                    </w:rPr>
                  </m:ctrlPr>
                </m:dPr>
                <m:e>
                  <m:r>
                    <w:rPr>
                      <w:rFonts w:ascii="Cambria Math" w:hAnsi="Cambria Math"/>
                      <w:sz w:val="22"/>
                      <w:szCs w:val="22"/>
                    </w:rPr>
                    <m:t>y</m:t>
                  </m:r>
                </m:e>
              </m:d>
            </m:den>
          </m:f>
          <m:r>
            <w:rPr>
              <w:rFonts w:ascii="Cambria Math" w:hAnsi="Cambria Math"/>
              <w:sz w:val="22"/>
              <w:szCs w:val="22"/>
            </w:rPr>
            <m:t>=</m:t>
          </m:r>
          <m:f>
            <m:fPr>
              <m:ctrlPr>
                <w:rPr>
                  <w:rFonts w:ascii="Cambria Math" w:hAnsi="Cambria Math"/>
                  <w:i/>
                  <w:sz w:val="22"/>
                  <w:szCs w:val="22"/>
                </w:rPr>
              </m:ctrlPr>
            </m:fPr>
            <m:num>
              <m:sSup>
                <m:sSupPr>
                  <m:ctrlPr>
                    <w:rPr>
                      <w:rFonts w:ascii="Cambria Math" w:hAnsi="Cambria Math"/>
                      <w:i/>
                      <w:sz w:val="22"/>
                      <w:szCs w:val="22"/>
                    </w:rPr>
                  </m:ctrlPr>
                </m:sSupPr>
                <m:e>
                  <m:r>
                    <w:rPr>
                      <w:rFonts w:ascii="Cambria Math" w:hAnsi="Cambria Math"/>
                      <w:sz w:val="22"/>
                      <w:szCs w:val="22"/>
                    </w:rPr>
                    <m:t>e</m:t>
                  </m:r>
                </m:e>
                <m:sup>
                  <m:acc>
                    <m:accPr>
                      <m:ctrlPr>
                        <w:rPr>
                          <w:rFonts w:ascii="Cambria Math" w:hAnsi="Cambria Math"/>
                          <w:i/>
                          <w:sz w:val="22"/>
                          <w:szCs w:val="22"/>
                        </w:rPr>
                      </m:ctrlPr>
                    </m:accPr>
                    <m:e>
                      <m:r>
                        <w:rPr>
                          <w:rFonts w:ascii="Cambria Math" w:hAnsi="Cambria Math"/>
                          <w:sz w:val="22"/>
                          <w:szCs w:val="22"/>
                        </w:rPr>
                        <m:t>s</m:t>
                      </m:r>
                    </m:e>
                  </m:acc>
                  <m:d>
                    <m:dPr>
                      <m:ctrlPr>
                        <w:rPr>
                          <w:rFonts w:ascii="Cambria Math" w:hAnsi="Cambria Math"/>
                          <w:i/>
                          <w:sz w:val="22"/>
                          <w:szCs w:val="22"/>
                        </w:rPr>
                      </m:ctrlPr>
                    </m:dPr>
                    <m:e>
                      <m:r>
                        <w:rPr>
                          <w:rFonts w:ascii="Cambria Math" w:hAnsi="Cambria Math"/>
                          <w:sz w:val="22"/>
                          <w:szCs w:val="22"/>
                        </w:rPr>
                        <m:t>x</m:t>
                      </m:r>
                    </m:e>
                  </m:d>
                </m:sup>
              </m:sSup>
            </m:num>
            <m:den>
              <m:r>
                <w:rPr>
                  <w:rFonts w:ascii="Cambria Math" w:hAnsi="Cambria Math"/>
                  <w:sz w:val="22"/>
                  <w:szCs w:val="22"/>
                </w:rPr>
                <m:t>π</m:t>
              </m:r>
              <m:d>
                <m:dPr>
                  <m:ctrlPr>
                    <w:rPr>
                      <w:rFonts w:ascii="Cambria Math" w:hAnsi="Cambria Math"/>
                      <w:i/>
                      <w:sz w:val="22"/>
                      <w:szCs w:val="22"/>
                    </w:rPr>
                  </m:ctrlPr>
                </m:dPr>
                <m:e>
                  <m:r>
                    <w:rPr>
                      <w:rFonts w:ascii="Cambria Math" w:hAnsi="Cambria Math"/>
                      <w:sz w:val="22"/>
                      <w:szCs w:val="22"/>
                    </w:rPr>
                    <m:t>y</m:t>
                  </m:r>
                </m:e>
              </m:d>
            </m:den>
          </m:f>
          <m:r>
            <w:rPr>
              <w:rFonts w:ascii="Cambria Math" w:hAnsi="Cambria Math"/>
              <w:sz w:val="22"/>
              <w:szCs w:val="22"/>
            </w:rPr>
            <m:t>.</m:t>
          </m:r>
        </m:oMath>
      </m:oMathPara>
    </w:p>
    <w:p w14:paraId="7A8EBEC2" w14:textId="77777777" w:rsidR="00CC4760" w:rsidRPr="00853619" w:rsidRDefault="00CC4760" w:rsidP="00CC4760">
      <w:pPr>
        <w:spacing w:line="480" w:lineRule="auto"/>
        <w:rPr>
          <w:rFonts w:eastAsiaTheme="minorEastAsia"/>
          <w:sz w:val="22"/>
          <w:szCs w:val="22"/>
        </w:rPr>
      </w:pPr>
    </w:p>
    <w:p w14:paraId="51390A38" w14:textId="77777777" w:rsidR="00CC4760" w:rsidRPr="00853619" w:rsidRDefault="00CC4760" w:rsidP="00CC4760">
      <w:pPr>
        <w:spacing w:line="480" w:lineRule="auto"/>
        <w:rPr>
          <w:rFonts w:eastAsiaTheme="minorEastAsia"/>
          <w:sz w:val="22"/>
          <w:szCs w:val="22"/>
        </w:rPr>
      </w:pPr>
      <w:r>
        <w:rPr>
          <w:rFonts w:eastAsiaTheme="minorEastAsia"/>
          <w:sz w:val="22"/>
          <w:szCs w:val="22"/>
        </w:rPr>
        <w:t xml:space="preserve">Accordingly, the adjusted logits may be written as </w:t>
      </w:r>
      <m:oMath>
        <m:sSup>
          <m:sSupPr>
            <m:ctrlPr>
              <w:rPr>
                <w:rFonts w:ascii="Cambria Math" w:hAnsi="Cambria Math"/>
                <w:i/>
                <w:sz w:val="22"/>
                <w:szCs w:val="22"/>
              </w:rPr>
            </m:ctrlPr>
          </m:sSupPr>
          <m:e>
            <m:r>
              <w:rPr>
                <w:rFonts w:ascii="Cambria Math" w:hAnsi="Cambria Math"/>
                <w:sz w:val="22"/>
                <w:szCs w:val="22"/>
              </w:rPr>
              <m:t>s</m:t>
            </m:r>
          </m:e>
          <m:sup>
            <m:r>
              <w:rPr>
                <w:rFonts w:ascii="Cambria Math" w:hAnsi="Cambria Math"/>
                <w:sz w:val="22"/>
                <w:szCs w:val="22"/>
              </w:rPr>
              <m:t>'</m:t>
            </m:r>
          </m:sup>
        </m:sSup>
        <m:d>
          <m:dPr>
            <m:ctrlPr>
              <w:rPr>
                <w:rFonts w:ascii="Cambria Math" w:hAnsi="Cambria Math"/>
                <w:i/>
                <w:sz w:val="22"/>
                <w:szCs w:val="22"/>
              </w:rPr>
            </m:ctrlPr>
          </m:dPr>
          <m:e>
            <m:r>
              <w:rPr>
                <w:rFonts w:ascii="Cambria Math" w:hAnsi="Cambria Math"/>
                <w:sz w:val="22"/>
                <w:szCs w:val="22"/>
              </w:rPr>
              <m:t>x</m:t>
            </m:r>
          </m:e>
        </m:d>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s</m:t>
            </m:r>
          </m:e>
          <m:sup>
            <m:r>
              <w:rPr>
                <w:rFonts w:ascii="Cambria Math" w:hAnsi="Cambria Math"/>
                <w:sz w:val="22"/>
                <w:szCs w:val="22"/>
              </w:rPr>
              <m:t>'</m:t>
            </m:r>
          </m:sup>
        </m:sSup>
        <m:d>
          <m:dPr>
            <m:ctrlPr>
              <w:rPr>
                <w:rFonts w:ascii="Cambria Math" w:hAnsi="Cambria Math"/>
                <w:i/>
                <w:sz w:val="22"/>
                <w:szCs w:val="22"/>
              </w:rPr>
            </m:ctrlPr>
          </m:dPr>
          <m:e>
            <m:r>
              <w:rPr>
                <w:rFonts w:ascii="Cambria Math" w:hAnsi="Cambria Math"/>
                <w:sz w:val="22"/>
                <w:szCs w:val="22"/>
              </w:rPr>
              <m:t>x</m:t>
            </m:r>
          </m:e>
        </m:d>
        <m:r>
          <w:rPr>
            <w:rFonts w:ascii="Cambria Math" w:hAnsi="Cambria Math"/>
            <w:sz w:val="22"/>
            <w:szCs w:val="22"/>
          </w:rPr>
          <m:t>-</m:t>
        </m:r>
        <m:func>
          <m:funcPr>
            <m:ctrlPr>
              <w:rPr>
                <w:rFonts w:ascii="Cambria Math" w:hAnsi="Cambria Math"/>
                <w:i/>
                <w:sz w:val="22"/>
                <w:szCs w:val="22"/>
              </w:rPr>
            </m:ctrlPr>
          </m:funcPr>
          <m:fName>
            <m:r>
              <m:rPr>
                <m:sty m:val="p"/>
              </m:rPr>
              <w:rPr>
                <w:rFonts w:ascii="Cambria Math" w:hAnsi="Cambria Math"/>
                <w:sz w:val="22"/>
                <w:szCs w:val="22"/>
              </w:rPr>
              <m:t>log</m:t>
            </m:r>
          </m:fName>
          <m:e>
            <m:r>
              <w:rPr>
                <w:rFonts w:ascii="Cambria Math" w:hAnsi="Cambria Math"/>
                <w:sz w:val="22"/>
                <w:szCs w:val="22"/>
              </w:rPr>
              <m:t>π(y)</m:t>
            </m:r>
          </m:e>
        </m:func>
      </m:oMath>
      <w:r>
        <w:rPr>
          <w:rFonts w:eastAsiaTheme="minorEastAsia"/>
          <w:sz w:val="22"/>
          <w:szCs w:val="22"/>
        </w:rPr>
        <w:t xml:space="preserve">. </w:t>
      </w:r>
    </w:p>
    <w:p w14:paraId="1449D5D8" w14:textId="77777777" w:rsidR="00CC4760" w:rsidRPr="00853619" w:rsidRDefault="00CC4760" w:rsidP="00CC4760">
      <w:pPr>
        <w:spacing w:line="480" w:lineRule="auto"/>
        <w:rPr>
          <w:rFonts w:eastAsiaTheme="minorEastAsia"/>
          <w:sz w:val="22"/>
          <w:szCs w:val="22"/>
        </w:rPr>
      </w:pPr>
    </w:p>
    <w:p w14:paraId="6F9D8E97" w14:textId="77777777" w:rsidR="00CC4760" w:rsidRPr="00853619" w:rsidRDefault="00CC4760" w:rsidP="00CC4760">
      <w:pPr>
        <w:spacing w:line="480" w:lineRule="auto"/>
        <w:rPr>
          <w:rFonts w:eastAsiaTheme="minorEastAsia"/>
          <w:sz w:val="22"/>
          <w:szCs w:val="22"/>
        </w:rPr>
      </w:pPr>
      <w:r>
        <w:rPr>
          <w:rFonts w:eastAsiaTheme="minorEastAsia"/>
          <w:sz w:val="22"/>
          <w:szCs w:val="22"/>
        </w:rPr>
        <w:t xml:space="preserve">In the context of our binary classification problem, let </w:t>
      </w:r>
      <m:oMath>
        <m:sSup>
          <m:sSupPr>
            <m:ctrlPr>
              <w:rPr>
                <w:rFonts w:ascii="Cambria Math" w:hAnsi="Cambria Math"/>
                <w:i/>
                <w:sz w:val="22"/>
                <w:szCs w:val="22"/>
              </w:rPr>
            </m:ctrlPr>
          </m:sSupPr>
          <m:e>
            <m:r>
              <w:rPr>
                <w:rFonts w:ascii="Cambria Math" w:hAnsi="Cambria Math"/>
                <w:sz w:val="22"/>
                <w:szCs w:val="22"/>
              </w:rPr>
              <m:t>π</m:t>
            </m:r>
          </m:e>
          <m:sup>
            <m:r>
              <w:rPr>
                <w:rFonts w:ascii="Cambria Math" w:hAnsi="Cambria Math"/>
                <w:sz w:val="22"/>
                <w:szCs w:val="22"/>
              </w:rPr>
              <m:t>m</m:t>
            </m:r>
          </m:sup>
        </m:sSup>
      </m:oMath>
      <w:r>
        <w:rPr>
          <w:rFonts w:eastAsiaTheme="minorEastAsia"/>
          <w:sz w:val="22"/>
          <w:szCs w:val="22"/>
        </w:rPr>
        <w:t xml:space="preserve"> be the fraction missing in the training data set and let </w:t>
      </w:r>
      <w:r>
        <w:rPr>
          <w:rFonts w:eastAsiaTheme="minorEastAsia"/>
          <w:i/>
          <w:iCs/>
          <w:sz w:val="22"/>
          <w:szCs w:val="22"/>
        </w:rPr>
        <w:t>l(x)</w:t>
      </w:r>
      <w:r>
        <w:rPr>
          <w:rFonts w:eastAsiaTheme="minorEastAsia"/>
          <w:sz w:val="22"/>
          <w:szCs w:val="22"/>
        </w:rPr>
        <w:t xml:space="preserve"> be the raw logit output given input </w:t>
      </w:r>
      <w:r>
        <w:rPr>
          <w:rFonts w:eastAsiaTheme="minorEastAsia"/>
          <w:i/>
          <w:iCs/>
          <w:sz w:val="22"/>
          <w:szCs w:val="22"/>
        </w:rPr>
        <w:t>x</w:t>
      </w:r>
      <w:r>
        <w:rPr>
          <w:rFonts w:eastAsiaTheme="minorEastAsia"/>
          <w:sz w:val="22"/>
          <w:szCs w:val="22"/>
        </w:rPr>
        <w:t>. Dyna-1 is structured to just predict one logit, the logit of the “missing” class, hence the logit predicted for the “not missing” class is always zero. We calculate our probability P(missing) as</w:t>
      </w:r>
    </w:p>
    <w:p w14:paraId="0A742FDE" w14:textId="77777777" w:rsidR="00CC4760" w:rsidRPr="00853619" w:rsidRDefault="00CC4760" w:rsidP="00CC4760">
      <w:pPr>
        <w:spacing w:line="480" w:lineRule="auto"/>
        <w:rPr>
          <w:rFonts w:eastAsiaTheme="minorEastAsia"/>
          <w:sz w:val="22"/>
          <w:szCs w:val="22"/>
        </w:rPr>
      </w:pPr>
    </w:p>
    <w:p w14:paraId="265D189D" w14:textId="77777777" w:rsidR="00CC4760" w:rsidRPr="00853619" w:rsidRDefault="00CC4760" w:rsidP="00CC4760">
      <w:pPr>
        <w:spacing w:line="480" w:lineRule="auto"/>
        <w:jc w:val="center"/>
        <w:rPr>
          <w:rFonts w:eastAsiaTheme="minorEastAsia"/>
          <w:sz w:val="22"/>
          <w:szCs w:val="22"/>
        </w:rPr>
      </w:pPr>
      <m:oMath>
        <m:r>
          <w:rPr>
            <w:rFonts w:ascii="Cambria Math" w:eastAsiaTheme="minorEastAsia" w:hAnsi="Cambria Math"/>
            <w:sz w:val="22"/>
            <w:szCs w:val="22"/>
          </w:rPr>
          <m:t>P</m:t>
        </m:r>
        <m:d>
          <m:dPr>
            <m:ctrlPr>
              <w:rPr>
                <w:rFonts w:ascii="Cambria Math" w:eastAsiaTheme="minorEastAsia" w:hAnsi="Cambria Math"/>
                <w:i/>
                <w:sz w:val="22"/>
                <w:szCs w:val="22"/>
              </w:rPr>
            </m:ctrlPr>
          </m:dPr>
          <m:e>
            <m:r>
              <w:rPr>
                <w:rFonts w:ascii="Cambria Math" w:eastAsiaTheme="minorEastAsia" w:hAnsi="Cambria Math"/>
                <w:sz w:val="22"/>
                <w:szCs w:val="22"/>
              </w:rPr>
              <m:t>missing|x</m:t>
            </m:r>
          </m:e>
        </m:d>
        <m:r>
          <w:rPr>
            <w:rFonts w:ascii="Cambria Math" w:eastAsiaTheme="minorEastAsia" w:hAnsi="Cambria Math"/>
            <w:sz w:val="22"/>
            <w:szCs w:val="22"/>
          </w:rPr>
          <m:t xml:space="preserve">= </m:t>
        </m:r>
        <m:f>
          <m:fPr>
            <m:ctrlPr>
              <w:rPr>
                <w:rFonts w:ascii="Cambria Math" w:eastAsiaTheme="minorEastAsia" w:hAnsi="Cambria Math"/>
                <w:i/>
                <w:sz w:val="22"/>
                <w:szCs w:val="22"/>
              </w:rPr>
            </m:ctrlPr>
          </m:fPr>
          <m:num>
            <m:r>
              <w:rPr>
                <w:rFonts w:ascii="Cambria Math" w:hAnsi="Cambria Math"/>
                <w:sz w:val="22"/>
                <w:szCs w:val="22"/>
              </w:rPr>
              <m:t>p(missing|x)</m:t>
            </m:r>
          </m:num>
          <m:den>
            <m:r>
              <w:rPr>
                <w:rFonts w:ascii="Cambria Math" w:hAnsi="Cambria Math"/>
                <w:sz w:val="22"/>
                <w:szCs w:val="22"/>
              </w:rPr>
              <m:t>p(present|x)+p(missing|x)</m:t>
            </m:r>
          </m:den>
        </m:f>
        <m:r>
          <w:rPr>
            <w:rFonts w:ascii="Cambria Math" w:eastAsiaTheme="minorEastAsia" w:hAnsi="Cambria Math"/>
            <w:sz w:val="22"/>
            <w:szCs w:val="22"/>
          </w:rPr>
          <m:t>=</m:t>
        </m:r>
        <m:f>
          <m:fPr>
            <m:ctrlPr>
              <w:rPr>
                <w:rFonts w:ascii="Cambria Math" w:hAnsi="Cambria Math"/>
                <w:i/>
                <w:sz w:val="22"/>
                <w:szCs w:val="22"/>
              </w:rPr>
            </m:ctrlPr>
          </m:fPr>
          <m:num>
            <m:sSup>
              <m:sSupPr>
                <m:ctrlPr>
                  <w:rPr>
                    <w:rFonts w:ascii="Cambria Math" w:hAnsi="Cambria Math"/>
                    <w:i/>
                    <w:sz w:val="22"/>
                    <w:szCs w:val="22"/>
                  </w:rPr>
                </m:ctrlPr>
              </m:sSupPr>
              <m:e>
                <m:r>
                  <w:rPr>
                    <w:rFonts w:ascii="Cambria Math" w:hAnsi="Cambria Math"/>
                    <w:sz w:val="22"/>
                    <w:szCs w:val="22"/>
                  </w:rPr>
                  <m:t>e</m:t>
                </m:r>
              </m:e>
              <m:sup>
                <m:r>
                  <w:rPr>
                    <w:rFonts w:ascii="Cambria Math" w:hAnsi="Cambria Math"/>
                    <w:sz w:val="22"/>
                    <w:szCs w:val="22"/>
                  </w:rPr>
                  <m:t>l</m:t>
                </m:r>
                <m:d>
                  <m:dPr>
                    <m:ctrlPr>
                      <w:rPr>
                        <w:rFonts w:ascii="Cambria Math" w:hAnsi="Cambria Math"/>
                        <w:i/>
                        <w:sz w:val="22"/>
                        <w:szCs w:val="22"/>
                      </w:rPr>
                    </m:ctrlPr>
                  </m:dPr>
                  <m:e>
                    <m:r>
                      <w:rPr>
                        <w:rFonts w:ascii="Cambria Math" w:hAnsi="Cambria Math"/>
                        <w:sz w:val="22"/>
                        <w:szCs w:val="22"/>
                      </w:rPr>
                      <m:t>x</m:t>
                    </m:r>
                  </m:e>
                </m:d>
                <m:r>
                  <w:rPr>
                    <w:rFonts w:ascii="Cambria Math" w:hAnsi="Cambria Math"/>
                    <w:sz w:val="22"/>
                    <w:szCs w:val="22"/>
                  </w:rPr>
                  <m:t>-</m:t>
                </m:r>
                <m:func>
                  <m:funcPr>
                    <m:ctrlPr>
                      <w:rPr>
                        <w:rFonts w:ascii="Cambria Math" w:hAnsi="Cambria Math"/>
                        <w:i/>
                        <w:sz w:val="22"/>
                        <w:szCs w:val="22"/>
                      </w:rPr>
                    </m:ctrlPr>
                  </m:funcPr>
                  <m:fName>
                    <m:r>
                      <m:rPr>
                        <m:sty m:val="p"/>
                      </m:rPr>
                      <w:rPr>
                        <w:rFonts w:ascii="Cambria Math" w:hAnsi="Cambria Math"/>
                        <w:sz w:val="22"/>
                        <w:szCs w:val="22"/>
                      </w:rPr>
                      <m:t>log</m:t>
                    </m:r>
                  </m:fName>
                  <m:e>
                    <m:sSup>
                      <m:sSupPr>
                        <m:ctrlPr>
                          <w:rPr>
                            <w:rFonts w:ascii="Cambria Math" w:hAnsi="Cambria Math"/>
                            <w:i/>
                            <w:sz w:val="22"/>
                            <w:szCs w:val="22"/>
                          </w:rPr>
                        </m:ctrlPr>
                      </m:sSupPr>
                      <m:e>
                        <m:r>
                          <w:rPr>
                            <w:rFonts w:ascii="Cambria Math" w:hAnsi="Cambria Math"/>
                            <w:sz w:val="22"/>
                            <w:szCs w:val="22"/>
                          </w:rPr>
                          <m:t>π</m:t>
                        </m:r>
                      </m:e>
                      <m:sup>
                        <m:r>
                          <w:rPr>
                            <w:rFonts w:ascii="Cambria Math" w:hAnsi="Cambria Math"/>
                            <w:sz w:val="22"/>
                            <w:szCs w:val="22"/>
                          </w:rPr>
                          <m:t>m</m:t>
                        </m:r>
                      </m:sup>
                    </m:sSup>
                  </m:e>
                </m:func>
              </m:sup>
            </m:sSup>
          </m:num>
          <m:den>
            <m:sSup>
              <m:sSupPr>
                <m:ctrlPr>
                  <w:rPr>
                    <w:rFonts w:ascii="Cambria Math" w:hAnsi="Cambria Math"/>
                    <w:i/>
                    <w:sz w:val="22"/>
                    <w:szCs w:val="22"/>
                  </w:rPr>
                </m:ctrlPr>
              </m:sSupPr>
              <m:e>
                <m:sSup>
                  <m:sSupPr>
                    <m:ctrlPr>
                      <w:rPr>
                        <w:rFonts w:ascii="Cambria Math" w:hAnsi="Cambria Math"/>
                        <w:i/>
                        <w:sz w:val="22"/>
                        <w:szCs w:val="22"/>
                      </w:rPr>
                    </m:ctrlPr>
                  </m:sSupPr>
                  <m:e>
                    <m:r>
                      <w:rPr>
                        <w:rFonts w:ascii="Cambria Math" w:hAnsi="Cambria Math"/>
                        <w:sz w:val="22"/>
                        <w:szCs w:val="22"/>
                      </w:rPr>
                      <m:t>e</m:t>
                    </m:r>
                  </m:e>
                  <m:sup>
                    <m:r>
                      <w:rPr>
                        <w:rFonts w:ascii="Cambria Math" w:hAnsi="Cambria Math"/>
                        <w:sz w:val="22"/>
                        <w:szCs w:val="22"/>
                      </w:rPr>
                      <m:t>-</m:t>
                    </m:r>
                    <m:func>
                      <m:funcPr>
                        <m:ctrlPr>
                          <w:rPr>
                            <w:rFonts w:ascii="Cambria Math" w:hAnsi="Cambria Math"/>
                            <w:i/>
                            <w:sz w:val="22"/>
                            <w:szCs w:val="22"/>
                          </w:rPr>
                        </m:ctrlPr>
                      </m:funcPr>
                      <m:fName>
                        <m:r>
                          <m:rPr>
                            <m:sty m:val="p"/>
                          </m:rPr>
                          <w:rPr>
                            <w:rFonts w:ascii="Cambria Math" w:hAnsi="Cambria Math"/>
                            <w:sz w:val="22"/>
                            <w:szCs w:val="22"/>
                          </w:rPr>
                          <m:t>log</m:t>
                        </m:r>
                      </m:fName>
                      <m:e>
                        <m:r>
                          <w:rPr>
                            <w:rFonts w:ascii="Cambria Math" w:hAnsi="Cambria Math"/>
                            <w:sz w:val="22"/>
                            <w:szCs w:val="22"/>
                          </w:rPr>
                          <m:t>(1-</m:t>
                        </m:r>
                        <m:sSup>
                          <m:sSupPr>
                            <m:ctrlPr>
                              <w:rPr>
                                <w:rFonts w:ascii="Cambria Math" w:hAnsi="Cambria Math"/>
                                <w:i/>
                                <w:sz w:val="22"/>
                                <w:szCs w:val="22"/>
                              </w:rPr>
                            </m:ctrlPr>
                          </m:sSupPr>
                          <m:e>
                            <m:r>
                              <w:rPr>
                                <w:rFonts w:ascii="Cambria Math" w:hAnsi="Cambria Math"/>
                                <w:sz w:val="22"/>
                                <w:szCs w:val="22"/>
                              </w:rPr>
                              <m:t>π</m:t>
                            </m:r>
                          </m:e>
                          <m:sup>
                            <m:r>
                              <w:rPr>
                                <w:rFonts w:ascii="Cambria Math" w:hAnsi="Cambria Math"/>
                                <w:sz w:val="22"/>
                                <w:szCs w:val="22"/>
                              </w:rPr>
                              <m:t>m</m:t>
                            </m:r>
                          </m:sup>
                        </m:sSup>
                        <m:r>
                          <w:rPr>
                            <w:rFonts w:ascii="Cambria Math" w:hAnsi="Cambria Math"/>
                            <w:sz w:val="22"/>
                            <w:szCs w:val="22"/>
                          </w:rPr>
                          <m:t>)</m:t>
                        </m:r>
                      </m:e>
                    </m:func>
                  </m:sup>
                </m:sSup>
                <m:r>
                  <w:rPr>
                    <w:rFonts w:ascii="Cambria Math" w:hAnsi="Cambria Math"/>
                    <w:sz w:val="22"/>
                    <w:szCs w:val="22"/>
                  </w:rPr>
                  <m:t>+e</m:t>
                </m:r>
              </m:e>
              <m:sup>
                <m:r>
                  <w:rPr>
                    <w:rFonts w:ascii="Cambria Math" w:hAnsi="Cambria Math"/>
                    <w:sz w:val="22"/>
                    <w:szCs w:val="22"/>
                  </w:rPr>
                  <m:t>l</m:t>
                </m:r>
                <m:d>
                  <m:dPr>
                    <m:ctrlPr>
                      <w:rPr>
                        <w:rFonts w:ascii="Cambria Math" w:hAnsi="Cambria Math"/>
                        <w:i/>
                        <w:sz w:val="22"/>
                        <w:szCs w:val="22"/>
                      </w:rPr>
                    </m:ctrlPr>
                  </m:dPr>
                  <m:e>
                    <m:r>
                      <w:rPr>
                        <w:rFonts w:ascii="Cambria Math" w:hAnsi="Cambria Math"/>
                        <w:sz w:val="22"/>
                        <w:szCs w:val="22"/>
                      </w:rPr>
                      <m:t>x</m:t>
                    </m:r>
                  </m:e>
                </m:d>
                <m:r>
                  <w:rPr>
                    <w:rFonts w:ascii="Cambria Math" w:hAnsi="Cambria Math"/>
                    <w:sz w:val="22"/>
                    <w:szCs w:val="22"/>
                  </w:rPr>
                  <m:t>-</m:t>
                </m:r>
                <m:func>
                  <m:funcPr>
                    <m:ctrlPr>
                      <w:rPr>
                        <w:rFonts w:ascii="Cambria Math" w:hAnsi="Cambria Math"/>
                        <w:i/>
                        <w:sz w:val="22"/>
                        <w:szCs w:val="22"/>
                      </w:rPr>
                    </m:ctrlPr>
                  </m:funcPr>
                  <m:fName>
                    <m:r>
                      <m:rPr>
                        <m:sty m:val="p"/>
                      </m:rPr>
                      <w:rPr>
                        <w:rFonts w:ascii="Cambria Math" w:hAnsi="Cambria Math"/>
                        <w:sz w:val="22"/>
                        <w:szCs w:val="22"/>
                      </w:rPr>
                      <m:t>log</m:t>
                    </m:r>
                  </m:fName>
                  <m:e>
                    <m:sSup>
                      <m:sSupPr>
                        <m:ctrlPr>
                          <w:rPr>
                            <w:rFonts w:ascii="Cambria Math" w:hAnsi="Cambria Math"/>
                            <w:i/>
                            <w:sz w:val="22"/>
                            <w:szCs w:val="22"/>
                          </w:rPr>
                        </m:ctrlPr>
                      </m:sSupPr>
                      <m:e>
                        <m:r>
                          <w:rPr>
                            <w:rFonts w:ascii="Cambria Math" w:hAnsi="Cambria Math"/>
                            <w:sz w:val="22"/>
                            <w:szCs w:val="22"/>
                          </w:rPr>
                          <m:t>π</m:t>
                        </m:r>
                      </m:e>
                      <m:sup>
                        <m:r>
                          <w:rPr>
                            <w:rFonts w:ascii="Cambria Math" w:hAnsi="Cambria Math"/>
                            <w:sz w:val="22"/>
                            <w:szCs w:val="22"/>
                          </w:rPr>
                          <m:t>m</m:t>
                        </m:r>
                      </m:sup>
                    </m:sSup>
                  </m:e>
                </m:func>
              </m:sup>
            </m:sSup>
          </m:den>
        </m:f>
        <m:r>
          <w:rPr>
            <w:rFonts w:ascii="Cambria Math" w:eastAsiaTheme="minorEastAsia" w:hAnsi="Cambria Math"/>
            <w:sz w:val="22"/>
            <w:szCs w:val="22"/>
          </w:rPr>
          <m:t>=</m:t>
        </m:r>
        <m:f>
          <m:fPr>
            <m:ctrlPr>
              <w:rPr>
                <w:rFonts w:ascii="Cambria Math" w:eastAsiaTheme="minorEastAsia" w:hAnsi="Cambria Math"/>
                <w:i/>
                <w:sz w:val="22"/>
                <w:szCs w:val="22"/>
              </w:rPr>
            </m:ctrlPr>
          </m:fPr>
          <m:num>
            <m:sSup>
              <m:sSupPr>
                <m:ctrlPr>
                  <w:rPr>
                    <w:rFonts w:ascii="Cambria Math" w:eastAsiaTheme="minorEastAsia" w:hAnsi="Cambria Math"/>
                    <w:i/>
                    <w:sz w:val="22"/>
                    <w:szCs w:val="22"/>
                  </w:rPr>
                </m:ctrlPr>
              </m:sSupPr>
              <m:e>
                <m:r>
                  <w:rPr>
                    <w:rFonts w:ascii="Cambria Math" w:eastAsiaTheme="minorEastAsia" w:hAnsi="Cambria Math"/>
                    <w:sz w:val="22"/>
                    <w:szCs w:val="22"/>
                  </w:rPr>
                  <m:t>e</m:t>
                </m:r>
              </m:e>
              <m:sup>
                <m:r>
                  <w:rPr>
                    <w:rFonts w:ascii="Cambria Math" w:eastAsiaTheme="minorEastAsia" w:hAnsi="Cambria Math"/>
                    <w:sz w:val="22"/>
                    <w:szCs w:val="22"/>
                  </w:rPr>
                  <m:t>l(x)</m:t>
                </m:r>
              </m:sup>
            </m:sSup>
          </m:num>
          <m:den>
            <m:f>
              <m:fPr>
                <m:ctrlPr>
                  <w:rPr>
                    <w:rFonts w:ascii="Cambria Math" w:eastAsiaTheme="minorEastAsia" w:hAnsi="Cambria Math"/>
                    <w:i/>
                    <w:sz w:val="22"/>
                    <w:szCs w:val="22"/>
                  </w:rPr>
                </m:ctrlPr>
              </m:fPr>
              <m:num>
                <m:sSup>
                  <m:sSupPr>
                    <m:ctrlPr>
                      <w:rPr>
                        <w:rFonts w:ascii="Cambria Math" w:eastAsiaTheme="minorEastAsia" w:hAnsi="Cambria Math"/>
                        <w:i/>
                        <w:sz w:val="22"/>
                        <w:szCs w:val="22"/>
                      </w:rPr>
                    </m:ctrlPr>
                  </m:sSupPr>
                  <m:e>
                    <m:r>
                      <w:rPr>
                        <w:rFonts w:ascii="Cambria Math" w:eastAsiaTheme="minorEastAsia" w:hAnsi="Cambria Math"/>
                        <w:sz w:val="22"/>
                        <w:szCs w:val="22"/>
                      </w:rPr>
                      <m:t>π</m:t>
                    </m:r>
                  </m:e>
                  <m:sup>
                    <m:r>
                      <w:rPr>
                        <w:rFonts w:ascii="Cambria Math" w:eastAsiaTheme="minorEastAsia" w:hAnsi="Cambria Math"/>
                        <w:sz w:val="22"/>
                        <w:szCs w:val="22"/>
                      </w:rPr>
                      <m:t>m</m:t>
                    </m:r>
                  </m:sup>
                </m:sSup>
              </m:num>
              <m:den>
                <m:r>
                  <w:rPr>
                    <w:rFonts w:ascii="Cambria Math" w:eastAsiaTheme="minorEastAsia" w:hAnsi="Cambria Math"/>
                    <w:sz w:val="22"/>
                    <w:szCs w:val="22"/>
                  </w:rPr>
                  <m:t>1-</m:t>
                </m:r>
                <m:sSup>
                  <m:sSupPr>
                    <m:ctrlPr>
                      <w:rPr>
                        <w:rFonts w:ascii="Cambria Math" w:eastAsiaTheme="minorEastAsia" w:hAnsi="Cambria Math"/>
                        <w:i/>
                        <w:sz w:val="22"/>
                        <w:szCs w:val="22"/>
                      </w:rPr>
                    </m:ctrlPr>
                  </m:sSupPr>
                  <m:e>
                    <m:r>
                      <w:rPr>
                        <w:rFonts w:ascii="Cambria Math" w:eastAsiaTheme="minorEastAsia" w:hAnsi="Cambria Math"/>
                        <w:sz w:val="22"/>
                        <w:szCs w:val="22"/>
                      </w:rPr>
                      <m:t>π</m:t>
                    </m:r>
                  </m:e>
                  <m:sup>
                    <m:r>
                      <w:rPr>
                        <w:rFonts w:ascii="Cambria Math" w:eastAsiaTheme="minorEastAsia" w:hAnsi="Cambria Math"/>
                        <w:sz w:val="22"/>
                        <w:szCs w:val="22"/>
                      </w:rPr>
                      <m:t>m</m:t>
                    </m:r>
                  </m:sup>
                </m:sSup>
              </m:den>
            </m:f>
            <m:r>
              <w:rPr>
                <w:rFonts w:ascii="Cambria Math" w:eastAsiaTheme="minorEastAsia" w:hAnsi="Cambria Math"/>
                <w:sz w:val="22"/>
                <w:szCs w:val="22"/>
              </w:rPr>
              <m:t>+</m:t>
            </m:r>
            <m:sSup>
              <m:sSupPr>
                <m:ctrlPr>
                  <w:rPr>
                    <w:rFonts w:ascii="Cambria Math" w:eastAsiaTheme="minorEastAsia" w:hAnsi="Cambria Math"/>
                    <w:i/>
                    <w:sz w:val="22"/>
                    <w:szCs w:val="22"/>
                  </w:rPr>
                </m:ctrlPr>
              </m:sSupPr>
              <m:e>
                <m:r>
                  <w:rPr>
                    <w:rFonts w:ascii="Cambria Math" w:eastAsiaTheme="minorEastAsia" w:hAnsi="Cambria Math"/>
                    <w:sz w:val="22"/>
                    <w:szCs w:val="22"/>
                  </w:rPr>
                  <m:t>e</m:t>
                </m:r>
              </m:e>
              <m:sup>
                <m:r>
                  <w:rPr>
                    <w:rFonts w:ascii="Cambria Math" w:eastAsiaTheme="minorEastAsia" w:hAnsi="Cambria Math"/>
                    <w:sz w:val="22"/>
                    <w:szCs w:val="22"/>
                  </w:rPr>
                  <m:t>l(x)</m:t>
                </m:r>
              </m:sup>
            </m:sSup>
          </m:den>
        </m:f>
      </m:oMath>
      <w:r>
        <w:rPr>
          <w:rFonts w:eastAsiaTheme="minorEastAsia"/>
          <w:sz w:val="22"/>
          <w:szCs w:val="22"/>
        </w:rPr>
        <w:t>.</w:t>
      </w:r>
    </w:p>
    <w:p w14:paraId="5C860504" w14:textId="77777777" w:rsidR="00CC4760" w:rsidRPr="00853619" w:rsidRDefault="00CC4760" w:rsidP="00CC4760">
      <w:pPr>
        <w:spacing w:line="480" w:lineRule="auto"/>
        <w:rPr>
          <w:rFonts w:eastAsiaTheme="minorEastAsia"/>
          <w:sz w:val="22"/>
          <w:szCs w:val="22"/>
        </w:rPr>
      </w:pPr>
      <w:r>
        <w:rPr>
          <w:rFonts w:eastAsiaTheme="minorEastAsia"/>
          <w:sz w:val="22"/>
          <w:szCs w:val="22"/>
        </w:rPr>
        <w:t xml:space="preserve">This can be rewritten in terms of the sigmoid function </w:t>
      </w:r>
      <m:oMath>
        <m:r>
          <w:rPr>
            <w:rFonts w:ascii="Cambria Math" w:eastAsiaTheme="minorEastAsia" w:hAnsi="Cambria Math"/>
            <w:sz w:val="22"/>
            <w:szCs w:val="22"/>
          </w:rPr>
          <m:t>σ</m:t>
        </m:r>
        <m:d>
          <m:dPr>
            <m:ctrlPr>
              <w:rPr>
                <w:rFonts w:ascii="Cambria Math" w:eastAsiaTheme="minorEastAsia" w:hAnsi="Cambria Math"/>
                <w:i/>
                <w:sz w:val="22"/>
                <w:szCs w:val="22"/>
              </w:rPr>
            </m:ctrlPr>
          </m:dPr>
          <m:e>
            <m:r>
              <w:rPr>
                <w:rFonts w:ascii="Cambria Math" w:eastAsiaTheme="minorEastAsia" w:hAnsi="Cambria Math"/>
                <w:sz w:val="22"/>
                <w:szCs w:val="22"/>
              </w:rPr>
              <m:t>x</m:t>
            </m:r>
          </m:e>
        </m:d>
        <m:r>
          <w:rPr>
            <w:rFonts w:ascii="Cambria Math" w:eastAsiaTheme="minorEastAsia" w:hAnsi="Cambria Math"/>
            <w:sz w:val="22"/>
            <w:szCs w:val="22"/>
          </w:rPr>
          <m:t>=</m:t>
        </m:r>
        <m:sSup>
          <m:sSupPr>
            <m:ctrlPr>
              <w:rPr>
                <w:rFonts w:ascii="Cambria Math" w:eastAsiaTheme="minorEastAsia" w:hAnsi="Cambria Math"/>
                <w:i/>
                <w:sz w:val="22"/>
                <w:szCs w:val="22"/>
              </w:rPr>
            </m:ctrlPr>
          </m:sSupPr>
          <m:e>
            <m:d>
              <m:dPr>
                <m:ctrlPr>
                  <w:rPr>
                    <w:rFonts w:ascii="Cambria Math" w:eastAsiaTheme="minorEastAsia" w:hAnsi="Cambria Math"/>
                    <w:i/>
                    <w:sz w:val="22"/>
                    <w:szCs w:val="22"/>
                  </w:rPr>
                </m:ctrlPr>
              </m:dPr>
              <m:e>
                <m:r>
                  <w:rPr>
                    <w:rFonts w:ascii="Cambria Math" w:eastAsiaTheme="minorEastAsia" w:hAnsi="Cambria Math"/>
                    <w:sz w:val="22"/>
                    <w:szCs w:val="22"/>
                  </w:rPr>
                  <m:t>1+</m:t>
                </m:r>
                <m:sSup>
                  <m:sSupPr>
                    <m:ctrlPr>
                      <w:rPr>
                        <w:rFonts w:ascii="Cambria Math" w:eastAsiaTheme="minorEastAsia" w:hAnsi="Cambria Math"/>
                        <w:i/>
                        <w:sz w:val="22"/>
                        <w:szCs w:val="22"/>
                      </w:rPr>
                    </m:ctrlPr>
                  </m:sSupPr>
                  <m:e>
                    <m:r>
                      <w:rPr>
                        <w:rFonts w:ascii="Cambria Math" w:eastAsiaTheme="minorEastAsia" w:hAnsi="Cambria Math"/>
                        <w:sz w:val="22"/>
                        <w:szCs w:val="22"/>
                      </w:rPr>
                      <m:t>e</m:t>
                    </m:r>
                  </m:e>
                  <m:sup>
                    <m:r>
                      <w:rPr>
                        <w:rFonts w:ascii="Cambria Math" w:eastAsiaTheme="minorEastAsia" w:hAnsi="Cambria Math"/>
                        <w:sz w:val="22"/>
                        <w:szCs w:val="22"/>
                      </w:rPr>
                      <m:t>-x</m:t>
                    </m:r>
                  </m:sup>
                </m:sSup>
              </m:e>
            </m:d>
          </m:e>
          <m:sup>
            <m:r>
              <w:rPr>
                <w:rFonts w:ascii="Cambria Math" w:eastAsiaTheme="minorEastAsia" w:hAnsi="Cambria Math"/>
                <w:sz w:val="22"/>
                <w:szCs w:val="22"/>
              </w:rPr>
              <m:t>-1</m:t>
            </m:r>
          </m:sup>
        </m:sSup>
      </m:oMath>
      <w:r>
        <w:rPr>
          <w:rFonts w:eastAsiaTheme="minorEastAsia"/>
          <w:sz w:val="22"/>
          <w:szCs w:val="22"/>
        </w:rPr>
        <w:t>, which is typically used to convert logits to probabilities:</w:t>
      </w:r>
    </w:p>
    <w:p w14:paraId="1C7B5D52" w14:textId="77777777" w:rsidR="00CC4760" w:rsidRPr="00853619" w:rsidRDefault="00CC4760" w:rsidP="00CC4760">
      <w:pPr>
        <w:spacing w:line="480" w:lineRule="auto"/>
        <w:jc w:val="center"/>
        <w:rPr>
          <w:rFonts w:eastAsiaTheme="minorEastAsia"/>
          <w:sz w:val="22"/>
          <w:szCs w:val="22"/>
        </w:rPr>
      </w:pPr>
      <m:oMath>
        <m:r>
          <w:rPr>
            <w:rFonts w:ascii="Cambria Math" w:eastAsiaTheme="minorEastAsia" w:hAnsi="Cambria Math"/>
            <w:sz w:val="22"/>
            <w:szCs w:val="22"/>
          </w:rPr>
          <m:t>P</m:t>
        </m:r>
        <m:d>
          <m:dPr>
            <m:ctrlPr>
              <w:rPr>
                <w:rFonts w:ascii="Cambria Math" w:eastAsiaTheme="minorEastAsia" w:hAnsi="Cambria Math"/>
                <w:i/>
                <w:sz w:val="22"/>
                <w:szCs w:val="22"/>
              </w:rPr>
            </m:ctrlPr>
          </m:dPr>
          <m:e>
            <m:r>
              <w:rPr>
                <w:rFonts w:ascii="Cambria Math" w:eastAsiaTheme="minorEastAsia" w:hAnsi="Cambria Math"/>
                <w:sz w:val="22"/>
                <w:szCs w:val="22"/>
              </w:rPr>
              <m:t>missing</m:t>
            </m:r>
          </m:e>
          <m:e>
            <m:r>
              <w:rPr>
                <w:rFonts w:ascii="Cambria Math" w:eastAsiaTheme="minorEastAsia" w:hAnsi="Cambria Math"/>
                <w:sz w:val="22"/>
                <w:szCs w:val="22"/>
              </w:rPr>
              <m:t>x</m:t>
            </m:r>
          </m:e>
        </m:d>
        <m:r>
          <w:rPr>
            <w:rFonts w:ascii="Cambria Math" w:eastAsiaTheme="minorEastAsia" w:hAnsi="Cambria Math"/>
            <w:sz w:val="22"/>
            <w:szCs w:val="22"/>
          </w:rPr>
          <m:t>=σ(x-</m:t>
        </m:r>
        <m:func>
          <m:funcPr>
            <m:ctrlPr>
              <w:rPr>
                <w:rFonts w:ascii="Cambria Math" w:eastAsiaTheme="minorEastAsia" w:hAnsi="Cambria Math"/>
                <w:i/>
                <w:sz w:val="22"/>
                <w:szCs w:val="22"/>
              </w:rPr>
            </m:ctrlPr>
          </m:funcPr>
          <m:fName>
            <m:r>
              <m:rPr>
                <m:sty m:val="p"/>
              </m:rPr>
              <w:rPr>
                <w:rFonts w:ascii="Cambria Math" w:eastAsiaTheme="minorEastAsia" w:hAnsi="Cambria Math"/>
                <w:sz w:val="22"/>
                <w:szCs w:val="22"/>
              </w:rPr>
              <m:t>log</m:t>
            </m:r>
          </m:fName>
          <m:e>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π</m:t>
                    </m:r>
                  </m:e>
                  <m:sub>
                    <m:r>
                      <w:rPr>
                        <w:rFonts w:ascii="Cambria Math" w:eastAsiaTheme="minorEastAsia" w:hAnsi="Cambria Math"/>
                        <w:sz w:val="22"/>
                        <w:szCs w:val="22"/>
                      </w:rPr>
                      <m:t>m</m:t>
                    </m:r>
                  </m:sub>
                </m:sSub>
              </m:num>
              <m:den>
                <m:r>
                  <w:rPr>
                    <w:rFonts w:ascii="Cambria Math" w:eastAsiaTheme="minorEastAsia" w:hAnsi="Cambria Math"/>
                    <w:sz w:val="22"/>
                    <w:szCs w:val="22"/>
                  </w:rPr>
                  <m:t>1-</m:t>
                </m:r>
                <m:sSub>
                  <m:sSubPr>
                    <m:ctrlPr>
                      <w:rPr>
                        <w:rFonts w:ascii="Cambria Math" w:eastAsiaTheme="minorEastAsia" w:hAnsi="Cambria Math"/>
                        <w:i/>
                        <w:sz w:val="22"/>
                        <w:szCs w:val="22"/>
                      </w:rPr>
                    </m:ctrlPr>
                  </m:sSubPr>
                  <m:e>
                    <m:r>
                      <w:rPr>
                        <w:rFonts w:ascii="Cambria Math" w:eastAsiaTheme="minorEastAsia" w:hAnsi="Cambria Math"/>
                        <w:sz w:val="22"/>
                        <w:szCs w:val="22"/>
                      </w:rPr>
                      <m:t>π</m:t>
                    </m:r>
                  </m:e>
                  <m:sub>
                    <m:r>
                      <w:rPr>
                        <w:rFonts w:ascii="Cambria Math" w:eastAsiaTheme="minorEastAsia" w:hAnsi="Cambria Math"/>
                        <w:sz w:val="22"/>
                        <w:szCs w:val="22"/>
                      </w:rPr>
                      <m:t>m</m:t>
                    </m:r>
                  </m:sub>
                </m:sSub>
              </m:den>
            </m:f>
            <m:r>
              <w:rPr>
                <w:rFonts w:ascii="Cambria Math" w:eastAsiaTheme="minorEastAsia" w:hAnsi="Cambria Math"/>
                <w:sz w:val="22"/>
                <w:szCs w:val="22"/>
              </w:rPr>
              <m:t>)</m:t>
            </m:r>
          </m:e>
        </m:func>
      </m:oMath>
      <w:r>
        <w:rPr>
          <w:rFonts w:eastAsiaTheme="minorEastAsia"/>
          <w:sz w:val="22"/>
          <w:szCs w:val="22"/>
        </w:rPr>
        <w:t>.</w:t>
      </w:r>
    </w:p>
    <w:p w14:paraId="43B7D7B9" w14:textId="77777777" w:rsidR="00CC4760" w:rsidRDefault="003D3AB0" w:rsidP="00CC4760">
      <w:pPr>
        <w:spacing w:line="480" w:lineRule="auto"/>
        <w:jc w:val="center"/>
        <w:rPr>
          <w:rFonts w:eastAsiaTheme="minorEastAsia"/>
          <w:sz w:val="22"/>
          <w:szCs w:val="22"/>
        </w:rPr>
      </w:pPr>
      <w:r>
        <w:rPr>
          <w:rFonts w:eastAsiaTheme="minorEastAsia"/>
          <w:noProof/>
          <w:sz w:val="22"/>
          <w:szCs w:val="22"/>
        </w:rPr>
        <w:lastRenderedPageBreak/>
        <w:drawing>
          <wp:inline distT="0" distB="0" distL="0" distR="0" wp14:anchorId="30B2A229" wp14:editId="7CF6D116">
            <wp:extent cx="5943600" cy="5661891"/>
            <wp:effectExtent l="0" t="0" r="0" b="2540"/>
            <wp:docPr id="1917932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932841" name="Picture 1917932841"/>
                    <pic:cNvPicPr/>
                  </pic:nvPicPr>
                  <pic:blipFill rotWithShape="1">
                    <a:blip r:embed="rId8" cstate="print">
                      <a:extLst>
                        <a:ext uri="{28A0092B-C50C-407E-A947-70E740481C1C}">
                          <a14:useLocalDpi xmlns:a14="http://schemas.microsoft.com/office/drawing/2010/main" val="0"/>
                        </a:ext>
                      </a:extLst>
                    </a:blip>
                    <a:srcRect b="26390"/>
                    <a:stretch>
                      <a:fillRect/>
                    </a:stretch>
                  </pic:blipFill>
                  <pic:spPr bwMode="auto">
                    <a:xfrm>
                      <a:off x="0" y="0"/>
                      <a:ext cx="5943600" cy="5661891"/>
                    </a:xfrm>
                    <a:prstGeom prst="rect">
                      <a:avLst/>
                    </a:prstGeom>
                    <a:ln>
                      <a:noFill/>
                    </a:ln>
                    <a:extLst>
                      <a:ext uri="{53640926-AAD7-44D8-BBD7-CCE9431645EC}">
                        <a14:shadowObscured xmlns:a14="http://schemas.microsoft.com/office/drawing/2010/main"/>
                      </a:ext>
                    </a:extLst>
                  </pic:spPr>
                </pic:pic>
              </a:graphicData>
            </a:graphic>
          </wp:inline>
        </w:drawing>
      </w:r>
    </w:p>
    <w:p w14:paraId="7EDBB23D" w14:textId="77777777" w:rsidR="003D3AB0" w:rsidRPr="00094DD4" w:rsidRDefault="003D3AB0" w:rsidP="003D3AB0">
      <w:pPr>
        <w:rPr>
          <w:sz w:val="22"/>
          <w:szCs w:val="22"/>
        </w:rPr>
      </w:pPr>
      <w:r>
        <w:rPr>
          <w:b/>
          <w:bCs/>
          <w:sz w:val="22"/>
          <w:szCs w:val="22"/>
        </w:rPr>
        <w:t>Supplementary Fig. 2</w:t>
      </w:r>
      <w:r>
        <w:rPr>
          <w:sz w:val="22"/>
          <w:szCs w:val="22"/>
        </w:rPr>
        <w:t>: Adjusting native logits from Dyna-1 to account for class imbalance. (a) We adjusted probabilities calculated from logits to maximize the “balanced accuracy”, i.e. accuracy averaged across both classes, rather than accuracy averaged over all datapoints (see Methods). We set our prior for the missing class based on the training data, π, as 5%. Comparing the adjusted curve (black) to the probability densities in (b) demonstrates how this intuitively matches where a discriminator between the two classes should be (at x ~ -3). (b) Histograms and probability densities of logits predicted for residues labeled as “present” and “missing” over train and validation sets. (c) Densities of resulting p(missing) if calculated using native logits or adjusted logits.</w:t>
      </w:r>
    </w:p>
    <w:p w14:paraId="4D51CCCA" w14:textId="77777777" w:rsidR="00CC4760" w:rsidRDefault="00CC4760"/>
    <w:p w14:paraId="562A3A2C" w14:textId="77777777" w:rsidR="00DF6CCD" w:rsidRPr="00DF6CCD" w:rsidRDefault="00DF6CCD" w:rsidP="00DF6CCD">
      <w:pPr>
        <w:pStyle w:val="ListParagraph"/>
        <w:numPr>
          <w:ilvl w:val="0"/>
          <w:numId w:val="7"/>
        </w:numPr>
        <w:spacing w:line="480" w:lineRule="auto"/>
        <w:rPr>
          <w:b/>
          <w:bCs/>
          <w:sz w:val="22"/>
          <w:szCs w:val="22"/>
        </w:rPr>
      </w:pPr>
      <w:r>
        <w:rPr>
          <w:b/>
          <w:bCs/>
          <w:sz w:val="22"/>
          <w:szCs w:val="22"/>
        </w:rPr>
        <w:t>Thorough evaluation of reported NMR relaxation data and corresponding publications increases Dyna-1 performance</w:t>
      </w:r>
    </w:p>
    <w:p w14:paraId="2D068D31" w14:textId="77777777" w:rsidR="00DF6CCD" w:rsidRDefault="00DF6CCD" w:rsidP="00DF6CCD">
      <w:pPr>
        <w:spacing w:line="480" w:lineRule="auto"/>
        <w:rPr>
          <w:sz w:val="22"/>
          <w:szCs w:val="22"/>
        </w:rPr>
      </w:pPr>
      <w:r>
        <w:rPr>
          <w:sz w:val="22"/>
          <w:szCs w:val="22"/>
        </w:rPr>
        <w:lastRenderedPageBreak/>
        <w:tab/>
        <w:t>While inspecting predictions for other proteins, we noticed that Dyna-1 predicted high p(exchange) for some residues with reported assignments but no relaxation data. This prompted us to revisit our initial curation of experimental data. For instance, in reduced Mercuric Transport protein (MerP)</w:t>
      </w:r>
      <w:r>
        <w:rPr>
          <w:sz w:val="22"/>
          <w:szCs w:val="22"/>
        </w:rPr>
        <w:fldChar w:fldCharType="begin"/>
      </w:r>
      <w:r>
        <w:rPr>
          <w:sz w:val="22"/>
          <w:szCs w:val="22"/>
        </w:rPr>
        <w:instrText xml:space="preserve"> ADDIN EN.CITE &lt;EndNote&gt;&lt;Cite&gt;&lt;Author&gt;Steele&lt;/Author&gt;&lt;Year&gt;1997&lt;/Year&gt;&lt;RecNum&gt;104&lt;/RecNum&gt;&lt;DisplayText&gt;&lt;style face="superscript"&gt;3&lt;/style&gt;&lt;/DisplayText&gt;&lt;record&gt;&lt;rec-number&gt;104&lt;/rec-number&gt;&lt;foreign-keys&gt;&lt;key app="EN" db-id="dzvtpvtr3wsazdesz2o5pa59xdpa2a2fea9a" timestamp="1756491086"&gt;104&lt;/key&gt;&lt;/foreign-keys&gt;&lt;ref-type name="Journal Article"&gt;17&lt;/ref-type&gt;&lt;contributors&gt;&lt;authors&gt;&lt;author&gt;Steele, R. A.&lt;/author&gt;&lt;author&gt;Opella, S. J.&lt;/author&gt;&lt;/authors&gt;&lt;/contributors&gt;&lt;auth-address&gt;Department of Chemistry, University of Pennsylvania, Philadelphia 19104, USA.&lt;/auth-address&gt;&lt;titles&gt;&lt;title&gt;Structures of the reduced and mercury-bound forms of MerP, the periplasmic protein from the bacterial mercury detoxification system&lt;/title&gt;&lt;secondary-title&gt;Biochemistry&lt;/secondary-title&gt;&lt;/titles&gt;&lt;periodical&gt;&lt;full-title&gt;Biochemistry&lt;/full-title&gt;&lt;/periodical&gt;&lt;pages&gt;6885-95&lt;/pages&gt;&lt;volume&gt;36&lt;/volume&gt;&lt;number&gt;23&lt;/number&gt;&lt;keywords&gt;&lt;keyword&gt;Bacterial Proteins/*chemistry/metabolism&lt;/keyword&gt;&lt;keyword&gt;Carrier Proteins/*chemistry/metabolism&lt;/keyword&gt;&lt;keyword&gt;Escherichia coli&lt;/keyword&gt;&lt;keyword&gt;Magnetic Resonance Spectroscopy&lt;/keyword&gt;&lt;keyword&gt;Mercury/*chemistry/metabolism&lt;/keyword&gt;&lt;keyword&gt;Models, Molecular&lt;/keyword&gt;&lt;keyword&gt;Molecular Sequence Data&lt;/keyword&gt;&lt;keyword&gt;Oxidation-Reduction&lt;/keyword&gt;&lt;keyword&gt;Protein Conformation&lt;/keyword&gt;&lt;keyword&gt;Protein Folding&lt;/keyword&gt;&lt;keyword&gt;Protein Structure, Secondary&lt;/keyword&gt;&lt;keyword&gt;*Proteins&lt;/keyword&gt;&lt;keyword&gt;Shigella flexneri&lt;/keyword&gt;&lt;keyword&gt;Software&lt;/keyword&gt;&lt;keyword&gt;Solutions&lt;/keyword&gt;&lt;/keywords&gt;&lt;dates&gt;&lt;year&gt;1997&lt;/year&gt;&lt;pub-dates&gt;&lt;date&gt;Jun 10&lt;/date&gt;&lt;/pub-dates&gt;&lt;/dates&gt;&lt;isbn&gt;0006-2960 (Print)&amp;#xD;0006-2960 (Linking)&lt;/isbn&gt;&lt;accession-num&gt;9188683&lt;/accession-num&gt;&lt;urls&gt;&lt;related-urls&gt;&lt;url&gt;https://www.ncbi.nlm.nih.gov/pubmed/9188683&lt;/url&gt;&lt;/related-urls&gt;&lt;/urls&gt;&lt;electronic-resource-num&gt;10.1021/bi9631632&lt;/electronic-resource-num&gt;&lt;remote-database-name&gt;Medline&lt;/remote-database-name&gt;&lt;remote-database-provider&gt;NLM&lt;/remote-database-provider&gt;&lt;/record&gt;&lt;/Cite&gt;&lt;/EndNote&gt;</w:instrText>
      </w:r>
      <w:r>
        <w:rPr>
          <w:sz w:val="22"/>
          <w:szCs w:val="22"/>
        </w:rPr>
        <w:fldChar w:fldCharType="separate"/>
      </w:r>
      <w:r>
        <w:rPr>
          <w:noProof/>
          <w:sz w:val="22"/>
          <w:szCs w:val="22"/>
          <w:vertAlign w:val="superscript"/>
        </w:rPr>
        <w:t>78</w:t>
      </w:r>
      <w:r>
        <w:rPr>
          <w:sz w:val="22"/>
          <w:szCs w:val="22"/>
        </w:rPr>
        <w:fldChar w:fldCharType="end"/>
      </w:r>
      <w:r>
        <w:rPr>
          <w:sz w:val="22"/>
          <w:szCs w:val="22"/>
        </w:rPr>
        <w:t xml:space="preserve">, Thr13 predicts high p(exchange), but has no relaxation data. Ref. </w:t>
      </w:r>
      <w:r>
        <w:rPr>
          <w:sz w:val="22"/>
          <w:szCs w:val="22"/>
        </w:rPr>
        <w:fldChar w:fldCharType="begin"/>
      </w:r>
      <w:r>
        <w:rPr>
          <w:sz w:val="22"/>
          <w:szCs w:val="22"/>
        </w:rPr>
        <w:instrText xml:space="preserve"> ADDIN EN.CITE &lt;EndNote&gt;&lt;Cite&gt;&lt;Author&gt;Steele&lt;/Author&gt;&lt;Year&gt;1997&lt;/Year&gt;&lt;RecNum&gt;104&lt;/RecNum&gt;&lt;DisplayText&gt;&lt;style face="superscript"&gt;3&lt;/style&gt;&lt;/DisplayText&gt;&lt;record&gt;&lt;rec-number&gt;104&lt;/rec-number&gt;&lt;foreign-keys&gt;&lt;key app="EN" db-id="dzvtpvtr3wsazdesz2o5pa59xdpa2a2fea9a" timestamp="1756491086"&gt;104&lt;/key&gt;&lt;/foreign-keys&gt;&lt;ref-type name="Journal Article"&gt;17&lt;/ref-type&gt;&lt;contributors&gt;&lt;authors&gt;&lt;author&gt;Steele, R. A.&lt;/author&gt;&lt;author&gt;Opella, S. J.&lt;/author&gt;&lt;/authors&gt;&lt;/contributors&gt;&lt;auth-address&gt;Department of Chemistry, University of Pennsylvania, Philadelphia 19104, USA.&lt;/auth-address&gt;&lt;titles&gt;&lt;title&gt;Structures of the reduced and mercury-bound forms of MerP, the periplasmic protein from the bacterial mercury detoxification system&lt;/title&gt;&lt;secondary-title&gt;Biochemistry&lt;/secondary-title&gt;&lt;/titles&gt;&lt;periodical&gt;&lt;full-title&gt;Biochemistry&lt;/full-title&gt;&lt;/periodical&gt;&lt;pages&gt;6885-95&lt;/pages&gt;&lt;volume&gt;36&lt;/volume&gt;&lt;number&gt;23&lt;/number&gt;&lt;keywords&gt;&lt;keyword&gt;Bacterial Proteins/*chemistry/metabolism&lt;/keyword&gt;&lt;keyword&gt;Carrier Proteins/*chemistry/metabolism&lt;/keyword&gt;&lt;keyword&gt;Escherichia coli&lt;/keyword&gt;&lt;keyword&gt;Magnetic Resonance Spectroscopy&lt;/keyword&gt;&lt;keyword&gt;Mercury/*chemistry/metabolism&lt;/keyword&gt;&lt;keyword&gt;Models, Molecular&lt;/keyword&gt;&lt;keyword&gt;Molecular Sequence Data&lt;/keyword&gt;&lt;keyword&gt;Oxidation-Reduction&lt;/keyword&gt;&lt;keyword&gt;Protein Conformation&lt;/keyword&gt;&lt;keyword&gt;Protein Folding&lt;/keyword&gt;&lt;keyword&gt;Protein Structure, Secondary&lt;/keyword&gt;&lt;keyword&gt;*Proteins&lt;/keyword&gt;&lt;keyword&gt;Shigella flexneri&lt;/keyword&gt;&lt;keyword&gt;Software&lt;/keyword&gt;&lt;keyword&gt;Solutions&lt;/keyword&gt;&lt;/keywords&gt;&lt;dates&gt;&lt;year&gt;1997&lt;/year&gt;&lt;pub-dates&gt;&lt;date&gt;Jun 10&lt;/date&gt;&lt;/pub-dates&gt;&lt;/dates&gt;&lt;isbn&gt;0006-2960 (Print)&amp;#xD;0006-2960 (Linking)&lt;/isbn&gt;&lt;accession-num&gt;9188683&lt;/accession-num&gt;&lt;urls&gt;&lt;related-urls&gt;&lt;url&gt;https://www.ncbi.nlm.nih.gov/pubmed/9188683&lt;/url&gt;&lt;/related-urls&gt;&lt;/urls&gt;&lt;electronic-resource-num&gt;10.1021/bi9631632&lt;/electronic-resource-num&gt;&lt;remote-database-name&gt;Medline&lt;/remote-database-name&gt;&lt;remote-database-provider&gt;NLM&lt;/remote-database-provider&gt;&lt;/record&gt;&lt;/Cite&gt;&lt;/EndNote&gt;</w:instrText>
      </w:r>
      <w:r>
        <w:rPr>
          <w:sz w:val="22"/>
          <w:szCs w:val="22"/>
        </w:rPr>
        <w:fldChar w:fldCharType="separate"/>
      </w:r>
      <w:r>
        <w:rPr>
          <w:noProof/>
          <w:sz w:val="22"/>
          <w:szCs w:val="22"/>
          <w:vertAlign w:val="superscript"/>
        </w:rPr>
        <w:t>78</w:t>
      </w:r>
      <w:r>
        <w:rPr>
          <w:sz w:val="22"/>
          <w:szCs w:val="22"/>
        </w:rPr>
        <w:fldChar w:fldCharType="end"/>
      </w:r>
      <w:r>
        <w:rPr>
          <w:sz w:val="22"/>
          <w:szCs w:val="22"/>
        </w:rPr>
        <w:t xml:space="preserve"> notes that the peak for Thr13 is very weak, which indicates exchange-broadening and we posit prohibited the authors from fitting R</w:t>
      </w:r>
      <w:r>
        <w:rPr>
          <w:sz w:val="22"/>
          <w:szCs w:val="22"/>
          <w:vertAlign w:val="subscript"/>
        </w:rPr>
        <w:t>1</w:t>
      </w:r>
      <w:r>
        <w:rPr>
          <w:sz w:val="22"/>
          <w:szCs w:val="22"/>
        </w:rPr>
        <w:t xml:space="preserve"> and R</w:t>
      </w:r>
      <w:r>
        <w:rPr>
          <w:sz w:val="22"/>
          <w:szCs w:val="22"/>
          <w:vertAlign w:val="subscript"/>
        </w:rPr>
        <w:t>2</w:t>
      </w:r>
      <w:r>
        <w:rPr>
          <w:sz w:val="22"/>
          <w:szCs w:val="22"/>
        </w:rPr>
        <w:t>. Though Ala15 was not labeled by our automated labeling scheme, it also has elevated exchange and a large error in R</w:t>
      </w:r>
      <w:r>
        <w:rPr>
          <w:sz w:val="22"/>
          <w:szCs w:val="22"/>
          <w:vertAlign w:val="subscript"/>
        </w:rPr>
        <w:t>2</w:t>
      </w:r>
      <w:r>
        <w:rPr>
          <w:sz w:val="22"/>
          <w:szCs w:val="22"/>
        </w:rPr>
        <w:t>/R</w:t>
      </w:r>
      <w:r>
        <w:rPr>
          <w:sz w:val="22"/>
          <w:szCs w:val="22"/>
          <w:vertAlign w:val="subscript"/>
        </w:rPr>
        <w:t>1</w:t>
      </w:r>
      <w:r>
        <w:rPr>
          <w:sz w:val="22"/>
          <w:szCs w:val="22"/>
        </w:rPr>
        <w:t xml:space="preserve"> (orange arrow, </w:t>
      </w:r>
      <w:r>
        <w:rPr>
          <w:b/>
          <w:bCs/>
          <w:sz w:val="22"/>
          <w:szCs w:val="22"/>
        </w:rPr>
        <w:t>Fig. 4c</w:t>
      </w:r>
      <w:r>
        <w:rPr>
          <w:sz w:val="22"/>
          <w:szCs w:val="22"/>
        </w:rPr>
        <w:t xml:space="preserve">). Adjusting the experimental label for both residues increases Dyna-1 AUROC from 0.98 to 1.  </w:t>
      </w:r>
    </w:p>
    <w:p w14:paraId="6F635728" w14:textId="77777777" w:rsidR="00DF6CCD" w:rsidRPr="00853619" w:rsidRDefault="00DF6CCD" w:rsidP="00DF6CCD">
      <w:pPr>
        <w:spacing w:line="480" w:lineRule="auto"/>
        <w:ind w:firstLine="720"/>
        <w:rPr>
          <w:sz w:val="22"/>
          <w:szCs w:val="22"/>
        </w:rPr>
      </w:pPr>
      <w:r>
        <w:rPr>
          <w:sz w:val="22"/>
          <w:szCs w:val="22"/>
        </w:rPr>
        <w:t>Another example is the Tudor domain of Survival of Motor Neuron protein (SMNTD)</w:t>
      </w:r>
      <w:r>
        <w:rPr>
          <w:sz w:val="22"/>
          <w:szCs w:val="22"/>
        </w:rPr>
        <w:fldChar w:fldCharType="begin">
          <w:fldData xml:space="preserve">PEVuZE5vdGU+PENpdGU+PEF1dGhvcj5LYXdhbGU8L0F1dGhvcj48WWVhcj4yMDIxPC9ZZWFyPjxS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</w:fldData>
        </w:fldChar>
      </w:r>
      <w:r>
        <w:rPr>
          <w:sz w:val="22"/>
          <w:szCs w:val="22"/>
        </w:rPr>
        <w:instrText xml:space="preserve"> ADDIN EN.CITE </w:instrText>
      </w:r>
      <w:r>
        <w:rPr>
          <w:sz w:val="22"/>
          <w:szCs w:val="22"/>
        </w:rPr>
        <w:fldChar w:fldCharType="begin">
          <w:fldData xml:space="preserve">PEVuZE5vdGU+PENpdGU+PEF1dGhvcj5LYXdhbGU8L0F1dGhvcj48WWVhcj4yMDIxPC9ZZWFyPjxS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Pr>
          <w:noProof/>
          <w:sz w:val="22"/>
          <w:szCs w:val="22"/>
          <w:vertAlign w:val="superscript"/>
        </w:rPr>
        <w:t>79</w:t>
      </w:r>
      <w:r>
        <w:rPr>
          <w:sz w:val="22"/>
          <w:szCs w:val="22"/>
        </w:rPr>
        <w:fldChar w:fldCharType="end"/>
      </w:r>
      <w:r>
        <w:rPr>
          <w:sz w:val="22"/>
          <w:szCs w:val="22"/>
        </w:rPr>
        <w:t xml:space="preserve">, some of the highest p(exchange) from Dyna-1 were in two residues that were assigned yet had no relaxation data reported: Glu104 and Tyr130 (depicted in black, </w:t>
      </w:r>
      <w:r>
        <w:rPr>
          <w:b/>
          <w:bCs/>
          <w:sz w:val="22"/>
          <w:szCs w:val="22"/>
        </w:rPr>
        <w:t>Fig. 4c</w:t>
      </w:r>
      <w:r>
        <w:rPr>
          <w:sz w:val="22"/>
          <w:szCs w:val="22"/>
        </w:rPr>
        <w:t>). The amide hydrogen of Glu104 was assigned at 4.9 ppm, which is a highly unlikely value for an amide hydrogen. We posit that for this small domain and given the well-resolved spectra that the authors report, this residue is more likely exchange-broadened with an incorrect assignment reported. For Tyr130, no R</w:t>
      </w:r>
      <w:r>
        <w:rPr>
          <w:sz w:val="22"/>
          <w:szCs w:val="22"/>
          <w:vertAlign w:val="subscript"/>
        </w:rPr>
        <w:t>1</w:t>
      </w:r>
      <w:r>
        <w:rPr>
          <w:sz w:val="22"/>
          <w:szCs w:val="22"/>
        </w:rPr>
        <w:t xml:space="preserve"> value was reported, yet the authors categorized it as fitting to “model 4” from the model-free formalism</w:t>
      </w:r>
      <w:r>
        <w:rPr>
          <w:sz w:val="22"/>
          <w:szCs w:val="22"/>
        </w:rPr>
        <w:fldChar w:fldCharType="begin">
          <w:fldData xml:space="preserve">PEVuZE5vdGU+PENpdGU+PEF1dGhvcj5LYXdhbGU8L0F1dGhvcj48WWVhcj4yMDIxPC9ZZWFyPjxS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</w:fldData>
        </w:fldChar>
      </w:r>
      <w:r>
        <w:rPr>
          <w:sz w:val="22"/>
          <w:szCs w:val="22"/>
        </w:rPr>
        <w:instrText xml:space="preserve"> ADDIN EN.CITE </w:instrText>
      </w:r>
      <w:r>
        <w:rPr>
          <w:sz w:val="22"/>
          <w:szCs w:val="22"/>
        </w:rPr>
        <w:fldChar w:fldCharType="begin">
          <w:fldData xml:space="preserve">PEVuZE5vdGU+PENpdGU+PEF1dGhvcj5LYXdhbGU8L0F1dGhvcj48WWVhcj4yMDIxPC9ZZWFyPjxS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Pr>
          <w:noProof/>
          <w:sz w:val="22"/>
          <w:szCs w:val="22"/>
          <w:vertAlign w:val="superscript"/>
        </w:rPr>
        <w:t>79</w:t>
      </w:r>
      <w:r>
        <w:rPr>
          <w:sz w:val="22"/>
          <w:szCs w:val="22"/>
        </w:rPr>
        <w:fldChar w:fldCharType="end"/>
      </w:r>
      <w:r>
        <w:rPr>
          <w:sz w:val="22"/>
          <w:szCs w:val="22"/>
        </w:rPr>
        <w:t>, which is a model containing R</w:t>
      </w:r>
      <w:r>
        <w:rPr>
          <w:sz w:val="22"/>
          <w:szCs w:val="22"/>
          <w:vertAlign w:val="subscript"/>
        </w:rPr>
        <w:t>ex</w:t>
      </w:r>
      <w:r>
        <w:rPr>
          <w:sz w:val="22"/>
          <w:szCs w:val="22"/>
        </w:rPr>
        <w:t xml:space="preserve"> and requires an R</w:t>
      </w:r>
      <w:r>
        <w:rPr>
          <w:sz w:val="22"/>
          <w:szCs w:val="22"/>
          <w:vertAlign w:val="subscript"/>
        </w:rPr>
        <w:t>1</w:t>
      </w:r>
      <w:r>
        <w:rPr>
          <w:sz w:val="22"/>
          <w:szCs w:val="22"/>
        </w:rPr>
        <w:t xml:space="preserve"> value. If we consider both residues as having evidence of exchange, Dyna-1’s AUROC increases from 0.67 to 0.75.</w:t>
      </w:r>
    </w:p>
    <w:p w14:paraId="511388E0" w14:textId="77777777" w:rsidR="00DF6CCD" w:rsidRPr="00853619" w:rsidRDefault="00DF6CCD" w:rsidP="00DF6CCD">
      <w:pPr>
        <w:spacing w:line="480" w:lineRule="auto"/>
        <w:rPr>
          <w:sz w:val="22"/>
          <w:szCs w:val="22"/>
        </w:rPr>
      </w:pPr>
      <w:r>
        <w:rPr>
          <w:sz w:val="22"/>
          <w:szCs w:val="22"/>
        </w:rPr>
        <w:tab/>
        <w:t xml:space="preserve">In the NtrC receiver domain, Dyna-1 achieved an AUROC of 0.57. We revisited the 10 residues that were assigned yet had no relaxation data. We found that 2/10 had been erroneously assigned in chemical shift depositions corresponding to ref. </w:t>
      </w:r>
      <w:r>
        <w:rPr>
          <w:sz w:val="22"/>
          <w:szCs w:val="22"/>
        </w:rPr>
        <w:fldChar w:fldCharType="begin">
          <w:fldData xml:space="preserve">PEVuZE5vdGU+PENpdGU+PEF1dGhvcj5Wb2xrbWFuPC9BdXRob3I+PFllYXI+MjAwMTwvWWVhcj48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</w:fldData>
        </w:fldChar>
      </w:r>
      <w:r>
        <w:rPr>
          <w:sz w:val="22"/>
          <w:szCs w:val="22"/>
        </w:rPr>
        <w:instrText xml:space="preserve"> ADDIN EN.CITE </w:instrText>
      </w:r>
      <w:r>
        <w:rPr>
          <w:sz w:val="22"/>
          <w:szCs w:val="22"/>
        </w:rPr>
        <w:fldChar w:fldCharType="begin">
          <w:fldData xml:space="preserve">PEVuZE5vdGU+PENpdGU+PEF1dGhvcj5Wb2xrbWFuPC9BdXRob3I+PFllYXI+MjAwMTwvWWVhcj48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Pr>
          <w:noProof/>
          <w:sz w:val="22"/>
          <w:szCs w:val="22"/>
          <w:vertAlign w:val="superscript"/>
        </w:rPr>
        <w:t>80</w:t>
      </w:r>
      <w:r>
        <w:rPr>
          <w:sz w:val="22"/>
          <w:szCs w:val="22"/>
        </w:rPr>
        <w:fldChar w:fldCharType="end"/>
      </w:r>
      <w:r>
        <w:rPr>
          <w:sz w:val="22"/>
          <w:szCs w:val="22"/>
        </w:rPr>
        <w:t xml:space="preserve"> despite being exchange-broadened. 5/10 had very small peaks, indicative of exchange-broadening, and the remaining 3/10 were unanalyzable due to peak overlap. Taking these into account increases Dyna-1’s AUROC to 0.60. Dyna-1 missed predicting exchange in Tyr101 posited to be from ring-flipping. This is exemplary of what we found more broadly across all of RelaxDB, that Dyna-1 is weakest at predicting exchange in beta-sheets (</w:t>
      </w:r>
      <w:r>
        <w:rPr>
          <w:b/>
          <w:sz w:val="22"/>
        </w:rPr>
        <w:t>Fig. 4</w:t>
      </w:r>
      <w:r>
        <w:rPr>
          <w:b/>
          <w:bCs/>
          <w:sz w:val="22"/>
          <w:szCs w:val="22"/>
        </w:rPr>
        <w:t>d</w:t>
      </w:r>
      <w:r>
        <w:rPr>
          <w:sz w:val="22"/>
          <w:szCs w:val="22"/>
        </w:rPr>
        <w:t>).</w:t>
      </w:r>
    </w:p>
    <w:p w14:paraId="7576D010" w14:textId="727621D6" w:rsidR="00DF6CCD" w:rsidRPr="00853619" w:rsidRDefault="00DF6CCD" w:rsidP="00DF6CCD">
      <w:pPr>
        <w:spacing w:line="480" w:lineRule="auto"/>
        <w:rPr>
          <w:sz w:val="22"/>
          <w:szCs w:val="22"/>
        </w:rPr>
      </w:pPr>
      <w:r>
        <w:rPr>
          <w:sz w:val="22"/>
          <w:szCs w:val="22"/>
        </w:rPr>
        <w:lastRenderedPageBreak/>
        <w:tab/>
        <w:t xml:space="preserve">Another example is Tyrosine-phosphatase A from </w:t>
      </w:r>
      <w:r>
        <w:rPr>
          <w:i/>
          <w:iCs/>
          <w:sz w:val="22"/>
          <w:szCs w:val="22"/>
        </w:rPr>
        <w:t>M. tuberculosis</w:t>
      </w:r>
      <w:r>
        <w:rPr>
          <w:sz w:val="22"/>
          <w:szCs w:val="22"/>
        </w:rPr>
        <w:t xml:space="preserve"> (MptpA)</w:t>
      </w:r>
      <w:r>
        <w:rPr>
          <w:sz w:val="22"/>
          <w:szCs w:val="22"/>
        </w:rPr>
        <w:fldChar w:fldCharType="begin">
          <w:fldData xml:space="preserve">PEVuZE5vdGU+PENpdGU+PEF1dGhvcj5TdGVobGU8L0F1dGhvcj48WWVhcj4yMDEyPC9ZZWFyPjxS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</w:fldData>
        </w:fldChar>
      </w:r>
      <w:r>
        <w:rPr>
          <w:sz w:val="22"/>
          <w:szCs w:val="22"/>
        </w:rPr>
        <w:instrText xml:space="preserve"> ADDIN EN.CITE </w:instrText>
      </w:r>
      <w:r>
        <w:rPr>
          <w:sz w:val="22"/>
          <w:szCs w:val="22"/>
        </w:rPr>
        <w:fldChar w:fldCharType="begin">
          <w:fldData xml:space="preserve">PEVuZE5vdGU+PENpdGU+PEF1dGhvcj5TdGVobGU8L0F1dGhvcj48WWVhcj4yMDEyPC9ZZWFyPjxS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Pr>
          <w:noProof/>
          <w:sz w:val="22"/>
          <w:szCs w:val="22"/>
          <w:vertAlign w:val="superscript"/>
        </w:rPr>
        <w:t>36</w:t>
      </w:r>
      <w:r>
        <w:rPr>
          <w:sz w:val="22"/>
          <w:szCs w:val="22"/>
        </w:rPr>
        <w:fldChar w:fldCharType="end"/>
      </w:r>
      <w:r>
        <w:rPr>
          <w:sz w:val="22"/>
          <w:szCs w:val="22"/>
        </w:rPr>
        <w:t>. Dyna-1 has high p(exchange) in loops containing residues with differing orientations between the determined apo and holo structures (apo: 2LUO, holo: 1U2P) and which are postulated to be involved in regulating enzyme specificity</w:t>
      </w:r>
      <w:r>
        <w:rPr>
          <w:sz w:val="22"/>
          <w:szCs w:val="22"/>
        </w:rPr>
        <w:fldChar w:fldCharType="begin">
          <w:fldData xml:space="preserve">PEVuZE5vdGU+PENpdGU+PEF1dGhvcj5TdGVobGU8L0F1dGhvcj48WWVhcj4yMDEyPC9ZZWFyPjxS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</w:fldData>
        </w:fldChar>
      </w:r>
      <w:r>
        <w:rPr>
          <w:sz w:val="22"/>
          <w:szCs w:val="22"/>
        </w:rPr>
        <w:instrText xml:space="preserve"> ADDIN EN.CITE </w:instrText>
      </w:r>
      <w:r>
        <w:rPr>
          <w:sz w:val="22"/>
          <w:szCs w:val="22"/>
        </w:rPr>
        <w:fldChar w:fldCharType="begin">
          <w:fldData xml:space="preserve">PEVuZE5vdGU+PENpdGU+PEF1dGhvcj5TdGVobGU8L0F1dGhvcj48WWVhcj4yMDEyPC9ZZWFyPjxS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Pr>
          <w:noProof/>
          <w:sz w:val="22"/>
          <w:szCs w:val="22"/>
          <w:vertAlign w:val="superscript"/>
        </w:rPr>
        <w:t>36</w:t>
      </w:r>
      <w:r>
        <w:rPr>
          <w:sz w:val="22"/>
          <w:szCs w:val="22"/>
        </w:rPr>
        <w:fldChar w:fldCharType="end"/>
      </w:r>
      <w:r>
        <w:rPr>
          <w:sz w:val="22"/>
          <w:szCs w:val="22"/>
        </w:rPr>
        <w:t xml:space="preserve">. Some of Dyna-1’s high p(exchange) is in the P-loop of MptpA, which our curation indicated had been assigned (BMRB:18533) yet had no relaxation data (BMRB: 26513). However, the authors noted, “Due to exchange broadening the P-loop, residues </w:t>
      </w:r>
      <w:r w:rsidRPr="008D0524">
        <w:rPr>
          <w:sz w:val="22"/>
          <w:szCs w:val="22"/>
        </w:rPr>
        <w:t>Cys</w:t>
      </w:r>
      <w:r w:rsidR="008D0524" w:rsidRPr="008D0524">
        <w:rPr>
          <w:sz w:val="22"/>
          <w:szCs w:val="22"/>
        </w:rPr>
        <w:t>11</w:t>
      </w:r>
      <w:r w:rsidRPr="008D0524">
        <w:rPr>
          <w:sz w:val="22"/>
          <w:szCs w:val="22"/>
        </w:rPr>
        <w:t>–Gly13 and Ile15–Ser18</w:t>
      </w:r>
      <w:r>
        <w:rPr>
          <w:sz w:val="22"/>
          <w:szCs w:val="22"/>
        </w:rPr>
        <w:t> were not detectable”</w:t>
      </w:r>
      <w:r>
        <w:rPr>
          <w:sz w:val="22"/>
          <w:szCs w:val="22"/>
        </w:rPr>
        <w:fldChar w:fldCharType="begin">
          <w:fldData xml:space="preserve">PEVuZE5vdGU+PENpdGU+PEF1dGhvcj5TdGVobGU8L0F1dGhvcj48WWVhcj4yMDEyPC9ZZWFyPjxS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</w:fldData>
        </w:fldChar>
      </w:r>
      <w:r>
        <w:rPr>
          <w:sz w:val="22"/>
          <w:szCs w:val="22"/>
        </w:rPr>
        <w:instrText xml:space="preserve"> ADDIN EN.CITE </w:instrText>
      </w:r>
      <w:r>
        <w:rPr>
          <w:sz w:val="22"/>
          <w:szCs w:val="22"/>
        </w:rPr>
        <w:fldChar w:fldCharType="begin">
          <w:fldData xml:space="preserve">PEVuZE5vdGU+PENpdGU+PEF1dGhvcj5TdGVobGU8L0F1dGhvcj48WWVhcj4yMDEyPC9ZZWFyPjxS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Pr>
          <w:noProof/>
          <w:sz w:val="22"/>
          <w:szCs w:val="22"/>
          <w:vertAlign w:val="superscript"/>
        </w:rPr>
        <w:t>36</w:t>
      </w:r>
      <w:r>
        <w:rPr>
          <w:sz w:val="22"/>
          <w:szCs w:val="22"/>
        </w:rPr>
        <w:fldChar w:fldCharType="end"/>
      </w:r>
      <w:r>
        <w:rPr>
          <w:sz w:val="22"/>
          <w:szCs w:val="22"/>
        </w:rPr>
        <w:t xml:space="preserve">. If we consider these labels, the AUROC for MptpA increases from 0.55 to 0.63. </w:t>
      </w:r>
    </w:p>
    <w:p w14:paraId="6A18FC15" w14:textId="77777777" w:rsidR="00DF6CCD" w:rsidRDefault="00DF6CCD"/>
    <w:p w14:paraId="5B8B9EA6" w14:textId="77777777" w:rsidR="00CC4760" w:rsidRPr="00235E67" w:rsidRDefault="00235E67">
      <w:pPr>
        <w:rPr>
          <w:b/>
          <w:bCs/>
        </w:rPr>
      </w:pPr>
      <w:r>
        <w:rPr>
          <w:b/>
          <w:bCs/>
        </w:rPr>
        <w:t>References</w:t>
      </w:r>
    </w:p>
    <w:p w14:paraId="16522B29" w14:textId="47A29CB4" w:rsidR="00F22D32" w:rsidRDefault="00000000">
      <w:pPr>
        <w:rPr>
          <w:i/>
          <w:sz w:val="20"/>
          <w:szCs w:val="20"/>
        </w:rPr>
      </w:pPr>
      <w:r>
        <w:rPr>
          <w:i/>
          <w:sz w:val="20"/>
          <w:szCs w:val="20"/>
        </w:rPr>
        <w:t xml:space="preserve">Reference numbers below continue from the main-text reference list (refs. 1–77). References already cited in the main text (refs. 36, </w:t>
      </w:r>
      <w:r w:rsidR="001920FB">
        <w:rPr>
          <w:i/>
          <w:sz w:val="20"/>
          <w:szCs w:val="20"/>
        </w:rPr>
        <w:t>51,52</w:t>
      </w:r>
      <w:r>
        <w:rPr>
          <w:i/>
          <w:sz w:val="20"/>
          <w:szCs w:val="20"/>
        </w:rPr>
        <w:t>) are not reprinted here.</w:t>
      </w:r>
    </w:p>
    <w:p w14:paraId="694E8A1A" w14:textId="77777777" w:rsidR="00235E67" w:rsidRDefault="00235E67"/>
    <w:p w14:paraId="0514E8DB" w14:textId="77777777" w:rsidR="00235E67" w:rsidRPr="00235E67" w:rsidRDefault="00CC4760" w:rsidP="00235E67">
      <w:pPr>
        <w:pStyle w:val="EndNoteBibliography"/>
        <w:ind w:left="720" w:hanging="720"/>
        <w:rPr>
          <w:noProof/>
        </w:rPr>
      </w:pPr>
      <w:r>
        <w:fldChar w:fldCharType="begin"/>
      </w:r>
      <w:r w:rsidR="00235E67">
        <w:instrText xml:space="preserve"> ADDIN EN.REFLIST </w:instrText>
      </w:r>
      <w:r>
        <w:fldChar w:fldCharType="separate"/>
      </w:r>
      <w:r w:rsidR="00235E67">
        <w:rPr>
          <w:noProof/>
        </w:rPr>
        <w:t>78</w:t>
      </w:r>
      <w:r w:rsidR="00235E67">
        <w:rPr>
          <w:noProof/>
        </w:rPr>
        <w:tab/>
        <w:t xml:space="preserve">Steele, R. A. &amp; Opella, S. J. Structures of the reduced and mercury-bound forms of MerP, the periplasmic protein from the bacterial mercury detoxification system. </w:t>
      </w:r>
      <w:r w:rsidR="00235E67">
        <w:rPr>
          <w:i/>
          <w:noProof/>
        </w:rPr>
        <w:t>Biochemistry</w:t>
      </w:r>
      <w:r w:rsidR="00235E67">
        <w:rPr>
          <w:noProof/>
        </w:rPr>
        <w:t xml:space="preserve"> </w:t>
      </w:r>
      <w:r w:rsidR="00235E67">
        <w:rPr>
          <w:b/>
          <w:noProof/>
        </w:rPr>
        <w:t>36</w:t>
      </w:r>
      <w:r w:rsidR="00235E67">
        <w:rPr>
          <w:noProof/>
        </w:rPr>
        <w:t xml:space="preserve">, 6885-6895 (1997). </w:t>
      </w:r>
      <w:hyperlink r:id="rId9" w:history="1">
        <w:r w:rsidR="00235E67">
          <w:rPr>
            <w:rStyle w:val="Hyperlink"/>
            <w:noProof/>
          </w:rPr>
          <w:t>https://doi.org:10.1021/bi9631632</w:t>
        </w:r>
      </w:hyperlink>
    </w:p>
    <w:p w14:paraId="0E35D222" w14:textId="77777777" w:rsidR="00235E67" w:rsidRPr="00235E67" w:rsidRDefault="00235E67" w:rsidP="00235E67">
      <w:pPr>
        <w:pStyle w:val="EndNoteBibliography"/>
        <w:ind w:left="720" w:hanging="720"/>
        <w:rPr>
          <w:noProof/>
        </w:rPr>
      </w:pPr>
      <w:r>
        <w:rPr>
          <w:noProof/>
        </w:rPr>
        <w:t>79</w:t>
      </w:r>
      <w:r>
        <w:rPr>
          <w:noProof/>
        </w:rPr>
        <w:tab/>
        <w:t xml:space="preserve">Kawale, A. A. &amp; Burmann, B. M. Inherent backbone dynamics fine-tune the functional plasticity of Tudor domains. </w:t>
      </w:r>
      <w:r>
        <w:rPr>
          <w:i/>
          <w:noProof/>
        </w:rPr>
        <w:t>Structure</w:t>
      </w:r>
      <w:r>
        <w:rPr>
          <w:noProof/>
        </w:rPr>
        <w:t xml:space="preserve"> </w:t>
      </w:r>
      <w:r>
        <w:rPr>
          <w:b/>
          <w:noProof/>
        </w:rPr>
        <w:t>29</w:t>
      </w:r>
      <w:r>
        <w:rPr>
          <w:noProof/>
        </w:rPr>
        <w:t xml:space="preserve">, 1253-1265 e1254 (2021). </w:t>
      </w:r>
      <w:hyperlink r:id="rId10" w:history="1">
        <w:r>
          <w:rPr>
            <w:rStyle w:val="Hyperlink"/>
            <w:noProof/>
          </w:rPr>
          <w:t>https://doi.org:10.1016/j.str.2021.06.007</w:t>
        </w:r>
      </w:hyperlink>
    </w:p>
    <w:p w14:paraId="41CB1B26" w14:textId="77777777" w:rsidR="00235E67" w:rsidRPr="00235E67" w:rsidRDefault="00235E67" w:rsidP="00235E67">
      <w:pPr>
        <w:pStyle w:val="EndNoteBibliography"/>
        <w:ind w:left="720" w:hanging="720"/>
        <w:rPr>
          <w:noProof/>
        </w:rPr>
      </w:pPr>
      <w:r>
        <w:rPr>
          <w:noProof/>
        </w:rPr>
        <w:t>80</w:t>
      </w:r>
      <w:r>
        <w:rPr>
          <w:noProof/>
        </w:rPr>
        <w:tab/>
        <w:t xml:space="preserve">Volkman, B. F., Lipson, D., Wemmer, D. E. &amp; Kern, D. Two-state allosteric behavior in a single-domain signaling protein. </w:t>
      </w:r>
      <w:r>
        <w:rPr>
          <w:i/>
          <w:noProof/>
        </w:rPr>
        <w:t>Science</w:t>
      </w:r>
      <w:r>
        <w:rPr>
          <w:noProof/>
        </w:rPr>
        <w:t xml:space="preserve"> </w:t>
      </w:r>
      <w:r>
        <w:rPr>
          <w:b/>
          <w:noProof/>
        </w:rPr>
        <w:t>291</w:t>
      </w:r>
      <w:r>
        <w:rPr>
          <w:noProof/>
        </w:rPr>
        <w:t xml:space="preserve">, 2429-2433 (2001). </w:t>
      </w:r>
      <w:hyperlink r:id="rId11" w:history="1">
        <w:r>
          <w:rPr>
            <w:rStyle w:val="Hyperlink"/>
            <w:noProof/>
          </w:rPr>
          <w:t>https://doi.org:10.1126/science.291.5512.2429</w:t>
        </w:r>
      </w:hyperlink>
    </w:p>
    <w:p w14:paraId="27DD4E82" w14:textId="77777777" w:rsidR="00235E67" w:rsidRPr="00235E67" w:rsidRDefault="00235E67" w:rsidP="00235E67">
      <w:pPr>
        <w:pStyle w:val="EndNoteBibliography"/>
        <w:ind w:left="720" w:hanging="720"/>
        <w:rPr>
          <w:noProof/>
        </w:rPr>
      </w:pPr>
      <w:r>
        <w:rPr>
          <w:noProof/>
        </w:rPr>
        <w:t>81</w:t>
      </w:r>
      <w:r>
        <w:rPr>
          <w:noProof/>
        </w:rPr>
        <w:tab/>
        <w:t>Menon, A. K.</w:t>
      </w:r>
      <w:r>
        <w:rPr>
          <w:i/>
          <w:noProof/>
        </w:rPr>
        <w:t xml:space="preserve"> et al.</w:t>
      </w:r>
      <w:r>
        <w:rPr>
          <w:noProof/>
        </w:rPr>
        <w:t xml:space="preserve"> Long-tail learning via logit adjustment. </w:t>
      </w:r>
      <w:r>
        <w:rPr>
          <w:i/>
          <w:noProof/>
        </w:rPr>
        <w:t>arXiv preprint arXiv:2007.07314</w:t>
      </w:r>
      <w:r>
        <w:rPr>
          <w:noProof/>
        </w:rPr>
        <w:t xml:space="preserve"> (2020). </w:t>
      </w:r>
    </w:p>
    <w:p w14:paraId="70199290" w14:textId="77777777" w:rsidR="005C5588" w:rsidRDefault="00CC4760">
      <w:r>
        <w:fldChar w:fldCharType="end"/>
      </w:r>
    </w:p>
    <w:sectPr w:rsidR="005C55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037499"/>
    <w:multiLevelType w:val="hybridMultilevel"/>
    <w:tmpl w:val="27BE2882"/>
    <w:lvl w:ilvl="0" w:tplc="3E06E9D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E3A21"/>
    <w:multiLevelType w:val="multilevel"/>
    <w:tmpl w:val="9DF445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3C4955"/>
    <w:multiLevelType w:val="hybridMultilevel"/>
    <w:tmpl w:val="EBAA947E"/>
    <w:lvl w:ilvl="0" w:tplc="9DDC9C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7A0EEE"/>
    <w:multiLevelType w:val="hybridMultilevel"/>
    <w:tmpl w:val="2A6CBF66"/>
    <w:lvl w:ilvl="0" w:tplc="2C9CEB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D60478"/>
    <w:multiLevelType w:val="multilevel"/>
    <w:tmpl w:val="2BD85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A871BA"/>
    <w:multiLevelType w:val="hybridMultilevel"/>
    <w:tmpl w:val="E74831F0"/>
    <w:lvl w:ilvl="0" w:tplc="7EC82A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4E72DA"/>
    <w:multiLevelType w:val="hybridMultilevel"/>
    <w:tmpl w:val="8722C61C"/>
    <w:lvl w:ilvl="0" w:tplc="84D08EA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4883737">
    <w:abstractNumId w:val="4"/>
  </w:num>
  <w:num w:numId="2" w16cid:durableId="1903055641">
    <w:abstractNumId w:val="1"/>
  </w:num>
  <w:num w:numId="3" w16cid:durableId="1572427529">
    <w:abstractNumId w:val="6"/>
  </w:num>
  <w:num w:numId="4" w16cid:durableId="1803696308">
    <w:abstractNumId w:val="0"/>
  </w:num>
  <w:num w:numId="5" w16cid:durableId="645278539">
    <w:abstractNumId w:val="3"/>
  </w:num>
  <w:num w:numId="6" w16cid:durableId="583757202">
    <w:abstractNumId w:val="5"/>
  </w:num>
  <w:num w:numId="7" w16cid:durableId="175068715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atur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zvtpvtr3wsazdesz2o5pa59xdpa2a2fea9a&quot;&gt;learning_exchange&lt;record-ids&gt;&lt;item&gt;6&lt;/item&gt;&lt;item&gt;30&lt;/item&gt;&lt;item&gt;31&lt;/item&gt;&lt;item&gt;44&lt;/item&gt;&lt;item&gt;53&lt;/item&gt;&lt;item&gt;74&lt;/item&gt;&lt;item&gt;104&lt;/item&gt;&lt;/record-ids&gt;&lt;/item&gt;&lt;/Libraries&gt;"/>
  </w:docVars>
  <w:rsids>
    <w:rsidRoot w:val="00CC4760"/>
    <w:rsid w:val="00013BCD"/>
    <w:rsid w:val="000402F0"/>
    <w:rsid w:val="000B6ED9"/>
    <w:rsid w:val="000C5A73"/>
    <w:rsid w:val="000E059C"/>
    <w:rsid w:val="000E08E3"/>
    <w:rsid w:val="00102385"/>
    <w:rsid w:val="00112718"/>
    <w:rsid w:val="001425D7"/>
    <w:rsid w:val="001821A2"/>
    <w:rsid w:val="00183B70"/>
    <w:rsid w:val="001920FB"/>
    <w:rsid w:val="001A5C7E"/>
    <w:rsid w:val="001B3CE2"/>
    <w:rsid w:val="001B6D3D"/>
    <w:rsid w:val="001C0547"/>
    <w:rsid w:val="001C7E2A"/>
    <w:rsid w:val="001D7EEE"/>
    <w:rsid w:val="001E4CAD"/>
    <w:rsid w:val="00233B57"/>
    <w:rsid w:val="00235E67"/>
    <w:rsid w:val="00246383"/>
    <w:rsid w:val="00247AD6"/>
    <w:rsid w:val="00251587"/>
    <w:rsid w:val="0025325F"/>
    <w:rsid w:val="00254CE3"/>
    <w:rsid w:val="002621F5"/>
    <w:rsid w:val="0026486C"/>
    <w:rsid w:val="00292B91"/>
    <w:rsid w:val="0029473F"/>
    <w:rsid w:val="002A6BBD"/>
    <w:rsid w:val="002B1E2A"/>
    <w:rsid w:val="002B450F"/>
    <w:rsid w:val="002B4ED5"/>
    <w:rsid w:val="002B619A"/>
    <w:rsid w:val="002C3DDB"/>
    <w:rsid w:val="002C44EF"/>
    <w:rsid w:val="002D209D"/>
    <w:rsid w:val="002E652F"/>
    <w:rsid w:val="002F0DF1"/>
    <w:rsid w:val="002F32B1"/>
    <w:rsid w:val="00325C56"/>
    <w:rsid w:val="00334EBC"/>
    <w:rsid w:val="00335BE0"/>
    <w:rsid w:val="003522EC"/>
    <w:rsid w:val="003871A5"/>
    <w:rsid w:val="00387BCC"/>
    <w:rsid w:val="003B1D79"/>
    <w:rsid w:val="003B4AC4"/>
    <w:rsid w:val="003D3AB0"/>
    <w:rsid w:val="003E61F6"/>
    <w:rsid w:val="003F216E"/>
    <w:rsid w:val="00404388"/>
    <w:rsid w:val="00447E40"/>
    <w:rsid w:val="0045499A"/>
    <w:rsid w:val="0045763D"/>
    <w:rsid w:val="00463F12"/>
    <w:rsid w:val="00472A09"/>
    <w:rsid w:val="00476B4E"/>
    <w:rsid w:val="00482FD7"/>
    <w:rsid w:val="00484A13"/>
    <w:rsid w:val="00496E4B"/>
    <w:rsid w:val="004A2D9A"/>
    <w:rsid w:val="004C6A0D"/>
    <w:rsid w:val="004E0585"/>
    <w:rsid w:val="00511C57"/>
    <w:rsid w:val="0051351C"/>
    <w:rsid w:val="0051366B"/>
    <w:rsid w:val="00536E5C"/>
    <w:rsid w:val="00544366"/>
    <w:rsid w:val="00544A5F"/>
    <w:rsid w:val="00546E65"/>
    <w:rsid w:val="0055276C"/>
    <w:rsid w:val="0055628A"/>
    <w:rsid w:val="00572D75"/>
    <w:rsid w:val="0059625D"/>
    <w:rsid w:val="005B7246"/>
    <w:rsid w:val="005C5588"/>
    <w:rsid w:val="005C7BF1"/>
    <w:rsid w:val="005F7232"/>
    <w:rsid w:val="006006A7"/>
    <w:rsid w:val="006115DE"/>
    <w:rsid w:val="006127D8"/>
    <w:rsid w:val="00666DB4"/>
    <w:rsid w:val="00672584"/>
    <w:rsid w:val="006823C0"/>
    <w:rsid w:val="006938E1"/>
    <w:rsid w:val="006A0950"/>
    <w:rsid w:val="006C0658"/>
    <w:rsid w:val="006C3BBE"/>
    <w:rsid w:val="006F3D94"/>
    <w:rsid w:val="00753FF8"/>
    <w:rsid w:val="007B383B"/>
    <w:rsid w:val="007C35E9"/>
    <w:rsid w:val="00821F93"/>
    <w:rsid w:val="00834A41"/>
    <w:rsid w:val="00840A15"/>
    <w:rsid w:val="00853E46"/>
    <w:rsid w:val="008566C7"/>
    <w:rsid w:val="00857716"/>
    <w:rsid w:val="00870458"/>
    <w:rsid w:val="00873DEF"/>
    <w:rsid w:val="008742AB"/>
    <w:rsid w:val="008742B4"/>
    <w:rsid w:val="00877558"/>
    <w:rsid w:val="008A3919"/>
    <w:rsid w:val="008C49B4"/>
    <w:rsid w:val="008D0524"/>
    <w:rsid w:val="008D33F7"/>
    <w:rsid w:val="008E6D93"/>
    <w:rsid w:val="00901595"/>
    <w:rsid w:val="00935CFE"/>
    <w:rsid w:val="00956F28"/>
    <w:rsid w:val="00957BE4"/>
    <w:rsid w:val="00963C5A"/>
    <w:rsid w:val="00967402"/>
    <w:rsid w:val="00972C3D"/>
    <w:rsid w:val="00985AF6"/>
    <w:rsid w:val="009A4BAE"/>
    <w:rsid w:val="009A6EDB"/>
    <w:rsid w:val="009B6C2F"/>
    <w:rsid w:val="009C38F5"/>
    <w:rsid w:val="009E3F22"/>
    <w:rsid w:val="00A34C1E"/>
    <w:rsid w:val="00A36E8B"/>
    <w:rsid w:val="00A471B4"/>
    <w:rsid w:val="00A512E0"/>
    <w:rsid w:val="00A6073D"/>
    <w:rsid w:val="00A7327E"/>
    <w:rsid w:val="00A912D8"/>
    <w:rsid w:val="00AA2A12"/>
    <w:rsid w:val="00AC7811"/>
    <w:rsid w:val="00AD0AA3"/>
    <w:rsid w:val="00AE4EF9"/>
    <w:rsid w:val="00AE5CF2"/>
    <w:rsid w:val="00AE6C04"/>
    <w:rsid w:val="00AF13F0"/>
    <w:rsid w:val="00AF5FE4"/>
    <w:rsid w:val="00B15712"/>
    <w:rsid w:val="00B751C0"/>
    <w:rsid w:val="00B80EDB"/>
    <w:rsid w:val="00BE0F0F"/>
    <w:rsid w:val="00BE73BC"/>
    <w:rsid w:val="00C2154D"/>
    <w:rsid w:val="00C4424F"/>
    <w:rsid w:val="00C65F3E"/>
    <w:rsid w:val="00C73D0A"/>
    <w:rsid w:val="00C81C2C"/>
    <w:rsid w:val="00C84DBF"/>
    <w:rsid w:val="00C94441"/>
    <w:rsid w:val="00C94BF3"/>
    <w:rsid w:val="00C978FC"/>
    <w:rsid w:val="00CC04DF"/>
    <w:rsid w:val="00CC4760"/>
    <w:rsid w:val="00CD7073"/>
    <w:rsid w:val="00CE257D"/>
    <w:rsid w:val="00CE7FB3"/>
    <w:rsid w:val="00CF2F85"/>
    <w:rsid w:val="00D136F1"/>
    <w:rsid w:val="00D32122"/>
    <w:rsid w:val="00D342AD"/>
    <w:rsid w:val="00D4634B"/>
    <w:rsid w:val="00D522C1"/>
    <w:rsid w:val="00D879F5"/>
    <w:rsid w:val="00DA2047"/>
    <w:rsid w:val="00DA22CB"/>
    <w:rsid w:val="00DA57BF"/>
    <w:rsid w:val="00DE0446"/>
    <w:rsid w:val="00DF132E"/>
    <w:rsid w:val="00DF43C0"/>
    <w:rsid w:val="00DF6CCD"/>
    <w:rsid w:val="00E0080F"/>
    <w:rsid w:val="00E0250D"/>
    <w:rsid w:val="00E11AC3"/>
    <w:rsid w:val="00E32459"/>
    <w:rsid w:val="00E337FE"/>
    <w:rsid w:val="00E5435D"/>
    <w:rsid w:val="00E62097"/>
    <w:rsid w:val="00E63FE7"/>
    <w:rsid w:val="00E86560"/>
    <w:rsid w:val="00E92088"/>
    <w:rsid w:val="00E934F7"/>
    <w:rsid w:val="00EB638C"/>
    <w:rsid w:val="00EE371F"/>
    <w:rsid w:val="00EF7D09"/>
    <w:rsid w:val="00F22D32"/>
    <w:rsid w:val="00F375F7"/>
    <w:rsid w:val="00F41D22"/>
    <w:rsid w:val="00F56E0B"/>
    <w:rsid w:val="00F71314"/>
    <w:rsid w:val="00F7439D"/>
    <w:rsid w:val="00F90D57"/>
    <w:rsid w:val="00FA61B0"/>
    <w:rsid w:val="00FB7460"/>
    <w:rsid w:val="00FF1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5D5DB"/>
  <w15:chartTrackingRefBased/>
  <w15:docId w15:val="{3CE9B5AB-8126-694F-A2F3-49D2EB3C8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760"/>
    <w:pPr>
      <w:spacing w:after="0" w:line="240" w:lineRule="auto"/>
    </w:pPr>
  </w:style>
  <w:style w:type="paragraph" w:styleId="Heading1">
    <w:name w:val="heading 1"/>
    <w:basedOn w:val="Normal"/>
    <w:next w:val="Normal"/>
    <w:link w:val="Heading1Char"/>
    <w:uiPriority w:val="9"/>
    <w:qFormat/>
    <w:rsid w:val="00CC47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C47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C476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C476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C476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C476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476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476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476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476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C476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C476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C476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C476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C47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47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47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4760"/>
    <w:rPr>
      <w:rFonts w:eastAsiaTheme="majorEastAsia" w:cstheme="majorBidi"/>
      <w:color w:val="272727" w:themeColor="text1" w:themeTint="D8"/>
    </w:rPr>
  </w:style>
  <w:style w:type="paragraph" w:styleId="Title">
    <w:name w:val="Title"/>
    <w:basedOn w:val="Normal"/>
    <w:next w:val="Normal"/>
    <w:link w:val="TitleChar"/>
    <w:uiPriority w:val="10"/>
    <w:qFormat/>
    <w:rsid w:val="00CC476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47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47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47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4760"/>
    <w:pPr>
      <w:spacing w:before="160"/>
      <w:jc w:val="center"/>
    </w:pPr>
    <w:rPr>
      <w:i/>
      <w:iCs/>
      <w:color w:val="404040" w:themeColor="text1" w:themeTint="BF"/>
    </w:rPr>
  </w:style>
  <w:style w:type="character" w:customStyle="1" w:styleId="QuoteChar">
    <w:name w:val="Quote Char"/>
    <w:basedOn w:val="DefaultParagraphFont"/>
    <w:link w:val="Quote"/>
    <w:uiPriority w:val="29"/>
    <w:rsid w:val="00CC4760"/>
    <w:rPr>
      <w:i/>
      <w:iCs/>
      <w:color w:val="404040" w:themeColor="text1" w:themeTint="BF"/>
    </w:rPr>
  </w:style>
  <w:style w:type="paragraph" w:styleId="ListParagraph">
    <w:name w:val="List Paragraph"/>
    <w:basedOn w:val="Normal"/>
    <w:uiPriority w:val="34"/>
    <w:qFormat/>
    <w:rsid w:val="00CC4760"/>
    <w:pPr>
      <w:ind w:left="720"/>
      <w:contextualSpacing/>
    </w:pPr>
  </w:style>
  <w:style w:type="character" w:styleId="IntenseEmphasis">
    <w:name w:val="Intense Emphasis"/>
    <w:basedOn w:val="DefaultParagraphFont"/>
    <w:uiPriority w:val="21"/>
    <w:qFormat/>
    <w:rsid w:val="00CC4760"/>
    <w:rPr>
      <w:i/>
      <w:iCs/>
      <w:color w:val="2F5496" w:themeColor="accent1" w:themeShade="BF"/>
    </w:rPr>
  </w:style>
  <w:style w:type="paragraph" w:styleId="IntenseQuote">
    <w:name w:val="Intense Quote"/>
    <w:basedOn w:val="Normal"/>
    <w:next w:val="Normal"/>
    <w:link w:val="IntenseQuoteChar"/>
    <w:uiPriority w:val="30"/>
    <w:qFormat/>
    <w:rsid w:val="00CC47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C4760"/>
    <w:rPr>
      <w:i/>
      <w:iCs/>
      <w:color w:val="2F5496" w:themeColor="accent1" w:themeShade="BF"/>
    </w:rPr>
  </w:style>
  <w:style w:type="character" w:styleId="IntenseReference">
    <w:name w:val="Intense Reference"/>
    <w:basedOn w:val="DefaultParagraphFont"/>
    <w:uiPriority w:val="32"/>
    <w:qFormat/>
    <w:rsid w:val="00CC4760"/>
    <w:rPr>
      <w:b/>
      <w:bCs/>
      <w:smallCaps/>
      <w:color w:val="2F5496" w:themeColor="accent1" w:themeShade="BF"/>
      <w:spacing w:val="5"/>
    </w:rPr>
  </w:style>
  <w:style w:type="character" w:styleId="CommentReference">
    <w:name w:val="annotation reference"/>
    <w:basedOn w:val="DefaultParagraphFont"/>
    <w:uiPriority w:val="99"/>
    <w:semiHidden/>
    <w:unhideWhenUsed/>
    <w:rsid w:val="00CC4760"/>
    <w:rPr>
      <w:sz w:val="16"/>
      <w:szCs w:val="16"/>
    </w:rPr>
  </w:style>
  <w:style w:type="paragraph" w:styleId="CommentText">
    <w:name w:val="annotation text"/>
    <w:basedOn w:val="Normal"/>
    <w:link w:val="CommentTextChar"/>
    <w:uiPriority w:val="99"/>
    <w:semiHidden/>
    <w:unhideWhenUsed/>
    <w:rsid w:val="00CC4760"/>
    <w:rPr>
      <w:sz w:val="20"/>
      <w:szCs w:val="20"/>
    </w:rPr>
  </w:style>
  <w:style w:type="character" w:customStyle="1" w:styleId="CommentTextChar">
    <w:name w:val="Comment Text Char"/>
    <w:basedOn w:val="DefaultParagraphFont"/>
    <w:link w:val="CommentText"/>
    <w:uiPriority w:val="99"/>
    <w:semiHidden/>
    <w:rsid w:val="00CC4760"/>
    <w:rPr>
      <w:sz w:val="20"/>
      <w:szCs w:val="20"/>
    </w:rPr>
  </w:style>
  <w:style w:type="paragraph" w:styleId="CommentSubject">
    <w:name w:val="annotation subject"/>
    <w:basedOn w:val="CommentText"/>
    <w:next w:val="CommentText"/>
    <w:link w:val="CommentSubjectChar"/>
    <w:uiPriority w:val="99"/>
    <w:semiHidden/>
    <w:unhideWhenUsed/>
    <w:rsid w:val="00CC4760"/>
    <w:rPr>
      <w:b/>
      <w:bCs/>
    </w:rPr>
  </w:style>
  <w:style w:type="character" w:customStyle="1" w:styleId="CommentSubjectChar">
    <w:name w:val="Comment Subject Char"/>
    <w:basedOn w:val="CommentTextChar"/>
    <w:link w:val="CommentSubject"/>
    <w:uiPriority w:val="99"/>
    <w:semiHidden/>
    <w:rsid w:val="00CC4760"/>
    <w:rPr>
      <w:b/>
      <w:bCs/>
      <w:sz w:val="20"/>
      <w:szCs w:val="20"/>
    </w:rPr>
  </w:style>
  <w:style w:type="paragraph" w:customStyle="1" w:styleId="EndNoteBibliographyTitle">
    <w:name w:val="EndNote Bibliography Title"/>
    <w:basedOn w:val="Normal"/>
    <w:link w:val="EndNoteBibliographyTitleChar"/>
    <w:rsid w:val="00CC4760"/>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CC4760"/>
    <w:rPr>
      <w:rFonts w:ascii="Calibri" w:hAnsi="Calibri" w:cs="Calibri"/>
    </w:rPr>
  </w:style>
  <w:style w:type="paragraph" w:customStyle="1" w:styleId="EndNoteBibliography">
    <w:name w:val="EndNote Bibliography"/>
    <w:basedOn w:val="Normal"/>
    <w:link w:val="EndNoteBibliographyChar"/>
    <w:rsid w:val="00CC4760"/>
    <w:rPr>
      <w:rFonts w:ascii="Calibri" w:hAnsi="Calibri" w:cs="Calibri"/>
    </w:rPr>
  </w:style>
  <w:style w:type="character" w:customStyle="1" w:styleId="EndNoteBibliographyChar">
    <w:name w:val="EndNote Bibliography Char"/>
    <w:basedOn w:val="DefaultParagraphFont"/>
    <w:link w:val="EndNoteBibliography"/>
    <w:rsid w:val="00CC4760"/>
    <w:rPr>
      <w:rFonts w:ascii="Calibri" w:hAnsi="Calibri" w:cs="Calibri"/>
    </w:rPr>
  </w:style>
  <w:style w:type="character" w:styleId="Hyperlink">
    <w:name w:val="Hyperlink"/>
    <w:basedOn w:val="DefaultParagraphFont"/>
    <w:uiPriority w:val="99"/>
    <w:unhideWhenUsed/>
    <w:rsid w:val="00CC4760"/>
    <w:rPr>
      <w:color w:val="0563C1" w:themeColor="hyperlink"/>
      <w:u w:val="single"/>
    </w:rPr>
  </w:style>
  <w:style w:type="character" w:styleId="UnresolvedMention">
    <w:name w:val="Unresolved Mention"/>
    <w:basedOn w:val="DefaultParagraphFont"/>
    <w:uiPriority w:val="99"/>
    <w:semiHidden/>
    <w:unhideWhenUsed/>
    <w:rsid w:val="00CC4760"/>
    <w:rPr>
      <w:color w:val="605E5C"/>
      <w:shd w:val="clear" w:color="auto" w:fill="E1DFDD"/>
    </w:rPr>
  </w:style>
  <w:style w:type="paragraph" w:styleId="Revision">
    <w:name w:val="Revision"/>
    <w:hidden/>
    <w:uiPriority w:val="99"/>
    <w:semiHidden/>
    <w:rsid w:val="00CC4760"/>
    <w:pPr>
      <w:spacing w:after="0" w:line="240" w:lineRule="auto"/>
    </w:pPr>
  </w:style>
  <w:style w:type="character" w:styleId="PlaceholderText">
    <w:name w:val="Placeholder Text"/>
    <w:basedOn w:val="DefaultParagraphFont"/>
    <w:uiPriority w:val="99"/>
    <w:semiHidden/>
    <w:rsid w:val="00CC4760"/>
    <w:rPr>
      <w:color w:val="666666"/>
    </w:rPr>
  </w:style>
  <w:style w:type="paragraph" w:styleId="NormalWeb">
    <w:name w:val="Normal (Web)"/>
    <w:basedOn w:val="Normal"/>
    <w:uiPriority w:val="99"/>
    <w:unhideWhenUsed/>
    <w:rsid w:val="00CC4760"/>
    <w:rPr>
      <w:rFonts w:ascii="Times New Roman" w:hAnsi="Times New Roman" w:cs="Times New Roman"/>
    </w:rPr>
  </w:style>
  <w:style w:type="paragraph" w:styleId="Footer">
    <w:name w:val="footer"/>
    <w:basedOn w:val="Normal"/>
    <w:link w:val="FooterChar"/>
    <w:uiPriority w:val="99"/>
    <w:unhideWhenUsed/>
    <w:rsid w:val="00CC4760"/>
    <w:pPr>
      <w:tabs>
        <w:tab w:val="center" w:pos="4680"/>
        <w:tab w:val="right" w:pos="9360"/>
      </w:tabs>
    </w:pPr>
  </w:style>
  <w:style w:type="character" w:customStyle="1" w:styleId="FooterChar">
    <w:name w:val="Footer Char"/>
    <w:basedOn w:val="DefaultParagraphFont"/>
    <w:link w:val="Footer"/>
    <w:uiPriority w:val="99"/>
    <w:rsid w:val="00CC4760"/>
  </w:style>
  <w:style w:type="character" w:styleId="PageNumber">
    <w:name w:val="page number"/>
    <w:basedOn w:val="DefaultParagraphFont"/>
    <w:uiPriority w:val="99"/>
    <w:semiHidden/>
    <w:unhideWhenUsed/>
    <w:rsid w:val="00CC4760"/>
  </w:style>
  <w:style w:type="paragraph" w:styleId="Header">
    <w:name w:val="header"/>
    <w:basedOn w:val="Normal"/>
    <w:link w:val="HeaderChar"/>
    <w:uiPriority w:val="99"/>
    <w:unhideWhenUsed/>
    <w:rsid w:val="00CC4760"/>
    <w:pPr>
      <w:tabs>
        <w:tab w:val="center" w:pos="4680"/>
        <w:tab w:val="right" w:pos="9360"/>
      </w:tabs>
    </w:pPr>
  </w:style>
  <w:style w:type="character" w:customStyle="1" w:styleId="HeaderChar">
    <w:name w:val="Header Char"/>
    <w:basedOn w:val="DefaultParagraphFont"/>
    <w:link w:val="Header"/>
    <w:uiPriority w:val="99"/>
    <w:rsid w:val="00CC4760"/>
  </w:style>
  <w:style w:type="character" w:styleId="FollowedHyperlink">
    <w:name w:val="FollowedHyperlink"/>
    <w:basedOn w:val="DefaultParagraphFont"/>
    <w:uiPriority w:val="99"/>
    <w:semiHidden/>
    <w:unhideWhenUsed/>
    <w:rsid w:val="00CC47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doi.org:10.1126/science.291.5512.2429" TargetMode="External"/><Relationship Id="rId5" Type="http://schemas.openxmlformats.org/officeDocument/2006/relationships/image" Target="media/image1.png"/><Relationship Id="rId15" Type="http://schemas.openxmlformats.org/officeDocument/2006/relationships/customXml" Target="../customXml/item2.xml"/><Relationship Id="rId10" Type="http://schemas.openxmlformats.org/officeDocument/2006/relationships/hyperlink" Target="https://doi.org:10.1016/j.str.2021.06.007" TargetMode="External"/><Relationship Id="rId4" Type="http://schemas.openxmlformats.org/officeDocument/2006/relationships/webSettings" Target="webSettings.xml"/><Relationship Id="rId9" Type="http://schemas.openxmlformats.org/officeDocument/2006/relationships/hyperlink" Target="https://doi.org:10.1021/bi9631632"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580DDD6E32D24793B52EBDA382135E" ma:contentTypeVersion="24" ma:contentTypeDescription="Create a new document." ma:contentTypeScope="" ma:versionID="420b5df69e2a8ef095a347c37071042d">
  <xsd:schema xmlns:xsd="http://www.w3.org/2001/XMLSchema" xmlns:xs="http://www.w3.org/2001/XMLSchema" xmlns:p="http://schemas.microsoft.com/office/2006/metadata/properties" xmlns:ns2="03670651-1d3f-4393-a695-0ad38e7dc27c" xmlns:ns3="98cfd510-5244-40a7-ac81-0d7d1b58424e" targetNamespace="http://schemas.microsoft.com/office/2006/metadata/properties" ma:root="true" ma:fieldsID="43051459d3b7bcd6c9644565fa79aaf6" ns2:_="" ns3:_="">
    <xsd:import namespace="03670651-1d3f-4393-a695-0ad38e7dc27c"/>
    <xsd:import namespace="98cfd510-5244-40a7-ac81-0d7d1b58424e"/>
    <xsd:element name="properties">
      <xsd:complexType>
        <xsd:sequence>
          <xsd:element name="documentManagement">
            <xsd:complexType>
              <xsd:all>
                <xsd:element ref="ns2:MigrationSource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BillingMetadata" minOccurs="0"/>
                <xsd:element ref="ns3: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70651-1d3f-4393-a695-0ad38e7dc27c"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element name="TaxCatchAll" ma:index="19" nillable="true" ma:displayName="Taxonomy Catch All Column" ma:hidden="true" ma:list="{fe026092-a6d1-42a7-a35d-9d1bdd270ae7}" ma:internalName="TaxCatchAll" ma:showField="CatchAllData" ma:web="03670651-1d3f-4393-a695-0ad38e7dc2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cfd510-5244-40a7-ac81-0d7d1b58424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ObjectDetectorVersions" ma:index="13"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ArchiverLinkFileType" ma:index="23" nillable="true" ma:displayName="ArchiverLinkFileType" ma:hidden="true" ma:internalName="ArchiverLinkFileTyp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8cfd510-5244-40a7-ac81-0d7d1b58424e">
      <Terms xmlns="http://schemas.microsoft.com/office/infopath/2007/PartnerControls"/>
    </lcf76f155ced4ddcb4097134ff3c332f>
    <TaxCatchAll xmlns="03670651-1d3f-4393-a695-0ad38e7dc27c" xsi:nil="true"/>
    <ArchiverLinkFileType xmlns="98cfd510-5244-40a7-ac81-0d7d1b58424e" xsi:nil="true"/>
  </documentManagement>
</p:properties>
</file>

<file path=customXml/itemProps1.xml><?xml version="1.0" encoding="utf-8"?>
<ds:datastoreItem xmlns:ds="http://schemas.openxmlformats.org/officeDocument/2006/customXml" ds:itemID="{76C3DF19-82BD-48D5-99FF-75EFF98B3207}"/>
</file>

<file path=customXml/itemProps2.xml><?xml version="1.0" encoding="utf-8"?>
<ds:datastoreItem xmlns:ds="http://schemas.openxmlformats.org/officeDocument/2006/customXml" ds:itemID="{F78A24C7-C776-4275-9216-179827646DDE}"/>
</file>

<file path=customXml/itemProps3.xml><?xml version="1.0" encoding="utf-8"?>
<ds:datastoreItem xmlns:ds="http://schemas.openxmlformats.org/officeDocument/2006/customXml" ds:itemID="{676C1799-0E04-4618-8118-8A351E4B925D}"/>
</file>

<file path=docProps/app.xml><?xml version="1.0" encoding="utf-8"?>
<Properties xmlns="http://schemas.openxmlformats.org/officeDocument/2006/extended-properties" xmlns:vt="http://schemas.openxmlformats.org/officeDocument/2006/docPropsVTypes">
  <Template>Normal.dotm</Template>
  <TotalTime>52</TotalTime>
  <Pages>9</Pages>
  <Words>2007</Words>
  <Characters>11446</Characters>
  <Application>Microsoft Office Word</Application>
  <DocSecurity>0</DocSecurity>
  <Lines>95</Lines>
  <Paragraphs>26</Paragraphs>
  <ScaleCrop>false</ScaleCrop>
  <Company/>
  <LinksUpToDate>false</LinksUpToDate>
  <CharactersWithSpaces>13427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Wayment-Steele</dc:creator>
  <cp:keywords/>
  <dc:description/>
  <cp:lastModifiedBy>Hannah Wayment-Steele</cp:lastModifiedBy>
  <cp:revision>19</cp:revision>
  <dcterms:created xsi:type="dcterms:W3CDTF">2026-06-19T15:04:00Z</dcterms:created>
  <dcterms:modified xsi:type="dcterms:W3CDTF">2026-07-27T17:40:00Z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0x0101002A580DDD6E32D24793B52EBDA382135E</vt:lpwstr>
  </property>
</Properties>
</file>