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E2870" w14:textId="1E707647" w:rsidR="00076353" w:rsidRPr="00FD2004" w:rsidRDefault="00FD2004" w:rsidP="00FD2004">
      <w:pPr>
        <w:spacing w:line="278" w:lineRule="auto"/>
        <w:jc w:val="center"/>
        <w:rPr>
          <w:b/>
          <w:bCs/>
          <w:color w:val="000000" w:themeColor="text1"/>
        </w:rPr>
      </w:pPr>
      <w:r>
        <w:rPr>
          <w:rFonts w:eastAsiaTheme="minorHAnsi"/>
          <w:b/>
          <w:bCs/>
          <w:color w:val="000000" w:themeColor="text1"/>
          <w:kern w:val="2"/>
          <w14:ligatures w14:val="standardContextual"/>
        </w:rPr>
        <w:t>Supplementary Note 1: G</w:t>
      </w:r>
      <w:r w:rsidR="00076353" w:rsidRPr="006D4CB5">
        <w:rPr>
          <w:rFonts w:eastAsiaTheme="minorHAnsi"/>
          <w:b/>
          <w:bCs/>
          <w:color w:val="000000" w:themeColor="text1"/>
          <w:kern w:val="2"/>
          <w14:ligatures w14:val="standardContextual"/>
        </w:rPr>
        <w:t>eneral Information</w:t>
      </w:r>
    </w:p>
    <w:p w14:paraId="68424FB0" w14:textId="7CA86142" w:rsidR="00076353" w:rsidRPr="006D4CB5" w:rsidRDefault="00076353" w:rsidP="00FD2004">
      <w:pPr>
        <w:rPr>
          <w:color w:val="000000" w:themeColor="text1"/>
          <w:u w:val="single"/>
        </w:rPr>
      </w:pPr>
      <w:r w:rsidRPr="006D4CB5">
        <w:rPr>
          <w:color w:val="000000" w:themeColor="text1"/>
          <w:u w:val="single"/>
        </w:rPr>
        <w:t>1.</w:t>
      </w:r>
      <w:r w:rsidR="00EC23B9" w:rsidRPr="006D4CB5">
        <w:rPr>
          <w:color w:val="000000" w:themeColor="text1"/>
          <w:u w:val="single"/>
        </w:rPr>
        <w:t>1</w:t>
      </w:r>
      <w:r w:rsidRPr="006D4CB5">
        <w:rPr>
          <w:color w:val="000000" w:themeColor="text1"/>
          <w:u w:val="single"/>
        </w:rPr>
        <w:t xml:space="preserve"> Measures</w:t>
      </w:r>
    </w:p>
    <w:p w14:paraId="52F80E91" w14:textId="55FC4620" w:rsidR="00076353" w:rsidRPr="006D4CB5" w:rsidRDefault="00076353" w:rsidP="00FD2004">
      <w:pPr>
        <w:rPr>
          <w:color w:val="000000" w:themeColor="text1"/>
        </w:rPr>
      </w:pPr>
      <w:r w:rsidRPr="006D4CB5">
        <w:rPr>
          <w:color w:val="000000" w:themeColor="text1"/>
        </w:rPr>
        <w:tab/>
        <w:t>In each</w:t>
      </w:r>
      <w:r w:rsidR="00EC23B9" w:rsidRPr="006D4CB5">
        <w:rPr>
          <w:color w:val="000000" w:themeColor="text1"/>
        </w:rPr>
        <w:t xml:space="preserve"> of the k = 46</w:t>
      </w:r>
      <w:r w:rsidRPr="006D4CB5">
        <w:rPr>
          <w:color w:val="000000" w:themeColor="text1"/>
        </w:rPr>
        <w:t xml:space="preserve"> cohort</w:t>
      </w:r>
      <w:r w:rsidR="00EC23B9" w:rsidRPr="006D4CB5">
        <w:rPr>
          <w:color w:val="000000" w:themeColor="text1"/>
        </w:rPr>
        <w:t>s that contributed to this meta-analysis</w:t>
      </w:r>
      <w:r w:rsidRPr="006D4CB5">
        <w:rPr>
          <w:color w:val="000000" w:themeColor="text1"/>
        </w:rPr>
        <w:t xml:space="preserve">, one or more Big Five personality traits were assessed via multi-item questionnaire scales (see </w:t>
      </w:r>
      <w:r w:rsidRPr="006D4CB5">
        <w:rPr>
          <w:b/>
          <w:bCs/>
          <w:color w:val="000000" w:themeColor="text1"/>
        </w:rPr>
        <w:t xml:space="preserve">Supplementary Tables S1 and S2 </w:t>
      </w:r>
      <w:r w:rsidRPr="006D4CB5">
        <w:rPr>
          <w:color w:val="000000" w:themeColor="text1"/>
        </w:rPr>
        <w:t xml:space="preserve">for complete information). Scales qualified for study inclusion under four criteria (see SOP Analysis Plan document at </w:t>
      </w:r>
      <w:hyperlink r:id="rId7" w:history="1">
        <w:r w:rsidR="00F6431F" w:rsidRPr="006D4CB5">
          <w:rPr>
            <w:rStyle w:val="Hyperlink"/>
            <w:color w:val="000000" w:themeColor="text1"/>
          </w:rPr>
          <w:t>https://osf.io/rsc49</w:t>
        </w:r>
      </w:hyperlink>
      <w:r w:rsidRPr="006D4CB5">
        <w:rPr>
          <w:color w:val="000000" w:themeColor="text1"/>
        </w:rPr>
        <w:t xml:space="preserve">). First, we included data from validated questionnaires specifically designed to measure the Big Five, such as the Big Five Inventory (John et al., 1991) or the NEO Personality Inventory-Revised (Costa &amp; McCrae, </w:t>
      </w:r>
      <w:r w:rsidR="00004F61" w:rsidRPr="006D4CB5">
        <w:rPr>
          <w:color w:val="000000" w:themeColor="text1"/>
        </w:rPr>
        <w:t>1992</w:t>
      </w:r>
      <w:r w:rsidRPr="006D4CB5">
        <w:rPr>
          <w:color w:val="000000" w:themeColor="text1"/>
        </w:rPr>
        <w:t>). This comprised most of our data (k = 39 cohorts). We also included the extraversion and neuroticism scales of the Eysenck Personality Questionnaire (EPQ; Eysenck &amp; Eysenck, 19</w:t>
      </w:r>
      <w:r w:rsidR="004C3B40" w:rsidRPr="006D4CB5">
        <w:rPr>
          <w:color w:val="000000" w:themeColor="text1"/>
        </w:rPr>
        <w:t>9</w:t>
      </w:r>
      <w:r w:rsidRPr="006D4CB5">
        <w:rPr>
          <w:color w:val="000000" w:themeColor="text1"/>
        </w:rPr>
        <w:t xml:space="preserve">4; k = 4 cohorts); phenotypic research and our genetic comparisons in the </w:t>
      </w:r>
      <w:r w:rsidRPr="006D4CB5">
        <w:rPr>
          <w:b/>
          <w:bCs/>
          <w:color w:val="000000" w:themeColor="text1"/>
        </w:rPr>
        <w:t>Main Text</w:t>
      </w:r>
      <w:r w:rsidRPr="006D4CB5">
        <w:rPr>
          <w:color w:val="000000" w:themeColor="text1"/>
        </w:rPr>
        <w:t xml:space="preserve"> and section 3.</w:t>
      </w:r>
      <w:r w:rsidR="007F1923" w:rsidRPr="006D4CB5">
        <w:rPr>
          <w:color w:val="000000" w:themeColor="text1"/>
        </w:rPr>
        <w:t>5</w:t>
      </w:r>
      <w:r w:rsidRPr="006D4CB5">
        <w:rPr>
          <w:color w:val="000000" w:themeColor="text1"/>
        </w:rPr>
        <w:t xml:space="preserve"> (Genomic SEM Analyses Stratified by Measurement Instrument) confirm that these scales are highly congruent with extraversion and neuroticism as instantiated in the Big Five. We included the extraversion, conscientiousness, and openness scales of the HEXACO inventory (k = 1); these three traits are theoretically congruent with the Big Five (Lee &amp; Ashton, 2004). Finally, we included data from Big Five trait scales created specifically for these analyses using factor analysis from item subsets of a broader personality questionnaire (k = 2). We excluded scales that measure personality traits outside the Big Five (e.g., psychoticism), measure personality with a single item, or measure narrower personality facets of the Big Five (e.g., sociability).</w:t>
      </w:r>
    </w:p>
    <w:p w14:paraId="1153C5A4" w14:textId="464A4184" w:rsidR="00076353" w:rsidRPr="006D4CB5" w:rsidRDefault="00076353" w:rsidP="00076353">
      <w:pPr>
        <w:spacing w:line="259" w:lineRule="auto"/>
        <w:ind w:firstLine="720"/>
        <w:rPr>
          <w:color w:val="000000" w:themeColor="text1"/>
        </w:rPr>
      </w:pPr>
      <w:r w:rsidRPr="006D4CB5">
        <w:rPr>
          <w:color w:val="000000" w:themeColor="text1"/>
        </w:rPr>
        <w:t>Typically (in k = 45/46 studies) participants responded to the questionnaire by self-reporting the extent to which various adjectives (e.g., “</w:t>
      </w:r>
      <w:r w:rsidRPr="006D4CB5">
        <w:rPr>
          <w:i/>
          <w:iCs/>
          <w:color w:val="000000" w:themeColor="text1"/>
        </w:rPr>
        <w:t>Talkative”</w:t>
      </w:r>
      <w:r w:rsidRPr="006D4CB5">
        <w:rPr>
          <w:color w:val="000000" w:themeColor="text1"/>
        </w:rPr>
        <w:t xml:space="preserve">) or phrases (e.g., </w:t>
      </w:r>
      <w:r w:rsidRPr="006D4CB5">
        <w:rPr>
          <w:i/>
          <w:iCs/>
          <w:color w:val="000000" w:themeColor="text1"/>
        </w:rPr>
        <w:t>“Talks a lot”</w:t>
      </w:r>
      <w:r w:rsidRPr="006D4CB5">
        <w:rPr>
          <w:color w:val="000000" w:themeColor="text1"/>
        </w:rPr>
        <w:t>) apply to them, using either binary logic (“</w:t>
      </w:r>
      <w:r w:rsidRPr="006D4CB5">
        <w:rPr>
          <w:i/>
          <w:iCs/>
          <w:color w:val="000000" w:themeColor="text1"/>
        </w:rPr>
        <w:t>Yes</w:t>
      </w:r>
      <w:r w:rsidRPr="006D4CB5">
        <w:rPr>
          <w:color w:val="000000" w:themeColor="text1"/>
        </w:rPr>
        <w:t xml:space="preserve">” or </w:t>
      </w:r>
      <w:r w:rsidRPr="006D4CB5">
        <w:rPr>
          <w:i/>
          <w:iCs/>
          <w:color w:val="000000" w:themeColor="text1"/>
        </w:rPr>
        <w:t>“No</w:t>
      </w:r>
      <w:r w:rsidRPr="006D4CB5">
        <w:rPr>
          <w:color w:val="000000" w:themeColor="text1"/>
        </w:rPr>
        <w:t>”) or a multiple-point Likert scale (</w:t>
      </w:r>
      <w:r w:rsidRPr="006D4CB5">
        <w:rPr>
          <w:i/>
          <w:iCs/>
          <w:color w:val="000000" w:themeColor="text1"/>
        </w:rPr>
        <w:t>“Disagree a lot” – Agree a lot</w:t>
      </w:r>
      <w:r w:rsidRPr="006D4CB5">
        <w:rPr>
          <w:color w:val="000000" w:themeColor="text1"/>
        </w:rPr>
        <w:t xml:space="preserve">”). Most scales contained </w:t>
      </w:r>
      <w:r w:rsidR="007F1923" w:rsidRPr="006D4CB5">
        <w:rPr>
          <w:color w:val="000000" w:themeColor="text1"/>
        </w:rPr>
        <w:t xml:space="preserve">some </w:t>
      </w:r>
      <w:proofErr w:type="gramStart"/>
      <w:r w:rsidRPr="006D4CB5">
        <w:rPr>
          <w:color w:val="000000" w:themeColor="text1"/>
        </w:rPr>
        <w:t>negatively-worded</w:t>
      </w:r>
      <w:proofErr w:type="gramEnd"/>
      <w:r w:rsidRPr="006D4CB5">
        <w:rPr>
          <w:color w:val="000000" w:themeColor="text1"/>
        </w:rPr>
        <w:t xml:space="preserve"> items assessing a trait’s low pole (e.g., </w:t>
      </w:r>
      <w:r w:rsidRPr="006D4CB5">
        <w:rPr>
          <w:i/>
          <w:iCs/>
          <w:color w:val="000000" w:themeColor="text1"/>
        </w:rPr>
        <w:t>“Quiet”</w:t>
      </w:r>
      <w:r w:rsidRPr="006D4CB5">
        <w:rPr>
          <w:color w:val="000000" w:themeColor="text1"/>
        </w:rPr>
        <w:t xml:space="preserve">) that were reverse-scored. For each trait scale, we averaged responses across items to form a multi-item continuous composite score. In the ALSPAC cohort, participants’ personality traits were reported on by their mother, and in supplementary EBB cohort data not incorporated in the discovery GWAS, participants’ personality traits were reported on by a nominated close other. Comparisons reported in the </w:t>
      </w:r>
      <w:r w:rsidRPr="006D4CB5">
        <w:rPr>
          <w:b/>
          <w:bCs/>
          <w:color w:val="000000" w:themeColor="text1"/>
        </w:rPr>
        <w:t>Main Text</w:t>
      </w:r>
      <w:r w:rsidRPr="006D4CB5">
        <w:rPr>
          <w:color w:val="000000" w:themeColor="text1"/>
        </w:rPr>
        <w:t xml:space="preserve"> confirm that it is appropriate to synthesize scores across these rater perspectives. </w:t>
      </w:r>
    </w:p>
    <w:p w14:paraId="55D1ECCF" w14:textId="77777777" w:rsidR="00076353" w:rsidRPr="006D4CB5" w:rsidRDefault="00076353" w:rsidP="00076353">
      <w:pPr>
        <w:ind w:firstLine="720"/>
        <w:rPr>
          <w:color w:val="000000" w:themeColor="text1"/>
        </w:rPr>
      </w:pPr>
      <w:r w:rsidRPr="006D4CB5">
        <w:rPr>
          <w:color w:val="000000" w:themeColor="text1"/>
        </w:rPr>
        <w:t xml:space="preserve">In cohorts that measured personality traits at multiple time points, we aggregated this longitudinal information into a maximally trait-like score by averaging a participant’s scores across these measurement occasions and conducting analyses on this aggregated phenotype. To facilitate synthesis across cohorts, scores were standardized to a mean of 0 and a standard deviation of 1 prior to analyses. </w:t>
      </w:r>
    </w:p>
    <w:p w14:paraId="71769EEF" w14:textId="77777777" w:rsidR="00076353" w:rsidRPr="006D4CB5" w:rsidRDefault="00076353" w:rsidP="00076353">
      <w:pPr>
        <w:rPr>
          <w:color w:val="000000" w:themeColor="text1"/>
        </w:rPr>
      </w:pPr>
    </w:p>
    <w:p w14:paraId="6EBC1994" w14:textId="3FD73D4F" w:rsidR="00076353" w:rsidRPr="006D4CB5" w:rsidRDefault="00076353" w:rsidP="00076353">
      <w:pPr>
        <w:rPr>
          <w:color w:val="000000" w:themeColor="text1"/>
          <w:u w:val="single"/>
        </w:rPr>
      </w:pPr>
      <w:r w:rsidRPr="006D4CB5">
        <w:rPr>
          <w:color w:val="000000" w:themeColor="text1"/>
          <w:u w:val="single"/>
        </w:rPr>
        <w:t>1.</w:t>
      </w:r>
      <w:r w:rsidR="00EC23B9" w:rsidRPr="006D4CB5">
        <w:rPr>
          <w:color w:val="000000" w:themeColor="text1"/>
          <w:u w:val="single"/>
        </w:rPr>
        <w:t>2</w:t>
      </w:r>
      <w:r w:rsidRPr="006D4CB5">
        <w:rPr>
          <w:color w:val="000000" w:themeColor="text1"/>
          <w:u w:val="single"/>
        </w:rPr>
        <w:t>. Software</w:t>
      </w:r>
    </w:p>
    <w:p w14:paraId="412E2C0A" w14:textId="307ED396" w:rsidR="00076353" w:rsidRPr="006D4CB5" w:rsidRDefault="00076353" w:rsidP="00076353">
      <w:pPr>
        <w:rPr>
          <w:color w:val="000000" w:themeColor="text1"/>
        </w:rPr>
      </w:pPr>
      <w:r w:rsidRPr="006D4CB5">
        <w:rPr>
          <w:color w:val="000000" w:themeColor="text1"/>
        </w:rPr>
        <w:tab/>
        <w:t xml:space="preserve">Analyses were conducted using the Howe and colleagues (2022) within-sibship analytic pipeline, the programs </w:t>
      </w:r>
      <w:proofErr w:type="spellStart"/>
      <w:r w:rsidRPr="006D4CB5">
        <w:rPr>
          <w:color w:val="000000" w:themeColor="text1"/>
        </w:rPr>
        <w:t>fastGWA</w:t>
      </w:r>
      <w:proofErr w:type="spellEnd"/>
      <w:r w:rsidRPr="006D4CB5">
        <w:rPr>
          <w:color w:val="000000" w:themeColor="text1"/>
        </w:rPr>
        <w:t xml:space="preserve"> (Jiang et al., 2019), PLINK </w:t>
      </w:r>
      <w:r w:rsidR="00C5323B" w:rsidRPr="006D4CB5">
        <w:rPr>
          <w:color w:val="000000" w:themeColor="text1"/>
        </w:rPr>
        <w:t xml:space="preserve">version 1.9 </w:t>
      </w:r>
      <w:r w:rsidRPr="006D4CB5">
        <w:rPr>
          <w:color w:val="000000" w:themeColor="text1"/>
        </w:rPr>
        <w:t xml:space="preserve">(Purcell et al., 2007), PLINK2 (Chang et al., 2015), </w:t>
      </w:r>
      <w:r w:rsidR="00E46909" w:rsidRPr="006D4CB5">
        <w:rPr>
          <w:color w:val="000000" w:themeColor="text1"/>
        </w:rPr>
        <w:t xml:space="preserve">GCTA </w:t>
      </w:r>
      <w:r w:rsidR="00C5323B" w:rsidRPr="006D4CB5">
        <w:rPr>
          <w:color w:val="000000" w:themeColor="text1"/>
        </w:rPr>
        <w:t xml:space="preserve">version 1.94 </w:t>
      </w:r>
      <w:r w:rsidR="00E46909" w:rsidRPr="006D4CB5">
        <w:rPr>
          <w:color w:val="000000" w:themeColor="text1"/>
        </w:rPr>
        <w:t>(Yang et al., 2011), BOLT-LMM</w:t>
      </w:r>
      <w:r w:rsidR="00C5323B" w:rsidRPr="006D4CB5">
        <w:rPr>
          <w:color w:val="000000" w:themeColor="text1"/>
        </w:rPr>
        <w:t xml:space="preserve"> version 2.41</w:t>
      </w:r>
      <w:r w:rsidR="00E46909" w:rsidRPr="006D4CB5">
        <w:rPr>
          <w:color w:val="000000" w:themeColor="text1"/>
        </w:rPr>
        <w:t xml:space="preserve"> (Loh et al., 2015), </w:t>
      </w:r>
      <w:r w:rsidR="00C5323B" w:rsidRPr="006D4CB5">
        <w:rPr>
          <w:color w:val="000000" w:themeColor="text1"/>
        </w:rPr>
        <w:t xml:space="preserve">FUMA (Watanabe et al., 2017), </w:t>
      </w:r>
      <w:r w:rsidR="00E46909" w:rsidRPr="006D4CB5">
        <w:rPr>
          <w:color w:val="000000" w:themeColor="text1"/>
        </w:rPr>
        <w:t>POPCORN (Brown et al., 2016), MAGMA (de Leeuw et al., 2015), PRS-</w:t>
      </w:r>
      <w:proofErr w:type="spellStart"/>
      <w:r w:rsidR="00E46909" w:rsidRPr="006D4CB5">
        <w:rPr>
          <w:color w:val="000000" w:themeColor="text1"/>
        </w:rPr>
        <w:t>CSx</w:t>
      </w:r>
      <w:proofErr w:type="spellEnd"/>
      <w:r w:rsidR="00E46909" w:rsidRPr="006D4CB5">
        <w:rPr>
          <w:color w:val="000000" w:themeColor="text1"/>
        </w:rPr>
        <w:t xml:space="preserve"> (Ruan et al., 2022), </w:t>
      </w:r>
      <w:proofErr w:type="spellStart"/>
      <w:r w:rsidRPr="006D4CB5">
        <w:rPr>
          <w:color w:val="000000" w:themeColor="text1"/>
        </w:rPr>
        <w:t>SBayesR</w:t>
      </w:r>
      <w:proofErr w:type="spellEnd"/>
      <w:r w:rsidRPr="006D4CB5">
        <w:rPr>
          <w:color w:val="000000" w:themeColor="text1"/>
        </w:rPr>
        <w:t xml:space="preserve"> (Lloyd-Jones et al., 2019), </w:t>
      </w:r>
      <w:proofErr w:type="spellStart"/>
      <w:r w:rsidRPr="006D4CB5">
        <w:rPr>
          <w:color w:val="000000" w:themeColor="text1"/>
        </w:rPr>
        <w:t>SNiPAR</w:t>
      </w:r>
      <w:proofErr w:type="spellEnd"/>
      <w:r w:rsidRPr="006D4CB5">
        <w:rPr>
          <w:color w:val="000000" w:themeColor="text1"/>
        </w:rPr>
        <w:t xml:space="preserve"> (Young et al., 2022), SLD4M (O’Connor et al., 2019), and R version 4.3.1 (R Core Team, 2023) using R data-management packages </w:t>
      </w:r>
      <w:proofErr w:type="spellStart"/>
      <w:r w:rsidRPr="006D4CB5">
        <w:rPr>
          <w:color w:val="000000" w:themeColor="text1"/>
        </w:rPr>
        <w:t>dplyr</w:t>
      </w:r>
      <w:proofErr w:type="spellEnd"/>
      <w:r w:rsidRPr="006D4CB5">
        <w:rPr>
          <w:color w:val="000000" w:themeColor="text1"/>
        </w:rPr>
        <w:t xml:space="preserve"> (Wickham et al., 2019), </w:t>
      </w:r>
      <w:proofErr w:type="spellStart"/>
      <w:r w:rsidRPr="006D4CB5">
        <w:rPr>
          <w:color w:val="000000" w:themeColor="text1"/>
        </w:rPr>
        <w:t>data.table</w:t>
      </w:r>
      <w:proofErr w:type="spellEnd"/>
      <w:r w:rsidRPr="006D4CB5">
        <w:rPr>
          <w:color w:val="000000" w:themeColor="text1"/>
        </w:rPr>
        <w:t xml:space="preserve"> (Dowle et al., 2019), and psych (Revelle, 2017), R visualization packages </w:t>
      </w:r>
      <w:proofErr w:type="spellStart"/>
      <w:r w:rsidRPr="006D4CB5">
        <w:rPr>
          <w:color w:val="000000" w:themeColor="text1"/>
        </w:rPr>
        <w:t>corrplot</w:t>
      </w:r>
      <w:proofErr w:type="spellEnd"/>
      <w:r w:rsidRPr="006D4CB5">
        <w:rPr>
          <w:color w:val="000000" w:themeColor="text1"/>
        </w:rPr>
        <w:t xml:space="preserve"> (Wei et al., 2017), ggplot2 (Wickham et al., 2019), and </w:t>
      </w:r>
      <w:proofErr w:type="spellStart"/>
      <w:r w:rsidRPr="006D4CB5">
        <w:rPr>
          <w:color w:val="000000" w:themeColor="text1"/>
        </w:rPr>
        <w:t>qqman</w:t>
      </w:r>
      <w:proofErr w:type="spellEnd"/>
      <w:r w:rsidRPr="006D4CB5">
        <w:rPr>
          <w:color w:val="000000" w:themeColor="text1"/>
        </w:rPr>
        <w:t xml:space="preserve"> (Turner, 2014), and R analysis packages </w:t>
      </w:r>
      <w:proofErr w:type="spellStart"/>
      <w:r w:rsidR="00E46909" w:rsidRPr="006D4CB5">
        <w:rPr>
          <w:color w:val="000000" w:themeColor="text1"/>
        </w:rPr>
        <w:t>lavaan</w:t>
      </w:r>
      <w:proofErr w:type="spellEnd"/>
      <w:r w:rsidR="00E46909" w:rsidRPr="006D4CB5">
        <w:rPr>
          <w:color w:val="000000" w:themeColor="text1"/>
        </w:rPr>
        <w:t xml:space="preserve"> (Rosseel, 201</w:t>
      </w:r>
      <w:r w:rsidR="00BF69D1" w:rsidRPr="006D4CB5">
        <w:rPr>
          <w:color w:val="000000" w:themeColor="text1"/>
        </w:rPr>
        <w:t>2</w:t>
      </w:r>
      <w:r w:rsidR="00E46909" w:rsidRPr="006D4CB5">
        <w:rPr>
          <w:color w:val="000000" w:themeColor="text1"/>
        </w:rPr>
        <w:t xml:space="preserve">), </w:t>
      </w:r>
      <w:r w:rsidR="004C3B40" w:rsidRPr="006D4CB5">
        <w:rPr>
          <w:color w:val="000000" w:themeColor="text1"/>
        </w:rPr>
        <w:t xml:space="preserve">lme4 (Bates, 2010), </w:t>
      </w:r>
      <w:proofErr w:type="spellStart"/>
      <w:r w:rsidR="00E46909" w:rsidRPr="006D4CB5">
        <w:rPr>
          <w:color w:val="000000" w:themeColor="text1"/>
        </w:rPr>
        <w:t>metafor</w:t>
      </w:r>
      <w:proofErr w:type="spellEnd"/>
      <w:r w:rsidR="00E46909" w:rsidRPr="006D4CB5">
        <w:rPr>
          <w:color w:val="000000" w:themeColor="text1"/>
        </w:rPr>
        <w:t xml:space="preserve"> (</w:t>
      </w:r>
      <w:proofErr w:type="spellStart"/>
      <w:r w:rsidR="00E46909" w:rsidRPr="006D4CB5">
        <w:rPr>
          <w:color w:val="000000" w:themeColor="text1"/>
        </w:rPr>
        <w:t>Viechtbauer</w:t>
      </w:r>
      <w:proofErr w:type="spellEnd"/>
      <w:r w:rsidR="00E46909" w:rsidRPr="006D4CB5">
        <w:rPr>
          <w:color w:val="000000" w:themeColor="text1"/>
        </w:rPr>
        <w:t xml:space="preserve">, 2010), </w:t>
      </w:r>
      <w:proofErr w:type="spellStart"/>
      <w:r w:rsidRPr="006D4CB5">
        <w:rPr>
          <w:color w:val="000000" w:themeColor="text1"/>
        </w:rPr>
        <w:t>EasyQC</w:t>
      </w:r>
      <w:proofErr w:type="spellEnd"/>
      <w:r w:rsidRPr="006D4CB5">
        <w:rPr>
          <w:color w:val="000000" w:themeColor="text1"/>
        </w:rPr>
        <w:t xml:space="preserve"> (Winkler et </w:t>
      </w:r>
      <w:r w:rsidRPr="006D4CB5">
        <w:rPr>
          <w:color w:val="000000" w:themeColor="text1"/>
        </w:rPr>
        <w:lastRenderedPageBreak/>
        <w:t xml:space="preserve">al., 2014), </w:t>
      </w:r>
      <w:proofErr w:type="spellStart"/>
      <w:r w:rsidRPr="006D4CB5">
        <w:rPr>
          <w:color w:val="000000" w:themeColor="text1"/>
        </w:rPr>
        <w:t>GenomicSEM</w:t>
      </w:r>
      <w:proofErr w:type="spellEnd"/>
      <w:r w:rsidRPr="006D4CB5">
        <w:rPr>
          <w:color w:val="000000" w:themeColor="text1"/>
        </w:rPr>
        <w:t xml:space="preserve"> (Grotzinger et al., 2019), and </w:t>
      </w:r>
      <w:proofErr w:type="spellStart"/>
      <w:r w:rsidRPr="006D4CB5">
        <w:rPr>
          <w:color w:val="000000" w:themeColor="text1"/>
        </w:rPr>
        <w:t>ieugwasr</w:t>
      </w:r>
      <w:proofErr w:type="spellEnd"/>
      <w:r w:rsidRPr="006D4CB5">
        <w:rPr>
          <w:color w:val="000000" w:themeColor="text1"/>
        </w:rPr>
        <w:t xml:space="preserve"> and </w:t>
      </w:r>
      <w:proofErr w:type="spellStart"/>
      <w:r w:rsidRPr="006D4CB5">
        <w:rPr>
          <w:color w:val="000000" w:themeColor="text1"/>
        </w:rPr>
        <w:t>TwoSampleMR</w:t>
      </w:r>
      <w:proofErr w:type="spellEnd"/>
      <w:r w:rsidRPr="006D4CB5">
        <w:rPr>
          <w:color w:val="000000" w:themeColor="text1"/>
        </w:rPr>
        <w:t xml:space="preserve"> (Hemani et al., 2018).</w:t>
      </w:r>
    </w:p>
    <w:p w14:paraId="235C5D6B" w14:textId="77777777" w:rsidR="00076353" w:rsidRPr="006D4CB5" w:rsidRDefault="00076353" w:rsidP="00076353">
      <w:pPr>
        <w:rPr>
          <w:color w:val="000000" w:themeColor="text1"/>
        </w:rPr>
      </w:pPr>
    </w:p>
    <w:p w14:paraId="297886EC" w14:textId="631120ED" w:rsidR="00076353" w:rsidRPr="006D4CB5" w:rsidRDefault="00FD2004" w:rsidP="00FD2004">
      <w:pPr>
        <w:contextualSpacing/>
        <w:jc w:val="center"/>
        <w:rPr>
          <w:rFonts w:eastAsiaTheme="minorHAnsi"/>
          <w:b/>
          <w:bCs/>
          <w:color w:val="000000" w:themeColor="text1"/>
          <w:kern w:val="2"/>
          <w14:ligatures w14:val="standardContextual"/>
        </w:rPr>
      </w:pPr>
      <w:r>
        <w:rPr>
          <w:rFonts w:eastAsiaTheme="minorHAnsi"/>
          <w:b/>
          <w:bCs/>
          <w:color w:val="000000" w:themeColor="text1"/>
          <w:kern w:val="2"/>
          <w14:ligatures w14:val="standardContextual"/>
        </w:rPr>
        <w:t xml:space="preserve">Supplementary Note 2: </w:t>
      </w:r>
      <w:r w:rsidR="00076353" w:rsidRPr="006D4CB5">
        <w:rPr>
          <w:rFonts w:eastAsiaTheme="minorHAnsi"/>
          <w:b/>
          <w:bCs/>
          <w:color w:val="000000" w:themeColor="text1"/>
          <w:kern w:val="2"/>
          <w14:ligatures w14:val="standardContextual"/>
        </w:rPr>
        <w:t>Population-level Association Meta-Analysis</w:t>
      </w:r>
    </w:p>
    <w:p w14:paraId="0FDCD64B" w14:textId="77777777" w:rsidR="00076353" w:rsidRPr="006D4CB5" w:rsidRDefault="00076353" w:rsidP="00076353">
      <w:pPr>
        <w:rPr>
          <w:color w:val="000000" w:themeColor="text1"/>
          <w:u w:val="single"/>
        </w:rPr>
      </w:pPr>
    </w:p>
    <w:p w14:paraId="3526284C" w14:textId="77777777" w:rsidR="003E72B9" w:rsidRPr="006D4CB5" w:rsidRDefault="00076353" w:rsidP="003E72B9">
      <w:pPr>
        <w:rPr>
          <w:color w:val="000000" w:themeColor="text1"/>
          <w:u w:val="single"/>
        </w:rPr>
      </w:pPr>
      <w:r w:rsidRPr="006D4CB5">
        <w:rPr>
          <w:color w:val="000000" w:themeColor="text1"/>
          <w:u w:val="single"/>
        </w:rPr>
        <w:t>2.1 Cohort-Specific Quality Contro</w:t>
      </w:r>
      <w:r w:rsidR="003E72B9" w:rsidRPr="006D4CB5">
        <w:rPr>
          <w:color w:val="000000" w:themeColor="text1"/>
          <w:u w:val="single"/>
        </w:rPr>
        <w:t>l</w:t>
      </w:r>
    </w:p>
    <w:p w14:paraId="07C2C418" w14:textId="185FBDC4" w:rsidR="00076353" w:rsidRPr="006D4CB5" w:rsidRDefault="00076353" w:rsidP="00D51AE2">
      <w:pPr>
        <w:ind w:firstLine="720"/>
        <w:rPr>
          <w:color w:val="000000" w:themeColor="text1"/>
        </w:rPr>
      </w:pPr>
      <w:r w:rsidRPr="006D4CB5">
        <w:rPr>
          <w:color w:val="000000" w:themeColor="text1"/>
        </w:rPr>
        <w:t xml:space="preserve">As a preliminary step, participants were stratified by recent genetic ancestry to minimize confounding due to population structure and allelic frequency differences. The strategy for genetic ancestry identification varies by cohort (see </w:t>
      </w:r>
      <w:r w:rsidRPr="006D4CB5">
        <w:rPr>
          <w:b/>
          <w:bCs/>
          <w:color w:val="000000" w:themeColor="text1"/>
        </w:rPr>
        <w:t>Contributing Cohorts</w:t>
      </w:r>
      <w:r w:rsidRPr="006D4CB5">
        <w:rPr>
          <w:color w:val="000000" w:themeColor="text1"/>
        </w:rPr>
        <w:t xml:space="preserve"> below for specifics). Typically, analysts clustered participants by plotting multivariate vectors of local genetic variation, identifying maximally homogenous subgroups of participants, and then labeling these clusters with respect to similarity to 1000 Genomes Project superpopulations (1000 Genomes Project Consortium, 2015).</w:t>
      </w:r>
      <w:r w:rsidR="00EC23B9" w:rsidRPr="006D4CB5">
        <w:rPr>
          <w:color w:val="000000" w:themeColor="text1"/>
        </w:rPr>
        <w:t xml:space="preserve"> </w:t>
      </w:r>
      <w:r w:rsidRPr="006D4CB5">
        <w:rPr>
          <w:color w:val="000000" w:themeColor="text1"/>
        </w:rPr>
        <w:t xml:space="preserve">Analysts then implemented pre-imputation quality control according to </w:t>
      </w:r>
      <w:r w:rsidR="00EC23B9" w:rsidRPr="006D4CB5">
        <w:rPr>
          <w:color w:val="000000" w:themeColor="text1"/>
        </w:rPr>
        <w:t>specifications presented in the main text.</w:t>
      </w:r>
      <w:r w:rsidRPr="006D4CB5">
        <w:rPr>
          <w:color w:val="000000" w:themeColor="text1"/>
        </w:rPr>
        <w:t xml:space="preserve"> </w:t>
      </w:r>
      <w:r w:rsidR="00EC23B9" w:rsidRPr="006D4CB5">
        <w:rPr>
          <w:color w:val="000000" w:themeColor="text1"/>
        </w:rPr>
        <w:t>G</w:t>
      </w:r>
      <w:r w:rsidRPr="006D4CB5">
        <w:rPr>
          <w:color w:val="000000" w:themeColor="text1"/>
        </w:rPr>
        <w:t>enotypes were aligned to build 37/hg19 on the forward strand</w:t>
      </w:r>
      <w:r w:rsidR="00EC23B9" w:rsidRPr="006D4CB5">
        <w:rPr>
          <w:color w:val="000000" w:themeColor="text1"/>
        </w:rPr>
        <w:t xml:space="preserve">. </w:t>
      </w:r>
      <w:r w:rsidRPr="006D4CB5">
        <w:rPr>
          <w:color w:val="000000" w:themeColor="text1"/>
        </w:rPr>
        <w:t xml:space="preserve">Across cohorts, 2.5 to 8 million SNPs passed these QC filters for each trait (see </w:t>
      </w:r>
      <w:r w:rsidRPr="006D4CB5">
        <w:rPr>
          <w:b/>
          <w:bCs/>
          <w:color w:val="000000" w:themeColor="text1"/>
        </w:rPr>
        <w:t>Supplementary Tables S1</w:t>
      </w:r>
      <w:r w:rsidRPr="006D4CB5">
        <w:rPr>
          <w:color w:val="000000" w:themeColor="text1"/>
        </w:rPr>
        <w:t xml:space="preserve"> </w:t>
      </w:r>
      <w:r w:rsidRPr="006D4CB5">
        <w:rPr>
          <w:b/>
          <w:bCs/>
          <w:color w:val="000000" w:themeColor="text1"/>
        </w:rPr>
        <w:t>and S2</w:t>
      </w:r>
      <w:r w:rsidRPr="006D4CB5">
        <w:rPr>
          <w:color w:val="000000" w:themeColor="text1"/>
        </w:rPr>
        <w:t xml:space="preserve"> for information on each cohort).</w:t>
      </w:r>
    </w:p>
    <w:p w14:paraId="55E9933A" w14:textId="77777777" w:rsidR="00076353" w:rsidRPr="006D4CB5" w:rsidRDefault="00076353" w:rsidP="00076353">
      <w:pPr>
        <w:rPr>
          <w:color w:val="000000" w:themeColor="text1"/>
        </w:rPr>
      </w:pPr>
    </w:p>
    <w:p w14:paraId="7CC1EEFC" w14:textId="77777777" w:rsidR="00076353" w:rsidRPr="006D4CB5" w:rsidRDefault="00076353" w:rsidP="00076353">
      <w:pPr>
        <w:rPr>
          <w:color w:val="000000" w:themeColor="text1"/>
          <w:u w:val="single"/>
        </w:rPr>
      </w:pPr>
      <w:r w:rsidRPr="006D4CB5">
        <w:rPr>
          <w:color w:val="000000" w:themeColor="text1"/>
          <w:u w:val="single"/>
        </w:rPr>
        <w:t>2.2 GWAS Model</w:t>
      </w:r>
    </w:p>
    <w:p w14:paraId="36FA2E5C" w14:textId="1D818792" w:rsidR="00076353" w:rsidRPr="006D4CB5" w:rsidRDefault="00076353" w:rsidP="00076353">
      <w:pPr>
        <w:ind w:firstLine="720"/>
        <w:rPr>
          <w:color w:val="000000" w:themeColor="text1"/>
        </w:rPr>
      </w:pPr>
      <w:r w:rsidRPr="006D4CB5">
        <w:rPr>
          <w:color w:val="000000" w:themeColor="text1"/>
        </w:rPr>
        <w:t xml:space="preserve"> For each trait in each cohort, stratified by participants</w:t>
      </w:r>
      <w:r w:rsidR="001B70C0">
        <w:rPr>
          <w:color w:val="000000" w:themeColor="text1"/>
        </w:rPr>
        <w:t xml:space="preserve"> with EUR-like and AFR-like genomes</w:t>
      </w:r>
      <w:r w:rsidRPr="006D4CB5">
        <w:rPr>
          <w:color w:val="000000" w:themeColor="text1"/>
        </w:rPr>
        <w:t xml:space="preserve">, we regressed personality trait score, </w:t>
      </w:r>
      <w:r w:rsidRPr="006D4CB5">
        <w:rPr>
          <w:i/>
          <w:iCs/>
          <w:color w:val="000000" w:themeColor="text1"/>
        </w:rPr>
        <w:t xml:space="preserve">y, </w:t>
      </w:r>
      <w:r w:rsidRPr="006D4CB5">
        <w:rPr>
          <w:color w:val="000000" w:themeColor="text1"/>
        </w:rPr>
        <w:t>on each available autosomal biallelic SNP using an additive genetic model (SNP = 0, 1, or 2 effect alleles), controlling for chromosomal sex, age and age</w:t>
      </w:r>
      <w:r w:rsidRPr="006D4CB5">
        <w:rPr>
          <w:color w:val="000000" w:themeColor="text1"/>
          <w:vertAlign w:val="superscript"/>
        </w:rPr>
        <w:t>2</w:t>
      </w:r>
      <w:r w:rsidRPr="006D4CB5">
        <w:rPr>
          <w:color w:val="000000" w:themeColor="text1"/>
        </w:rPr>
        <w:t xml:space="preserve"> (to account for nonlinear developmental trajectories of personality traits across the lifespan; </w:t>
      </w:r>
      <w:proofErr w:type="spellStart"/>
      <w:r w:rsidRPr="006D4CB5">
        <w:rPr>
          <w:color w:val="000000" w:themeColor="text1"/>
        </w:rPr>
        <w:t>Bleidorn</w:t>
      </w:r>
      <w:proofErr w:type="spellEnd"/>
      <w:r w:rsidRPr="006D4CB5">
        <w:rPr>
          <w:color w:val="000000" w:themeColor="text1"/>
        </w:rPr>
        <w:t xml:space="preserve"> et al., 2022), 20-year birth cohort (in cohorts with birth year range &gt; 20 years), 10-20 genetic principal components (PCs) for ancestry, and, when appropriate, other covariates such as genotyping batch or questionnaire language (see </w:t>
      </w:r>
      <w:r w:rsidRPr="006D4CB5">
        <w:rPr>
          <w:b/>
          <w:bCs/>
          <w:color w:val="000000" w:themeColor="text1"/>
        </w:rPr>
        <w:t xml:space="preserve">Supplementary Tables S1 and S2 </w:t>
      </w:r>
      <w:r w:rsidRPr="006D4CB5">
        <w:rPr>
          <w:color w:val="000000" w:themeColor="text1"/>
        </w:rPr>
        <w:t>for specific controls applied to each cohort), according to the following equation:</w:t>
      </w:r>
    </w:p>
    <w:p w14:paraId="36D16028" w14:textId="77777777" w:rsidR="00076353" w:rsidRPr="006D4CB5" w:rsidRDefault="00076353" w:rsidP="00076353">
      <w:pPr>
        <w:ind w:firstLine="720"/>
        <w:rPr>
          <w:color w:val="000000" w:themeColor="text1"/>
        </w:rPr>
      </w:pPr>
    </w:p>
    <w:p w14:paraId="1962A51E" w14:textId="77777777" w:rsidR="00076353" w:rsidRPr="006D4CB5" w:rsidRDefault="00076353" w:rsidP="00076353">
      <w:pPr>
        <w:ind w:firstLine="720"/>
        <w:jc w:val="center"/>
        <w:rPr>
          <w:color w:val="000000" w:themeColor="text1"/>
        </w:rPr>
      </w:pPr>
      <m:oMath>
        <m:r>
          <w:rPr>
            <w:rFonts w:ascii="Cambria Math" w:hAnsi="Cambria Math"/>
            <w:color w:val="000000" w:themeColor="text1"/>
          </w:rPr>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SNP+</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+e</m:t>
        </m:r>
      </m:oMath>
      <w:r w:rsidRPr="006D4CB5">
        <w:rPr>
          <w:color w:val="000000" w:themeColor="text1"/>
        </w:rPr>
        <w:t xml:space="preserve"> ,</w:t>
      </w:r>
      <w:r w:rsidRPr="006D4CB5">
        <w:rPr>
          <w:color w:val="000000" w:themeColor="text1"/>
        </w:rPr>
        <w:tab/>
      </w:r>
      <w:r w:rsidRPr="006D4CB5">
        <w:rPr>
          <w:color w:val="000000" w:themeColor="text1"/>
        </w:rPr>
        <w:tab/>
      </w:r>
      <w:r w:rsidRPr="006D4CB5">
        <w:rPr>
          <w:color w:val="000000" w:themeColor="text1"/>
        </w:rPr>
        <w:tab/>
        <w:t>(Eq. 1)</w:t>
      </w:r>
    </w:p>
    <w:p w14:paraId="7865276B" w14:textId="77777777" w:rsidR="00076353" w:rsidRPr="006D4CB5" w:rsidRDefault="00076353" w:rsidP="00076353">
      <w:pPr>
        <w:ind w:firstLine="720"/>
        <w:rPr>
          <w:color w:val="000000" w:themeColor="text1"/>
        </w:rPr>
      </w:pPr>
    </w:p>
    <w:p w14:paraId="5BA62490" w14:textId="2BFFCD83"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oMath>
      <w:r w:rsidRPr="006D4CB5">
        <w:rPr>
          <w:color w:val="000000" w:themeColor="text1"/>
        </w:rPr>
        <w:t xml:space="preserve"> is a regression intercept,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oMath>
      <w:r w:rsidRPr="006D4CB5">
        <w:rPr>
          <w:color w:val="000000" w:themeColor="text1"/>
        </w:rPr>
        <w:t xml:space="preserve"> is the linear effect of the allele account for the SNP,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oMath>
      <w:r w:rsidRPr="006D4CB5">
        <w:rPr>
          <w:color w:val="000000" w:themeColor="text1"/>
        </w:rPr>
        <w:t xml:space="preserve"> is the effect of covariate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oMath>
      <w:r w:rsidRPr="006D4CB5">
        <w:rPr>
          <w:color w:val="000000" w:themeColor="text1"/>
        </w:rPr>
        <w:t xml:space="preserve"> on the personality trait for covariates </w:t>
      </w:r>
      <w:r w:rsidR="00805FB5" w:rsidRPr="006D4CB5">
        <w:rPr>
          <w:color w:val="000000" w:themeColor="text1"/>
        </w:rPr>
        <w:t xml:space="preserve">2 </w:t>
      </w:r>
      <w:r w:rsidRPr="006D4CB5">
        <w:rPr>
          <w:color w:val="000000" w:themeColor="text1"/>
        </w:rPr>
        <w:t xml:space="preserve">through C, and </w:t>
      </w:r>
      <w:r w:rsidRPr="006D4CB5">
        <w:rPr>
          <w:i/>
          <w:iCs/>
          <w:color w:val="000000" w:themeColor="text1"/>
        </w:rPr>
        <w:t>e</w:t>
      </w:r>
      <w:r w:rsidRPr="006D4CB5">
        <w:rPr>
          <w:color w:val="000000" w:themeColor="text1"/>
        </w:rPr>
        <w:t xml:space="preserve"> is a residual. In some cohorts, age and age</w:t>
      </w:r>
      <w:r w:rsidRPr="006D4CB5">
        <w:rPr>
          <w:color w:val="000000" w:themeColor="text1"/>
          <w:vertAlign w:val="superscript"/>
        </w:rPr>
        <w:t>2</w:t>
      </w:r>
      <w:r w:rsidRPr="006D4CB5">
        <w:rPr>
          <w:color w:val="000000" w:themeColor="text1"/>
        </w:rPr>
        <w:t xml:space="preserve"> were highly collinear; in these cases, age</w:t>
      </w:r>
      <w:r w:rsidRPr="006D4CB5">
        <w:rPr>
          <w:color w:val="000000" w:themeColor="text1"/>
          <w:vertAlign w:val="superscript"/>
        </w:rPr>
        <w:t>2</w:t>
      </w:r>
      <w:r w:rsidRPr="006D4CB5">
        <w:rPr>
          <w:color w:val="000000" w:themeColor="text1"/>
        </w:rPr>
        <w:t xml:space="preserve"> was excluded from the set of covariates.</w:t>
      </w:r>
    </w:p>
    <w:p w14:paraId="0E02D76E" w14:textId="77777777" w:rsidR="00076353" w:rsidRPr="006D4CB5" w:rsidRDefault="00076353" w:rsidP="00076353">
      <w:pPr>
        <w:ind w:firstLine="720"/>
        <w:rPr>
          <w:color w:val="000000" w:themeColor="text1"/>
        </w:rPr>
      </w:pPr>
    </w:p>
    <w:p w14:paraId="1E0F3E00" w14:textId="77777777" w:rsidR="00076353" w:rsidRPr="006D4CB5" w:rsidRDefault="00076353" w:rsidP="00076353">
      <w:pPr>
        <w:rPr>
          <w:color w:val="000000" w:themeColor="text1"/>
        </w:rPr>
      </w:pPr>
      <w:r w:rsidRPr="006D4CB5">
        <w:rPr>
          <w:color w:val="000000" w:themeColor="text1"/>
          <w:u w:val="single"/>
        </w:rPr>
        <w:t>2.3 Quality Control Across Cohorts</w:t>
      </w:r>
    </w:p>
    <w:p w14:paraId="55752E21" w14:textId="6E067EDE" w:rsidR="00076353" w:rsidRPr="006D4CB5" w:rsidRDefault="00076353" w:rsidP="00EC23B9">
      <w:pPr>
        <w:rPr>
          <w:color w:val="000000" w:themeColor="text1"/>
        </w:rPr>
      </w:pPr>
      <w:r w:rsidRPr="006D4CB5">
        <w:rPr>
          <w:color w:val="000000" w:themeColor="text1"/>
        </w:rPr>
        <w:tab/>
      </w:r>
      <w:r w:rsidR="00EC23B9" w:rsidRPr="006D4CB5">
        <w:rPr>
          <w:color w:val="000000" w:themeColor="text1"/>
        </w:rPr>
        <w:t>In addition to the QC procedures described in the main text, c</w:t>
      </w:r>
      <w:r w:rsidRPr="006D4CB5">
        <w:rPr>
          <w:color w:val="000000" w:themeColor="text1"/>
        </w:rPr>
        <w:t>ohort analysts were instructed to standardize phenotypes prior to GWAS. The squared standard error of a GWAS regression coefficient (</w:t>
      </w:r>
      <w:r w:rsidRPr="006D4CB5">
        <w:rPr>
          <w:i/>
          <w:iCs/>
          <w:color w:val="000000" w:themeColor="text1"/>
        </w:rPr>
        <w:t>b</w:t>
      </w:r>
      <w:r w:rsidRPr="006D4CB5">
        <w:rPr>
          <w:color w:val="000000" w:themeColor="text1"/>
        </w:rPr>
        <w:t>) is a function of the coefficient, sample size (</w:t>
      </w:r>
      <w:r w:rsidRPr="006D4CB5">
        <w:rPr>
          <w:i/>
          <w:iCs/>
          <w:color w:val="000000" w:themeColor="text1"/>
        </w:rPr>
        <w:t>n</w:t>
      </w:r>
      <w:r w:rsidRPr="006D4CB5">
        <w:rPr>
          <w:color w:val="000000" w:themeColor="text1"/>
        </w:rPr>
        <w:t>), and variances of the predictor (</w:t>
      </w:r>
      <m:oMath>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SNP</m:t>
            </m:r>
          </m:sub>
          <m:sup>
            <m:r>
              <w:rPr>
                <w:rFonts w:ascii="Cambria Math" w:hAnsi="Cambria Math"/>
                <w:color w:val="000000" w:themeColor="text1"/>
              </w:rPr>
              <m:t>2</m:t>
            </m:r>
          </m:sup>
        </m:sSubSup>
      </m:oMath>
      <w:r w:rsidRPr="006D4CB5">
        <w:rPr>
          <w:color w:val="000000" w:themeColor="text1"/>
        </w:rPr>
        <w:t>) and GWAS phenotype (</w:t>
      </w:r>
      <m:oMath>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y</m:t>
            </m:r>
          </m:sub>
          <m:sup>
            <m:r>
              <w:rPr>
                <w:rFonts w:ascii="Cambria Math" w:hAnsi="Cambria Math"/>
                <w:color w:val="000000" w:themeColor="text1"/>
              </w:rPr>
              <m:t>2</m:t>
            </m:r>
          </m:sup>
        </m:sSubSup>
      </m:oMath>
      <w:r w:rsidRPr="006D4CB5">
        <w:rPr>
          <w:color w:val="000000" w:themeColor="text1"/>
        </w:rPr>
        <w:t>), as follows:</w:t>
      </w:r>
    </w:p>
    <w:p w14:paraId="77A634FB" w14:textId="77777777" w:rsidR="00EC23B9" w:rsidRPr="006D4CB5" w:rsidRDefault="00EC23B9" w:rsidP="001E251E">
      <w:pPr>
        <w:rPr>
          <w:color w:val="000000" w:themeColor="text1"/>
        </w:rPr>
      </w:pPr>
    </w:p>
    <w:p w14:paraId="0B777CE3" w14:textId="77777777" w:rsidR="00076353" w:rsidRPr="006D4CB5" w:rsidRDefault="00000000" w:rsidP="00076353">
      <w:pPr>
        <w:ind w:firstLine="720"/>
        <w:jc w:val="center"/>
        <w:rPr>
          <w:color w:val="000000" w:themeColor="text1"/>
        </w:rPr>
      </w:pPr>
      <m:oMath>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SE</m:t>
                    </m:r>
                  </m:e>
                  <m:sub>
                    <m:r>
                      <w:rPr>
                        <w:rFonts w:ascii="Cambria Math" w:hAnsi="Cambria Math"/>
                        <w:color w:val="000000" w:themeColor="text1"/>
                      </w:rPr>
                      <m:t>b</m:t>
                    </m:r>
                  </m:sub>
                </m:sSub>
              </m:e>
            </m:d>
          </m:e>
          <m:sup>
            <m:r>
              <w:rPr>
                <w:rFonts w:ascii="Cambria Math" w:hAnsi="Cambria Math"/>
                <w:color w:val="000000" w:themeColor="text1"/>
              </w:rPr>
              <m:t>2</m:t>
            </m:r>
          </m:sup>
        </m:sSup>
        <m:r>
          <w:rPr>
            <w:rFonts w:ascii="Cambria Math" w:hAnsi="Cambria Math"/>
            <w:color w:val="000000" w:themeColor="text1"/>
          </w:rPr>
          <m:t xml:space="preserve">≈  </m:t>
        </m:r>
        <m:f>
          <m:fPr>
            <m:ctrlPr>
              <w:rPr>
                <w:rFonts w:ascii="Cambria Math" w:hAnsi="Cambria Math"/>
                <w:i/>
                <w:color w:val="000000" w:themeColor="text1"/>
              </w:rPr>
            </m:ctrlPr>
          </m:fPr>
          <m:num>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y</m:t>
                </m:r>
              </m:sub>
              <m:sup>
                <m:r>
                  <w:rPr>
                    <w:rFonts w:ascii="Cambria Math" w:hAnsi="Cambria Math"/>
                    <w:color w:val="000000" w:themeColor="text1"/>
                  </w:rPr>
                  <m:t>2</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SNP</m:t>
                </m:r>
              </m:sub>
              <m:sup>
                <m:r>
                  <w:rPr>
                    <w:rFonts w:ascii="Cambria Math" w:hAnsi="Cambria Math"/>
                    <w:color w:val="000000" w:themeColor="text1"/>
                  </w:rPr>
                  <m:t>2</m:t>
                </m:r>
              </m:sup>
            </m:sSubSup>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b</m:t>
                    </m:r>
                  </m:e>
                  <m:sup>
                    <m:r>
                      <w:rPr>
                        <w:rFonts w:ascii="Cambria Math" w:hAnsi="Cambria Math"/>
                        <w:color w:val="000000" w:themeColor="text1"/>
                      </w:rPr>
                      <m:t>2</m:t>
                    </m:r>
                  </m:sup>
                </m:sSup>
              </m:e>
            </m:d>
          </m:num>
          <m:den>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SNP</m:t>
                </m:r>
              </m:sub>
              <m:sup>
                <m:r>
                  <w:rPr>
                    <w:rFonts w:ascii="Cambria Math" w:hAnsi="Cambria Math"/>
                    <w:color w:val="000000" w:themeColor="text1"/>
                  </w:rPr>
                  <m:t>2</m:t>
                </m:r>
              </m:sup>
            </m:sSubSup>
            <m:r>
              <w:rPr>
                <w:rFonts w:ascii="Cambria Math" w:hAnsi="Cambria Math"/>
                <w:color w:val="000000" w:themeColor="text1"/>
              </w:rPr>
              <m:t>n</m:t>
            </m:r>
          </m:den>
        </m:f>
      </m:oMath>
      <w:r w:rsidR="00076353" w:rsidRPr="006D4CB5">
        <w:rPr>
          <w:color w:val="000000" w:themeColor="text1"/>
        </w:rPr>
        <w:t>.</w:t>
      </w:r>
      <w:r w:rsidR="00076353" w:rsidRPr="006D4CB5">
        <w:rPr>
          <w:color w:val="000000" w:themeColor="text1"/>
        </w:rPr>
        <w:tab/>
      </w:r>
      <w:r w:rsidR="00076353" w:rsidRPr="006D4CB5">
        <w:rPr>
          <w:color w:val="000000" w:themeColor="text1"/>
        </w:rPr>
        <w:tab/>
        <w:t>(Eq. 2a)</w:t>
      </w:r>
    </w:p>
    <w:p w14:paraId="01FEBC3A" w14:textId="77777777" w:rsidR="00076353" w:rsidRPr="006D4CB5" w:rsidRDefault="00076353" w:rsidP="00076353">
      <w:pPr>
        <w:rPr>
          <w:color w:val="000000" w:themeColor="text1"/>
        </w:rPr>
      </w:pPr>
    </w:p>
    <w:p w14:paraId="2487B38C" w14:textId="234A7110" w:rsidR="00076353" w:rsidRPr="006D4CB5" w:rsidRDefault="00076353" w:rsidP="00076353">
      <w:pPr>
        <w:rPr>
          <w:color w:val="000000" w:themeColor="text1"/>
        </w:rPr>
      </w:pPr>
      <w:r w:rsidRPr="006D4CB5">
        <w:rPr>
          <w:color w:val="000000" w:themeColor="text1"/>
        </w:rPr>
        <w:t xml:space="preserve">Noting that variance of the SNP under Hardy-Weinberg Equilibrium is </w:t>
      </w:r>
      <m:oMath>
        <m:r>
          <w:rPr>
            <w:rFonts w:ascii="Cambria Math" w:hAnsi="Cambria Math"/>
            <w:color w:val="000000" w:themeColor="text1"/>
          </w:rPr>
          <m:t>2MAF× </m:t>
        </m:r>
        <m:d>
          <m:dPr>
            <m:ctrlPr>
              <w:rPr>
                <w:rFonts w:ascii="Cambria Math" w:hAnsi="Cambria Math"/>
                <w:color w:val="000000" w:themeColor="text1"/>
              </w:rPr>
            </m:ctrlPr>
          </m:dPr>
          <m:e>
            <m:r>
              <w:rPr>
                <w:rFonts w:ascii="Cambria Math" w:hAnsi="Cambria Math"/>
                <w:color w:val="000000" w:themeColor="text1"/>
              </w:rPr>
              <m:t>1-MAF</m:t>
            </m:r>
          </m:e>
        </m:d>
      </m:oMath>
      <w:r w:rsidRPr="006D4CB5">
        <w:rPr>
          <w:color w:val="000000" w:themeColor="text1"/>
        </w:rPr>
        <w:t xml:space="preserve"> , we estimated the standard deviation of the GWAS phenotype (</w:t>
      </w:r>
      <m:oMath>
        <m:acc>
          <m:accPr>
            <m:ctrlPr>
              <w:rPr>
                <w:rFonts w:ascii="Cambria Math" w:hAnsi="Cambria Math"/>
                <w:i/>
                <w:color w:val="000000" w:themeColor="text1"/>
                <w:sz w:val="18"/>
                <w:szCs w:val="18"/>
              </w:rPr>
            </m:ctrlPr>
          </m:accPr>
          <m:e>
            <m:r>
              <w:rPr>
                <w:rFonts w:ascii="Cambria Math" w:hAnsi="Cambria Math"/>
                <w:color w:val="000000" w:themeColor="text1"/>
                <w:sz w:val="18"/>
                <w:szCs w:val="18"/>
              </w:rPr>
              <m:t>S</m:t>
            </m:r>
            <m:sSub>
              <m:sSubPr>
                <m:ctrlPr>
                  <w:rPr>
                    <w:rFonts w:ascii="Cambria Math" w:hAnsi="Cambria Math"/>
                    <w:color w:val="000000" w:themeColor="text1"/>
                    <w:sz w:val="18"/>
                    <w:szCs w:val="18"/>
                  </w:rPr>
                </m:ctrlPr>
              </m:sSubPr>
              <m:e>
                <m:r>
                  <w:rPr>
                    <w:rFonts w:ascii="Cambria Math" w:hAnsi="Cambria Math"/>
                    <w:color w:val="000000" w:themeColor="text1"/>
                    <w:sz w:val="18"/>
                    <w:szCs w:val="18"/>
                  </w:rPr>
                  <m:t>D</m:t>
                </m:r>
              </m:e>
              <m:sub>
                <m:r>
                  <w:rPr>
                    <w:rFonts w:ascii="Cambria Math" w:hAnsi="Cambria Math"/>
                    <w:color w:val="000000" w:themeColor="text1"/>
                    <w:sz w:val="18"/>
                    <w:szCs w:val="18"/>
                  </w:rPr>
                  <m:t>y</m:t>
                </m:r>
              </m:sub>
            </m:sSub>
          </m:e>
        </m:acc>
      </m:oMath>
      <w:r w:rsidRPr="006D4CB5">
        <w:rPr>
          <w:color w:val="000000" w:themeColor="text1"/>
        </w:rPr>
        <w:t xml:space="preserve">)to ensure that effects were </w:t>
      </w:r>
      <w:r w:rsidRPr="006D4CB5">
        <w:rPr>
          <w:color w:val="000000" w:themeColor="text1"/>
        </w:rPr>
        <w:lastRenderedPageBreak/>
        <w:t>indeed standardized in contributing cohorts for each SNP using its minor allele frequency (MAF), effect size, standard error of effect, and sample</w:t>
      </w:r>
      <w:r w:rsidR="0032425E" w:rsidRPr="006D4CB5">
        <w:rPr>
          <w:color w:val="000000" w:themeColor="text1"/>
        </w:rPr>
        <w:t xml:space="preserve"> size</w:t>
      </w:r>
      <w:r w:rsidR="00F43374" w:rsidRPr="006D4CB5">
        <w:rPr>
          <w:color w:val="000000" w:themeColor="text1"/>
        </w:rPr>
        <w:t>:</w:t>
      </w:r>
    </w:p>
    <w:p w14:paraId="04FFB75D" w14:textId="77777777" w:rsidR="00076353" w:rsidRPr="006D4CB5" w:rsidRDefault="00076353" w:rsidP="00076353">
      <w:pPr>
        <w:rPr>
          <w:color w:val="000000" w:themeColor="text1"/>
        </w:rPr>
      </w:pPr>
    </w:p>
    <w:p w14:paraId="612A296C" w14:textId="04BBD0BA" w:rsidR="00076353" w:rsidRPr="006D4CB5" w:rsidRDefault="00000000" w:rsidP="00076353">
      <w:pPr>
        <w:ind w:left="720" w:firstLine="720"/>
        <w:jc w:val="center"/>
        <w:rPr>
          <w:color w:val="000000" w:themeColor="text1"/>
          <w:sz w:val="18"/>
          <w:szCs w:val="18"/>
        </w:rPr>
      </w:pPr>
      <m:oMath>
        <m:acc>
          <m:accPr>
            <m:ctrlPr>
              <w:rPr>
                <w:rFonts w:ascii="Cambria Math" w:hAnsi="Cambria Math"/>
                <w:i/>
                <w:color w:val="000000" w:themeColor="text1"/>
                <w:sz w:val="18"/>
                <w:szCs w:val="18"/>
              </w:rPr>
            </m:ctrlPr>
          </m:accPr>
          <m:e>
            <m:r>
              <w:rPr>
                <w:rFonts w:ascii="Cambria Math" w:hAnsi="Cambria Math"/>
                <w:color w:val="000000" w:themeColor="text1"/>
                <w:sz w:val="18"/>
                <w:szCs w:val="18"/>
              </w:rPr>
              <m:t>S</m:t>
            </m:r>
            <m:sSub>
              <m:sSubPr>
                <m:ctrlPr>
                  <w:rPr>
                    <w:rFonts w:ascii="Cambria Math" w:hAnsi="Cambria Math"/>
                    <w:color w:val="000000" w:themeColor="text1"/>
                    <w:sz w:val="18"/>
                    <w:szCs w:val="18"/>
                  </w:rPr>
                </m:ctrlPr>
              </m:sSubPr>
              <m:e>
                <m:r>
                  <w:rPr>
                    <w:rFonts w:ascii="Cambria Math" w:hAnsi="Cambria Math"/>
                    <w:color w:val="000000" w:themeColor="text1"/>
                    <w:sz w:val="18"/>
                    <w:szCs w:val="18"/>
                  </w:rPr>
                  <m:t>D</m:t>
                </m:r>
              </m:e>
              <m:sub>
                <m:r>
                  <w:rPr>
                    <w:rFonts w:ascii="Cambria Math" w:hAnsi="Cambria Math"/>
                    <w:color w:val="000000" w:themeColor="text1"/>
                    <w:sz w:val="18"/>
                    <w:szCs w:val="18"/>
                  </w:rPr>
                  <m:t>y</m:t>
                </m:r>
              </m:sub>
            </m:sSub>
          </m:e>
        </m:acc>
        <m:r>
          <w:rPr>
            <w:rFonts w:ascii="Cambria Math" w:hAnsi="Cambria Math"/>
            <w:color w:val="000000" w:themeColor="text1"/>
            <w:sz w:val="18"/>
            <w:szCs w:val="18"/>
          </w:rPr>
          <m:t>=</m:t>
        </m:r>
        <m:rad>
          <m:radPr>
            <m:degHide m:val="1"/>
            <m:ctrlPr>
              <w:rPr>
                <w:rFonts w:ascii="Cambria Math" w:hAnsi="Cambria Math"/>
                <w:color w:val="000000" w:themeColor="text1"/>
                <w:sz w:val="18"/>
                <w:szCs w:val="18"/>
              </w:rPr>
            </m:ctrlPr>
          </m:radPr>
          <m:deg/>
          <m:e>
            <m:r>
              <w:rPr>
                <w:rFonts w:ascii="Cambria Math" w:hAnsi="Cambria Math"/>
                <w:color w:val="000000" w:themeColor="text1"/>
                <w:sz w:val="18"/>
                <w:szCs w:val="18"/>
              </w:rPr>
              <m:t>n×</m:t>
            </m:r>
            <m:sSubSup>
              <m:sSubSupPr>
                <m:ctrlPr>
                  <w:rPr>
                    <w:rFonts w:ascii="Cambria Math" w:hAnsi="Cambria Math"/>
                    <w:i/>
                    <w:color w:val="000000" w:themeColor="text1"/>
                    <w:sz w:val="18"/>
                    <w:szCs w:val="18"/>
                  </w:rPr>
                </m:ctrlPr>
              </m:sSubSupPr>
              <m:e>
                <m:r>
                  <w:rPr>
                    <w:rFonts w:ascii="Cambria Math" w:hAnsi="Cambria Math"/>
                    <w:color w:val="000000" w:themeColor="text1"/>
                    <w:sz w:val="18"/>
                    <w:szCs w:val="18"/>
                  </w:rPr>
                  <m:t>SE</m:t>
                </m:r>
              </m:e>
              <m:sub>
                <m:r>
                  <w:rPr>
                    <w:rFonts w:ascii="Cambria Math" w:hAnsi="Cambria Math"/>
                    <w:color w:val="000000" w:themeColor="text1"/>
                    <w:sz w:val="18"/>
                    <w:szCs w:val="18"/>
                  </w:rPr>
                  <m:t>b</m:t>
                </m:r>
              </m:sub>
              <m:sup>
                <m:r>
                  <w:rPr>
                    <w:rFonts w:ascii="Cambria Math" w:hAnsi="Cambria Math"/>
                    <w:color w:val="000000" w:themeColor="text1"/>
                    <w:sz w:val="18"/>
                    <w:szCs w:val="18"/>
                  </w:rPr>
                  <m:t>2</m:t>
                </m:r>
              </m:sup>
            </m:sSubSup>
            <m:d>
              <m:dPr>
                <m:ctrlPr>
                  <w:rPr>
                    <w:rFonts w:ascii="Cambria Math" w:hAnsi="Cambria Math"/>
                    <w:color w:val="000000" w:themeColor="text1"/>
                    <w:sz w:val="18"/>
                    <w:szCs w:val="18"/>
                  </w:rPr>
                </m:ctrlPr>
              </m:dPr>
              <m:e>
                <m:r>
                  <w:rPr>
                    <w:rFonts w:ascii="Cambria Math" w:hAnsi="Cambria Math"/>
                    <w:color w:val="000000" w:themeColor="text1"/>
                    <w:sz w:val="18"/>
                    <w:szCs w:val="18"/>
                  </w:rPr>
                  <m:t>2MAF× </m:t>
                </m:r>
                <m:d>
                  <m:dPr>
                    <m:ctrlPr>
                      <w:rPr>
                        <w:rFonts w:ascii="Cambria Math" w:hAnsi="Cambria Math"/>
                        <w:color w:val="000000" w:themeColor="text1"/>
                        <w:sz w:val="18"/>
                        <w:szCs w:val="18"/>
                      </w:rPr>
                    </m:ctrlPr>
                  </m:dPr>
                  <m:e>
                    <m:r>
                      <w:rPr>
                        <w:rFonts w:ascii="Cambria Math" w:hAnsi="Cambria Math"/>
                        <w:color w:val="000000" w:themeColor="text1"/>
                        <w:sz w:val="18"/>
                        <w:szCs w:val="18"/>
                      </w:rPr>
                      <m:t>1-MAF</m:t>
                    </m:r>
                  </m:e>
                </m:d>
              </m:e>
            </m:d>
            <m:r>
              <w:rPr>
                <w:rFonts w:ascii="Cambria Math" w:hAnsi="Cambria Math"/>
                <w:color w:val="000000" w:themeColor="text1"/>
                <w:sz w:val="18"/>
                <w:szCs w:val="18"/>
              </w:rPr>
              <m:t>+</m:t>
            </m:r>
            <m:sSup>
              <m:sSupPr>
                <m:ctrlPr>
                  <w:rPr>
                    <w:rFonts w:ascii="Cambria Math" w:hAnsi="Cambria Math"/>
                    <w:color w:val="000000" w:themeColor="text1"/>
                    <w:sz w:val="18"/>
                    <w:szCs w:val="18"/>
                  </w:rPr>
                </m:ctrlPr>
              </m:sSupPr>
              <m:e>
                <m:r>
                  <w:rPr>
                    <w:rFonts w:ascii="Cambria Math" w:hAnsi="Cambria Math"/>
                    <w:color w:val="000000" w:themeColor="text1"/>
                    <w:sz w:val="18"/>
                    <w:szCs w:val="18"/>
                  </w:rPr>
                  <m:t>b</m:t>
                </m:r>
              </m:e>
              <m:sup>
                <m:r>
                  <w:rPr>
                    <w:rFonts w:ascii="Cambria Math" w:hAnsi="Cambria Math"/>
                    <w:color w:val="000000" w:themeColor="text1"/>
                    <w:sz w:val="18"/>
                    <w:szCs w:val="18"/>
                  </w:rPr>
                  <m:t>2</m:t>
                </m:r>
              </m:sup>
            </m:sSup>
            <m:d>
              <m:dPr>
                <m:ctrlPr>
                  <w:rPr>
                    <w:rFonts w:ascii="Cambria Math" w:hAnsi="Cambria Math"/>
                    <w:color w:val="000000" w:themeColor="text1"/>
                    <w:sz w:val="18"/>
                    <w:szCs w:val="18"/>
                  </w:rPr>
                </m:ctrlPr>
              </m:dPr>
              <m:e>
                <m:r>
                  <w:rPr>
                    <w:rFonts w:ascii="Cambria Math" w:hAnsi="Cambria Math"/>
                    <w:color w:val="000000" w:themeColor="text1"/>
                    <w:sz w:val="18"/>
                    <w:szCs w:val="18"/>
                  </w:rPr>
                  <m:t>2 MAF×</m:t>
                </m:r>
                <m:d>
                  <m:dPr>
                    <m:ctrlPr>
                      <w:rPr>
                        <w:rFonts w:ascii="Cambria Math" w:hAnsi="Cambria Math"/>
                        <w:color w:val="000000" w:themeColor="text1"/>
                        <w:sz w:val="18"/>
                        <w:szCs w:val="18"/>
                      </w:rPr>
                    </m:ctrlPr>
                  </m:dPr>
                  <m:e>
                    <m:r>
                      <w:rPr>
                        <w:rFonts w:ascii="Cambria Math" w:hAnsi="Cambria Math"/>
                        <w:color w:val="000000" w:themeColor="text1"/>
                        <w:sz w:val="18"/>
                        <w:szCs w:val="18"/>
                      </w:rPr>
                      <m:t>1-MAF</m:t>
                    </m:r>
                  </m:e>
                </m:d>
              </m:e>
            </m:d>
          </m:e>
        </m:rad>
      </m:oMath>
      <w:r w:rsidR="00076353" w:rsidRPr="006D4CB5">
        <w:rPr>
          <w:color w:val="000000" w:themeColor="text1"/>
          <w:sz w:val="21"/>
          <w:szCs w:val="21"/>
        </w:rPr>
        <w:t>.</w:t>
      </w:r>
      <w:r w:rsidR="00076353" w:rsidRPr="006D4CB5">
        <w:rPr>
          <w:color w:val="000000" w:themeColor="text1"/>
          <w:sz w:val="21"/>
          <w:szCs w:val="21"/>
        </w:rPr>
        <w:tab/>
      </w:r>
      <w:r w:rsidR="00076353" w:rsidRPr="006D4CB5">
        <w:rPr>
          <w:color w:val="000000" w:themeColor="text1"/>
        </w:rPr>
        <w:t>(Eq. 2b)</w:t>
      </w:r>
    </w:p>
    <w:p w14:paraId="29840EBE" w14:textId="77777777" w:rsidR="00076353" w:rsidRPr="006D4CB5" w:rsidRDefault="00076353" w:rsidP="00076353">
      <w:pPr>
        <w:rPr>
          <w:color w:val="000000" w:themeColor="text1"/>
        </w:rPr>
      </w:pPr>
    </w:p>
    <w:p w14:paraId="4A366830" w14:textId="77777777" w:rsidR="00076353" w:rsidRPr="006D4CB5" w:rsidRDefault="00076353" w:rsidP="00076353">
      <w:pPr>
        <w:ind w:firstLine="720"/>
        <w:rPr>
          <w:color w:val="000000" w:themeColor="text1"/>
        </w:rPr>
      </w:pPr>
      <w:r w:rsidRPr="006D4CB5">
        <w:rPr>
          <w:color w:val="000000" w:themeColor="text1"/>
        </w:rPr>
        <w:t>In cohorts where the median estimated variance (</w:t>
      </w:r>
      <m:oMath>
        <m:sSup>
          <m:sSupPr>
            <m:ctrlPr>
              <w:rPr>
                <w:rFonts w:ascii="Cambria Math" w:hAnsi="Cambria Math"/>
                <w:i/>
                <w:color w:val="000000" w:themeColor="text1"/>
                <w:sz w:val="18"/>
                <w:szCs w:val="18"/>
              </w:rPr>
            </m:ctrlPr>
          </m:sSupPr>
          <m:e>
            <m:acc>
              <m:accPr>
                <m:ctrlPr>
                  <w:rPr>
                    <w:rFonts w:ascii="Cambria Math" w:hAnsi="Cambria Math"/>
                    <w:i/>
                    <w:color w:val="000000" w:themeColor="text1"/>
                    <w:sz w:val="18"/>
                    <w:szCs w:val="18"/>
                  </w:rPr>
                </m:ctrlPr>
              </m:accPr>
              <m:e>
                <m:r>
                  <w:rPr>
                    <w:rFonts w:ascii="Cambria Math" w:hAnsi="Cambria Math"/>
                    <w:color w:val="000000" w:themeColor="text1"/>
                    <w:sz w:val="18"/>
                    <w:szCs w:val="18"/>
                  </w:rPr>
                  <m:t>S</m:t>
                </m:r>
                <m:sSub>
                  <m:sSubPr>
                    <m:ctrlPr>
                      <w:rPr>
                        <w:rFonts w:ascii="Cambria Math" w:hAnsi="Cambria Math"/>
                        <w:color w:val="000000" w:themeColor="text1"/>
                        <w:sz w:val="18"/>
                        <w:szCs w:val="18"/>
                      </w:rPr>
                    </m:ctrlPr>
                  </m:sSubPr>
                  <m:e>
                    <m:r>
                      <w:rPr>
                        <w:rFonts w:ascii="Cambria Math" w:hAnsi="Cambria Math"/>
                        <w:color w:val="000000" w:themeColor="text1"/>
                        <w:sz w:val="18"/>
                        <w:szCs w:val="18"/>
                      </w:rPr>
                      <m:t>D</m:t>
                    </m:r>
                  </m:e>
                  <m:sub>
                    <m:r>
                      <w:rPr>
                        <w:rFonts w:ascii="Cambria Math" w:hAnsi="Cambria Math"/>
                        <w:color w:val="000000" w:themeColor="text1"/>
                        <w:sz w:val="18"/>
                        <w:szCs w:val="18"/>
                      </w:rPr>
                      <m:t>y</m:t>
                    </m:r>
                  </m:sub>
                </m:sSub>
              </m:e>
            </m:acc>
          </m:e>
          <m:sup>
            <m:r>
              <w:rPr>
                <w:rFonts w:ascii="Cambria Math" w:hAnsi="Cambria Math"/>
                <w:color w:val="000000" w:themeColor="text1"/>
                <w:sz w:val="18"/>
                <w:szCs w:val="18"/>
              </w:rPr>
              <m:t>2</m:t>
            </m:r>
          </m:sup>
        </m:sSup>
      </m:oMath>
      <w:r w:rsidRPr="006D4CB5">
        <w:rPr>
          <w:color w:val="000000" w:themeColor="text1"/>
        </w:rPr>
        <w:t>) deviated substantially from 1, effects were re-standardized by dividing all betas and standard errors by the median estimated standard deviation.</w:t>
      </w:r>
    </w:p>
    <w:p w14:paraId="2447D91F" w14:textId="77777777" w:rsidR="00076353" w:rsidRPr="006D4CB5" w:rsidRDefault="00076353" w:rsidP="00076353">
      <w:pPr>
        <w:rPr>
          <w:color w:val="000000" w:themeColor="text1"/>
        </w:rPr>
      </w:pPr>
    </w:p>
    <w:p w14:paraId="73615260" w14:textId="77777777" w:rsidR="00076353" w:rsidRPr="006D4CB5" w:rsidRDefault="00076353" w:rsidP="00076353">
      <w:pPr>
        <w:rPr>
          <w:color w:val="000000" w:themeColor="text1"/>
          <w:u w:val="single"/>
        </w:rPr>
      </w:pPr>
      <w:r w:rsidRPr="006D4CB5">
        <w:rPr>
          <w:color w:val="000000" w:themeColor="text1"/>
          <w:u w:val="single"/>
        </w:rPr>
        <w:t>2.4 Synthesizing Data Across Partially Overlapping Cohorts</w:t>
      </w:r>
    </w:p>
    <w:p w14:paraId="77A21E17" w14:textId="77777777" w:rsidR="00076353" w:rsidRPr="006D4CB5" w:rsidRDefault="00076353" w:rsidP="00076353">
      <w:pPr>
        <w:rPr>
          <w:color w:val="000000" w:themeColor="text1"/>
        </w:rPr>
      </w:pPr>
      <w:r w:rsidRPr="006D4CB5">
        <w:rPr>
          <w:color w:val="000000" w:themeColor="text1"/>
        </w:rPr>
        <w:tab/>
        <w:t xml:space="preserve">Some groups contributed separate analyses on </w:t>
      </w:r>
      <w:proofErr w:type="gramStart"/>
      <w:r w:rsidRPr="006D4CB5">
        <w:rPr>
          <w:color w:val="000000" w:themeColor="text1"/>
        </w:rPr>
        <w:t>potentially-overlapping</w:t>
      </w:r>
      <w:proofErr w:type="gramEnd"/>
      <w:r w:rsidRPr="006D4CB5">
        <w:rPr>
          <w:color w:val="000000" w:themeColor="text1"/>
        </w:rPr>
        <w:t xml:space="preserve"> cohorts of participants (e.g., a participant may have contributed data for the same trait, potentially measured by a different instrument, to multiple cohorts). We empirically tested for overlap between these cohorts by correlating GWAS Z-statistics (</w:t>
      </w:r>
      <w:r w:rsidRPr="006D4CB5">
        <w:rPr>
          <w:i/>
          <w:iCs/>
          <w:color w:val="000000" w:themeColor="text1"/>
        </w:rPr>
        <w:t>b</w:t>
      </w:r>
      <w:r w:rsidRPr="006D4CB5">
        <w:rPr>
          <w:color w:val="000000" w:themeColor="text1"/>
        </w:rPr>
        <w:t xml:space="preserve"> / </w:t>
      </w:r>
      <w:r w:rsidRPr="006D4CB5">
        <w:rPr>
          <w:i/>
          <w:iCs/>
          <w:color w:val="000000" w:themeColor="text1"/>
        </w:rPr>
        <w:t>SE</w:t>
      </w:r>
      <w:r w:rsidRPr="006D4CB5">
        <w:rPr>
          <w:color w:val="000000" w:themeColor="text1"/>
        </w:rPr>
        <w:t xml:space="preserve">) across pairs of potentially overlapping cohorts, and we compared this value to the expected sampling correlation of the estimates, based on the rationale that a single cohort of participants has low power to detect true genetic effects, such that its GWAS estimates predominantly represent sampling variability, as opposed to true signal (as evidenced by the mean association chi-square for cohort-level GWAS rarely departing appreciably from the expectation under the null of 1.0).  The expected sampling correlation between GWAS estimates </w:t>
      </w:r>
      <w:r w:rsidRPr="006D4CB5">
        <w:rPr>
          <w:i/>
          <w:iCs/>
          <w:color w:val="000000" w:themeColor="text1"/>
        </w:rPr>
        <w:t>b</w:t>
      </w:r>
      <w:r w:rsidRPr="006D4CB5">
        <w:rPr>
          <w:i/>
          <w:iCs/>
          <w:color w:val="000000" w:themeColor="text1"/>
          <w:vertAlign w:val="subscript"/>
        </w:rPr>
        <w:t>1</w:t>
      </w:r>
      <w:r w:rsidRPr="006D4CB5">
        <w:rPr>
          <w:color w:val="000000" w:themeColor="text1"/>
        </w:rPr>
        <w:t xml:space="preserve"> and </w:t>
      </w:r>
      <w:r w:rsidRPr="006D4CB5">
        <w:rPr>
          <w:i/>
          <w:iCs/>
          <w:color w:val="000000" w:themeColor="text1"/>
        </w:rPr>
        <w:t>b</w:t>
      </w:r>
      <w:r w:rsidRPr="006D4CB5">
        <w:rPr>
          <w:i/>
          <w:iCs/>
          <w:color w:val="000000" w:themeColor="text1"/>
          <w:vertAlign w:val="subscript"/>
        </w:rPr>
        <w:t>2</w:t>
      </w:r>
      <w:r w:rsidRPr="006D4CB5">
        <w:rPr>
          <w:color w:val="000000" w:themeColor="text1"/>
        </w:rPr>
        <w:t xml:space="preserve"> for cohorts 1 and 2 (</w:t>
      </w:r>
      <m:oMath>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b1,b2</m:t>
            </m:r>
          </m:sub>
        </m:sSub>
        <m:r>
          <w:rPr>
            <w:rFonts w:ascii="Cambria Math" w:hAnsi="Cambria Math"/>
            <w:color w:val="000000" w:themeColor="text1"/>
          </w:rPr>
          <m:t>)</m:t>
        </m:r>
      </m:oMath>
      <w:r w:rsidRPr="006D4CB5">
        <w:rPr>
          <w:color w:val="000000" w:themeColor="text1"/>
        </w:rPr>
        <w:t xml:space="preserve"> is:</w:t>
      </w:r>
    </w:p>
    <w:p w14:paraId="216943E1" w14:textId="77777777" w:rsidR="00076353" w:rsidRPr="006D4CB5" w:rsidRDefault="00076353" w:rsidP="00076353">
      <w:pPr>
        <w:rPr>
          <w:color w:val="000000" w:themeColor="text1"/>
        </w:rPr>
      </w:pPr>
    </w:p>
    <w:p w14:paraId="5E5DDB63" w14:textId="58B1B575" w:rsidR="00076353" w:rsidRPr="006D4CB5" w:rsidRDefault="00000000" w:rsidP="00076353">
      <w:pPr>
        <w:jc w:val="center"/>
        <w:rPr>
          <w:color w:val="000000" w:themeColor="text1"/>
          <w:sz w:val="22"/>
          <w:szCs w:val="22"/>
        </w:rPr>
      </w:pPr>
      <m:oMath>
        <m:sSub>
          <m:sSubPr>
            <m:ctrlPr>
              <w:rPr>
                <w:rFonts w:ascii="Cambria Math" w:hAnsi="Cambria Math"/>
                <w:i/>
                <w:color w:val="000000" w:themeColor="text1"/>
              </w:rPr>
            </m:ctrlPr>
          </m:sSubPr>
          <m:e>
            <m:acc>
              <m:accPr>
                <m:ctrlPr>
                  <w:rPr>
                    <w:rFonts w:ascii="Cambria Math" w:hAnsi="Cambria Math"/>
                    <w:i/>
                    <w:color w:val="000000" w:themeColor="text1"/>
                  </w:rPr>
                </m:ctrlPr>
              </m:accPr>
              <m:e>
                <m:r>
                  <w:rPr>
                    <w:rFonts w:ascii="Cambria Math" w:hAnsi="Cambria Math"/>
                    <w:color w:val="000000" w:themeColor="text1"/>
                  </w:rPr>
                  <m:t>σ</m:t>
                </m:r>
              </m:e>
            </m:acc>
          </m:e>
          <m:sub>
            <m:r>
              <w:rPr>
                <w:rFonts w:ascii="Cambria Math" w:hAnsi="Cambria Math"/>
                <w:color w:val="000000" w:themeColor="text1"/>
              </w:rPr>
              <m:t>b1,b2</m:t>
            </m:r>
          </m:sub>
        </m:sSub>
        <m:r>
          <w:rPr>
            <w:rFonts w:ascii="Cambria Math" w:hAnsi="Cambria Math"/>
            <w:color w:val="000000" w:themeColor="text1"/>
          </w:rPr>
          <m:t>=</m:t>
        </m:r>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r</m:t>
            </m:r>
          </m:e>
          <m:sub>
            <m:r>
              <w:rPr>
                <w:rFonts w:ascii="Cambria Math" w:hAnsi="Cambria Math" w:cs="Arial"/>
                <w:color w:val="000000" w:themeColor="text1"/>
                <w:sz w:val="28"/>
                <w:szCs w:val="28"/>
              </w:rPr>
              <m:t>pheno</m:t>
            </m:r>
          </m:sub>
        </m:sSub>
        <m:f>
          <m:fPr>
            <m:ctrlPr>
              <w:rPr>
                <w:rFonts w:ascii="Cambria Math" w:hAnsi="Cambria Math" w:cs="Arial"/>
                <w:i/>
                <w:color w:val="000000" w:themeColor="text1"/>
                <w:sz w:val="28"/>
                <w:szCs w:val="28"/>
              </w:rPr>
            </m:ctrlPr>
          </m:fPr>
          <m:num>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n</m:t>
                </m:r>
              </m:e>
              <m:sub>
                <m:r>
                  <w:rPr>
                    <w:rFonts w:ascii="Cambria Math" w:hAnsi="Cambria Math" w:cs="Arial"/>
                    <w:color w:val="000000" w:themeColor="text1"/>
                    <w:sz w:val="28"/>
                    <w:szCs w:val="28"/>
                  </w:rPr>
                  <m:t>s</m:t>
                </m:r>
              </m:sub>
            </m:sSub>
          </m:num>
          <m:den>
            <m:rad>
              <m:radPr>
                <m:degHide m:val="1"/>
                <m:ctrlPr>
                  <w:rPr>
                    <w:rFonts w:ascii="Cambria Math" w:hAnsi="Cambria Math" w:cs="Arial"/>
                    <w:i/>
                    <w:color w:val="000000" w:themeColor="text1"/>
                    <w:sz w:val="28"/>
                    <w:szCs w:val="28"/>
                  </w:rPr>
                </m:ctrlPr>
              </m:radPr>
              <m:deg/>
              <m:e>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n</m:t>
                    </m:r>
                  </m:e>
                  <m:sub>
                    <m:r>
                      <w:rPr>
                        <w:rFonts w:ascii="Cambria Math" w:hAnsi="Cambria Math" w:cs="Arial"/>
                        <w:color w:val="000000" w:themeColor="text1"/>
                        <w:sz w:val="28"/>
                        <w:szCs w:val="28"/>
                      </w:rPr>
                      <m:t>1</m:t>
                    </m:r>
                  </m:sub>
                </m:sSub>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n</m:t>
                    </m:r>
                  </m:e>
                  <m:sub>
                    <m:r>
                      <w:rPr>
                        <w:rFonts w:ascii="Cambria Math" w:hAnsi="Cambria Math" w:cs="Arial"/>
                        <w:color w:val="000000" w:themeColor="text1"/>
                        <w:sz w:val="28"/>
                        <w:szCs w:val="28"/>
                      </w:rPr>
                      <m:t>2</m:t>
                    </m:r>
                  </m:sub>
                </m:sSub>
              </m:e>
            </m:rad>
          </m:den>
        </m:f>
      </m:oMath>
      <w:r w:rsidR="00076353" w:rsidRPr="006D4CB5">
        <w:rPr>
          <w:color w:val="000000" w:themeColor="text1"/>
          <w:sz w:val="28"/>
          <w:szCs w:val="28"/>
        </w:rPr>
        <w:tab/>
        <w:t>,</w:t>
      </w:r>
      <w:r w:rsidR="00076353" w:rsidRPr="006D4CB5">
        <w:rPr>
          <w:color w:val="000000" w:themeColor="text1"/>
          <w:sz w:val="22"/>
          <w:szCs w:val="22"/>
        </w:rPr>
        <w:tab/>
        <w:t>(Eq. 3)</w:t>
      </w:r>
    </w:p>
    <w:p w14:paraId="51B65E33" w14:textId="77777777" w:rsidR="00076353" w:rsidRPr="006D4CB5" w:rsidRDefault="00076353" w:rsidP="00076353">
      <w:pPr>
        <w:jc w:val="center"/>
        <w:rPr>
          <w:color w:val="000000" w:themeColor="text1"/>
          <w:sz w:val="22"/>
          <w:szCs w:val="22"/>
        </w:rPr>
      </w:pPr>
    </w:p>
    <w:p w14:paraId="5C48A052" w14:textId="77777777" w:rsidR="00076353" w:rsidRPr="006D4CB5" w:rsidRDefault="00076353" w:rsidP="00076353">
      <w:pPr>
        <w:rPr>
          <w:color w:val="000000" w:themeColor="text1"/>
        </w:rPr>
      </w:pPr>
      <w:r w:rsidRPr="006D4CB5">
        <w:rPr>
          <w:color w:val="000000" w:themeColor="text1"/>
        </w:rPr>
        <w:t xml:space="preserve">where </w:t>
      </w:r>
      <w:proofErr w:type="spellStart"/>
      <w:r w:rsidRPr="006D4CB5">
        <w:rPr>
          <w:i/>
          <w:iCs/>
          <w:color w:val="000000" w:themeColor="text1"/>
        </w:rPr>
        <w:t>r</w:t>
      </w:r>
      <w:r w:rsidRPr="006D4CB5">
        <w:rPr>
          <w:i/>
          <w:iCs/>
          <w:color w:val="000000" w:themeColor="text1"/>
          <w:vertAlign w:val="subscript"/>
        </w:rPr>
        <w:t>pheno</w:t>
      </w:r>
      <w:proofErr w:type="spellEnd"/>
      <w:r w:rsidRPr="006D4CB5">
        <w:rPr>
          <w:i/>
          <w:iCs/>
          <w:color w:val="000000" w:themeColor="text1"/>
        </w:rPr>
        <w:t xml:space="preserve"> </w:t>
      </w:r>
      <w:r w:rsidRPr="006D4CB5">
        <w:rPr>
          <w:color w:val="000000" w:themeColor="text1"/>
        </w:rPr>
        <w:t xml:space="preserve">is the phenotypic correlation among the overlapping participants, </w:t>
      </w:r>
      <w:r w:rsidRPr="006D4CB5">
        <w:rPr>
          <w:i/>
          <w:iCs/>
          <w:color w:val="000000" w:themeColor="text1"/>
        </w:rPr>
        <w:t>n</w:t>
      </w:r>
      <w:r w:rsidRPr="006D4CB5">
        <w:rPr>
          <w:i/>
          <w:iCs/>
          <w:color w:val="000000" w:themeColor="text1"/>
          <w:vertAlign w:val="subscript"/>
        </w:rPr>
        <w:t>s</w:t>
      </w:r>
      <w:r w:rsidRPr="006D4CB5">
        <w:rPr>
          <w:i/>
          <w:iCs/>
          <w:color w:val="000000" w:themeColor="text1"/>
        </w:rPr>
        <w:t xml:space="preserve"> </w:t>
      </w:r>
      <w:r w:rsidRPr="006D4CB5">
        <w:rPr>
          <w:color w:val="000000" w:themeColor="text1"/>
        </w:rPr>
        <w:t xml:space="preserve">is the number of overlapping participants in the two cohorts, and </w:t>
      </w:r>
      <w:r w:rsidRPr="006D4CB5">
        <w:rPr>
          <w:i/>
          <w:iCs/>
          <w:color w:val="000000" w:themeColor="text1"/>
        </w:rPr>
        <w:t>n</w:t>
      </w:r>
      <w:r w:rsidRPr="006D4CB5">
        <w:rPr>
          <w:i/>
          <w:iCs/>
          <w:color w:val="000000" w:themeColor="text1"/>
          <w:vertAlign w:val="subscript"/>
        </w:rPr>
        <w:t>1</w:t>
      </w:r>
      <w:r w:rsidRPr="006D4CB5">
        <w:rPr>
          <w:color w:val="000000" w:themeColor="text1"/>
        </w:rPr>
        <w:t xml:space="preserve"> and </w:t>
      </w:r>
      <w:r w:rsidRPr="006D4CB5">
        <w:rPr>
          <w:i/>
          <w:iCs/>
          <w:color w:val="000000" w:themeColor="text1"/>
        </w:rPr>
        <w:t>n</w:t>
      </w:r>
      <w:r w:rsidRPr="006D4CB5">
        <w:rPr>
          <w:i/>
          <w:iCs/>
          <w:color w:val="000000" w:themeColor="text1"/>
          <w:vertAlign w:val="subscript"/>
        </w:rPr>
        <w:t>2</w:t>
      </w:r>
      <w:r w:rsidRPr="006D4CB5">
        <w:rPr>
          <w:color w:val="000000" w:themeColor="text1"/>
        </w:rPr>
        <w:t xml:space="preserve"> are the sample sizes in cohorts 1 and 2 respectively.</w:t>
      </w:r>
    </w:p>
    <w:p w14:paraId="693B42CD" w14:textId="77777777" w:rsidR="00076353" w:rsidRPr="006D4CB5" w:rsidRDefault="00076353" w:rsidP="00076353">
      <w:pPr>
        <w:ind w:firstLine="720"/>
        <w:rPr>
          <w:color w:val="000000" w:themeColor="text1"/>
        </w:rPr>
      </w:pPr>
      <w:r w:rsidRPr="006D4CB5">
        <w:rPr>
          <w:color w:val="000000" w:themeColor="text1"/>
        </w:rPr>
        <w:t xml:space="preserve">For three pairs of cohorts (two each collected as part of Generation Scotland, Lifelines, and </w:t>
      </w:r>
      <w:proofErr w:type="spellStart"/>
      <w:r w:rsidRPr="006D4CB5">
        <w:rPr>
          <w:color w:val="000000" w:themeColor="text1"/>
        </w:rPr>
        <w:t>FinnTwin</w:t>
      </w:r>
      <w:proofErr w:type="spellEnd"/>
      <w:r w:rsidRPr="006D4CB5">
        <w:rPr>
          <w:color w:val="000000" w:themeColor="text1"/>
        </w:rPr>
        <w:t xml:space="preserve">), Z-statistic correlations approximately matched the expected sampling covariance and were substantially positive, indicating non-negligible participant overlap (see </w:t>
      </w:r>
      <w:r w:rsidRPr="006D4CB5">
        <w:rPr>
          <w:b/>
          <w:bCs/>
          <w:color w:val="000000" w:themeColor="text1"/>
        </w:rPr>
        <w:t>Supplementary Table S3</w:t>
      </w:r>
      <w:r w:rsidRPr="006D4CB5">
        <w:rPr>
          <w:color w:val="000000" w:themeColor="text1"/>
        </w:rPr>
        <w:t>). In these three cohort pairs, we computed the expected sampling covariance matrix (V) of each SNP by rescaling the sampling correlation matrix (R) by the respective standard errors of the GWAS coefficients (contained on the diagonals of a diagonal matrix D) for that SNP in the two cohorts as follows:</w:t>
      </w:r>
    </w:p>
    <w:p w14:paraId="48432C82" w14:textId="77777777" w:rsidR="006B02C8" w:rsidRPr="006D4CB5" w:rsidRDefault="006B02C8" w:rsidP="00076353">
      <w:pPr>
        <w:jc w:val="center"/>
        <w:rPr>
          <w:color w:val="000000" w:themeColor="text1"/>
        </w:rPr>
      </w:pPr>
    </w:p>
    <w:p w14:paraId="1362F67D" w14:textId="5FC29E63" w:rsidR="00076353" w:rsidRPr="006D4CB5" w:rsidRDefault="00076353" w:rsidP="00076353">
      <w:pPr>
        <w:jc w:val="center"/>
        <w:rPr>
          <w:color w:val="000000" w:themeColor="text1"/>
        </w:rPr>
      </w:pPr>
      <m:oMath>
        <m:r>
          <w:rPr>
            <w:rFonts w:ascii="Cambria Math" w:hAnsi="Cambria Math"/>
            <w:color w:val="000000" w:themeColor="text1"/>
          </w:rPr>
          <m:t>V=DRD</m:t>
        </m:r>
      </m:oMath>
      <w:r w:rsidRPr="006D4CB5">
        <w:rPr>
          <w:color w:val="000000" w:themeColor="text1"/>
        </w:rPr>
        <w:t>.</w:t>
      </w:r>
      <w:r w:rsidRPr="006D4CB5">
        <w:rPr>
          <w:color w:val="000000" w:themeColor="text1"/>
        </w:rPr>
        <w:tab/>
        <w:t>(Eq 4a)</w:t>
      </w:r>
    </w:p>
    <w:p w14:paraId="5696E383" w14:textId="77777777" w:rsidR="00076353" w:rsidRPr="006D4CB5" w:rsidRDefault="00076353" w:rsidP="00076353">
      <w:pPr>
        <w:jc w:val="center"/>
        <w:rPr>
          <w:color w:val="000000" w:themeColor="text1"/>
        </w:rPr>
      </w:pPr>
    </w:p>
    <w:p w14:paraId="75A30B14" w14:textId="77777777" w:rsidR="00076353" w:rsidRPr="006D4CB5" w:rsidRDefault="00076353" w:rsidP="00076353">
      <w:pPr>
        <w:rPr>
          <w:color w:val="000000" w:themeColor="text1"/>
        </w:rPr>
      </w:pPr>
      <w:r w:rsidRPr="006D4CB5">
        <w:rPr>
          <w:color w:val="000000" w:themeColor="text1"/>
        </w:rPr>
        <w:t xml:space="preserve">We then meta-analyzed the estimates, </w:t>
      </w:r>
      <w:proofErr w:type="gramStart"/>
      <w:r w:rsidRPr="006D4CB5">
        <w:rPr>
          <w:color w:val="000000" w:themeColor="text1"/>
        </w:rPr>
        <w:t>taking into account</w:t>
      </w:r>
      <w:proofErr w:type="gramEnd"/>
      <w:r w:rsidRPr="006D4CB5">
        <w:rPr>
          <w:color w:val="000000" w:themeColor="text1"/>
        </w:rPr>
        <w:t xml:space="preserve"> the dependency of their estimation errors, using generalized least squares (GLS; Aitken, 1936) as follows:</w:t>
      </w:r>
    </w:p>
    <w:p w14:paraId="0AECED17" w14:textId="77777777" w:rsidR="00076353" w:rsidRPr="006D4CB5" w:rsidRDefault="00076353" w:rsidP="00076353">
      <w:pPr>
        <w:jc w:val="center"/>
        <w:rPr>
          <w:color w:val="000000" w:themeColor="text1"/>
        </w:rPr>
      </w:pPr>
    </w:p>
    <w:p w14:paraId="3E503158" w14:textId="77777777"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r>
          <w:rPr>
            <w:rFonts w:ascii="Cambria Math" w:hAns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X'</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-1</m:t>
                    </m:r>
                  </m:sup>
                </m:sSup>
                <m:r>
                  <w:rPr>
                    <w:rFonts w:ascii="Cambria Math" w:hAnsi="Cambria Math"/>
                    <w:color w:val="000000" w:themeColor="text1"/>
                  </w:rPr>
                  <m:t>X</m:t>
                </m:r>
              </m:e>
            </m:d>
          </m:e>
          <m:sup>
            <m:r>
              <w:rPr>
                <w:rFonts w:ascii="Cambria Math" w:hAnsi="Cambria Math"/>
                <w:color w:val="000000" w:themeColor="text1"/>
              </w:rPr>
              <m:t>-1</m:t>
            </m:r>
          </m:sup>
        </m:sSup>
        <m:r>
          <w:rPr>
            <w:rFonts w:ascii="Cambria Math" w:hAnsi="Cambria Math"/>
            <w:color w:val="000000" w:themeColor="text1"/>
          </w:rPr>
          <m:t>X'</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-1</m:t>
            </m:r>
          </m:sup>
        </m:sSup>
        <m:r>
          <w:rPr>
            <w:rFonts w:ascii="Cambria Math" w:hAnsi="Cambria Math"/>
            <w:color w:val="000000" w:themeColor="text1"/>
          </w:rPr>
          <m:t>b</m:t>
        </m:r>
      </m:oMath>
      <w:r w:rsidR="00076353" w:rsidRPr="006D4CB5">
        <w:rPr>
          <w:color w:val="000000" w:themeColor="text1"/>
        </w:rPr>
        <w:tab/>
        <w:t xml:space="preserve">, </w:t>
      </w:r>
      <w:r w:rsidR="00076353" w:rsidRPr="006D4CB5">
        <w:rPr>
          <w:color w:val="000000" w:themeColor="text1"/>
        </w:rPr>
        <w:tab/>
        <w:t>(Eq. 4b)</w:t>
      </w:r>
    </w:p>
    <w:p w14:paraId="2581DA55" w14:textId="77777777" w:rsidR="00076353" w:rsidRPr="006D4CB5" w:rsidRDefault="00076353" w:rsidP="00076353">
      <w:pPr>
        <w:jc w:val="center"/>
        <w:rPr>
          <w:color w:val="000000" w:themeColor="text1"/>
        </w:rPr>
      </w:pPr>
      <w:r w:rsidRPr="006D4CB5">
        <w:rPr>
          <w:color w:val="000000" w:themeColor="text1"/>
        </w:rPr>
        <w:t>and</w:t>
      </w:r>
    </w:p>
    <w:p w14:paraId="01A1AECC" w14:textId="77777777" w:rsidR="00076353" w:rsidRPr="006D4CB5" w:rsidRDefault="00000000" w:rsidP="00076353">
      <w:pPr>
        <w:jc w:val="center"/>
        <w:rPr>
          <w:color w:val="000000" w:themeColor="text1"/>
        </w:rPr>
      </w:pPr>
      <m:oMath>
        <m:sSubSup>
          <m:sSubSupPr>
            <m:ctrlPr>
              <w:rPr>
                <w:rFonts w:ascii="Cambria Math" w:hAnsi="Cambria Math"/>
                <w:i/>
                <w:color w:val="000000" w:themeColor="text1"/>
              </w:rPr>
            </m:ctrlPr>
          </m:sSubSupPr>
          <m:e>
            <m:r>
              <w:rPr>
                <w:rFonts w:ascii="Cambria Math" w:hAnsi="Cambria Math"/>
                <w:color w:val="000000" w:themeColor="text1"/>
              </w:rPr>
              <m:t>SE</m:t>
            </m:r>
          </m:e>
          <m:sub>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sub>
          <m:sup>
            <m:r>
              <w:rPr>
                <w:rFonts w:ascii="Cambria Math" w:hAnsi="Cambria Math"/>
                <w:color w:val="000000" w:themeColor="text1"/>
              </w:rPr>
              <m:t>2</m:t>
            </m:r>
          </m:sup>
        </m:sSubSup>
        <m:r>
          <w:rPr>
            <w:rFonts w:ascii="Cambria Math" w:hAns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X'</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-1</m:t>
                    </m:r>
                  </m:sup>
                </m:sSup>
                <m:r>
                  <w:rPr>
                    <w:rFonts w:ascii="Cambria Math" w:hAnsi="Cambria Math"/>
                    <w:color w:val="000000" w:themeColor="text1"/>
                  </w:rPr>
                  <m:t>X</m:t>
                </m:r>
              </m:e>
            </m:d>
          </m:e>
          <m:sup>
            <m:r>
              <w:rPr>
                <w:rFonts w:ascii="Cambria Math" w:hAnsi="Cambria Math"/>
                <w:color w:val="000000" w:themeColor="text1"/>
              </w:rPr>
              <m:t>-1</m:t>
            </m:r>
          </m:sup>
        </m:sSup>
      </m:oMath>
      <w:r w:rsidR="00076353" w:rsidRPr="006D4CB5">
        <w:rPr>
          <w:color w:val="000000" w:themeColor="text1"/>
        </w:rPr>
        <w:t xml:space="preserve"> ,</w:t>
      </w:r>
      <w:r w:rsidR="00076353" w:rsidRPr="006D4CB5">
        <w:rPr>
          <w:color w:val="000000" w:themeColor="text1"/>
        </w:rPr>
        <w:tab/>
      </w:r>
      <w:r w:rsidR="00076353" w:rsidRPr="006D4CB5">
        <w:rPr>
          <w:color w:val="000000" w:themeColor="text1"/>
        </w:rPr>
        <w:tab/>
        <w:t>(Eq. 4c)</w:t>
      </w:r>
    </w:p>
    <w:p w14:paraId="32BB7943" w14:textId="77777777" w:rsidR="00076353" w:rsidRPr="006D4CB5" w:rsidRDefault="00076353" w:rsidP="00076353">
      <w:pPr>
        <w:rPr>
          <w:color w:val="000000" w:themeColor="text1"/>
        </w:rPr>
      </w:pPr>
    </w:p>
    <w:p w14:paraId="5D27DF2C" w14:textId="27FC719E" w:rsidR="00076353" w:rsidRPr="006D4CB5" w:rsidRDefault="00076353" w:rsidP="00076353">
      <w:pPr>
        <w:rPr>
          <w:color w:val="000000" w:themeColor="text1"/>
        </w:rPr>
      </w:pPr>
      <w:r w:rsidRPr="006D4CB5">
        <w:rPr>
          <w:color w:val="000000" w:themeColor="text1"/>
        </w:rPr>
        <w:t xml:space="preserve">where </w:t>
      </w:r>
      <w:r w:rsidRPr="006D4CB5">
        <w:rPr>
          <w:i/>
          <w:iCs/>
          <w:color w:val="000000" w:themeColor="text1"/>
        </w:rPr>
        <w:t>b</w:t>
      </w:r>
      <w:r w:rsidRPr="006D4CB5">
        <w:rPr>
          <w:color w:val="000000" w:themeColor="text1"/>
        </w:rPr>
        <w:t xml:space="preserve"> is the vector of GWAS coefficients (</w:t>
      </w:r>
      <w:r w:rsidRPr="006D4CB5">
        <w:rPr>
          <w:i/>
          <w:iCs/>
          <w:color w:val="000000" w:themeColor="text1"/>
        </w:rPr>
        <w:t>b</w:t>
      </w:r>
      <w:r w:rsidRPr="006D4CB5">
        <w:rPr>
          <w:i/>
          <w:iCs/>
          <w:color w:val="000000" w:themeColor="text1"/>
          <w:vertAlign w:val="subscript"/>
        </w:rPr>
        <w:t>1</w:t>
      </w:r>
      <w:r w:rsidRPr="006D4CB5">
        <w:rPr>
          <w:color w:val="000000" w:themeColor="text1"/>
        </w:rPr>
        <w:t xml:space="preserve"> and </w:t>
      </w:r>
      <w:r w:rsidRPr="006D4CB5">
        <w:rPr>
          <w:i/>
          <w:iCs/>
          <w:color w:val="000000" w:themeColor="text1"/>
        </w:rPr>
        <w:t>b</w:t>
      </w:r>
      <w:r w:rsidRPr="006D4CB5">
        <w:rPr>
          <w:i/>
          <w:iCs/>
          <w:color w:val="000000" w:themeColor="text1"/>
          <w:vertAlign w:val="subscript"/>
        </w:rPr>
        <w:t>2</w:t>
      </w:r>
      <w:r w:rsidRPr="006D4CB5">
        <w:rPr>
          <w:color w:val="000000" w:themeColor="text1"/>
        </w:rPr>
        <w:t xml:space="preserve"> for cohorts 1 and 2</w:t>
      </w:r>
      <w:r w:rsidRPr="006D4CB5">
        <w:rPr>
          <w:i/>
          <w:iCs/>
          <w:color w:val="000000" w:themeColor="text1"/>
        </w:rPr>
        <w:t xml:space="preserve">) </w:t>
      </w:r>
      <w:r w:rsidRPr="006D4CB5">
        <w:rPr>
          <w:color w:val="000000" w:themeColor="text1"/>
        </w:rPr>
        <w:t xml:space="preserve">for a given SNP in each of the partially overlapping cohorts, </w:t>
      </w:r>
      <w:r w:rsidRPr="006D4CB5">
        <w:rPr>
          <w:i/>
          <w:iCs/>
          <w:color w:val="000000" w:themeColor="text1"/>
        </w:rPr>
        <w:t>X</w:t>
      </w:r>
      <w:r w:rsidRPr="006D4CB5">
        <w:rPr>
          <w:color w:val="000000" w:themeColor="text1"/>
        </w:rPr>
        <w:t xml:space="preserve"> is a vector of 1s (2 elements for two cohorts),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oMath>
      <w:r w:rsidRPr="006D4CB5">
        <w:rPr>
          <w:color w:val="000000" w:themeColor="text1"/>
        </w:rPr>
        <w:t xml:space="preserve"> </w:t>
      </w:r>
      <w:r w:rsidRPr="006D4CB5">
        <w:rPr>
          <w:color w:val="000000" w:themeColor="text1"/>
        </w:rPr>
        <w:lastRenderedPageBreak/>
        <w:t xml:space="preserve">is the meta-analytic beta across the overlapping cohorts, and </w:t>
      </w:r>
      <m:oMath>
        <m:sSubSup>
          <m:sSubSupPr>
            <m:ctrlPr>
              <w:rPr>
                <w:rFonts w:ascii="Cambria Math" w:hAnsi="Cambria Math"/>
                <w:i/>
                <w:color w:val="000000" w:themeColor="text1"/>
              </w:rPr>
            </m:ctrlPr>
          </m:sSubSupPr>
          <m:e>
            <m:r>
              <w:rPr>
                <w:rFonts w:ascii="Cambria Math" w:hAnsi="Cambria Math"/>
                <w:color w:val="000000" w:themeColor="text1"/>
              </w:rPr>
              <m:t>SE</m:t>
            </m:r>
          </m:e>
          <m:sub>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sub>
          <m:sup>
            <m:r>
              <w:rPr>
                <w:rFonts w:ascii="Cambria Math" w:hAnsi="Cambria Math"/>
                <w:color w:val="000000" w:themeColor="text1"/>
              </w:rPr>
              <m:t>2</m:t>
            </m:r>
          </m:sup>
        </m:sSubSup>
      </m:oMath>
      <w:r w:rsidRPr="006D4CB5">
        <w:rPr>
          <w:color w:val="000000" w:themeColor="text1"/>
        </w:rPr>
        <w:t xml:space="preserve"> is its standard error. This synthesis consolidated the 46 contributing EUR</w:t>
      </w:r>
      <w:r w:rsidR="001B70C0">
        <w:rPr>
          <w:color w:val="000000" w:themeColor="text1"/>
        </w:rPr>
        <w:t>-like</w:t>
      </w:r>
      <w:r w:rsidRPr="006D4CB5">
        <w:rPr>
          <w:color w:val="000000" w:themeColor="text1"/>
        </w:rPr>
        <w:t xml:space="preserve"> </w:t>
      </w:r>
      <w:r w:rsidR="001B70C0">
        <w:rPr>
          <w:color w:val="000000" w:themeColor="text1"/>
        </w:rPr>
        <w:t>cohorts</w:t>
      </w:r>
      <w:r w:rsidRPr="006D4CB5">
        <w:rPr>
          <w:color w:val="000000" w:themeColor="text1"/>
        </w:rPr>
        <w:t xml:space="preserve"> into 43 total independent samples in addition to 10 independent AFR</w:t>
      </w:r>
      <w:r w:rsidR="001B70C0">
        <w:rPr>
          <w:color w:val="000000" w:themeColor="text1"/>
        </w:rPr>
        <w:t>-like</w:t>
      </w:r>
      <w:r w:rsidRPr="006D4CB5">
        <w:rPr>
          <w:color w:val="000000" w:themeColor="text1"/>
        </w:rPr>
        <w:t xml:space="preserve"> </w:t>
      </w:r>
      <w:r w:rsidR="001B70C0">
        <w:rPr>
          <w:color w:val="000000" w:themeColor="text1"/>
        </w:rPr>
        <w:t>cohorts,</w:t>
      </w:r>
      <w:r w:rsidR="001A07C1" w:rsidRPr="006D4CB5">
        <w:rPr>
          <w:color w:val="000000" w:themeColor="text1"/>
        </w:rPr>
        <w:t xml:space="preserve"> </w:t>
      </w:r>
      <w:r w:rsidR="009B2C6E" w:rsidRPr="006D4CB5">
        <w:rPr>
          <w:color w:val="000000" w:themeColor="text1"/>
        </w:rPr>
        <w:t xml:space="preserve">Then, for each personality trait, across these 43 cohorts, </w:t>
      </w:r>
      <w:r w:rsidR="001A07C1" w:rsidRPr="006D4CB5">
        <w:rPr>
          <w:color w:val="000000" w:themeColor="text1"/>
        </w:rPr>
        <w:t xml:space="preserve">we merged </w:t>
      </w:r>
      <w:r w:rsidR="009B2C6E" w:rsidRPr="006D4CB5">
        <w:rPr>
          <w:color w:val="000000" w:themeColor="text1"/>
        </w:rPr>
        <w:t>SNP data</w:t>
      </w:r>
      <w:r w:rsidR="001A07C1" w:rsidRPr="006D4CB5">
        <w:rPr>
          <w:color w:val="000000" w:themeColor="text1"/>
        </w:rPr>
        <w:t xml:space="preserve"> by </w:t>
      </w:r>
      <w:proofErr w:type="spellStart"/>
      <w:r w:rsidR="001A07C1" w:rsidRPr="006D4CB5">
        <w:rPr>
          <w:color w:val="000000" w:themeColor="text1"/>
        </w:rPr>
        <w:t>rsID</w:t>
      </w:r>
      <w:proofErr w:type="spellEnd"/>
      <w:r w:rsidR="001A07C1" w:rsidRPr="006D4CB5">
        <w:rPr>
          <w:color w:val="000000" w:themeColor="text1"/>
        </w:rPr>
        <w:t xml:space="preserve"> and chromosomal position</w:t>
      </w:r>
      <w:r w:rsidR="009B2C6E" w:rsidRPr="006D4CB5">
        <w:rPr>
          <w:color w:val="000000" w:themeColor="text1"/>
        </w:rPr>
        <w:t>.</w:t>
      </w:r>
    </w:p>
    <w:p w14:paraId="5055153F" w14:textId="77777777" w:rsidR="00294CCD" w:rsidRPr="006D4CB5" w:rsidRDefault="00294CCD" w:rsidP="00076353">
      <w:pPr>
        <w:rPr>
          <w:color w:val="000000" w:themeColor="text1"/>
        </w:rPr>
      </w:pPr>
    </w:p>
    <w:p w14:paraId="5DA98C89" w14:textId="77777777" w:rsidR="00076353" w:rsidRPr="006D4CB5" w:rsidRDefault="00076353" w:rsidP="00076353">
      <w:pPr>
        <w:rPr>
          <w:color w:val="000000" w:themeColor="text1"/>
        </w:rPr>
      </w:pPr>
    </w:p>
    <w:p w14:paraId="4C815B6E" w14:textId="77777777" w:rsidR="00076353" w:rsidRPr="006D4CB5" w:rsidRDefault="00076353" w:rsidP="00076353">
      <w:pPr>
        <w:rPr>
          <w:color w:val="000000" w:themeColor="text1"/>
          <w:u w:val="single"/>
        </w:rPr>
      </w:pPr>
      <w:r w:rsidRPr="006D4CB5">
        <w:rPr>
          <w:color w:val="000000" w:themeColor="text1"/>
          <w:u w:val="single"/>
        </w:rPr>
        <w:t>2.5 Inverse-Variance Weighted Meta-Analysis</w:t>
      </w:r>
    </w:p>
    <w:p w14:paraId="199D67E0" w14:textId="77777777" w:rsidR="00076353" w:rsidRPr="006D4CB5" w:rsidRDefault="00076353" w:rsidP="00076353">
      <w:pPr>
        <w:rPr>
          <w:color w:val="000000" w:themeColor="text1"/>
        </w:rPr>
      </w:pPr>
      <w:r w:rsidRPr="006D4CB5">
        <w:rPr>
          <w:color w:val="000000" w:themeColor="text1"/>
        </w:rPr>
        <w:tab/>
        <w:t xml:space="preserve">To obtain the meta-analytic GWAS estimates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oMath>
      <w:r w:rsidRPr="006D4CB5">
        <w:rPr>
          <w:color w:val="000000" w:themeColor="text1"/>
        </w:rPr>
        <w:t>, Standard Error (</w:t>
      </w:r>
      <m:oMath>
        <m:sSub>
          <m:sSubPr>
            <m:ctrlPr>
              <w:rPr>
                <w:rFonts w:ascii="Cambria Math" w:hAnsi="Cambria Math"/>
                <w:i/>
                <w:color w:val="000000" w:themeColor="text1"/>
              </w:rPr>
            </m:ctrlPr>
          </m:sSubPr>
          <m:e>
            <m:r>
              <w:rPr>
                <w:rFonts w:ascii="Cambria Math" w:hAnsi="Cambria Math"/>
                <w:color w:val="000000" w:themeColor="text1"/>
              </w:rPr>
              <m:t>SE</m:t>
            </m:r>
          </m:e>
          <m:sub>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sub>
        </m:sSub>
        <m:r>
          <w:rPr>
            <w:rFonts w:ascii="Cambria Math" w:hAnsi="Cambria Math"/>
            <w:color w:val="000000" w:themeColor="text1"/>
          </w:rPr>
          <m:t>)</m:t>
        </m:r>
      </m:oMath>
      <w:r w:rsidRPr="006D4CB5">
        <w:rPr>
          <w:color w:val="000000" w:themeColor="text1"/>
        </w:rPr>
        <w:t>, and Z statistic (</w:t>
      </w:r>
      <m:oMath>
        <m:r>
          <w:rPr>
            <w:rFonts w:ascii="Cambria Math" w:hAnsi="Cambria Math"/>
            <w:color w:val="000000" w:themeColor="text1"/>
          </w:rPr>
          <m:t> </m:t>
        </m:r>
        <m:sSub>
          <m:sSubPr>
            <m:ctrlPr>
              <w:rPr>
                <w:rFonts w:ascii="Cambria Math" w:hAnsi="Cambria Math"/>
                <w:i/>
                <w:color w:val="000000" w:themeColor="text1"/>
              </w:rPr>
            </m:ctrlPr>
          </m:sSubPr>
          <m:e>
            <m:r>
              <w:rPr>
                <w:rFonts w:ascii="Cambria Math" w:hAnsi="Cambria Math"/>
                <w:color w:val="000000" w:themeColor="text1"/>
              </w:rPr>
              <m:t>Z</m:t>
            </m:r>
          </m:e>
          <m:sub>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sub>
        </m:sSub>
        <m:r>
          <w:rPr>
            <w:rFonts w:ascii="Cambria Math" w:hAnsi="Cambria Math"/>
            <w:color w:val="000000" w:themeColor="text1"/>
          </w:rPr>
          <m:t>)</m:t>
        </m:r>
      </m:oMath>
      <w:r w:rsidRPr="006D4CB5">
        <w:rPr>
          <w:color w:val="000000" w:themeColor="text1"/>
        </w:rPr>
        <w:t xml:space="preserve"> for each SNP for each personality trait across K independent cohorts, we implemented an inverse variance weighted meta-analysis in R, according to the following set of equations:</w:t>
      </w:r>
    </w:p>
    <w:p w14:paraId="46A6B8D8" w14:textId="77777777" w:rsidR="00076353" w:rsidRPr="006D4CB5" w:rsidRDefault="00076353" w:rsidP="00076353">
      <w:pPr>
        <w:rPr>
          <w:color w:val="000000" w:themeColor="text1"/>
        </w:rPr>
      </w:pPr>
    </w:p>
    <w:p w14:paraId="050E005A" w14:textId="77777777" w:rsidR="00076353" w:rsidRPr="006D4CB5" w:rsidRDefault="00000000" w:rsidP="006B02C8">
      <w:pPr>
        <w:jc w:val="center"/>
        <w:rPr>
          <w:color w:val="000000" w:themeColor="text1"/>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meta</m:t>
            </m:r>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k</m:t>
                            </m:r>
                          </m:sub>
                        </m:sSub>
                      </m:sub>
                      <m:sup>
                        <m:r>
                          <w:rPr>
                            <w:rFonts w:ascii="Cambria Math" w:hAnsi="Cambria Math"/>
                            <w:color w:val="000000" w:themeColor="text1"/>
                            <w:sz w:val="28"/>
                            <w:szCs w:val="28"/>
                          </w:rPr>
                          <m:t>2</m:t>
                        </m:r>
                      </m:sup>
                    </m:sSubSup>
                  </m:den>
                </m:f>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k</m:t>
                    </m:r>
                  </m:sub>
                </m:sSub>
              </m:e>
            </m:nary>
          </m:num>
          <m:den>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k</m:t>
                            </m:r>
                          </m:sub>
                        </m:sSub>
                      </m:sub>
                      <m:sup>
                        <m:r>
                          <w:rPr>
                            <w:rFonts w:ascii="Cambria Math" w:hAnsi="Cambria Math"/>
                            <w:color w:val="000000" w:themeColor="text1"/>
                            <w:sz w:val="28"/>
                            <w:szCs w:val="28"/>
                          </w:rPr>
                          <m:t>2</m:t>
                        </m:r>
                      </m:sup>
                    </m:sSubSup>
                  </m:den>
                </m:f>
              </m:e>
            </m:nary>
          </m:den>
        </m:f>
      </m:oMath>
      <w:r w:rsidR="00076353" w:rsidRPr="006D4CB5">
        <w:rPr>
          <w:color w:val="000000" w:themeColor="text1"/>
          <w:sz w:val="28"/>
          <w:szCs w:val="28"/>
        </w:rPr>
        <w:tab/>
      </w:r>
      <w:r w:rsidR="00076353" w:rsidRPr="006D4CB5">
        <w:rPr>
          <w:color w:val="000000" w:themeColor="text1"/>
        </w:rPr>
        <w:t>,</w:t>
      </w:r>
      <w:r w:rsidR="00076353" w:rsidRPr="006D4CB5">
        <w:rPr>
          <w:color w:val="000000" w:themeColor="text1"/>
        </w:rPr>
        <w:tab/>
        <w:t>(Eq. 5a)</w:t>
      </w:r>
    </w:p>
    <w:p w14:paraId="053033EC" w14:textId="77777777" w:rsidR="00076353" w:rsidRPr="006D4CB5" w:rsidRDefault="00076353" w:rsidP="00076353">
      <w:pPr>
        <w:ind w:left="720" w:firstLine="720"/>
        <w:jc w:val="center"/>
        <w:rPr>
          <w:color w:val="000000" w:themeColor="text1"/>
        </w:rPr>
      </w:pPr>
    </w:p>
    <w:p w14:paraId="25449331" w14:textId="77777777" w:rsidR="00076353" w:rsidRPr="006D4CB5" w:rsidRDefault="00000000" w:rsidP="006B02C8">
      <w:pPr>
        <w:jc w:val="center"/>
        <w:rPr>
          <w:color w:val="000000" w:themeColor="text1"/>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SE</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meta</m:t>
                </m:r>
              </m:sub>
            </m:sSub>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rad>
              <m:radPr>
                <m:degHide m:val="1"/>
                <m:ctrlPr>
                  <w:rPr>
                    <w:rFonts w:ascii="Cambria Math" w:hAnsi="Cambria Math"/>
                    <w:color w:val="000000" w:themeColor="text1"/>
                    <w:sz w:val="28"/>
                    <w:szCs w:val="28"/>
                  </w:rPr>
                </m:ctrlPr>
              </m:radPr>
              <m:deg/>
              <m:e>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k</m:t>
                                </m:r>
                              </m:sub>
                            </m:sSub>
                          </m:sub>
                          <m:sup>
                            <m:r>
                              <w:rPr>
                                <w:rFonts w:ascii="Cambria Math" w:hAnsi="Cambria Math"/>
                                <w:color w:val="000000" w:themeColor="text1"/>
                                <w:sz w:val="28"/>
                                <w:szCs w:val="28"/>
                              </w:rPr>
                              <m:t>2</m:t>
                            </m:r>
                          </m:sup>
                        </m:sSubSup>
                      </m:den>
                    </m:f>
                  </m:e>
                </m:nary>
              </m:e>
            </m:rad>
          </m:den>
        </m:f>
      </m:oMath>
      <w:r w:rsidR="00076353" w:rsidRPr="006D4CB5">
        <w:rPr>
          <w:color w:val="000000" w:themeColor="text1"/>
          <w:sz w:val="28"/>
          <w:szCs w:val="28"/>
        </w:rPr>
        <w:tab/>
      </w:r>
      <w:r w:rsidR="00076353" w:rsidRPr="006D4CB5">
        <w:rPr>
          <w:color w:val="000000" w:themeColor="text1"/>
        </w:rPr>
        <w:t>,</w:t>
      </w:r>
      <w:r w:rsidR="00076353" w:rsidRPr="006D4CB5">
        <w:rPr>
          <w:color w:val="000000" w:themeColor="text1"/>
        </w:rPr>
        <w:tab/>
        <w:t>(Eq. 5b)</w:t>
      </w:r>
    </w:p>
    <w:p w14:paraId="52CF89F4" w14:textId="77777777" w:rsidR="00076353" w:rsidRPr="006D4CB5" w:rsidRDefault="00076353" w:rsidP="00076353">
      <w:pPr>
        <w:ind w:left="720" w:firstLine="720"/>
        <w:jc w:val="center"/>
        <w:rPr>
          <w:color w:val="000000" w:themeColor="text1"/>
          <w:sz w:val="28"/>
          <w:szCs w:val="28"/>
        </w:rPr>
      </w:pPr>
    </w:p>
    <w:p w14:paraId="7EEC3698" w14:textId="77777777" w:rsidR="00076353" w:rsidRPr="006D4CB5" w:rsidRDefault="00076353" w:rsidP="006B02C8">
      <w:pPr>
        <w:jc w:val="center"/>
        <w:rPr>
          <w:color w:val="000000" w:themeColor="text1"/>
        </w:rPr>
      </w:pPr>
      <w:r w:rsidRPr="006D4CB5">
        <w:rPr>
          <w:color w:val="000000" w:themeColor="text1"/>
        </w:rPr>
        <w:t>and</w:t>
      </w:r>
    </w:p>
    <w:p w14:paraId="46F76712" w14:textId="77777777" w:rsidR="00076353" w:rsidRPr="006D4CB5" w:rsidRDefault="00076353" w:rsidP="00076353">
      <w:pPr>
        <w:jc w:val="center"/>
        <w:rPr>
          <w:color w:val="000000" w:themeColor="text1"/>
        </w:rPr>
      </w:pPr>
    </w:p>
    <w:p w14:paraId="1C39EF23" w14:textId="77777777" w:rsidR="00076353" w:rsidRPr="006D4CB5" w:rsidRDefault="00076353" w:rsidP="006B02C8">
      <w:pPr>
        <w:jc w:val="center"/>
        <w:rPr>
          <w:color w:val="000000" w:themeColor="text1"/>
        </w:rPr>
      </w:pPr>
      <m:oMath>
        <m:r>
          <w:rPr>
            <w:rFonts w:ascii="Cambria Math" w:hAnsi="Cambria Math"/>
            <w:color w:val="000000" w:themeColor="text1"/>
            <w:sz w:val="28"/>
            <w:szCs w:val="28"/>
          </w:rPr>
          <m:t>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Z</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meta</m:t>
                </m:r>
              </m:sub>
            </m:sSub>
          </m:sub>
        </m:sSub>
        <m:r>
          <w:rPr>
            <w:rFonts w:ascii="Cambria Math" w:hAnsi="Cambria Math"/>
            <w:color w:val="000000" w:themeColor="text1"/>
            <w:sz w:val="28"/>
            <w:szCs w:val="28"/>
          </w:rPr>
          <m:t>= </m:t>
        </m:r>
        <m:f>
          <m:fPr>
            <m:ctrlPr>
              <w:rPr>
                <w:rFonts w:ascii="Cambria Math" w:hAnsi="Cambria Math"/>
                <w:color w:val="000000" w:themeColor="text1"/>
                <w:sz w:val="28"/>
                <w:szCs w:val="28"/>
              </w:rPr>
            </m:ctrlPr>
          </m:fPr>
          <m:num>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meta</m:t>
                </m:r>
              </m:sub>
            </m:sSub>
          </m:num>
          <m:den>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SE</m:t>
                </m:r>
              </m:e>
              <m:sub>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b</m:t>
                    </m:r>
                  </m:e>
                  <m:sub>
                    <m:r>
                      <w:rPr>
                        <w:rFonts w:ascii="Cambria Math" w:hAnsi="Cambria Math"/>
                        <w:color w:val="000000" w:themeColor="text1"/>
                        <w:sz w:val="28"/>
                        <w:szCs w:val="28"/>
                      </w:rPr>
                      <m:t>meta</m:t>
                    </m:r>
                  </m:sub>
                </m:sSub>
              </m:sub>
            </m:sSub>
          </m:den>
        </m:f>
        <m:r>
          <w:rPr>
            <w:rFonts w:ascii="Cambria Math" w:hAnsi="Cambria Math"/>
            <w:color w:val="000000" w:themeColor="text1"/>
            <w:sz w:val="28"/>
            <w:szCs w:val="28"/>
          </w:rPr>
          <m:t> </m:t>
        </m:r>
      </m:oMath>
      <w:r w:rsidRPr="006D4CB5">
        <w:rPr>
          <w:color w:val="000000" w:themeColor="text1"/>
          <w:sz w:val="28"/>
          <w:szCs w:val="28"/>
        </w:rPr>
        <w:tab/>
      </w:r>
      <w:r w:rsidRPr="006D4CB5">
        <w:rPr>
          <w:color w:val="000000" w:themeColor="text1"/>
        </w:rPr>
        <w:t>.</w:t>
      </w:r>
      <w:r w:rsidRPr="006D4CB5">
        <w:rPr>
          <w:color w:val="000000" w:themeColor="text1"/>
        </w:rPr>
        <w:tab/>
        <w:t>(Eq. 5c)</w:t>
      </w:r>
    </w:p>
    <w:p w14:paraId="7597E422" w14:textId="77777777" w:rsidR="00076353" w:rsidRPr="006D4CB5" w:rsidRDefault="00076353" w:rsidP="00076353">
      <w:pPr>
        <w:rPr>
          <w:color w:val="000000" w:themeColor="text1"/>
        </w:rPr>
      </w:pPr>
    </w:p>
    <w:p w14:paraId="5F17E50F" w14:textId="77777777" w:rsidR="00076353" w:rsidRPr="006D4CB5" w:rsidRDefault="00076353" w:rsidP="00076353">
      <w:pPr>
        <w:rPr>
          <w:color w:val="000000" w:themeColor="text1"/>
        </w:rPr>
      </w:pPr>
      <w:r w:rsidRPr="006D4CB5">
        <w:rPr>
          <w:color w:val="000000" w:themeColor="text1"/>
        </w:rPr>
        <w:tab/>
        <w:t>We also estimated imputation quality for non-genotyped SNPs (INFO), effect allele frequency (EAF) and MAF in the full meta-analytic sample using sample-sized weighted meta-analysis, according to the following set of equations:</w:t>
      </w:r>
    </w:p>
    <w:p w14:paraId="32BB6244" w14:textId="77777777" w:rsidR="00076353" w:rsidRPr="006D4CB5" w:rsidRDefault="00076353" w:rsidP="00076353">
      <w:pPr>
        <w:rPr>
          <w:color w:val="000000" w:themeColor="text1"/>
        </w:rPr>
      </w:pPr>
    </w:p>
    <w:p w14:paraId="59B5A12B" w14:textId="77777777" w:rsidR="00076353" w:rsidRPr="006D4CB5" w:rsidRDefault="00000000" w:rsidP="006B02C8">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INFO</m:t>
            </m:r>
          </m:e>
          <m:sub>
            <m:r>
              <w:rPr>
                <w:rFonts w:ascii="Cambria Math" w:hAnsi="Cambria Math"/>
                <w:color w:val="000000" w:themeColor="text1"/>
              </w:rPr>
              <m:t>meta</m:t>
            </m:r>
          </m:sub>
        </m:sSub>
        <m:r>
          <w:rPr>
            <w:rFonts w:ascii="Cambria Math" w:hAnsi="Cambria Math"/>
            <w:color w:val="000000" w:themeColor="text1"/>
          </w:rPr>
          <m:t> =</m:t>
        </m:r>
        <m:f>
          <m:fPr>
            <m:ctrlPr>
              <w:rPr>
                <w:rFonts w:ascii="Cambria Math" w:hAnsi="Cambria Math"/>
                <w:i/>
                <w:color w:val="000000" w:themeColor="text1"/>
              </w:rPr>
            </m:ctrlPr>
          </m:fPr>
          <m:num>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sSub>
                  <m:sSubPr>
                    <m:ctrlPr>
                      <w:rPr>
                        <w:rFonts w:ascii="Cambria Math" w:hAnsi="Cambria Math"/>
                        <w:i/>
                        <w:color w:val="000000" w:themeColor="text1"/>
                      </w:rPr>
                    </m:ctrlPr>
                  </m:sSubPr>
                  <m:e>
                    <m:r>
                      <w:rPr>
                        <w:rFonts w:ascii="Cambria Math" w:hAnsi="Cambria Math"/>
                        <w:color w:val="000000" w:themeColor="text1"/>
                      </w:rPr>
                      <m:t>INFO</m:t>
                    </m:r>
                  </m:e>
                  <m:sub>
                    <m:r>
                      <w:rPr>
                        <w:rFonts w:ascii="Cambria Math" w:hAnsi="Cambria Math"/>
                        <w:color w:val="000000" w:themeColor="text1"/>
                      </w:rPr>
                      <m:t>k</m:t>
                    </m:r>
                  </m:sub>
                </m:sSub>
              </m:e>
            </m:nary>
          </m:num>
          <m:den>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e>
            </m:nary>
          </m:den>
        </m:f>
        <m:r>
          <w:rPr>
            <w:rFonts w:ascii="Cambria Math" w:hAnsi="Cambria Math"/>
            <w:color w:val="000000" w:themeColor="text1"/>
          </w:rPr>
          <m:t> </m:t>
        </m:r>
      </m:oMath>
      <w:r w:rsidR="00076353" w:rsidRPr="006D4CB5">
        <w:rPr>
          <w:color w:val="000000" w:themeColor="text1"/>
        </w:rPr>
        <w:t xml:space="preserve">, </w:t>
      </w:r>
      <w:r w:rsidR="00076353" w:rsidRPr="006D4CB5">
        <w:rPr>
          <w:color w:val="000000" w:themeColor="text1"/>
        </w:rPr>
        <w:tab/>
        <w:t>(Eq. 6a)</w:t>
      </w:r>
    </w:p>
    <w:p w14:paraId="27F4DFFD" w14:textId="77777777" w:rsidR="00076353" w:rsidRPr="006D4CB5" w:rsidRDefault="00076353" w:rsidP="00076353">
      <w:pPr>
        <w:ind w:left="720" w:firstLine="720"/>
        <w:jc w:val="center"/>
        <w:rPr>
          <w:color w:val="000000" w:themeColor="text1"/>
        </w:rPr>
      </w:pPr>
    </w:p>
    <w:p w14:paraId="7841BFED" w14:textId="77777777" w:rsidR="00076353" w:rsidRPr="006D4CB5" w:rsidRDefault="00000000" w:rsidP="006B02C8">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MAF</m:t>
            </m:r>
          </m:e>
          <m:sub>
            <m:r>
              <w:rPr>
                <w:rFonts w:ascii="Cambria Math" w:hAnsi="Cambria Math"/>
                <w:color w:val="000000" w:themeColor="text1"/>
              </w:rPr>
              <m:t>meta</m:t>
            </m:r>
          </m:sub>
        </m:sSub>
        <m:r>
          <w:rPr>
            <w:rFonts w:ascii="Cambria Math" w:hAnsi="Cambria Math"/>
            <w:color w:val="000000" w:themeColor="text1"/>
          </w:rPr>
          <m:t> =</m:t>
        </m:r>
        <m:f>
          <m:fPr>
            <m:ctrlPr>
              <w:rPr>
                <w:rFonts w:ascii="Cambria Math" w:hAnsi="Cambria Math"/>
                <w:i/>
                <w:color w:val="000000" w:themeColor="text1"/>
              </w:rPr>
            </m:ctrlPr>
          </m:fPr>
          <m:num>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sSub>
                  <m:sSubPr>
                    <m:ctrlPr>
                      <w:rPr>
                        <w:rFonts w:ascii="Cambria Math" w:hAnsi="Cambria Math"/>
                        <w:i/>
                        <w:color w:val="000000" w:themeColor="text1"/>
                      </w:rPr>
                    </m:ctrlPr>
                  </m:sSubPr>
                  <m:e>
                    <m:r>
                      <w:rPr>
                        <w:rFonts w:ascii="Cambria Math" w:hAnsi="Cambria Math"/>
                        <w:color w:val="000000" w:themeColor="text1"/>
                      </w:rPr>
                      <m:t>MAF</m:t>
                    </m:r>
                  </m:e>
                  <m:sub>
                    <m:r>
                      <w:rPr>
                        <w:rFonts w:ascii="Cambria Math" w:hAnsi="Cambria Math"/>
                        <w:color w:val="000000" w:themeColor="text1"/>
                      </w:rPr>
                      <m:t>k</m:t>
                    </m:r>
                  </m:sub>
                </m:sSub>
              </m:e>
            </m:nary>
          </m:num>
          <m:den>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e>
            </m:nary>
          </m:den>
        </m:f>
        <m:r>
          <w:rPr>
            <w:rFonts w:ascii="Cambria Math" w:hAnsi="Cambria Math"/>
            <w:color w:val="000000" w:themeColor="text1"/>
          </w:rPr>
          <m:t> </m:t>
        </m:r>
      </m:oMath>
      <w:r w:rsidR="00076353" w:rsidRPr="006D4CB5">
        <w:rPr>
          <w:color w:val="000000" w:themeColor="text1"/>
        </w:rPr>
        <w:t>,</w:t>
      </w:r>
      <w:r w:rsidR="00076353" w:rsidRPr="006D4CB5">
        <w:rPr>
          <w:color w:val="000000" w:themeColor="text1"/>
        </w:rPr>
        <w:tab/>
        <w:t>(Eq. 6b)</w:t>
      </w:r>
    </w:p>
    <w:p w14:paraId="0D6CF132" w14:textId="77777777" w:rsidR="00076353" w:rsidRPr="006D4CB5" w:rsidRDefault="00076353" w:rsidP="00076353">
      <w:pPr>
        <w:ind w:left="720" w:firstLine="720"/>
        <w:jc w:val="center"/>
        <w:rPr>
          <w:color w:val="000000" w:themeColor="text1"/>
        </w:rPr>
      </w:pPr>
    </w:p>
    <w:p w14:paraId="276DB5A6" w14:textId="77777777" w:rsidR="00076353" w:rsidRPr="006D4CB5" w:rsidRDefault="00076353" w:rsidP="006B02C8">
      <w:pPr>
        <w:jc w:val="center"/>
        <w:rPr>
          <w:color w:val="000000" w:themeColor="text1"/>
        </w:rPr>
      </w:pPr>
      <w:r w:rsidRPr="006D4CB5">
        <w:rPr>
          <w:color w:val="000000" w:themeColor="text1"/>
        </w:rPr>
        <w:t>and</w:t>
      </w:r>
    </w:p>
    <w:p w14:paraId="36DE7AC5" w14:textId="77777777" w:rsidR="00076353" w:rsidRPr="006D4CB5" w:rsidRDefault="00076353" w:rsidP="00076353">
      <w:pPr>
        <w:ind w:left="720" w:firstLine="720"/>
        <w:jc w:val="center"/>
        <w:rPr>
          <w:color w:val="000000" w:themeColor="text1"/>
        </w:rPr>
      </w:pPr>
    </w:p>
    <w:p w14:paraId="1018ACC3" w14:textId="77777777" w:rsidR="00076353" w:rsidRPr="006D4CB5" w:rsidRDefault="00000000" w:rsidP="006B02C8">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EAF</m:t>
            </m:r>
          </m:e>
          <m:sub>
            <m:r>
              <w:rPr>
                <w:rFonts w:ascii="Cambria Math" w:hAnsi="Cambria Math"/>
                <w:color w:val="000000" w:themeColor="text1"/>
              </w:rPr>
              <m:t>meta</m:t>
            </m:r>
          </m:sub>
        </m:sSub>
        <m:r>
          <w:rPr>
            <w:rFonts w:ascii="Cambria Math" w:hAnsi="Cambria Math"/>
            <w:color w:val="000000" w:themeColor="text1"/>
          </w:rPr>
          <m:t> =</m:t>
        </m:r>
        <m:f>
          <m:fPr>
            <m:ctrlPr>
              <w:rPr>
                <w:rFonts w:ascii="Cambria Math" w:hAnsi="Cambria Math"/>
                <w:i/>
                <w:color w:val="000000" w:themeColor="text1"/>
              </w:rPr>
            </m:ctrlPr>
          </m:fPr>
          <m:num>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sSub>
                  <m:sSubPr>
                    <m:ctrlPr>
                      <w:rPr>
                        <w:rFonts w:ascii="Cambria Math" w:hAnsi="Cambria Math"/>
                        <w:i/>
                        <w:color w:val="000000" w:themeColor="text1"/>
                      </w:rPr>
                    </m:ctrlPr>
                  </m:sSubPr>
                  <m:e>
                    <m:r>
                      <w:rPr>
                        <w:rFonts w:ascii="Cambria Math" w:hAnsi="Cambria Math"/>
                        <w:color w:val="000000" w:themeColor="text1"/>
                      </w:rPr>
                      <m:t>EAF</m:t>
                    </m:r>
                  </m:e>
                  <m:sub>
                    <m:r>
                      <w:rPr>
                        <w:rFonts w:ascii="Cambria Math" w:hAnsi="Cambria Math"/>
                        <w:color w:val="000000" w:themeColor="text1"/>
                      </w:rPr>
                      <m:t>k</m:t>
                    </m:r>
                  </m:sub>
                </m:sSub>
              </m:e>
            </m:nary>
          </m:num>
          <m:den>
            <m:nary>
              <m:naryPr>
                <m:chr m:val="∑"/>
                <m:limLoc m:val="undOvr"/>
                <m:subHide m:val="1"/>
                <m:supHide m:val="1"/>
                <m:ctrlPr>
                  <w:rPr>
                    <w:rFonts w:ascii="Cambria Math" w:hAnsi="Cambria Math"/>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k</m:t>
                    </m:r>
                  </m:sub>
                </m:sSub>
              </m:e>
            </m:nary>
          </m:den>
        </m:f>
        <m:r>
          <w:rPr>
            <w:rFonts w:ascii="Cambria Math" w:hAnsi="Cambria Math"/>
            <w:color w:val="000000" w:themeColor="text1"/>
          </w:rPr>
          <m:t> </m:t>
        </m:r>
      </m:oMath>
      <w:r w:rsidR="00076353" w:rsidRPr="006D4CB5">
        <w:rPr>
          <w:color w:val="000000" w:themeColor="text1"/>
        </w:rPr>
        <w:t>.</w:t>
      </w:r>
      <w:r w:rsidR="00076353" w:rsidRPr="006D4CB5">
        <w:rPr>
          <w:color w:val="000000" w:themeColor="text1"/>
        </w:rPr>
        <w:tab/>
        <w:t>(Eq. 6c)</w:t>
      </w:r>
    </w:p>
    <w:p w14:paraId="1DA87C79" w14:textId="77777777" w:rsidR="00076353" w:rsidRPr="006D4CB5" w:rsidRDefault="00076353" w:rsidP="00076353">
      <w:pPr>
        <w:ind w:left="720" w:firstLine="720"/>
        <w:jc w:val="center"/>
        <w:rPr>
          <w:color w:val="000000" w:themeColor="text1"/>
        </w:rPr>
      </w:pPr>
    </w:p>
    <w:p w14:paraId="63BBFA4F" w14:textId="77777777" w:rsidR="00076353" w:rsidRPr="006D4CB5" w:rsidRDefault="00076353" w:rsidP="00076353">
      <w:pPr>
        <w:rPr>
          <w:color w:val="000000" w:themeColor="text1"/>
        </w:rPr>
      </w:pPr>
    </w:p>
    <w:p w14:paraId="3D7E860F" w14:textId="307D28C4" w:rsidR="00076353" w:rsidRPr="006D4CB5" w:rsidRDefault="0063645C" w:rsidP="00076353">
      <w:pPr>
        <w:ind w:firstLine="720"/>
        <w:rPr>
          <w:color w:val="000000" w:themeColor="text1"/>
        </w:rPr>
      </w:pPr>
      <w:r w:rsidRPr="006D4CB5">
        <w:rPr>
          <w:color w:val="000000" w:themeColor="text1"/>
        </w:rPr>
        <w:t xml:space="preserve">These INFO scores were used for </w:t>
      </w:r>
      <w:r w:rsidR="00CE2760" w:rsidRPr="006D4CB5">
        <w:rPr>
          <w:color w:val="000000" w:themeColor="text1"/>
        </w:rPr>
        <w:t xml:space="preserve">excluding </w:t>
      </w:r>
      <w:r w:rsidRPr="006D4CB5">
        <w:rPr>
          <w:color w:val="000000" w:themeColor="text1"/>
        </w:rPr>
        <w:t xml:space="preserve">SNPs with lower imputation quality in LDSC analyses (INFO ≥ .90, Sections 3, 4, and 5), MAGMA analyses (INFO ≥ .80; Section 3), and within-family analyses (INFO ≥ .99; Section 6). </w:t>
      </w:r>
      <w:r w:rsidR="00076353" w:rsidRPr="006D4CB5">
        <w:rPr>
          <w:color w:val="000000" w:themeColor="text1"/>
        </w:rPr>
        <w:t xml:space="preserve">We then compared each SNP’s meta-analytic EAF with its EAF in the 1000 Genomes Project phase 3v5, </w:t>
      </w:r>
      <w:r w:rsidR="00CE2760" w:rsidRPr="006D4CB5">
        <w:rPr>
          <w:color w:val="000000" w:themeColor="text1"/>
        </w:rPr>
        <w:t xml:space="preserve">removing </w:t>
      </w:r>
      <w:r w:rsidR="00076353" w:rsidRPr="006D4CB5">
        <w:rPr>
          <w:color w:val="000000" w:themeColor="text1"/>
        </w:rPr>
        <w:t xml:space="preserve">SNPs with a discrepancy greater than 10%, as suggested by </w:t>
      </w:r>
      <w:proofErr w:type="gramStart"/>
      <w:r w:rsidR="00076353" w:rsidRPr="006D4CB5">
        <w:rPr>
          <w:color w:val="000000" w:themeColor="text1"/>
        </w:rPr>
        <w:t>Lloyd-Jones</w:t>
      </w:r>
      <w:proofErr w:type="gramEnd"/>
      <w:r w:rsidR="00076353" w:rsidRPr="006D4CB5">
        <w:rPr>
          <w:color w:val="000000" w:themeColor="text1"/>
        </w:rPr>
        <w:t xml:space="preserve"> and colleagues (2019). </w:t>
      </w:r>
    </w:p>
    <w:p w14:paraId="39E9D3BA" w14:textId="77777777" w:rsidR="00076353" w:rsidRPr="006D4CB5" w:rsidRDefault="00076353" w:rsidP="00076353">
      <w:pPr>
        <w:rPr>
          <w:color w:val="000000" w:themeColor="text1"/>
        </w:rPr>
      </w:pPr>
      <w:r w:rsidRPr="006D4CB5">
        <w:rPr>
          <w:color w:val="000000" w:themeColor="text1"/>
        </w:rPr>
        <w:lastRenderedPageBreak/>
        <w:tab/>
        <w:t>Because some cohorts estimated genetic associations using data from related participants and employed methods (such as mixed models) that correct for relatedness, reported sample size for each analysis may not correspond directly with the effective sample size. If the observed sample size is used in LDSC, and the effective sample size is lower than the observed sample size, heritability estimates will be deflated (Grotzinger et al., 2023). To account for this, we re-estimated sample size (</w:t>
      </w:r>
      <m:oMath>
        <m:acc>
          <m:accPr>
            <m:ctrlPr>
              <w:rPr>
                <w:rFonts w:ascii="Cambria Math" w:hAnsi="Cambria Math"/>
                <w:i/>
                <w:color w:val="000000" w:themeColor="text1"/>
              </w:rPr>
            </m:ctrlPr>
          </m:accPr>
          <m:e>
            <m:r>
              <w:rPr>
                <w:rFonts w:ascii="Cambria Math" w:hAnsi="Cambria Math"/>
                <w:color w:val="000000" w:themeColor="text1"/>
              </w:rPr>
              <m:t>N</m:t>
            </m:r>
          </m:e>
        </m:acc>
        <m:r>
          <w:rPr>
            <w:rFonts w:ascii="Cambria Math" w:hAnsi="Cambria Math"/>
            <w:color w:val="000000" w:themeColor="text1"/>
          </w:rPr>
          <m:t>)</m:t>
        </m:r>
      </m:oMath>
      <w:r w:rsidRPr="006D4CB5">
        <w:rPr>
          <w:color w:val="000000" w:themeColor="text1"/>
        </w:rPr>
        <w:t xml:space="preserve"> for each SNP using the standard error of effect, and its expected variance under Hardy-Weinberg Equilibrium, according to the following equation:</w:t>
      </w:r>
    </w:p>
    <w:p w14:paraId="5A6C5E16" w14:textId="77777777" w:rsidR="00076353" w:rsidRPr="006D4CB5" w:rsidRDefault="00076353" w:rsidP="00076353">
      <w:pPr>
        <w:rPr>
          <w:color w:val="000000" w:themeColor="text1"/>
        </w:rPr>
      </w:pPr>
    </w:p>
    <w:p w14:paraId="0A6251D4" w14:textId="77777777" w:rsidR="00076353" w:rsidRPr="006D4CB5" w:rsidRDefault="00000000" w:rsidP="00076353">
      <w:pPr>
        <w:ind w:left="720" w:firstLine="720"/>
        <w:jc w:val="center"/>
        <w:rPr>
          <w:color w:val="000000" w:themeColor="text1"/>
        </w:rPr>
      </w:pPr>
      <m:oMath>
        <m:acc>
          <m:accPr>
            <m:ctrlPr>
              <w:rPr>
                <w:rFonts w:ascii="Cambria Math" w:hAnsi="Cambria Math"/>
                <w:i/>
                <w:color w:val="000000" w:themeColor="text1"/>
              </w:rPr>
            </m:ctrlPr>
          </m:accPr>
          <m:e>
            <m:r>
              <w:rPr>
                <w:rFonts w:ascii="Cambria Math" w:hAnsi="Cambria Math"/>
                <w:color w:val="000000" w:themeColor="text1"/>
              </w:rPr>
              <m:t>N</m:t>
            </m:r>
          </m:e>
        </m:acc>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2×MAF×(1-MAF)×</m:t>
            </m:r>
            <m:sSubSup>
              <m:sSubSupPr>
                <m:ctrlPr>
                  <w:rPr>
                    <w:rFonts w:ascii="Cambria Math" w:hAnsi="Cambria Math"/>
                    <w:i/>
                    <w:color w:val="000000" w:themeColor="text1"/>
                  </w:rPr>
                </m:ctrlPr>
              </m:sSubSupPr>
              <m:e>
                <m:r>
                  <w:rPr>
                    <w:rFonts w:ascii="Cambria Math" w:hAnsi="Cambria Math"/>
                    <w:color w:val="000000" w:themeColor="text1"/>
                  </w:rPr>
                  <m:t>SE</m:t>
                </m:r>
              </m:e>
              <m:sub>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meta</m:t>
                    </m:r>
                  </m:sub>
                </m:sSub>
              </m:sub>
              <m:sup>
                <m:r>
                  <w:rPr>
                    <w:rFonts w:ascii="Cambria Math" w:hAnsi="Cambria Math"/>
                    <w:color w:val="000000" w:themeColor="text1"/>
                  </w:rPr>
                  <m:t>2</m:t>
                </m:r>
              </m:sup>
            </m:sSubSup>
          </m:den>
        </m:f>
      </m:oMath>
      <w:r w:rsidR="00076353" w:rsidRPr="006D4CB5">
        <w:rPr>
          <w:color w:val="000000" w:themeColor="text1"/>
        </w:rPr>
        <w:t xml:space="preserve"> </w:t>
      </w:r>
      <w:r w:rsidR="00076353" w:rsidRPr="006D4CB5">
        <w:rPr>
          <w:color w:val="000000" w:themeColor="text1"/>
        </w:rPr>
        <w:tab/>
        <w:t>,</w:t>
      </w:r>
      <w:r w:rsidR="00076353" w:rsidRPr="006D4CB5">
        <w:rPr>
          <w:color w:val="000000" w:themeColor="text1"/>
        </w:rPr>
        <w:tab/>
        <w:t>(Eq. 7)</w:t>
      </w:r>
    </w:p>
    <w:p w14:paraId="78E9F1B4" w14:textId="77777777" w:rsidR="00076353" w:rsidRPr="006D4CB5" w:rsidRDefault="00076353" w:rsidP="00076353">
      <w:pPr>
        <w:rPr>
          <w:color w:val="000000" w:themeColor="text1"/>
        </w:rPr>
      </w:pPr>
    </w:p>
    <w:p w14:paraId="41EA6F5E" w14:textId="3D139FBC" w:rsidR="00076353" w:rsidRPr="006D4CB5" w:rsidRDefault="00076353" w:rsidP="00076353">
      <w:pPr>
        <w:rPr>
          <w:color w:val="000000" w:themeColor="text1"/>
        </w:rPr>
      </w:pPr>
      <w:r w:rsidRPr="006D4CB5">
        <w:rPr>
          <w:color w:val="000000" w:themeColor="text1"/>
        </w:rPr>
        <w:t xml:space="preserve">where the numerator is the variance of the phenotype, which has been standardized to 1. Estimated sample size was capped at the summed reported sample size for each SNP, and SNPs with </w:t>
      </w:r>
      <m:oMath>
        <m:acc>
          <m:accPr>
            <m:ctrlPr>
              <w:rPr>
                <w:rFonts w:ascii="Cambria Math" w:hAnsi="Cambria Math"/>
                <w:i/>
                <w:color w:val="000000" w:themeColor="text1"/>
              </w:rPr>
            </m:ctrlPr>
          </m:accPr>
          <m:e>
            <m:r>
              <w:rPr>
                <w:rFonts w:ascii="Cambria Math" w:hAnsi="Cambria Math"/>
                <w:color w:val="000000" w:themeColor="text1"/>
              </w:rPr>
              <m:t>N</m:t>
            </m:r>
          </m:e>
        </m:acc>
      </m:oMath>
      <w:r w:rsidRPr="006D4CB5">
        <w:rPr>
          <w:color w:val="000000" w:themeColor="text1"/>
        </w:rPr>
        <w:t xml:space="preserve"> ≤ 5,000 were </w:t>
      </w:r>
      <w:r w:rsidR="00CE2760" w:rsidRPr="006D4CB5">
        <w:rPr>
          <w:color w:val="000000" w:themeColor="text1"/>
        </w:rPr>
        <w:t xml:space="preserve">removed </w:t>
      </w:r>
      <w:r w:rsidRPr="006D4CB5">
        <w:rPr>
          <w:color w:val="000000" w:themeColor="text1"/>
        </w:rPr>
        <w:t xml:space="preserve">from the final set of </w:t>
      </w:r>
      <w:r w:rsidR="00F6431F" w:rsidRPr="006D4CB5">
        <w:rPr>
          <w:color w:val="000000" w:themeColor="text1"/>
        </w:rPr>
        <w:t>EUR</w:t>
      </w:r>
      <w:r w:rsidR="001B70C0">
        <w:rPr>
          <w:color w:val="000000" w:themeColor="text1"/>
        </w:rPr>
        <w:t>-like</w:t>
      </w:r>
      <w:r w:rsidR="00F6431F" w:rsidRPr="006D4CB5">
        <w:rPr>
          <w:color w:val="000000" w:themeColor="text1"/>
        </w:rPr>
        <w:t xml:space="preserve"> </w:t>
      </w:r>
      <w:r w:rsidRPr="006D4CB5">
        <w:rPr>
          <w:color w:val="000000" w:themeColor="text1"/>
        </w:rPr>
        <w:t xml:space="preserve">meta-analytic summary statistics. This resulted in a final set of between 9.3 and 10.7 million SNPs per trait per ancestry (see </w:t>
      </w:r>
      <w:r w:rsidRPr="006D4CB5">
        <w:rPr>
          <w:b/>
          <w:bCs/>
          <w:color w:val="000000" w:themeColor="text1"/>
        </w:rPr>
        <w:t>Supplementary Table S4</w:t>
      </w:r>
      <w:r w:rsidRPr="006D4CB5">
        <w:rPr>
          <w:color w:val="000000" w:themeColor="text1"/>
        </w:rPr>
        <w:t xml:space="preserve">). </w:t>
      </w:r>
    </w:p>
    <w:p w14:paraId="64E6DE81" w14:textId="6BB196BA" w:rsidR="00076353" w:rsidRPr="006D4CB5" w:rsidRDefault="00076353">
      <w:pPr>
        <w:rPr>
          <w:color w:val="000000" w:themeColor="text1"/>
        </w:rPr>
      </w:pPr>
      <w:r w:rsidRPr="006D4CB5">
        <w:rPr>
          <w:color w:val="000000" w:themeColor="text1"/>
        </w:rPr>
        <w:tab/>
        <w:t>We submitted these summary statistics to FUMA (Watanabe et al., 2017) to quantify the number of genome-wide significant lead SNPs</w:t>
      </w:r>
      <w:r w:rsidR="00EC23B9" w:rsidRPr="006D4CB5">
        <w:rPr>
          <w:color w:val="000000" w:themeColor="text1"/>
        </w:rPr>
        <w:t>, as defined in the main text.</w:t>
      </w:r>
      <w:r w:rsidRPr="006D4CB5">
        <w:rPr>
          <w:color w:val="000000" w:themeColor="text1"/>
        </w:rPr>
        <w:t xml:space="preserve"> In participants</w:t>
      </w:r>
      <w:r w:rsidR="001B70C0">
        <w:rPr>
          <w:color w:val="000000" w:themeColor="text1"/>
        </w:rPr>
        <w:t xml:space="preserve"> </w:t>
      </w:r>
      <w:r w:rsidR="001B70C0">
        <w:rPr>
          <w:color w:val="000000" w:themeColor="text1"/>
        </w:rPr>
        <w:t>with EUR-like genomes</w:t>
      </w:r>
      <w:r w:rsidRPr="006D4CB5">
        <w:rPr>
          <w:color w:val="000000" w:themeColor="text1"/>
        </w:rPr>
        <w:t xml:space="preserve">, on chromosomes 1-22, we identified 234 lead SNPs for extraversion (minimum </w:t>
      </w:r>
      <w:r w:rsidRPr="006D4CB5">
        <w:rPr>
          <w:i/>
          <w:iCs/>
          <w:color w:val="000000" w:themeColor="text1"/>
        </w:rPr>
        <w:t>p</w:t>
      </w:r>
      <w:r w:rsidRPr="006D4CB5">
        <w:rPr>
          <w:color w:val="000000" w:themeColor="text1"/>
        </w:rPr>
        <w:t>-value 4.11×10</w:t>
      </w:r>
      <w:r w:rsidRPr="006D4CB5">
        <w:rPr>
          <w:color w:val="000000" w:themeColor="text1"/>
          <w:vertAlign w:val="superscript"/>
        </w:rPr>
        <w:t>-29</w:t>
      </w:r>
      <w:r w:rsidRPr="006D4CB5">
        <w:rPr>
          <w:color w:val="000000" w:themeColor="text1"/>
        </w:rPr>
        <w:t xml:space="preserve">), 32 lead SNPs for agreeableness (minimum </w:t>
      </w:r>
      <w:r w:rsidRPr="006D4CB5">
        <w:rPr>
          <w:i/>
          <w:iCs/>
          <w:color w:val="000000" w:themeColor="text1"/>
        </w:rPr>
        <w:t>p</w:t>
      </w:r>
      <w:r w:rsidRPr="006D4CB5">
        <w:rPr>
          <w:color w:val="000000" w:themeColor="text1"/>
        </w:rPr>
        <w:t>-value 5.21×10</w:t>
      </w:r>
      <w:r w:rsidRPr="006D4CB5">
        <w:rPr>
          <w:color w:val="000000" w:themeColor="text1"/>
          <w:vertAlign w:val="superscript"/>
        </w:rPr>
        <w:t>-23</w:t>
      </w:r>
      <w:r w:rsidRPr="006D4CB5">
        <w:rPr>
          <w:color w:val="000000" w:themeColor="text1"/>
        </w:rPr>
        <w:t xml:space="preserve">), 104 lead SNPs for conscientiousness (minimum </w:t>
      </w:r>
      <w:r w:rsidRPr="006D4CB5">
        <w:rPr>
          <w:i/>
          <w:iCs/>
          <w:color w:val="000000" w:themeColor="text1"/>
        </w:rPr>
        <w:t>p</w:t>
      </w:r>
      <w:r w:rsidRPr="006D4CB5">
        <w:rPr>
          <w:color w:val="000000" w:themeColor="text1"/>
        </w:rPr>
        <w:t>-value 8.20×10</w:t>
      </w:r>
      <w:r w:rsidRPr="006D4CB5">
        <w:rPr>
          <w:color w:val="000000" w:themeColor="text1"/>
          <w:vertAlign w:val="superscript"/>
        </w:rPr>
        <w:t>-21</w:t>
      </w:r>
      <w:r w:rsidRPr="006D4CB5">
        <w:rPr>
          <w:color w:val="000000" w:themeColor="text1"/>
        </w:rPr>
        <w:t xml:space="preserve">), 667 lead SNPs for neuroticism (minimum </w:t>
      </w:r>
      <w:r w:rsidRPr="006D4CB5">
        <w:rPr>
          <w:i/>
          <w:iCs/>
          <w:color w:val="000000" w:themeColor="text1"/>
        </w:rPr>
        <w:t>p</w:t>
      </w:r>
      <w:r w:rsidRPr="006D4CB5">
        <w:rPr>
          <w:color w:val="000000" w:themeColor="text1"/>
        </w:rPr>
        <w:t>-value 2.33×10</w:t>
      </w:r>
      <w:r w:rsidRPr="006D4CB5">
        <w:rPr>
          <w:color w:val="000000" w:themeColor="text1"/>
          <w:vertAlign w:val="superscript"/>
        </w:rPr>
        <w:t>-63</w:t>
      </w:r>
      <w:r w:rsidRPr="006D4CB5">
        <w:rPr>
          <w:color w:val="000000" w:themeColor="text1"/>
        </w:rPr>
        <w:t xml:space="preserve">), and 113 lead SNPs for openness to experience (minimum </w:t>
      </w:r>
      <w:r w:rsidRPr="006D4CB5">
        <w:rPr>
          <w:i/>
          <w:iCs/>
          <w:color w:val="000000" w:themeColor="text1"/>
        </w:rPr>
        <w:t>p</w:t>
      </w:r>
      <w:r w:rsidRPr="006D4CB5">
        <w:rPr>
          <w:color w:val="000000" w:themeColor="text1"/>
        </w:rPr>
        <w:t>-value 2.32×10</w:t>
      </w:r>
      <w:r w:rsidRPr="006D4CB5">
        <w:rPr>
          <w:color w:val="000000" w:themeColor="text1"/>
          <w:vertAlign w:val="superscript"/>
        </w:rPr>
        <w:t>-23</w:t>
      </w:r>
      <w:r w:rsidRPr="006D4CB5">
        <w:rPr>
          <w:color w:val="000000" w:themeColor="text1"/>
        </w:rPr>
        <w:t>). In participants</w:t>
      </w:r>
      <w:r w:rsidR="00622150">
        <w:rPr>
          <w:color w:val="000000" w:themeColor="text1"/>
        </w:rPr>
        <w:t xml:space="preserve"> with AFR-like genomes</w:t>
      </w:r>
      <w:r w:rsidRPr="006D4CB5">
        <w:rPr>
          <w:color w:val="000000" w:themeColor="text1"/>
        </w:rPr>
        <w:t>, we identified 1 lead SNP each for extraversion (</w:t>
      </w:r>
      <w:r w:rsidRPr="006D4CB5">
        <w:rPr>
          <w:i/>
          <w:iCs/>
          <w:color w:val="000000" w:themeColor="text1"/>
        </w:rPr>
        <w:t>p</w:t>
      </w:r>
      <w:r w:rsidRPr="006D4CB5">
        <w:rPr>
          <w:color w:val="000000" w:themeColor="text1"/>
        </w:rPr>
        <w:t xml:space="preserve"> = 1.92×10</w:t>
      </w:r>
      <w:r w:rsidRPr="006D4CB5">
        <w:rPr>
          <w:color w:val="000000" w:themeColor="text1"/>
          <w:vertAlign w:val="superscript"/>
        </w:rPr>
        <w:t>-8</w:t>
      </w:r>
      <w:r w:rsidRPr="006D4CB5">
        <w:rPr>
          <w:color w:val="000000" w:themeColor="text1"/>
        </w:rPr>
        <w:t>), agreeableness (</w:t>
      </w:r>
      <w:r w:rsidRPr="006D4CB5">
        <w:rPr>
          <w:i/>
          <w:iCs/>
          <w:color w:val="000000" w:themeColor="text1"/>
        </w:rPr>
        <w:t>p</w:t>
      </w:r>
      <w:r w:rsidRPr="006D4CB5">
        <w:rPr>
          <w:color w:val="000000" w:themeColor="text1"/>
        </w:rPr>
        <w:t xml:space="preserve"> = 2.03×10</w:t>
      </w:r>
      <w:r w:rsidRPr="006D4CB5">
        <w:rPr>
          <w:color w:val="000000" w:themeColor="text1"/>
          <w:vertAlign w:val="superscript"/>
        </w:rPr>
        <w:t>-8</w:t>
      </w:r>
      <w:r w:rsidRPr="006D4CB5">
        <w:rPr>
          <w:color w:val="000000" w:themeColor="text1"/>
        </w:rPr>
        <w:t>), and openness to experience (</w:t>
      </w:r>
      <w:r w:rsidRPr="006D4CB5">
        <w:rPr>
          <w:i/>
          <w:iCs/>
          <w:color w:val="000000" w:themeColor="text1"/>
        </w:rPr>
        <w:t>p</w:t>
      </w:r>
      <w:r w:rsidRPr="006D4CB5">
        <w:rPr>
          <w:color w:val="000000" w:themeColor="text1"/>
        </w:rPr>
        <w:t xml:space="preserve"> = 3.84×10</w:t>
      </w:r>
      <w:r w:rsidRPr="006D4CB5">
        <w:rPr>
          <w:color w:val="000000" w:themeColor="text1"/>
          <w:vertAlign w:val="superscript"/>
        </w:rPr>
        <w:t>-8</w:t>
      </w:r>
      <w:r w:rsidRPr="006D4CB5">
        <w:rPr>
          <w:color w:val="000000" w:themeColor="text1"/>
        </w:rPr>
        <w:t xml:space="preserve">). We provide summary information on these GWAS results in </w:t>
      </w:r>
      <w:r w:rsidRPr="006D4CB5">
        <w:rPr>
          <w:b/>
          <w:bCs/>
          <w:color w:val="000000" w:themeColor="text1"/>
        </w:rPr>
        <w:t>Supplementary Table S4</w:t>
      </w:r>
      <w:r w:rsidRPr="006D4CB5">
        <w:rPr>
          <w:color w:val="000000" w:themeColor="text1"/>
        </w:rPr>
        <w:t>.</w:t>
      </w:r>
    </w:p>
    <w:p w14:paraId="536D383C" w14:textId="66DFF217" w:rsidR="00294CCD" w:rsidRPr="006D4CB5" w:rsidRDefault="00294CCD">
      <w:pPr>
        <w:rPr>
          <w:color w:val="000000" w:themeColor="text1"/>
        </w:rPr>
      </w:pPr>
      <w:r w:rsidRPr="006D4CB5">
        <w:rPr>
          <w:color w:val="000000" w:themeColor="text1"/>
        </w:rPr>
        <w:tab/>
        <w:t xml:space="preserve">For a subset of SNPs (on average, 119,990 per trait), the </w:t>
      </w:r>
      <w:proofErr w:type="spellStart"/>
      <w:r w:rsidRPr="006D4CB5">
        <w:rPr>
          <w:color w:val="000000" w:themeColor="text1"/>
        </w:rPr>
        <w:t>rsID</w:t>
      </w:r>
      <w:proofErr w:type="spellEnd"/>
      <w:r w:rsidRPr="006D4CB5">
        <w:rPr>
          <w:color w:val="000000" w:themeColor="text1"/>
        </w:rPr>
        <w:t xml:space="preserve"> label varied across cohorts, typically due to merges of what were previously different </w:t>
      </w:r>
      <w:proofErr w:type="spellStart"/>
      <w:r w:rsidRPr="006D4CB5">
        <w:rPr>
          <w:color w:val="000000" w:themeColor="text1"/>
        </w:rPr>
        <w:t>rsIDs</w:t>
      </w:r>
      <w:proofErr w:type="spellEnd"/>
      <w:r w:rsidRPr="006D4CB5">
        <w:rPr>
          <w:color w:val="000000" w:themeColor="text1"/>
        </w:rPr>
        <w:t xml:space="preserve"> into a single </w:t>
      </w:r>
      <w:proofErr w:type="spellStart"/>
      <w:r w:rsidRPr="006D4CB5">
        <w:rPr>
          <w:color w:val="000000" w:themeColor="text1"/>
        </w:rPr>
        <w:t>rsID</w:t>
      </w:r>
      <w:proofErr w:type="spellEnd"/>
      <w:r w:rsidRPr="006D4CB5">
        <w:rPr>
          <w:color w:val="000000" w:themeColor="text1"/>
        </w:rPr>
        <w:t xml:space="preserve"> at later chromosome builds. This left the proper </w:t>
      </w:r>
      <w:proofErr w:type="spellStart"/>
      <w:r w:rsidRPr="006D4CB5">
        <w:rPr>
          <w:color w:val="000000" w:themeColor="text1"/>
        </w:rPr>
        <w:t>rsID</w:t>
      </w:r>
      <w:proofErr w:type="spellEnd"/>
      <w:r w:rsidRPr="006D4CB5">
        <w:rPr>
          <w:color w:val="000000" w:themeColor="text1"/>
        </w:rPr>
        <w:t xml:space="preserve"> ambiguous — for example, the SNP on chromosome 1 position 900208 with effect allele A and non-effect allele G was labeled as rs7414587 in some cohorts totaling an estimated 297,098 participants, and as rs570260900 in other cohorts totaling an estimated 44,354 participants. This ambiguity carries forward across reference files (e.g., the SNP is given the former </w:t>
      </w:r>
      <w:proofErr w:type="spellStart"/>
      <w:r w:rsidRPr="006D4CB5">
        <w:rPr>
          <w:color w:val="000000" w:themeColor="text1"/>
        </w:rPr>
        <w:t>rsID</w:t>
      </w:r>
      <w:proofErr w:type="spellEnd"/>
      <w:r w:rsidRPr="006D4CB5">
        <w:rPr>
          <w:color w:val="000000" w:themeColor="text1"/>
        </w:rPr>
        <w:t xml:space="preserve"> in </w:t>
      </w:r>
      <w:proofErr w:type="spellStart"/>
      <w:r w:rsidRPr="006D4CB5">
        <w:rPr>
          <w:color w:val="000000" w:themeColor="text1"/>
        </w:rPr>
        <w:t>dbSNP</w:t>
      </w:r>
      <w:proofErr w:type="spellEnd"/>
      <w:r w:rsidRPr="006D4CB5">
        <w:rPr>
          <w:color w:val="000000" w:themeColor="text1"/>
        </w:rPr>
        <w:t xml:space="preserve"> and the reference files used for </w:t>
      </w:r>
      <w:proofErr w:type="spellStart"/>
      <w:r w:rsidRPr="006D4CB5">
        <w:rPr>
          <w:color w:val="000000" w:themeColor="text1"/>
        </w:rPr>
        <w:t>GenomicSEM</w:t>
      </w:r>
      <w:proofErr w:type="spellEnd"/>
      <w:r w:rsidRPr="006D4CB5">
        <w:rPr>
          <w:color w:val="000000" w:themeColor="text1"/>
        </w:rPr>
        <w:t xml:space="preserve">, but the latter </w:t>
      </w:r>
      <w:proofErr w:type="spellStart"/>
      <w:r w:rsidRPr="006D4CB5">
        <w:rPr>
          <w:color w:val="000000" w:themeColor="text1"/>
        </w:rPr>
        <w:t>rsID</w:t>
      </w:r>
      <w:proofErr w:type="spellEnd"/>
      <w:r w:rsidRPr="006D4CB5">
        <w:rPr>
          <w:color w:val="000000" w:themeColor="text1"/>
        </w:rPr>
        <w:t xml:space="preserve"> in the references files used for FUMA, and it is not listed in the 1000 genomes EUR .</w:t>
      </w:r>
      <w:proofErr w:type="spellStart"/>
      <w:r w:rsidRPr="006D4CB5">
        <w:rPr>
          <w:color w:val="000000" w:themeColor="text1"/>
        </w:rPr>
        <w:t>bim</w:t>
      </w:r>
      <w:proofErr w:type="spellEnd"/>
      <w:r w:rsidRPr="006D4CB5">
        <w:rPr>
          <w:color w:val="000000" w:themeColor="text1"/>
        </w:rPr>
        <w:t xml:space="preserve"> file), as well as across published GWAS (e.g., it is given the former </w:t>
      </w:r>
      <w:proofErr w:type="spellStart"/>
      <w:r w:rsidRPr="006D4CB5">
        <w:rPr>
          <w:color w:val="000000" w:themeColor="text1"/>
        </w:rPr>
        <w:t>rsID</w:t>
      </w:r>
      <w:proofErr w:type="spellEnd"/>
      <w:r w:rsidRPr="006D4CB5">
        <w:rPr>
          <w:color w:val="000000" w:themeColor="text1"/>
        </w:rPr>
        <w:t xml:space="preserve"> in </w:t>
      </w:r>
      <w:proofErr w:type="spellStart"/>
      <w:r w:rsidRPr="006D4CB5">
        <w:rPr>
          <w:color w:val="000000" w:themeColor="text1"/>
        </w:rPr>
        <w:t>Thibord</w:t>
      </w:r>
      <w:proofErr w:type="spellEnd"/>
      <w:r w:rsidRPr="006D4CB5">
        <w:rPr>
          <w:color w:val="000000" w:themeColor="text1"/>
        </w:rPr>
        <w:t xml:space="preserve"> et al., 2022, and the latter </w:t>
      </w:r>
      <w:proofErr w:type="spellStart"/>
      <w:r w:rsidRPr="006D4CB5">
        <w:rPr>
          <w:color w:val="000000" w:themeColor="text1"/>
        </w:rPr>
        <w:t>rsID</w:t>
      </w:r>
      <w:proofErr w:type="spellEnd"/>
      <w:r w:rsidRPr="006D4CB5">
        <w:rPr>
          <w:color w:val="000000" w:themeColor="text1"/>
        </w:rPr>
        <w:t xml:space="preserve"> in </w:t>
      </w:r>
      <w:proofErr w:type="spellStart"/>
      <w:r w:rsidRPr="006D4CB5">
        <w:rPr>
          <w:color w:val="000000" w:themeColor="text1"/>
        </w:rPr>
        <w:t>Okbay</w:t>
      </w:r>
      <w:proofErr w:type="spellEnd"/>
      <w:r w:rsidRPr="006D4CB5">
        <w:rPr>
          <w:color w:val="000000" w:themeColor="text1"/>
        </w:rPr>
        <w:t xml:space="preserve"> et al., 2022). To appropriately consider the implications of this ambiguity, we compared the effect of these SNPs in EUR</w:t>
      </w:r>
      <w:r w:rsidR="001B70C0">
        <w:rPr>
          <w:color w:val="000000" w:themeColor="text1"/>
        </w:rPr>
        <w:t>-like</w:t>
      </w:r>
      <w:r w:rsidRPr="006D4CB5">
        <w:rPr>
          <w:color w:val="000000" w:themeColor="text1"/>
        </w:rPr>
        <w:t xml:space="preserve"> data separately, according to the </w:t>
      </w:r>
      <w:proofErr w:type="spellStart"/>
      <w:r w:rsidRPr="006D4CB5">
        <w:rPr>
          <w:color w:val="000000" w:themeColor="text1"/>
        </w:rPr>
        <w:t>rsIDs</w:t>
      </w:r>
      <w:proofErr w:type="spellEnd"/>
      <w:r w:rsidRPr="006D4CB5">
        <w:rPr>
          <w:color w:val="000000" w:themeColor="text1"/>
        </w:rPr>
        <w:t xml:space="preserve"> provided by the contributing cohorts, versus merging across alternative </w:t>
      </w:r>
      <w:proofErr w:type="spellStart"/>
      <w:r w:rsidRPr="006D4CB5">
        <w:rPr>
          <w:color w:val="000000" w:themeColor="text1"/>
        </w:rPr>
        <w:t>rsID</w:t>
      </w:r>
      <w:proofErr w:type="spellEnd"/>
      <w:r w:rsidRPr="006D4CB5">
        <w:rPr>
          <w:color w:val="000000" w:themeColor="text1"/>
        </w:rPr>
        <w:t xml:space="preserve"> labels (via meta-analysis). This ambiguity had no effect on LDSC results (modeled each way, average intercept was 1.102 and average h2SNP was 0.074), as very few of these </w:t>
      </w:r>
      <w:proofErr w:type="gramStart"/>
      <w:r w:rsidRPr="006D4CB5">
        <w:rPr>
          <w:color w:val="000000" w:themeColor="text1"/>
        </w:rPr>
        <w:t>differentially-labeled</w:t>
      </w:r>
      <w:proofErr w:type="gramEnd"/>
      <w:r w:rsidRPr="006D4CB5">
        <w:rPr>
          <w:color w:val="000000" w:themeColor="text1"/>
        </w:rPr>
        <w:t xml:space="preserve"> SNPs were in the HapMap3 subset (on average, 59 SNPs per trait). At the broader GWAS level, merging SNP signal across </w:t>
      </w:r>
      <w:proofErr w:type="spellStart"/>
      <w:r w:rsidRPr="006D4CB5">
        <w:rPr>
          <w:color w:val="000000" w:themeColor="text1"/>
        </w:rPr>
        <w:t>rsIDs</w:t>
      </w:r>
      <w:proofErr w:type="spellEnd"/>
      <w:r w:rsidRPr="006D4CB5">
        <w:rPr>
          <w:color w:val="000000" w:themeColor="text1"/>
        </w:rPr>
        <w:t xml:space="preserve"> produced an extremely similar average chi-square association statistic across the Big Five (mean of 1.638 versus 1.646). Merging SNPs across </w:t>
      </w:r>
      <w:proofErr w:type="spellStart"/>
      <w:r w:rsidRPr="006D4CB5">
        <w:rPr>
          <w:color w:val="000000" w:themeColor="text1"/>
        </w:rPr>
        <w:t>rsIDs</w:t>
      </w:r>
      <w:proofErr w:type="spellEnd"/>
      <w:r w:rsidRPr="006D4CB5">
        <w:rPr>
          <w:color w:val="000000" w:themeColor="text1"/>
        </w:rPr>
        <w:t xml:space="preserve"> did not affect the number of GWS loci for conscientiousness, openness, or agreeableness, and produced six additional GWS loci for Neuroticism and one additional GWS locus for Extraversion. For complete results of this comparison, see </w:t>
      </w:r>
      <w:r w:rsidRPr="006D4CB5">
        <w:rPr>
          <w:b/>
          <w:bCs/>
          <w:color w:val="000000" w:themeColor="text1"/>
        </w:rPr>
        <w:t>Supplementary Table S5</w:t>
      </w:r>
      <w:r w:rsidRPr="006D4CB5">
        <w:rPr>
          <w:color w:val="000000" w:themeColor="text1"/>
        </w:rPr>
        <w:t xml:space="preserve">. To retain flexibility and err in the conservative direction, we </w:t>
      </w:r>
      <w:r w:rsidRPr="006D4CB5">
        <w:rPr>
          <w:color w:val="000000" w:themeColor="text1"/>
        </w:rPr>
        <w:lastRenderedPageBreak/>
        <w:t xml:space="preserve">analyzed data as labeled by contributing cohorts and provide summary data accordingly, along with code for merging </w:t>
      </w:r>
      <w:proofErr w:type="spellStart"/>
      <w:r w:rsidRPr="006D4CB5">
        <w:rPr>
          <w:color w:val="000000" w:themeColor="text1"/>
        </w:rPr>
        <w:t>rsIDs</w:t>
      </w:r>
      <w:proofErr w:type="spellEnd"/>
      <w:r w:rsidRPr="006D4CB5">
        <w:rPr>
          <w:color w:val="000000" w:themeColor="text1"/>
        </w:rPr>
        <w:t xml:space="preserve"> for researchers who wish to do so when working with these summary statistics.</w:t>
      </w:r>
    </w:p>
    <w:p w14:paraId="07F2E903" w14:textId="77777777" w:rsidR="00076353" w:rsidRPr="006D4CB5" w:rsidRDefault="00076353" w:rsidP="008013EB">
      <w:pPr>
        <w:rPr>
          <w:color w:val="000000" w:themeColor="text1"/>
        </w:rPr>
      </w:pPr>
    </w:p>
    <w:p w14:paraId="0CE1CC05" w14:textId="77777777" w:rsidR="00076353" w:rsidRPr="006D4CB5" w:rsidRDefault="00076353" w:rsidP="00076353">
      <w:pPr>
        <w:rPr>
          <w:color w:val="000000" w:themeColor="text1"/>
          <w:u w:val="single"/>
        </w:rPr>
      </w:pPr>
      <w:r w:rsidRPr="006D4CB5">
        <w:rPr>
          <w:color w:val="000000" w:themeColor="text1"/>
          <w:u w:val="single"/>
        </w:rPr>
        <w:t>2.6 X-Chromosome Analysis</w:t>
      </w:r>
    </w:p>
    <w:p w14:paraId="4D5C8A92" w14:textId="7F973086" w:rsidR="00076353" w:rsidRPr="006D4CB5" w:rsidRDefault="00076353" w:rsidP="00F43374">
      <w:pPr>
        <w:rPr>
          <w:color w:val="000000" w:themeColor="text1"/>
        </w:rPr>
      </w:pPr>
      <w:r w:rsidRPr="006D4CB5">
        <w:rPr>
          <w:color w:val="000000" w:themeColor="text1"/>
        </w:rPr>
        <w:tab/>
        <w:t xml:space="preserve">We estimated associations between X-chromosome SNPs and personality traits, in the </w:t>
      </w:r>
      <w:r w:rsidR="00EC23B9" w:rsidRPr="006D4CB5">
        <w:rPr>
          <w:color w:val="000000" w:themeColor="text1"/>
        </w:rPr>
        <w:t>seven</w:t>
      </w:r>
      <w:r w:rsidRPr="006D4CB5">
        <w:rPr>
          <w:color w:val="000000" w:themeColor="text1"/>
        </w:rPr>
        <w:t xml:space="preserve"> cohorts that contributed data incorporating this chromosome. Each of these s</w:t>
      </w:r>
      <w:r w:rsidR="00EC23B9" w:rsidRPr="006D4CB5">
        <w:rPr>
          <w:color w:val="000000" w:themeColor="text1"/>
        </w:rPr>
        <w:t>even</w:t>
      </w:r>
      <w:r w:rsidRPr="006D4CB5">
        <w:rPr>
          <w:color w:val="000000" w:themeColor="text1"/>
        </w:rPr>
        <w:t xml:space="preserve"> cohorts ascertained participants</w:t>
      </w:r>
      <w:r w:rsidR="001B70C0">
        <w:rPr>
          <w:color w:val="000000" w:themeColor="text1"/>
        </w:rPr>
        <w:t xml:space="preserve"> </w:t>
      </w:r>
      <w:r w:rsidR="001B70C0">
        <w:rPr>
          <w:color w:val="000000" w:themeColor="text1"/>
        </w:rPr>
        <w:t>with EUR-like genomes</w:t>
      </w:r>
      <w:r w:rsidRPr="006D4CB5">
        <w:rPr>
          <w:color w:val="000000" w:themeColor="text1"/>
        </w:rPr>
        <w:t>. Quality control for these data followed the same procedure as described above. When possible, we conducted quality control on sex-stratified data. We excluded the two pseudo-autosomal regions on the X-chromosome from analysis, as few cohorts provided data from this genomic region.</w:t>
      </w:r>
      <w:r w:rsidR="00C66EE0" w:rsidRPr="006D4CB5">
        <w:rPr>
          <w:color w:val="000000" w:themeColor="text1"/>
        </w:rPr>
        <w:t xml:space="preserve"> In females, who have two X-chromosomes, effects were coded as diploid (i.e., participants could have 0, 1, or 2 effect alleles, as with autosomal analyses above). In males, who only have one X chromosome, the effect of this single allele can vary compared to females due to dosage compensation mechanisms, which silence some X-chromosomal effects in females (Sidorenko et al., 2019). In some cohorts, effects were coded under the assumption of no dosage compensation (i.e., males were coded as having 0 or 1 effect allele). In other cohorts, effects were coded under the assumption of full dosage compensation (i.e., males were coded as having 0 or 2 effect alleles).</w:t>
      </w:r>
    </w:p>
    <w:p w14:paraId="5E95D78F" w14:textId="467E6213" w:rsidR="003C1887" w:rsidRPr="006D4CB5" w:rsidRDefault="00C66EE0" w:rsidP="00F43374">
      <w:pPr>
        <w:pStyle w:val="NormalWeb"/>
        <w:spacing w:before="0" w:beforeAutospacing="0" w:after="0" w:afterAutospacing="0"/>
        <w:ind w:firstLine="720"/>
        <w:rPr>
          <w:color w:val="000000" w:themeColor="text1"/>
        </w:rPr>
      </w:pPr>
      <w:r w:rsidRPr="006D4CB5">
        <w:rPr>
          <w:color w:val="000000" w:themeColor="text1"/>
        </w:rPr>
        <w:t>In the UKB cohort, neuroticism was measured in a large sample of both males</w:t>
      </w:r>
      <w:r w:rsidR="003C1887" w:rsidRPr="006D4CB5">
        <w:rPr>
          <w:color w:val="000000" w:themeColor="text1"/>
        </w:rPr>
        <w:t xml:space="preserve"> (N = </w:t>
      </w:r>
      <w:r w:rsidR="003C1AFC" w:rsidRPr="006D4CB5">
        <w:rPr>
          <w:color w:val="000000" w:themeColor="text1"/>
        </w:rPr>
        <w:t>168,989</w:t>
      </w:r>
      <w:r w:rsidR="003C1887" w:rsidRPr="006D4CB5">
        <w:rPr>
          <w:color w:val="000000" w:themeColor="text1"/>
        </w:rPr>
        <w:t>)</w:t>
      </w:r>
      <w:r w:rsidRPr="006D4CB5">
        <w:rPr>
          <w:color w:val="000000" w:themeColor="text1"/>
        </w:rPr>
        <w:t xml:space="preserve"> and females</w:t>
      </w:r>
      <w:r w:rsidR="003C1887" w:rsidRPr="006D4CB5">
        <w:rPr>
          <w:color w:val="000000" w:themeColor="text1"/>
        </w:rPr>
        <w:t xml:space="preserve"> (N = </w:t>
      </w:r>
      <w:r w:rsidR="003C1AFC" w:rsidRPr="006D4CB5">
        <w:rPr>
          <w:color w:val="000000" w:themeColor="text1"/>
        </w:rPr>
        <w:t>198,139</w:t>
      </w:r>
      <w:r w:rsidR="003C1887" w:rsidRPr="006D4CB5">
        <w:rPr>
          <w:color w:val="000000" w:themeColor="text1"/>
        </w:rPr>
        <w:t>)</w:t>
      </w:r>
      <w:r w:rsidRPr="006D4CB5">
        <w:rPr>
          <w:color w:val="000000" w:themeColor="text1"/>
        </w:rPr>
        <w:t>, allowing us t</w:t>
      </w:r>
      <w:r w:rsidR="00BF4E94" w:rsidRPr="006D4CB5">
        <w:rPr>
          <w:color w:val="000000" w:themeColor="text1"/>
        </w:rPr>
        <w:t>o</w:t>
      </w:r>
      <w:r w:rsidR="003C1887" w:rsidRPr="006D4CB5">
        <w:rPr>
          <w:color w:val="000000" w:themeColor="text1"/>
        </w:rPr>
        <w:t xml:space="preserve"> examine the influence of X-linked genetic variation on neuroticism. </w:t>
      </w:r>
      <w:r w:rsidR="0045265C" w:rsidRPr="006D4CB5">
        <w:rPr>
          <w:color w:val="000000" w:themeColor="text1"/>
        </w:rPr>
        <w:t>We adopted</w:t>
      </w:r>
      <w:r w:rsidR="003C1887" w:rsidRPr="006D4CB5">
        <w:rPr>
          <w:color w:val="000000" w:themeColor="text1"/>
        </w:rPr>
        <w:t xml:space="preserve"> the statistical framework of Lee and colleagues (2018) </w:t>
      </w:r>
      <w:r w:rsidR="0045265C" w:rsidRPr="006D4CB5">
        <w:rPr>
          <w:color w:val="000000" w:themeColor="text1"/>
        </w:rPr>
        <w:t xml:space="preserve">to </w:t>
      </w:r>
      <w:r w:rsidR="003C1887" w:rsidRPr="006D4CB5">
        <w:rPr>
          <w:color w:val="000000" w:themeColor="text1"/>
        </w:rPr>
        <w:t>q</w:t>
      </w:r>
      <w:r w:rsidR="00465B74" w:rsidRPr="006D4CB5">
        <w:rPr>
          <w:color w:val="000000" w:themeColor="text1"/>
        </w:rPr>
        <w:t>uan</w:t>
      </w:r>
      <w:r w:rsidR="003C1887" w:rsidRPr="006D4CB5">
        <w:rPr>
          <w:color w:val="000000" w:themeColor="text1"/>
        </w:rPr>
        <w:t>tif</w:t>
      </w:r>
      <w:r w:rsidR="0045265C" w:rsidRPr="006D4CB5">
        <w:rPr>
          <w:color w:val="000000" w:themeColor="text1"/>
        </w:rPr>
        <w:t>y</w:t>
      </w:r>
      <w:r w:rsidR="003C1887" w:rsidRPr="006D4CB5">
        <w:rPr>
          <w:color w:val="000000" w:themeColor="text1"/>
        </w:rPr>
        <w:t xml:space="preserve"> the degree of polygenic signal on the X chromosome. </w:t>
      </w:r>
      <w:r w:rsidR="0045265C" w:rsidRPr="006D4CB5">
        <w:rPr>
          <w:color w:val="000000" w:themeColor="text1"/>
        </w:rPr>
        <w:t xml:space="preserve">Following Lee et al., we </w:t>
      </w:r>
      <w:r w:rsidR="00F43374" w:rsidRPr="006D4CB5">
        <w:rPr>
          <w:color w:val="000000" w:themeColor="text1"/>
        </w:rPr>
        <w:t>estimated per</w:t>
      </w:r>
      <w:r w:rsidR="003C1887" w:rsidRPr="006D4CB5">
        <w:rPr>
          <w:color w:val="000000" w:themeColor="text1"/>
        </w:rPr>
        <w:t>-</w:t>
      </w:r>
      <w:r w:rsidR="0045265C" w:rsidRPr="006D4CB5">
        <w:rPr>
          <w:color w:val="000000" w:themeColor="text1"/>
        </w:rPr>
        <w:t>chromosome</w:t>
      </w:r>
      <w:r w:rsidR="003C1887" w:rsidRPr="006D4CB5">
        <w:rPr>
          <w:color w:val="000000" w:themeColor="text1"/>
        </w:rPr>
        <w:t xml:space="preserve"> SNP heritability</w:t>
      </w:r>
      <w:r w:rsidR="00F43374" w:rsidRPr="006D4CB5">
        <w:rPr>
          <w:color w:val="000000" w:themeColor="text1"/>
        </w:rPr>
        <w:t xml:space="preserve"> (h</w:t>
      </w:r>
      <w:r w:rsidR="00F43374" w:rsidRPr="006D4CB5">
        <w:rPr>
          <w:color w:val="000000" w:themeColor="text1"/>
          <w:vertAlign w:val="superscript"/>
        </w:rPr>
        <w:t>2</w:t>
      </w:r>
      <w:r w:rsidR="00F43374" w:rsidRPr="006D4CB5">
        <w:rPr>
          <w:color w:val="000000" w:themeColor="text1"/>
          <w:vertAlign w:val="subscript"/>
        </w:rPr>
        <w:t>SNP</w:t>
      </w:r>
      <w:r w:rsidR="00F43374" w:rsidRPr="006D4CB5">
        <w:rPr>
          <w:color w:val="000000" w:themeColor="text1"/>
        </w:rPr>
        <w:t>)</w:t>
      </w:r>
      <w:r w:rsidR="003C1887" w:rsidRPr="006D4CB5">
        <w:rPr>
          <w:color w:val="000000" w:themeColor="text1"/>
        </w:rPr>
        <w:t xml:space="preserve"> </w:t>
      </w:r>
      <w:r w:rsidR="00CB52F1" w:rsidRPr="006D4CB5">
        <w:rPr>
          <w:color w:val="000000" w:themeColor="text1"/>
        </w:rPr>
        <w:t>as</w:t>
      </w:r>
    </w:p>
    <w:p w14:paraId="53D6E0DD" w14:textId="77777777" w:rsidR="001B60A5" w:rsidRPr="006D4CB5" w:rsidRDefault="001B60A5" w:rsidP="001E251E">
      <w:pPr>
        <w:pStyle w:val="NormalWeb"/>
        <w:spacing w:before="0" w:beforeAutospacing="0" w:after="0" w:afterAutospacing="0"/>
        <w:ind w:firstLine="720"/>
        <w:jc w:val="both"/>
        <w:rPr>
          <w:color w:val="000000" w:themeColor="text1"/>
        </w:rPr>
      </w:pPr>
    </w:p>
    <w:p w14:paraId="3002AB8C" w14:textId="263CF57B" w:rsidR="003C1887" w:rsidRPr="006D4CB5" w:rsidRDefault="00000000" w:rsidP="001B60A5">
      <w:pPr>
        <w:pStyle w:val="NormalWeb"/>
        <w:spacing w:before="0" w:beforeAutospacing="0" w:after="0" w:afterAutospacing="0"/>
        <w:ind w:firstLine="720"/>
        <w:jc w:val="center"/>
        <w:rPr>
          <w:color w:val="000000" w:themeColor="text1"/>
        </w:rPr>
      </w:pPr>
      <m:oMath>
        <m:acc>
          <m:accPr>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c</m:t>
                </m:r>
              </m:sub>
              <m:sup>
                <m:r>
                  <w:rPr>
                    <w:rFonts w:ascii="Cambria Math" w:hAnsi="Cambria Math"/>
                    <w:color w:val="000000" w:themeColor="text1"/>
                  </w:rPr>
                  <m:t>2</m:t>
                </m:r>
              </m:sup>
            </m:sSubSup>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eff,C</m:t>
            </m:r>
          </m:sub>
        </m:sSub>
        <m:f>
          <m:fPr>
            <m:ctrlPr>
              <w:rPr>
                <w:rFonts w:ascii="Cambria Math" w:hAnsi="Cambria Math"/>
                <w:i/>
                <w:color w:val="000000" w:themeColor="text1"/>
              </w:rPr>
            </m:ctrlPr>
          </m:fPr>
          <m:num>
            <m:acc>
              <m:accPr>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c</m:t>
                    </m:r>
                  </m:sub>
                  <m:sup>
                    <m:r>
                      <w:rPr>
                        <w:rFonts w:ascii="Cambria Math" w:hAnsi="Cambria Math"/>
                        <w:color w:val="000000" w:themeColor="text1"/>
                      </w:rPr>
                      <m:t>2</m:t>
                    </m:r>
                  </m:sup>
                </m:sSubSup>
              </m:e>
            </m:acc>
          </m:num>
          <m:den>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c</m:t>
                </m:r>
              </m:sub>
            </m:sSub>
          </m:den>
        </m:f>
      </m:oMath>
      <w:r w:rsidR="00841173" w:rsidRPr="006D4CB5">
        <w:rPr>
          <w:color w:val="000000" w:themeColor="text1"/>
        </w:rPr>
        <w:t xml:space="preserve"> ,</w:t>
      </w:r>
      <w:r w:rsidR="00841173" w:rsidRPr="006D4CB5">
        <w:rPr>
          <w:color w:val="000000" w:themeColor="text1"/>
        </w:rPr>
        <w:tab/>
      </w:r>
      <w:r w:rsidR="001B60A5" w:rsidRPr="006D4CB5">
        <w:rPr>
          <w:color w:val="000000" w:themeColor="text1"/>
        </w:rPr>
        <w:t>(</w:t>
      </w:r>
      <w:r w:rsidR="00841173" w:rsidRPr="006D4CB5">
        <w:rPr>
          <w:color w:val="000000" w:themeColor="text1"/>
        </w:rPr>
        <w:t>Eq</w:t>
      </w:r>
      <w:r w:rsidR="001B60A5" w:rsidRPr="006D4CB5">
        <w:rPr>
          <w:color w:val="000000" w:themeColor="text1"/>
        </w:rPr>
        <w:t>.</w:t>
      </w:r>
      <w:r w:rsidR="00841173" w:rsidRPr="006D4CB5">
        <w:rPr>
          <w:color w:val="000000" w:themeColor="text1"/>
        </w:rPr>
        <w:t xml:space="preserve"> </w:t>
      </w:r>
      <w:r w:rsidR="00566C22" w:rsidRPr="006D4CB5">
        <w:rPr>
          <w:color w:val="000000" w:themeColor="text1"/>
        </w:rPr>
        <w:t>8</w:t>
      </w:r>
      <w:r w:rsidR="001B60A5" w:rsidRPr="006D4CB5">
        <w:rPr>
          <w:color w:val="000000" w:themeColor="text1"/>
        </w:rPr>
        <w:t>)</w:t>
      </w:r>
    </w:p>
    <w:p w14:paraId="590D1889" w14:textId="77777777" w:rsidR="001B60A5" w:rsidRPr="006D4CB5" w:rsidRDefault="001B60A5" w:rsidP="001E251E">
      <w:pPr>
        <w:pStyle w:val="NormalWeb"/>
        <w:spacing w:before="0" w:beforeAutospacing="0" w:after="0" w:afterAutospacing="0"/>
        <w:ind w:firstLine="720"/>
        <w:jc w:val="center"/>
        <w:rPr>
          <w:color w:val="000000" w:themeColor="text1"/>
        </w:rPr>
      </w:pPr>
    </w:p>
    <w:p w14:paraId="21F8AE0F" w14:textId="53E7A6C3" w:rsidR="00554BAD" w:rsidRPr="006D4CB5" w:rsidRDefault="003C1887" w:rsidP="00F43374">
      <w:pPr>
        <w:pStyle w:val="NormalWeb"/>
        <w:spacing w:before="0" w:beforeAutospacing="0" w:after="0" w:afterAutospacing="0"/>
        <w:rPr>
          <w:color w:val="000000" w:themeColor="text1"/>
        </w:rPr>
      </w:pPr>
      <w:r w:rsidRPr="006D4CB5">
        <w:rPr>
          <w:color w:val="000000" w:themeColor="text1"/>
        </w:rPr>
        <w:t xml:space="preserve">where </w:t>
      </w:r>
      <w:proofErr w:type="spellStart"/>
      <w:r w:rsidRPr="006D4CB5">
        <w:rPr>
          <w:color w:val="000000" w:themeColor="text1"/>
        </w:rPr>
        <w:t>M</w:t>
      </w:r>
      <w:r w:rsidRPr="006D4CB5">
        <w:rPr>
          <w:color w:val="000000" w:themeColor="text1"/>
          <w:vertAlign w:val="subscript"/>
        </w:rPr>
        <w:t>eff</w:t>
      </w:r>
      <w:proofErr w:type="spellEnd"/>
      <w:r w:rsidRPr="006D4CB5">
        <w:rPr>
          <w:color w:val="000000" w:themeColor="text1"/>
          <w:vertAlign w:val="subscript"/>
        </w:rPr>
        <w:t xml:space="preserve"> </w:t>
      </w:r>
      <w:r w:rsidRPr="006D4CB5">
        <w:rPr>
          <w:color w:val="000000" w:themeColor="text1"/>
        </w:rPr>
        <w:t xml:space="preserve">is the effective number of loci </w:t>
      </w:r>
      <w:r w:rsidR="00326533" w:rsidRPr="006D4CB5">
        <w:rPr>
          <w:color w:val="000000" w:themeColor="text1"/>
        </w:rPr>
        <w:t xml:space="preserve">in chromosome C </w:t>
      </w:r>
      <w:r w:rsidR="00BB5354" w:rsidRPr="006D4CB5">
        <w:rPr>
          <w:color w:val="000000" w:themeColor="text1"/>
        </w:rPr>
        <w:t xml:space="preserve">(estimated at 1,300) </w:t>
      </w:r>
      <w:r w:rsidRPr="006D4CB5">
        <w:rPr>
          <w:color w:val="000000" w:themeColor="text1"/>
        </w:rPr>
        <w:t xml:space="preserve">and N is the sample size. We apply this to the X-chromosome association results in females and males separately, finding small but statistically significant estimates in both sexes (female </w:t>
      </w:r>
      <w:r w:rsidR="00AC288E" w:rsidRPr="006D4CB5">
        <w:rPr>
          <w:color w:val="000000" w:themeColor="text1"/>
        </w:rPr>
        <w:t>h</w:t>
      </w:r>
      <w:r w:rsidR="00AC288E" w:rsidRPr="006D4CB5">
        <w:rPr>
          <w:color w:val="000000" w:themeColor="text1"/>
          <w:vertAlign w:val="superscript"/>
        </w:rPr>
        <w:t>2</w:t>
      </w:r>
      <w:proofErr w:type="gramStart"/>
      <w:r w:rsidR="00AC288E" w:rsidRPr="006D4CB5">
        <w:rPr>
          <w:color w:val="000000" w:themeColor="text1"/>
          <w:vertAlign w:val="subscript"/>
        </w:rPr>
        <w:t>SNP,X</w:t>
      </w:r>
      <w:proofErr w:type="gramEnd"/>
      <w:r w:rsidRPr="006D4CB5">
        <w:rPr>
          <w:color w:val="000000" w:themeColor="text1"/>
        </w:rPr>
        <w:t xml:space="preserve"> = 0.18</w:t>
      </w:r>
      <w:r w:rsidR="00554BAD" w:rsidRPr="006D4CB5">
        <w:rPr>
          <w:color w:val="000000" w:themeColor="text1"/>
        </w:rPr>
        <w:t>%</w:t>
      </w:r>
      <w:r w:rsidRPr="006D4CB5">
        <w:rPr>
          <w:color w:val="000000" w:themeColor="text1"/>
        </w:rPr>
        <w:t xml:space="preserve">, SE = 0.03; male </w:t>
      </w:r>
      <w:r w:rsidR="00AC288E" w:rsidRPr="006D4CB5">
        <w:rPr>
          <w:color w:val="000000" w:themeColor="text1"/>
        </w:rPr>
        <w:t>h</w:t>
      </w:r>
      <w:r w:rsidR="00AC288E" w:rsidRPr="006D4CB5">
        <w:rPr>
          <w:color w:val="000000" w:themeColor="text1"/>
          <w:vertAlign w:val="superscript"/>
        </w:rPr>
        <w:t>2</w:t>
      </w:r>
      <w:proofErr w:type="gramStart"/>
      <w:r w:rsidR="00AC288E" w:rsidRPr="006D4CB5">
        <w:rPr>
          <w:color w:val="000000" w:themeColor="text1"/>
          <w:vertAlign w:val="subscript"/>
        </w:rPr>
        <w:t>SNP,X</w:t>
      </w:r>
      <w:proofErr w:type="gramEnd"/>
      <w:r w:rsidRPr="006D4CB5">
        <w:rPr>
          <w:color w:val="000000" w:themeColor="text1"/>
        </w:rPr>
        <w:t xml:space="preserve"> = 0.23</w:t>
      </w:r>
      <w:r w:rsidR="00554BAD" w:rsidRPr="006D4CB5">
        <w:rPr>
          <w:color w:val="000000" w:themeColor="text1"/>
        </w:rPr>
        <w:t>%</w:t>
      </w:r>
      <w:r w:rsidRPr="006D4CB5">
        <w:rPr>
          <w:color w:val="000000" w:themeColor="text1"/>
        </w:rPr>
        <w:t xml:space="preserve">, SE = 0.04). Although these point estimates are small, they follow expectations given the total </w:t>
      </w:r>
      <w:r w:rsidR="00F43374" w:rsidRPr="006D4CB5">
        <w:rPr>
          <w:color w:val="000000" w:themeColor="text1"/>
        </w:rPr>
        <w:t>h</w:t>
      </w:r>
      <w:r w:rsidR="00F43374" w:rsidRPr="006D4CB5">
        <w:rPr>
          <w:color w:val="000000" w:themeColor="text1"/>
          <w:vertAlign w:val="superscript"/>
        </w:rPr>
        <w:t>2</w:t>
      </w:r>
      <w:r w:rsidR="00F43374" w:rsidRPr="006D4CB5">
        <w:rPr>
          <w:color w:val="000000" w:themeColor="text1"/>
          <w:vertAlign w:val="subscript"/>
        </w:rPr>
        <w:t>SNP</w:t>
      </w:r>
      <w:r w:rsidR="00F43374" w:rsidRPr="006D4CB5">
        <w:rPr>
          <w:color w:val="000000" w:themeColor="text1"/>
        </w:rPr>
        <w:t xml:space="preserve"> </w:t>
      </w:r>
      <w:r w:rsidRPr="006D4CB5">
        <w:rPr>
          <w:color w:val="000000" w:themeColor="text1"/>
        </w:rPr>
        <w:t xml:space="preserve">of neuroticism in </w:t>
      </w:r>
      <w:r w:rsidR="003C1AFC" w:rsidRPr="006D4CB5">
        <w:rPr>
          <w:color w:val="000000" w:themeColor="text1"/>
        </w:rPr>
        <w:t>autosomal</w:t>
      </w:r>
      <w:r w:rsidRPr="006D4CB5">
        <w:rPr>
          <w:color w:val="000000" w:themeColor="text1"/>
        </w:rPr>
        <w:t xml:space="preserve"> analysis (female </w:t>
      </w:r>
      <w:r w:rsidR="00AC288E" w:rsidRPr="006D4CB5">
        <w:rPr>
          <w:color w:val="000000" w:themeColor="text1"/>
        </w:rPr>
        <w:t>h</w:t>
      </w:r>
      <w:r w:rsidR="00AC288E" w:rsidRPr="006D4CB5">
        <w:rPr>
          <w:color w:val="000000" w:themeColor="text1"/>
          <w:vertAlign w:val="superscript"/>
        </w:rPr>
        <w:t>2</w:t>
      </w:r>
      <w:r w:rsidR="00AC288E" w:rsidRPr="006D4CB5">
        <w:rPr>
          <w:color w:val="000000" w:themeColor="text1"/>
          <w:vertAlign w:val="subscript"/>
        </w:rPr>
        <w:t>SNP</w:t>
      </w:r>
      <w:r w:rsidRPr="006D4CB5">
        <w:rPr>
          <w:color w:val="000000" w:themeColor="text1"/>
        </w:rPr>
        <w:t xml:space="preserve"> = 0.113, male </w:t>
      </w:r>
      <w:r w:rsidR="00AC288E" w:rsidRPr="006D4CB5">
        <w:rPr>
          <w:color w:val="000000" w:themeColor="text1"/>
        </w:rPr>
        <w:t>h</w:t>
      </w:r>
      <w:r w:rsidR="00AC288E" w:rsidRPr="006D4CB5">
        <w:rPr>
          <w:color w:val="000000" w:themeColor="text1"/>
          <w:vertAlign w:val="superscript"/>
        </w:rPr>
        <w:t>2</w:t>
      </w:r>
      <w:r w:rsidR="00AC288E" w:rsidRPr="006D4CB5">
        <w:rPr>
          <w:color w:val="000000" w:themeColor="text1"/>
          <w:vertAlign w:val="subscript"/>
        </w:rPr>
        <w:t>SNP</w:t>
      </w:r>
      <w:r w:rsidRPr="006D4CB5">
        <w:rPr>
          <w:color w:val="000000" w:themeColor="text1"/>
        </w:rPr>
        <w:t xml:space="preserve"> = 0.112). Specifically, we expect that per-chromosome heritability will track the effective number of loci on that chromosome, which we observe for both females (</w:t>
      </w:r>
      <w:r w:rsidRPr="006D4CB5">
        <w:rPr>
          <w:i/>
          <w:iCs/>
          <w:color w:val="000000" w:themeColor="text1"/>
        </w:rPr>
        <w:t>r</w:t>
      </w:r>
      <w:r w:rsidRPr="006D4CB5">
        <w:rPr>
          <w:color w:val="000000" w:themeColor="text1"/>
        </w:rPr>
        <w:t xml:space="preserve"> = .</w:t>
      </w:r>
      <w:r w:rsidR="003C1AFC" w:rsidRPr="006D4CB5">
        <w:rPr>
          <w:color w:val="000000" w:themeColor="text1"/>
        </w:rPr>
        <w:t>797</w:t>
      </w:r>
      <w:r w:rsidRPr="006D4CB5">
        <w:rPr>
          <w:color w:val="000000" w:themeColor="text1"/>
        </w:rPr>
        <w:t>, SE = .1</w:t>
      </w:r>
      <w:r w:rsidR="003C1AFC" w:rsidRPr="006D4CB5">
        <w:rPr>
          <w:color w:val="000000" w:themeColor="text1"/>
        </w:rPr>
        <w:t>32</w:t>
      </w:r>
      <w:r w:rsidRPr="006D4CB5">
        <w:rPr>
          <w:color w:val="000000" w:themeColor="text1"/>
        </w:rPr>
        <w:t>) and males (</w:t>
      </w:r>
      <w:r w:rsidRPr="006D4CB5">
        <w:rPr>
          <w:i/>
          <w:iCs/>
          <w:color w:val="000000" w:themeColor="text1"/>
        </w:rPr>
        <w:t>r</w:t>
      </w:r>
      <w:r w:rsidRPr="006D4CB5">
        <w:rPr>
          <w:color w:val="000000" w:themeColor="text1"/>
        </w:rPr>
        <w:t xml:space="preserve"> = .6</w:t>
      </w:r>
      <w:r w:rsidR="003C1AFC" w:rsidRPr="006D4CB5">
        <w:rPr>
          <w:color w:val="000000" w:themeColor="text1"/>
        </w:rPr>
        <w:t>66</w:t>
      </w:r>
      <w:r w:rsidRPr="006D4CB5">
        <w:rPr>
          <w:color w:val="000000" w:themeColor="text1"/>
        </w:rPr>
        <w:t>, SE = .16</w:t>
      </w:r>
      <w:r w:rsidR="003C1AFC" w:rsidRPr="006D4CB5">
        <w:rPr>
          <w:color w:val="000000" w:themeColor="text1"/>
        </w:rPr>
        <w:t>3</w:t>
      </w:r>
      <w:r w:rsidRPr="006D4CB5">
        <w:rPr>
          <w:color w:val="000000" w:themeColor="text1"/>
        </w:rPr>
        <w:t>). Only chromosomes 8 and 17 appeared to deviate from this pattern, with modestly larger contributions than expected</w:t>
      </w:r>
      <w:r w:rsidR="00841173" w:rsidRPr="006D4CB5">
        <w:rPr>
          <w:color w:val="000000" w:themeColor="text1"/>
        </w:rPr>
        <w:t xml:space="preserve">; these results for these chromosomes may be due in part to inversion regions on these chromosomes. This possibility is discussed in a previous GWAS of neuroticism in the UKB cohort by </w:t>
      </w:r>
      <w:proofErr w:type="spellStart"/>
      <w:r w:rsidR="00841173" w:rsidRPr="006D4CB5">
        <w:rPr>
          <w:color w:val="000000" w:themeColor="text1"/>
        </w:rPr>
        <w:t>Okbay</w:t>
      </w:r>
      <w:proofErr w:type="spellEnd"/>
      <w:r w:rsidR="00841173" w:rsidRPr="006D4CB5">
        <w:rPr>
          <w:color w:val="000000" w:themeColor="text1"/>
        </w:rPr>
        <w:t xml:space="preserve"> and colleagues (2017, Note 5). </w:t>
      </w:r>
      <w:r w:rsidRPr="006D4CB5">
        <w:rPr>
          <w:color w:val="000000" w:themeColor="text1"/>
        </w:rPr>
        <w:t>Notably, females and males exhibited highly similar patterns of per-chromosome heritability estimates (</w:t>
      </w:r>
      <w:r w:rsidRPr="006D4CB5">
        <w:rPr>
          <w:i/>
          <w:iCs/>
          <w:color w:val="000000" w:themeColor="text1"/>
        </w:rPr>
        <w:t>r</w:t>
      </w:r>
      <w:r w:rsidRPr="006D4CB5">
        <w:rPr>
          <w:color w:val="000000" w:themeColor="text1"/>
        </w:rPr>
        <w:t xml:space="preserve"> = .94</w:t>
      </w:r>
      <w:r w:rsidR="003C1AFC" w:rsidRPr="006D4CB5">
        <w:rPr>
          <w:color w:val="000000" w:themeColor="text1"/>
        </w:rPr>
        <w:t>6</w:t>
      </w:r>
      <w:r w:rsidRPr="006D4CB5">
        <w:rPr>
          <w:color w:val="000000" w:themeColor="text1"/>
        </w:rPr>
        <w:t>, SE = .07</w:t>
      </w:r>
      <w:r w:rsidR="003C1AFC" w:rsidRPr="006D4CB5">
        <w:rPr>
          <w:color w:val="000000" w:themeColor="text1"/>
        </w:rPr>
        <w:t>1</w:t>
      </w:r>
      <w:r w:rsidRPr="006D4CB5">
        <w:rPr>
          <w:color w:val="000000" w:themeColor="text1"/>
        </w:rPr>
        <w:t>).</w:t>
      </w:r>
    </w:p>
    <w:p w14:paraId="3CCCAB03" w14:textId="0EBA86B0" w:rsidR="001B60A5" w:rsidRPr="006D4CB5" w:rsidRDefault="003C1887" w:rsidP="001B60A5">
      <w:pPr>
        <w:pStyle w:val="NormalWeb"/>
        <w:spacing w:before="0" w:beforeAutospacing="0" w:after="0" w:afterAutospacing="0"/>
        <w:ind w:firstLine="720"/>
        <w:jc w:val="both"/>
        <w:rPr>
          <w:color w:val="000000" w:themeColor="text1"/>
        </w:rPr>
      </w:pPr>
      <w:r w:rsidRPr="006D4CB5">
        <w:rPr>
          <w:color w:val="000000" w:themeColor="text1"/>
        </w:rPr>
        <w:t>To evaluate whether the X-linked polygenic architecture differed between females and males, we conducted three tests</w:t>
      </w:r>
      <w:r w:rsidR="00580ECD" w:rsidRPr="006D4CB5">
        <w:rPr>
          <w:color w:val="000000" w:themeColor="text1"/>
        </w:rPr>
        <w:t xml:space="preserve"> within the UKB cohort</w:t>
      </w:r>
      <w:r w:rsidRPr="006D4CB5">
        <w:rPr>
          <w:color w:val="000000" w:themeColor="text1"/>
        </w:rPr>
        <w:t xml:space="preserve">. First, as </w:t>
      </w:r>
      <w:r w:rsidR="00580ECD" w:rsidRPr="006D4CB5">
        <w:rPr>
          <w:color w:val="000000" w:themeColor="text1"/>
        </w:rPr>
        <w:t xml:space="preserve">female and male </w:t>
      </w:r>
      <w:r w:rsidR="00EF5872" w:rsidRPr="006D4CB5">
        <w:rPr>
          <w:color w:val="000000" w:themeColor="text1"/>
        </w:rPr>
        <w:t>subsamples</w:t>
      </w:r>
      <w:r w:rsidRPr="006D4CB5">
        <w:rPr>
          <w:color w:val="000000" w:themeColor="text1"/>
        </w:rPr>
        <w:t xml:space="preserve"> are independent by construction, we used a two-sided Z test to evaluate whether the sex-stratified X-linked heritability estimates differed</w:t>
      </w:r>
      <w:r w:rsidR="001B60A5" w:rsidRPr="006D4CB5">
        <w:rPr>
          <w:color w:val="000000" w:themeColor="text1"/>
        </w:rPr>
        <w:t xml:space="preserve">. </w:t>
      </w:r>
      <w:r w:rsidRPr="006D4CB5">
        <w:rPr>
          <w:color w:val="000000" w:themeColor="text1"/>
        </w:rPr>
        <w:t>Second, we estimated the dosage compensation ratio as</w:t>
      </w:r>
    </w:p>
    <w:p w14:paraId="7BED7D8F" w14:textId="77777777" w:rsidR="001B60A5" w:rsidRPr="006D4CB5" w:rsidRDefault="001B60A5" w:rsidP="001E251E">
      <w:pPr>
        <w:pStyle w:val="NormalWeb"/>
        <w:spacing w:before="0" w:beforeAutospacing="0" w:after="0" w:afterAutospacing="0"/>
        <w:ind w:firstLine="720"/>
        <w:jc w:val="both"/>
        <w:rPr>
          <w:color w:val="000000" w:themeColor="text1"/>
        </w:rPr>
      </w:pPr>
    </w:p>
    <w:p w14:paraId="3156C5D6" w14:textId="7572050B" w:rsidR="001B60A5" w:rsidRPr="006D4CB5" w:rsidRDefault="00000000" w:rsidP="001B60A5">
      <w:pPr>
        <w:pStyle w:val="NormalWeb"/>
        <w:spacing w:before="0" w:beforeAutospacing="0" w:after="0" w:afterAutospacing="0"/>
        <w:ind w:firstLine="720"/>
        <w:jc w:val="center"/>
        <w:rPr>
          <w:color w:val="000000" w:themeColor="text1"/>
        </w:rPr>
      </w:pPr>
      <m:oMath>
        <m:acc>
          <m:accPr>
            <m:ctrlPr>
              <w:rPr>
                <w:rFonts w:ascii="Cambria Math" w:hAnsi="Cambria Math"/>
                <w:color w:val="000000" w:themeColor="text1"/>
              </w:rPr>
            </m:ctrlPr>
          </m:accPr>
          <m:e>
            <m:r>
              <m:rPr>
                <m:sty m:val="p"/>
              </m:rPr>
              <w:rPr>
                <w:rFonts w:ascii="Cambria Math" w:hAnsi="Cambria Math"/>
                <w:color w:val="000000" w:themeColor="text1"/>
              </w:rPr>
              <m:t>γ</m:t>
            </m:r>
          </m:e>
        </m:acc>
        <m:r>
          <w:rPr>
            <w:rFonts w:ascii="Cambria Math" w:hAns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males</m:t>
                        </m:r>
                      </m:sub>
                      <m:sup>
                        <m:r>
                          <w:rPr>
                            <w:rFonts w:ascii="Cambria Math" w:hAnsi="Cambria Math"/>
                            <w:color w:val="000000" w:themeColor="text1"/>
                          </w:rPr>
                          <m:t>2</m:t>
                        </m:r>
                      </m:sup>
                    </m:sSubSup>
                  </m:e>
                </m:acc>
                <m:r>
                  <w:rPr>
                    <w:rFonts w:ascii="Cambria Math" w:hAnsi="Cambria Math"/>
                    <w:color w:val="000000" w:themeColor="text1"/>
                  </w:rPr>
                  <m:t>-1</m:t>
                </m:r>
              </m:e>
            </m:d>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females</m:t>
                </m:r>
              </m:sub>
            </m:sSub>
          </m:num>
          <m:den>
            <m:d>
              <m:dPr>
                <m:ctrlPr>
                  <w:rPr>
                    <w:rFonts w:ascii="Cambria Math" w:hAnsi="Cambria Math"/>
                    <w:i/>
                    <w:color w:val="000000" w:themeColor="text1"/>
                  </w:rPr>
                </m:ctrlPr>
              </m:dPr>
              <m:e>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females</m:t>
                        </m:r>
                      </m:sub>
                      <m:sup>
                        <m:r>
                          <w:rPr>
                            <w:rFonts w:ascii="Cambria Math" w:hAnsi="Cambria Math"/>
                            <w:color w:val="000000" w:themeColor="text1"/>
                          </w:rPr>
                          <m:t>2</m:t>
                        </m:r>
                      </m:sup>
                    </m:sSubSup>
                  </m:e>
                </m:acc>
                <m:r>
                  <w:rPr>
                    <w:rFonts w:ascii="Cambria Math" w:hAnsi="Cambria Math"/>
                    <w:color w:val="000000" w:themeColor="text1"/>
                  </w:rPr>
                  <m:t>-1</m:t>
                </m:r>
              </m:e>
            </m:d>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males</m:t>
                </m:r>
              </m:sub>
            </m:sSub>
          </m:den>
        </m:f>
      </m:oMath>
      <w:r w:rsidR="001B60A5" w:rsidRPr="006D4CB5">
        <w:rPr>
          <w:color w:val="000000" w:themeColor="text1"/>
        </w:rPr>
        <w:tab/>
        <w:t>,</w:t>
      </w:r>
      <w:r w:rsidR="001B60A5" w:rsidRPr="006D4CB5">
        <w:rPr>
          <w:color w:val="000000" w:themeColor="text1"/>
        </w:rPr>
        <w:tab/>
      </w:r>
      <w:r w:rsidR="00566C22" w:rsidRPr="006D4CB5">
        <w:rPr>
          <w:color w:val="000000" w:themeColor="text1"/>
        </w:rPr>
        <w:t>(Eq. 9)</w:t>
      </w:r>
    </w:p>
    <w:p w14:paraId="253AD4BF" w14:textId="77777777" w:rsidR="001B60A5" w:rsidRPr="006D4CB5" w:rsidRDefault="001B60A5" w:rsidP="001E251E">
      <w:pPr>
        <w:pStyle w:val="NormalWeb"/>
        <w:spacing w:before="0" w:beforeAutospacing="0" w:after="0" w:afterAutospacing="0"/>
        <w:ind w:firstLine="720"/>
        <w:jc w:val="center"/>
        <w:rPr>
          <w:color w:val="000000" w:themeColor="text1"/>
        </w:rPr>
      </w:pPr>
    </w:p>
    <w:p w14:paraId="21E89327" w14:textId="24C0CB3F" w:rsidR="001B60A5" w:rsidRPr="006D4CB5" w:rsidRDefault="001B60A5" w:rsidP="00F43374">
      <w:pPr>
        <w:pStyle w:val="NormalWeb"/>
        <w:spacing w:before="0" w:beforeAutospacing="0" w:after="0" w:afterAutospacing="0"/>
        <w:rPr>
          <w:color w:val="000000" w:themeColor="text1"/>
        </w:rPr>
      </w:pPr>
      <w:r w:rsidRPr="006D4CB5">
        <w:rPr>
          <w:color w:val="000000" w:themeColor="text1"/>
        </w:rPr>
        <w:t xml:space="preserve">where, </w:t>
      </w:r>
      <m:oMath>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males</m:t>
                </m:r>
              </m:sub>
              <m:sup>
                <m:r>
                  <w:rPr>
                    <w:rFonts w:ascii="Cambria Math" w:hAnsi="Cambria Math"/>
                    <w:color w:val="000000" w:themeColor="text1"/>
                  </w:rPr>
                  <m:t>2</m:t>
                </m:r>
              </m:sup>
            </m:sSubSup>
          </m:e>
        </m:acc>
      </m:oMath>
      <w:r w:rsidRPr="006D4CB5">
        <w:rPr>
          <w:color w:val="000000" w:themeColor="text1"/>
        </w:rPr>
        <w:t xml:space="preserve"> is the average association chi-square statistic in males and </w:t>
      </w:r>
      <m:oMath>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females</m:t>
                </m:r>
              </m:sub>
              <m:sup>
                <m:r>
                  <w:rPr>
                    <w:rFonts w:ascii="Cambria Math" w:hAnsi="Cambria Math"/>
                    <w:color w:val="000000" w:themeColor="text1"/>
                  </w:rPr>
                  <m:t>2</m:t>
                </m:r>
              </m:sup>
            </m:sSubSup>
          </m:e>
        </m:acc>
      </m:oMath>
      <w:r w:rsidRPr="006D4CB5">
        <w:rPr>
          <w:color w:val="000000" w:themeColor="text1"/>
        </w:rPr>
        <w:t xml:space="preserve"> is the corresponding statistic in females</w:t>
      </w:r>
      <w:r w:rsidR="003C1887" w:rsidRPr="006D4CB5">
        <w:rPr>
          <w:color w:val="000000" w:themeColor="text1"/>
        </w:rPr>
        <w:t xml:space="preserve">. Finally, we quantified the degree of overlapping X-linked architecture between the two sexes </w:t>
      </w:r>
      <w:r w:rsidRPr="006D4CB5">
        <w:rPr>
          <w:color w:val="000000" w:themeColor="text1"/>
        </w:rPr>
        <w:t xml:space="preserve">as </w:t>
      </w:r>
    </w:p>
    <w:p w14:paraId="30D670A4" w14:textId="77777777" w:rsidR="001B60A5" w:rsidRPr="006D4CB5" w:rsidRDefault="001B60A5" w:rsidP="001E251E">
      <w:pPr>
        <w:pStyle w:val="NormalWeb"/>
        <w:spacing w:before="0" w:beforeAutospacing="0" w:after="0" w:afterAutospacing="0"/>
        <w:ind w:firstLine="720"/>
        <w:jc w:val="both"/>
        <w:rPr>
          <w:color w:val="000000" w:themeColor="text1"/>
        </w:rPr>
      </w:pPr>
    </w:p>
    <w:p w14:paraId="62C02BAE" w14:textId="13952ED2" w:rsidR="001B60A5" w:rsidRPr="006D4CB5" w:rsidRDefault="00000000" w:rsidP="001B60A5">
      <w:pPr>
        <w:pStyle w:val="NormalWeb"/>
        <w:spacing w:before="0" w:beforeAutospacing="0" w:after="0" w:afterAutospacing="0"/>
        <w:ind w:firstLine="720"/>
        <w:jc w:val="center"/>
        <w:rPr>
          <w:color w:val="000000" w:themeColor="text1"/>
        </w:rPr>
      </w:pPr>
      <m:oMath>
        <m:acc>
          <m:accPr>
            <m:ctrlPr>
              <w:rPr>
                <w:rFonts w:ascii="Cambria Math" w:hAnsi="Cambria Math"/>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m:t>
                </m:r>
              </m:sub>
            </m:sSub>
          </m:e>
        </m:acc>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Z</m:t>
                </m:r>
              </m:e>
              <m:sub>
                <m:r>
                  <w:rPr>
                    <w:rFonts w:ascii="Cambria Math" w:hAnsi="Cambria Math"/>
                    <w:color w:val="000000" w:themeColor="text1"/>
                  </w:rPr>
                  <m:t>males</m:t>
                </m:r>
              </m:sub>
            </m:sSub>
            <m:sSub>
              <m:sSubPr>
                <m:ctrlPr>
                  <w:rPr>
                    <w:rFonts w:ascii="Cambria Math" w:hAnsi="Cambria Math"/>
                    <w:i/>
                    <w:color w:val="000000" w:themeColor="text1"/>
                  </w:rPr>
                </m:ctrlPr>
              </m:sSubPr>
              <m:e>
                <m:r>
                  <w:rPr>
                    <w:rFonts w:ascii="Cambria Math" w:hAnsi="Cambria Math"/>
                    <w:color w:val="000000" w:themeColor="text1"/>
                  </w:rPr>
                  <m:t>Z</m:t>
                </m:r>
              </m:e>
              <m:sub>
                <m:r>
                  <w:rPr>
                    <w:rFonts w:ascii="Cambria Math" w:hAnsi="Cambria Math"/>
                    <w:color w:val="000000" w:themeColor="text1"/>
                  </w:rPr>
                  <m:t>females</m:t>
                </m:r>
              </m:sub>
            </m:sSub>
          </m:num>
          <m:den>
            <m:rad>
              <m:radPr>
                <m:degHide m:val="1"/>
                <m:ctrlPr>
                  <w:rPr>
                    <w:rFonts w:ascii="Cambria Math" w:hAnsi="Cambria Math"/>
                    <w:i/>
                    <w:color w:val="000000" w:themeColor="text1"/>
                  </w:rPr>
                </m:ctrlPr>
              </m:radPr>
              <m:deg/>
              <m:e>
                <m:r>
                  <w:rPr>
                    <w:rFonts w:ascii="Cambria Math" w:hAnsi="Cambria Math"/>
                    <w:color w:val="000000" w:themeColor="text1"/>
                  </w:rPr>
                  <m:t>(</m:t>
                </m:r>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males</m:t>
                        </m:r>
                      </m:sub>
                      <m:sup>
                        <m:r>
                          <w:rPr>
                            <w:rFonts w:ascii="Cambria Math" w:hAnsi="Cambria Math"/>
                            <w:color w:val="000000" w:themeColor="text1"/>
                          </w:rPr>
                          <m:t>2</m:t>
                        </m:r>
                      </m:sup>
                    </m:sSubSup>
                  </m:e>
                </m:acc>
                <m:r>
                  <w:rPr>
                    <w:rFonts w:ascii="Cambria Math" w:hAnsi="Cambria Math"/>
                    <w:color w:val="000000" w:themeColor="text1"/>
                  </w:rPr>
                  <m:t>-1)(</m:t>
                </m:r>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χ</m:t>
                        </m:r>
                      </m:e>
                      <m:sub>
                        <m:r>
                          <w:rPr>
                            <w:rFonts w:ascii="Cambria Math" w:hAnsi="Cambria Math"/>
                            <w:color w:val="000000" w:themeColor="text1"/>
                          </w:rPr>
                          <m:t>females</m:t>
                        </m:r>
                      </m:sub>
                      <m:sup>
                        <m:r>
                          <w:rPr>
                            <w:rFonts w:ascii="Cambria Math" w:hAnsi="Cambria Math"/>
                            <w:color w:val="000000" w:themeColor="text1"/>
                          </w:rPr>
                          <m:t>2</m:t>
                        </m:r>
                      </m:sup>
                    </m:sSubSup>
                  </m:e>
                </m:acc>
                <m:r>
                  <w:rPr>
                    <w:rFonts w:ascii="Cambria Math" w:hAnsi="Cambria Math"/>
                    <w:color w:val="000000" w:themeColor="text1"/>
                  </w:rPr>
                  <m:t>-1)</m:t>
                </m:r>
              </m:e>
            </m:rad>
          </m:den>
        </m:f>
      </m:oMath>
      <w:r w:rsidR="00F43374" w:rsidRPr="006D4CB5">
        <w:rPr>
          <w:color w:val="000000" w:themeColor="text1"/>
        </w:rPr>
        <w:t>.</w:t>
      </w:r>
      <w:r w:rsidR="001B60A5" w:rsidRPr="006D4CB5">
        <w:rPr>
          <w:color w:val="000000" w:themeColor="text1"/>
        </w:rPr>
        <w:tab/>
      </w:r>
      <w:r w:rsidR="00566C22" w:rsidRPr="006D4CB5">
        <w:rPr>
          <w:color w:val="000000" w:themeColor="text1"/>
        </w:rPr>
        <w:t>(Eq. 10)</w:t>
      </w:r>
    </w:p>
    <w:p w14:paraId="28594667" w14:textId="77777777" w:rsidR="001B60A5" w:rsidRPr="006D4CB5" w:rsidRDefault="001B60A5" w:rsidP="001E251E">
      <w:pPr>
        <w:pStyle w:val="NormalWeb"/>
        <w:spacing w:before="0" w:beforeAutospacing="0" w:after="0" w:afterAutospacing="0"/>
        <w:ind w:firstLine="720"/>
        <w:jc w:val="center"/>
        <w:rPr>
          <w:color w:val="000000" w:themeColor="text1"/>
        </w:rPr>
      </w:pPr>
    </w:p>
    <w:p w14:paraId="57D7BFE2" w14:textId="25C7366D" w:rsidR="00B84A82" w:rsidRPr="006D4CB5" w:rsidRDefault="00F43374" w:rsidP="00F43374">
      <w:pPr>
        <w:pStyle w:val="NormalWeb"/>
        <w:spacing w:before="0" w:beforeAutospacing="0" w:after="0" w:afterAutospacing="0"/>
        <w:ind w:firstLine="720"/>
        <w:rPr>
          <w:color w:val="000000" w:themeColor="text1"/>
        </w:rPr>
      </w:pPr>
      <w:r w:rsidRPr="006D4CB5">
        <w:rPr>
          <w:color w:val="000000" w:themeColor="text1"/>
        </w:rPr>
        <w:t>As presented in the Main Text, results of these tests</w:t>
      </w:r>
      <w:r w:rsidR="00580ECD" w:rsidRPr="006D4CB5">
        <w:rPr>
          <w:color w:val="000000" w:themeColor="text1"/>
        </w:rPr>
        <w:t xml:space="preserve"> together </w:t>
      </w:r>
      <w:r w:rsidR="00B84A82" w:rsidRPr="006D4CB5">
        <w:rPr>
          <w:color w:val="000000" w:themeColor="text1"/>
        </w:rPr>
        <w:t xml:space="preserve">indicate </w:t>
      </w:r>
      <w:r w:rsidR="00580ECD" w:rsidRPr="006D4CB5">
        <w:rPr>
          <w:color w:val="000000" w:themeColor="text1"/>
        </w:rPr>
        <w:t>strong consistency of genetic effects across sex with</w:t>
      </w:r>
      <w:r w:rsidR="00B84A82" w:rsidRPr="006D4CB5">
        <w:rPr>
          <w:color w:val="000000" w:themeColor="text1"/>
        </w:rPr>
        <w:t xml:space="preserve"> partial dosage compensation. However, the confidence interval for dosage compensation parameter was very wide, limiting our ability to reliably incorporate </w:t>
      </w:r>
      <w:r w:rsidRPr="006D4CB5">
        <w:rPr>
          <w:color w:val="000000" w:themeColor="text1"/>
        </w:rPr>
        <w:t>its</w:t>
      </w:r>
      <w:r w:rsidR="00B84A82" w:rsidRPr="006D4CB5">
        <w:rPr>
          <w:color w:val="000000" w:themeColor="text1"/>
        </w:rPr>
        <w:t xml:space="preserve"> estimate into a cross-sex meta-analysis. To determine how sensitive such a meta-analysis is to the coding of male dosage, we conducted cross-sex meta-analyses in the UK Biobank cohort using both zero dosage compensation (males 0/1, females 0/1/2) and full dosage compensation (males 0/2, females 0/1/2). In the model with zero dosage compensation, the mean chi-square test statistic was 1.51, with a max chi-square of 31.07 (corresponding to a p-value of 2.49x10</w:t>
      </w:r>
      <w:r w:rsidR="00B84A82" w:rsidRPr="006D4CB5">
        <w:rPr>
          <w:color w:val="000000" w:themeColor="text1"/>
          <w:vertAlign w:val="superscript"/>
        </w:rPr>
        <w:t>-8</w:t>
      </w:r>
      <w:r w:rsidR="00B84A82" w:rsidRPr="006D4CB5">
        <w:rPr>
          <w:color w:val="000000" w:themeColor="text1"/>
        </w:rPr>
        <w:t>). In the model with full dosage compensation, the mean chi-square test statistic was 1.52, with a max chi-square of 29.43 (corresponding to a p-value of 5.79x10</w:t>
      </w:r>
      <w:r w:rsidR="00B84A82" w:rsidRPr="006D4CB5">
        <w:rPr>
          <w:color w:val="000000" w:themeColor="text1"/>
          <w:vertAlign w:val="superscript"/>
        </w:rPr>
        <w:t>-8</w:t>
      </w:r>
      <w:r w:rsidR="00B84A82" w:rsidRPr="006D4CB5">
        <w:rPr>
          <w:color w:val="000000" w:themeColor="text1"/>
        </w:rPr>
        <w:t>). That these results are very similar to one another indicates that the choice of dosage compensation coding has a trivial effect on power for cross-sex X-chromosomal meta-analysis. Lee and colleagues (2018) reported similar findings in their tests of dosage compensation in educational attainment.</w:t>
      </w:r>
    </w:p>
    <w:p w14:paraId="25EC5EA7" w14:textId="0EF9BD1B" w:rsidR="00076353" w:rsidRPr="006D4CB5" w:rsidRDefault="00B84A82" w:rsidP="001E251E">
      <w:pPr>
        <w:ind w:firstLine="720"/>
        <w:rPr>
          <w:color w:val="000000" w:themeColor="text1"/>
        </w:rPr>
      </w:pPr>
      <w:r w:rsidRPr="006D4CB5">
        <w:rPr>
          <w:color w:val="000000" w:themeColor="text1"/>
        </w:rPr>
        <w:t>W</w:t>
      </w:r>
      <w:r w:rsidR="00076353" w:rsidRPr="006D4CB5">
        <w:rPr>
          <w:color w:val="000000" w:themeColor="text1"/>
        </w:rPr>
        <w:t>e then meta-analyzed X-chromosome associations together across</w:t>
      </w:r>
      <w:r w:rsidRPr="006D4CB5">
        <w:rPr>
          <w:color w:val="000000" w:themeColor="text1"/>
        </w:rPr>
        <w:t xml:space="preserve"> all</w:t>
      </w:r>
      <w:r w:rsidR="00076353" w:rsidRPr="006D4CB5">
        <w:rPr>
          <w:color w:val="000000" w:themeColor="text1"/>
        </w:rPr>
        <w:t xml:space="preserve"> male-stratified, female-stratified, and sex-combined </w:t>
      </w:r>
      <w:r w:rsidRPr="006D4CB5">
        <w:rPr>
          <w:color w:val="000000" w:themeColor="text1"/>
        </w:rPr>
        <w:t>cohorts</w:t>
      </w:r>
      <w:r w:rsidR="00076353" w:rsidRPr="006D4CB5">
        <w:rPr>
          <w:color w:val="000000" w:themeColor="text1"/>
        </w:rPr>
        <w:t xml:space="preserve"> following </w:t>
      </w:r>
      <w:r w:rsidR="004E4F12" w:rsidRPr="006D4CB5">
        <w:rPr>
          <w:color w:val="000000" w:themeColor="text1"/>
        </w:rPr>
        <w:t>E</w:t>
      </w:r>
      <w:r w:rsidR="00076353" w:rsidRPr="006D4CB5">
        <w:rPr>
          <w:color w:val="000000" w:themeColor="text1"/>
        </w:rPr>
        <w:t xml:space="preserve">quation 5 above. </w:t>
      </w:r>
      <w:r w:rsidRPr="006D4CB5">
        <w:rPr>
          <w:color w:val="000000" w:themeColor="text1"/>
        </w:rPr>
        <w:t xml:space="preserve">In cohorts where effects in males were modeled without dosage compensation, we rescaled them to a full dosage compensation model by dividing SNP association betas and standard errors by two. </w:t>
      </w:r>
      <w:r w:rsidR="00076353" w:rsidRPr="006D4CB5">
        <w:rPr>
          <w:color w:val="000000" w:themeColor="text1"/>
        </w:rPr>
        <w:t xml:space="preserve">We again re-estimated meta-analytic sample size for each SNP following </w:t>
      </w:r>
      <w:r w:rsidR="004E4F12" w:rsidRPr="006D4CB5">
        <w:rPr>
          <w:color w:val="000000" w:themeColor="text1"/>
        </w:rPr>
        <w:t>E</w:t>
      </w:r>
      <w:r w:rsidR="00076353" w:rsidRPr="006D4CB5">
        <w:rPr>
          <w:color w:val="000000" w:themeColor="text1"/>
        </w:rPr>
        <w:t xml:space="preserve">quation 7. For male data, SNP variance in the denominator of this equation was instead estimated using </w:t>
      </w:r>
      <m:oMath>
        <m:r>
          <w:rPr>
            <w:rFonts w:ascii="Cambria Math" w:hAnsi="Cambria Math"/>
            <w:color w:val="000000" w:themeColor="text1"/>
          </w:rPr>
          <m:t>4MAF×(1-MAF)</m:t>
        </m:r>
      </m:oMath>
      <w:r w:rsidR="00076353" w:rsidRPr="006D4CB5">
        <w:rPr>
          <w:color w:val="000000" w:themeColor="text1"/>
        </w:rPr>
        <w:t xml:space="preserve"> instead of </w:t>
      </w:r>
      <m:oMath>
        <m:r>
          <w:rPr>
            <w:rFonts w:ascii="Cambria Math" w:hAnsi="Cambria Math"/>
            <w:color w:val="000000" w:themeColor="text1"/>
          </w:rPr>
          <m:t>2MAF×(1-MAF)</m:t>
        </m:r>
      </m:oMath>
      <w:r w:rsidR="00076353" w:rsidRPr="006D4CB5">
        <w:rPr>
          <w:color w:val="000000" w:themeColor="text1"/>
        </w:rPr>
        <w:t xml:space="preserve"> to account for </w:t>
      </w:r>
      <w:r w:rsidR="000605B0" w:rsidRPr="006D4CB5">
        <w:rPr>
          <w:color w:val="000000" w:themeColor="text1"/>
        </w:rPr>
        <w:t xml:space="preserve">the assumption of full </w:t>
      </w:r>
      <w:r w:rsidR="00076353" w:rsidRPr="006D4CB5">
        <w:rPr>
          <w:color w:val="000000" w:themeColor="text1"/>
        </w:rPr>
        <w:t xml:space="preserve">dosage compensation. </w:t>
      </w:r>
    </w:p>
    <w:p w14:paraId="658AFECA" w14:textId="2DFBA24B" w:rsidR="00DD7E40" w:rsidRPr="006D4CB5" w:rsidRDefault="00076353" w:rsidP="001B60A5">
      <w:pPr>
        <w:rPr>
          <w:color w:val="000000" w:themeColor="text1"/>
        </w:rPr>
      </w:pPr>
      <w:r w:rsidRPr="006D4CB5">
        <w:rPr>
          <w:color w:val="000000" w:themeColor="text1"/>
        </w:rPr>
        <w:tab/>
        <w:t xml:space="preserve">Manhattan plots of X-chromosome results are presented in </w:t>
      </w:r>
      <w:r w:rsidRPr="006D4CB5">
        <w:rPr>
          <w:b/>
          <w:bCs/>
          <w:color w:val="000000" w:themeColor="text1"/>
        </w:rPr>
        <w:t>Figure 1</w:t>
      </w:r>
      <w:r w:rsidRPr="006D4CB5">
        <w:rPr>
          <w:color w:val="000000" w:themeColor="text1"/>
        </w:rPr>
        <w:t xml:space="preserve"> of the main text. We identified one additional locus containing a lead SNP on the X chromosome, for agreeableness</w:t>
      </w:r>
      <w:r w:rsidR="00F43374" w:rsidRPr="006D4CB5">
        <w:rPr>
          <w:color w:val="000000" w:themeColor="text1"/>
        </w:rPr>
        <w:t>, which was novel</w:t>
      </w:r>
      <w:r w:rsidRPr="006D4CB5">
        <w:rPr>
          <w:color w:val="000000" w:themeColor="text1"/>
        </w:rPr>
        <w:t xml:space="preserve"> (</w:t>
      </w:r>
      <w:r w:rsidRPr="006D4CB5">
        <w:rPr>
          <w:i/>
          <w:iCs/>
          <w:color w:val="000000" w:themeColor="text1"/>
        </w:rPr>
        <w:t>p</w:t>
      </w:r>
      <w:r w:rsidRPr="006D4CB5">
        <w:rPr>
          <w:color w:val="000000" w:themeColor="text1"/>
        </w:rPr>
        <w:t xml:space="preserve"> = 9.83×10</w:t>
      </w:r>
      <w:r w:rsidRPr="006D4CB5">
        <w:rPr>
          <w:color w:val="000000" w:themeColor="text1"/>
          <w:vertAlign w:val="superscript"/>
        </w:rPr>
        <w:t>-9</w:t>
      </w:r>
      <w:r w:rsidRPr="006D4CB5">
        <w:rPr>
          <w:color w:val="000000" w:themeColor="text1"/>
        </w:rPr>
        <w:t xml:space="preserve">; </w:t>
      </w:r>
      <w:r w:rsidRPr="006D4CB5">
        <w:rPr>
          <w:b/>
          <w:bCs/>
          <w:color w:val="000000" w:themeColor="text1"/>
        </w:rPr>
        <w:t>Supplementary Table S</w:t>
      </w:r>
      <w:r w:rsidR="00D94EA2" w:rsidRPr="006D4CB5">
        <w:rPr>
          <w:b/>
          <w:bCs/>
          <w:color w:val="000000" w:themeColor="text1"/>
        </w:rPr>
        <w:t>7</w:t>
      </w:r>
      <w:r w:rsidRPr="006D4CB5">
        <w:rPr>
          <w:color w:val="000000" w:themeColor="text1"/>
        </w:rPr>
        <w:t xml:space="preserve">). </w:t>
      </w:r>
      <w:r w:rsidR="00EC23B9" w:rsidRPr="006D4CB5">
        <w:rPr>
          <w:color w:val="000000" w:themeColor="text1"/>
        </w:rPr>
        <w:t xml:space="preserve">We also noted </w:t>
      </w:r>
      <w:r w:rsidR="00A80568" w:rsidRPr="006D4CB5">
        <w:rPr>
          <w:color w:val="000000" w:themeColor="text1"/>
        </w:rPr>
        <w:t>t</w:t>
      </w:r>
      <w:r w:rsidR="007D37B6" w:rsidRPr="006D4CB5">
        <w:rPr>
          <w:color w:val="000000" w:themeColor="text1"/>
        </w:rPr>
        <w:t>hree</w:t>
      </w:r>
      <w:r w:rsidR="00F43374" w:rsidRPr="006D4CB5">
        <w:rPr>
          <w:color w:val="000000" w:themeColor="text1"/>
        </w:rPr>
        <w:t xml:space="preserve"> additional</w:t>
      </w:r>
      <w:r w:rsidR="00A80568" w:rsidRPr="006D4CB5">
        <w:rPr>
          <w:color w:val="000000" w:themeColor="text1"/>
        </w:rPr>
        <w:t xml:space="preserve"> loci containing a lead SNP for</w:t>
      </w:r>
      <w:r w:rsidR="00EC23B9" w:rsidRPr="006D4CB5">
        <w:rPr>
          <w:color w:val="000000" w:themeColor="text1"/>
        </w:rPr>
        <w:t xml:space="preserve"> </w:t>
      </w:r>
      <w:r w:rsidR="00A80568" w:rsidRPr="006D4CB5">
        <w:rPr>
          <w:color w:val="000000" w:themeColor="text1"/>
        </w:rPr>
        <w:t>Neuroticism</w:t>
      </w:r>
      <w:r w:rsidR="007D37B6" w:rsidRPr="006D4CB5">
        <w:rPr>
          <w:color w:val="000000" w:themeColor="text1"/>
        </w:rPr>
        <w:t>, of which one was novel</w:t>
      </w:r>
      <w:r w:rsidR="00A80568" w:rsidRPr="006D4CB5">
        <w:rPr>
          <w:color w:val="000000" w:themeColor="text1"/>
        </w:rPr>
        <w:t xml:space="preserve"> </w:t>
      </w:r>
      <w:r w:rsidR="007D37B6" w:rsidRPr="006D4CB5">
        <w:rPr>
          <w:color w:val="000000" w:themeColor="text1"/>
        </w:rPr>
        <w:t>and the other two replicated previous findings</w:t>
      </w:r>
      <w:r w:rsidR="00F808DA" w:rsidRPr="006D4CB5">
        <w:rPr>
          <w:color w:val="000000" w:themeColor="text1"/>
        </w:rPr>
        <w:t xml:space="preserve"> by Luciano and colleagues (2021) in their analyses of the UK Biobank cohort</w:t>
      </w:r>
      <w:r w:rsidR="007D37B6" w:rsidRPr="006D4CB5">
        <w:rPr>
          <w:color w:val="000000" w:themeColor="text1"/>
        </w:rPr>
        <w:t xml:space="preserve"> (</w:t>
      </w:r>
      <w:r w:rsidR="007D37B6" w:rsidRPr="006D4CB5">
        <w:rPr>
          <w:b/>
          <w:bCs/>
          <w:color w:val="000000" w:themeColor="text1"/>
        </w:rPr>
        <w:t>Supplementary Table S</w:t>
      </w:r>
      <w:r w:rsidR="00D94EA2" w:rsidRPr="006D4CB5">
        <w:rPr>
          <w:b/>
          <w:bCs/>
          <w:color w:val="000000" w:themeColor="text1"/>
        </w:rPr>
        <w:t>9</w:t>
      </w:r>
      <w:r w:rsidR="007D37B6" w:rsidRPr="006D4CB5">
        <w:rPr>
          <w:color w:val="000000" w:themeColor="text1"/>
        </w:rPr>
        <w:t>)</w:t>
      </w:r>
      <w:r w:rsidR="00F808DA" w:rsidRPr="006D4CB5">
        <w:rPr>
          <w:color w:val="000000" w:themeColor="text1"/>
        </w:rPr>
        <w:t>.</w:t>
      </w:r>
      <w:r w:rsidR="00EC23B9" w:rsidRPr="006D4CB5">
        <w:rPr>
          <w:color w:val="000000" w:themeColor="text1"/>
        </w:rPr>
        <w:t xml:space="preserve"> </w:t>
      </w:r>
      <w:r w:rsidRPr="006D4CB5">
        <w:rPr>
          <w:color w:val="000000" w:themeColor="text1"/>
        </w:rPr>
        <w:t>We note that as only s</w:t>
      </w:r>
      <w:r w:rsidR="00EC23B9" w:rsidRPr="006D4CB5">
        <w:rPr>
          <w:color w:val="000000" w:themeColor="text1"/>
        </w:rPr>
        <w:t>even</w:t>
      </w:r>
      <w:r w:rsidRPr="006D4CB5">
        <w:rPr>
          <w:color w:val="000000" w:themeColor="text1"/>
        </w:rPr>
        <w:t xml:space="preserve"> cohorts provided X-chromosome data, these analyses were comparatively underpowered relative to autosomal analyses. </w:t>
      </w:r>
    </w:p>
    <w:p w14:paraId="7BD777AE" w14:textId="77777777" w:rsidR="00076353" w:rsidRPr="006D4CB5" w:rsidRDefault="00076353" w:rsidP="00076353">
      <w:pPr>
        <w:rPr>
          <w:color w:val="000000" w:themeColor="text1"/>
        </w:rPr>
      </w:pPr>
    </w:p>
    <w:p w14:paraId="14173A56" w14:textId="54E85615" w:rsidR="00076353" w:rsidRPr="006D4CB5" w:rsidRDefault="00076353" w:rsidP="00076353">
      <w:pPr>
        <w:rPr>
          <w:color w:val="000000" w:themeColor="text1"/>
          <w:u w:val="single"/>
        </w:rPr>
      </w:pPr>
      <w:r w:rsidRPr="006D4CB5">
        <w:rPr>
          <w:color w:val="000000" w:themeColor="text1"/>
          <w:u w:val="single"/>
        </w:rPr>
        <w:t>2.7 Synthesis Across Participants</w:t>
      </w:r>
      <w:r w:rsidR="001B70C0">
        <w:rPr>
          <w:color w:val="000000" w:themeColor="text1"/>
          <w:u w:val="single"/>
        </w:rPr>
        <w:t xml:space="preserve"> </w:t>
      </w:r>
      <w:r w:rsidR="001B70C0" w:rsidRPr="001B70C0">
        <w:rPr>
          <w:color w:val="000000" w:themeColor="text1"/>
          <w:u w:val="single"/>
        </w:rPr>
        <w:t>with EUR-like</w:t>
      </w:r>
      <w:r w:rsidR="001B70C0" w:rsidRPr="001B70C0">
        <w:rPr>
          <w:color w:val="000000" w:themeColor="text1"/>
          <w:u w:val="single"/>
        </w:rPr>
        <w:t xml:space="preserve"> and AFR-like</w:t>
      </w:r>
      <w:r w:rsidR="001B70C0" w:rsidRPr="001B70C0">
        <w:rPr>
          <w:color w:val="000000" w:themeColor="text1"/>
          <w:u w:val="single"/>
        </w:rPr>
        <w:t xml:space="preserve"> genomes</w:t>
      </w:r>
    </w:p>
    <w:p w14:paraId="5A25ACEA" w14:textId="6C63F31B" w:rsidR="00076353" w:rsidRPr="006D4CB5" w:rsidRDefault="00076353" w:rsidP="00076353">
      <w:pPr>
        <w:rPr>
          <w:color w:val="000000" w:themeColor="text1"/>
        </w:rPr>
      </w:pPr>
      <w:r w:rsidRPr="006D4CB5">
        <w:rPr>
          <w:color w:val="000000" w:themeColor="text1"/>
        </w:rPr>
        <w:tab/>
        <w:t>To maximize GWAS discovery power, we combined results across participants</w:t>
      </w:r>
      <w:r w:rsidR="001B70C0">
        <w:rPr>
          <w:color w:val="000000" w:themeColor="text1"/>
        </w:rPr>
        <w:t xml:space="preserve"> </w:t>
      </w:r>
      <w:r w:rsidR="001B70C0">
        <w:rPr>
          <w:color w:val="000000" w:themeColor="text1"/>
        </w:rPr>
        <w:t xml:space="preserve">with EUR-like </w:t>
      </w:r>
      <w:r w:rsidR="001B70C0">
        <w:rPr>
          <w:color w:val="000000" w:themeColor="text1"/>
        </w:rPr>
        <w:t xml:space="preserve">and AFR-like </w:t>
      </w:r>
      <w:r w:rsidR="001B70C0">
        <w:rPr>
          <w:color w:val="000000" w:themeColor="text1"/>
        </w:rPr>
        <w:t>genomes</w:t>
      </w:r>
      <w:r w:rsidRPr="006D4CB5">
        <w:rPr>
          <w:color w:val="000000" w:themeColor="text1"/>
        </w:rPr>
        <w:t xml:space="preserve"> and identified additional independent lead SNPs in this </w:t>
      </w:r>
      <w:proofErr w:type="spellStart"/>
      <w:r w:rsidRPr="006D4CB5">
        <w:rPr>
          <w:color w:val="000000" w:themeColor="text1"/>
        </w:rPr>
        <w:t>transancestral</w:t>
      </w:r>
      <w:proofErr w:type="spellEnd"/>
      <w:r w:rsidRPr="006D4CB5">
        <w:rPr>
          <w:color w:val="000000" w:themeColor="text1"/>
        </w:rPr>
        <w:t xml:space="preserve"> sample. Specifically, we applied inverse-variance-weighted meta-analysis (</w:t>
      </w:r>
      <w:r w:rsidR="004E4F12" w:rsidRPr="006D4CB5">
        <w:rPr>
          <w:color w:val="000000" w:themeColor="text1"/>
        </w:rPr>
        <w:t>E</w:t>
      </w:r>
      <w:r w:rsidRPr="006D4CB5">
        <w:rPr>
          <w:color w:val="000000" w:themeColor="text1"/>
        </w:rPr>
        <w:t xml:space="preserve">quation 5) to synthesize the two sets of summary data for each trait: the k = 10 cohorts comprising analyses among </w:t>
      </w:r>
      <w:r w:rsidR="000A1360">
        <w:rPr>
          <w:color w:val="000000" w:themeColor="text1"/>
        </w:rPr>
        <w:t xml:space="preserve">both </w:t>
      </w:r>
      <w:r w:rsidRPr="006D4CB5">
        <w:rPr>
          <w:color w:val="000000" w:themeColor="text1"/>
        </w:rPr>
        <w:t>participants</w:t>
      </w:r>
      <w:r w:rsidR="000A1360">
        <w:rPr>
          <w:color w:val="000000" w:themeColor="text1"/>
        </w:rPr>
        <w:t xml:space="preserve"> with EUR-like and AFR-like genomes,</w:t>
      </w:r>
      <w:r w:rsidRPr="006D4CB5">
        <w:rPr>
          <w:color w:val="000000" w:themeColor="text1"/>
        </w:rPr>
        <w:t xml:space="preserve"> and the additional k = 36 cohorts comprising analyses among </w:t>
      </w:r>
      <w:r w:rsidR="000A1360">
        <w:rPr>
          <w:color w:val="000000" w:themeColor="text1"/>
        </w:rPr>
        <w:t xml:space="preserve">solely </w:t>
      </w:r>
      <w:r w:rsidRPr="006D4CB5">
        <w:rPr>
          <w:color w:val="000000" w:themeColor="text1"/>
        </w:rPr>
        <w:t>participants</w:t>
      </w:r>
      <w:r w:rsidR="000A1360">
        <w:rPr>
          <w:color w:val="000000" w:themeColor="text1"/>
        </w:rPr>
        <w:t xml:space="preserve"> with EUR-like </w:t>
      </w:r>
      <w:r w:rsidR="000A1360">
        <w:rPr>
          <w:color w:val="000000" w:themeColor="text1"/>
        </w:rPr>
        <w:lastRenderedPageBreak/>
        <w:t>genomes</w:t>
      </w:r>
      <w:r w:rsidRPr="006D4CB5">
        <w:rPr>
          <w:color w:val="000000" w:themeColor="text1"/>
        </w:rPr>
        <w:t xml:space="preserve">. We present Manhattan plots of GWAS associations in this transancestry sample in </w:t>
      </w:r>
      <w:r w:rsidRPr="006D4CB5">
        <w:rPr>
          <w:b/>
          <w:bCs/>
          <w:color w:val="000000" w:themeColor="text1"/>
        </w:rPr>
        <w:t>Figure 1</w:t>
      </w:r>
      <w:r w:rsidRPr="006D4CB5">
        <w:rPr>
          <w:color w:val="000000" w:themeColor="text1"/>
        </w:rPr>
        <w:t xml:space="preserve"> of the main text. </w:t>
      </w:r>
    </w:p>
    <w:p w14:paraId="72676545" w14:textId="65F07034" w:rsidR="00076353" w:rsidRPr="006D4CB5" w:rsidRDefault="00076353" w:rsidP="00076353">
      <w:pPr>
        <w:rPr>
          <w:color w:val="000000" w:themeColor="text1"/>
        </w:rPr>
      </w:pPr>
      <w:r w:rsidRPr="006D4CB5">
        <w:rPr>
          <w:color w:val="000000" w:themeColor="text1"/>
        </w:rPr>
        <w:tab/>
        <w:t>We then identified novel lead SNPs in this analysis. First, we submitted results to FUMA (Watanabe et al., 2017)</w:t>
      </w:r>
      <w:r w:rsidR="000D6F3B" w:rsidRPr="006D4CB5">
        <w:rPr>
          <w:color w:val="000000" w:themeColor="text1"/>
        </w:rPr>
        <w:t xml:space="preserve"> using the 1000 genomes 3v5 EUR reference panel</w:t>
      </w:r>
      <w:r w:rsidRPr="006D4CB5">
        <w:rPr>
          <w:color w:val="000000" w:themeColor="text1"/>
        </w:rPr>
        <w:t xml:space="preserve">, which identified 111 potential novel lead </w:t>
      </w:r>
      <w:proofErr w:type="gramStart"/>
      <w:r w:rsidRPr="006D4CB5">
        <w:rPr>
          <w:color w:val="000000" w:themeColor="text1"/>
        </w:rPr>
        <w:t>SNPs .</w:t>
      </w:r>
      <w:proofErr w:type="gramEnd"/>
      <w:r w:rsidRPr="006D4CB5">
        <w:rPr>
          <w:color w:val="000000" w:themeColor="text1"/>
        </w:rPr>
        <w:t xml:space="preserve"> </w:t>
      </w:r>
      <w:r w:rsidR="00ED3141" w:rsidRPr="006D4CB5">
        <w:rPr>
          <w:color w:val="000000" w:themeColor="text1"/>
        </w:rPr>
        <w:t xml:space="preserve">For this first stage, we </w:t>
      </w:r>
      <w:r w:rsidR="00BA28A4" w:rsidRPr="006D4CB5">
        <w:rPr>
          <w:color w:val="000000" w:themeColor="text1"/>
        </w:rPr>
        <w:t>used</w:t>
      </w:r>
      <w:r w:rsidR="00ED3141" w:rsidRPr="006D4CB5">
        <w:rPr>
          <w:color w:val="000000" w:themeColor="text1"/>
        </w:rPr>
        <w:t xml:space="preserve"> the 1000 genomes 3v5 EUR reference panel</w:t>
      </w:r>
      <w:r w:rsidR="00BA28A4" w:rsidRPr="006D4CB5">
        <w:rPr>
          <w:color w:val="000000" w:themeColor="text1"/>
        </w:rPr>
        <w:t xml:space="preserve"> because </w:t>
      </w:r>
      <w:r w:rsidR="00ED3141" w:rsidRPr="006D4CB5">
        <w:rPr>
          <w:color w:val="000000" w:themeColor="text1"/>
        </w:rPr>
        <w:t xml:space="preserve">as most participants (~95%) were </w:t>
      </w:r>
      <w:r w:rsidR="000A1360">
        <w:rPr>
          <w:color w:val="000000" w:themeColor="text1"/>
        </w:rPr>
        <w:t>classified as having EUR-like genomes</w:t>
      </w:r>
      <w:r w:rsidR="00ED3141" w:rsidRPr="006D4CB5">
        <w:rPr>
          <w:color w:val="000000" w:themeColor="text1"/>
        </w:rPr>
        <w:t xml:space="preserve">, and </w:t>
      </w:r>
      <w:r w:rsidR="00BA28A4" w:rsidRPr="006D4CB5">
        <w:rPr>
          <w:color w:val="000000" w:themeColor="text1"/>
        </w:rPr>
        <w:t xml:space="preserve">because </w:t>
      </w:r>
      <w:r w:rsidR="00ED3141" w:rsidRPr="006D4CB5">
        <w:rPr>
          <w:color w:val="000000" w:themeColor="text1"/>
        </w:rPr>
        <w:t>stronger linkage disequilibrium among EUR</w:t>
      </w:r>
      <w:r w:rsidR="000A1360">
        <w:rPr>
          <w:color w:val="000000" w:themeColor="text1"/>
        </w:rPr>
        <w:t>-like</w:t>
      </w:r>
      <w:r w:rsidR="00ED3141" w:rsidRPr="006D4CB5">
        <w:rPr>
          <w:color w:val="000000" w:themeColor="text1"/>
        </w:rPr>
        <w:t xml:space="preserve"> compared to AFR</w:t>
      </w:r>
      <w:r w:rsidR="000A1360">
        <w:rPr>
          <w:color w:val="000000" w:themeColor="text1"/>
        </w:rPr>
        <w:t>-like</w:t>
      </w:r>
      <w:r w:rsidR="00ED3141" w:rsidRPr="006D4CB5">
        <w:rPr>
          <w:color w:val="000000" w:themeColor="text1"/>
        </w:rPr>
        <w:t xml:space="preserve"> superpopulations (Reich et al., 2001) means that </w:t>
      </w:r>
      <w:r w:rsidR="00BA28A4" w:rsidRPr="006D4CB5">
        <w:rPr>
          <w:color w:val="000000" w:themeColor="text1"/>
        </w:rPr>
        <w:t>employment of a</w:t>
      </w:r>
      <w:r w:rsidR="00ED3141" w:rsidRPr="006D4CB5">
        <w:rPr>
          <w:color w:val="000000" w:themeColor="text1"/>
        </w:rPr>
        <w:t xml:space="preserve"> EUR reference panel likely leads to conservative estimation of the number of lead SNPs. </w:t>
      </w:r>
      <w:r w:rsidR="000D6F3B" w:rsidRPr="006D4CB5">
        <w:rPr>
          <w:color w:val="000000" w:themeColor="text1"/>
        </w:rPr>
        <w:t>In a second st</w:t>
      </w:r>
      <w:r w:rsidR="00ED3141" w:rsidRPr="006D4CB5">
        <w:rPr>
          <w:color w:val="000000" w:themeColor="text1"/>
        </w:rPr>
        <w:t>age</w:t>
      </w:r>
      <w:r w:rsidR="000D6F3B" w:rsidRPr="006D4CB5">
        <w:rPr>
          <w:color w:val="000000" w:themeColor="text1"/>
        </w:rPr>
        <w:t xml:space="preserve">, for </w:t>
      </w:r>
      <w:r w:rsidRPr="006D4CB5">
        <w:rPr>
          <w:color w:val="000000" w:themeColor="text1"/>
        </w:rPr>
        <w:t>each of these potential lead SNPs, we</w:t>
      </w:r>
      <w:r w:rsidR="000D6F3B" w:rsidRPr="006D4CB5">
        <w:rPr>
          <w:color w:val="000000" w:themeColor="text1"/>
        </w:rPr>
        <w:t xml:space="preserve"> </w:t>
      </w:r>
      <w:r w:rsidRPr="006D4CB5">
        <w:rPr>
          <w:color w:val="000000" w:themeColor="text1"/>
        </w:rPr>
        <w:t xml:space="preserve">estimated sample-size weighted ancestry-combined LD </w:t>
      </w:r>
      <w:r w:rsidR="00C56CB1" w:rsidRPr="006D4CB5">
        <w:rPr>
          <w:color w:val="000000" w:themeColor="text1"/>
        </w:rPr>
        <w:t xml:space="preserve">matrices </w:t>
      </w:r>
      <w:r w:rsidRPr="006D4CB5">
        <w:rPr>
          <w:color w:val="000000" w:themeColor="text1"/>
        </w:rPr>
        <w:t xml:space="preserve">(across 1000g 3v5 EUR and 1000g 3v5 AFR, including only SNPs that were included in both reference panels) </w:t>
      </w:r>
      <w:r w:rsidR="00C56CB1" w:rsidRPr="006D4CB5">
        <w:rPr>
          <w:color w:val="000000" w:themeColor="text1"/>
        </w:rPr>
        <w:t>for all</w:t>
      </w:r>
      <w:r w:rsidRPr="006D4CB5">
        <w:rPr>
          <w:color w:val="000000" w:themeColor="text1"/>
        </w:rPr>
        <w:t xml:space="preserve"> </w:t>
      </w:r>
      <w:r w:rsidR="00BA28A4" w:rsidRPr="006D4CB5">
        <w:rPr>
          <w:color w:val="000000" w:themeColor="text1"/>
        </w:rPr>
        <w:t xml:space="preserve">candidate </w:t>
      </w:r>
      <w:r w:rsidR="00C56CB1" w:rsidRPr="006D4CB5">
        <w:rPr>
          <w:color w:val="000000" w:themeColor="text1"/>
        </w:rPr>
        <w:t>transancestry</w:t>
      </w:r>
      <w:r w:rsidR="00F41E9D" w:rsidRPr="006D4CB5">
        <w:rPr>
          <w:color w:val="000000" w:themeColor="text1"/>
        </w:rPr>
        <w:t xml:space="preserve"> </w:t>
      </w:r>
      <w:r w:rsidRPr="006D4CB5">
        <w:rPr>
          <w:color w:val="000000" w:themeColor="text1"/>
        </w:rPr>
        <w:t>lead SNP</w:t>
      </w:r>
      <w:r w:rsidR="003E72B9" w:rsidRPr="006D4CB5">
        <w:rPr>
          <w:color w:val="000000" w:themeColor="text1"/>
        </w:rPr>
        <w:t>s</w:t>
      </w:r>
      <w:r w:rsidRPr="006D4CB5">
        <w:rPr>
          <w:color w:val="000000" w:themeColor="text1"/>
        </w:rPr>
        <w:t xml:space="preserve"> </w:t>
      </w:r>
      <w:r w:rsidR="00C56CB1" w:rsidRPr="006D4CB5">
        <w:rPr>
          <w:color w:val="000000" w:themeColor="text1"/>
        </w:rPr>
        <w:t xml:space="preserve">on each chromosome </w:t>
      </w:r>
      <w:r w:rsidRPr="006D4CB5">
        <w:rPr>
          <w:color w:val="000000" w:themeColor="text1"/>
        </w:rPr>
        <w:t xml:space="preserve">and all other lead SNPs on </w:t>
      </w:r>
      <w:r w:rsidR="00B40EDD" w:rsidRPr="006D4CB5">
        <w:rPr>
          <w:color w:val="000000" w:themeColor="text1"/>
        </w:rPr>
        <w:t xml:space="preserve">the corresponding </w:t>
      </w:r>
      <w:r w:rsidRPr="006D4CB5">
        <w:rPr>
          <w:color w:val="000000" w:themeColor="text1"/>
        </w:rPr>
        <w:t>chromosome identified in the AFR</w:t>
      </w:r>
      <w:r w:rsidR="000A1360">
        <w:rPr>
          <w:color w:val="000000" w:themeColor="text1"/>
        </w:rPr>
        <w:t>-like</w:t>
      </w:r>
      <w:r w:rsidRPr="006D4CB5">
        <w:rPr>
          <w:color w:val="000000" w:themeColor="text1"/>
        </w:rPr>
        <w:t xml:space="preserve"> and EUR</w:t>
      </w:r>
      <w:r w:rsidR="000A1360">
        <w:rPr>
          <w:color w:val="000000" w:themeColor="text1"/>
        </w:rPr>
        <w:t>-like</w:t>
      </w:r>
      <w:r w:rsidRPr="006D4CB5">
        <w:rPr>
          <w:color w:val="000000" w:themeColor="text1"/>
        </w:rPr>
        <w:t xml:space="preserve"> stratified analyses. If this SNP was correlated with all other lead SNPs at </w:t>
      </w:r>
      <w:r w:rsidRPr="006D4CB5">
        <w:rPr>
          <w:i/>
          <w:iCs/>
          <w:color w:val="000000" w:themeColor="text1"/>
        </w:rPr>
        <w:t>R</w:t>
      </w:r>
      <w:r w:rsidRPr="006D4CB5">
        <w:rPr>
          <w:color w:val="000000" w:themeColor="text1"/>
          <w:vertAlign w:val="superscript"/>
        </w:rPr>
        <w:t xml:space="preserve">2 </w:t>
      </w:r>
      <w:r w:rsidRPr="006D4CB5">
        <w:rPr>
          <w:i/>
          <w:iCs/>
          <w:color w:val="000000" w:themeColor="text1"/>
        </w:rPr>
        <w:t xml:space="preserve">&lt; </w:t>
      </w:r>
      <w:r w:rsidRPr="006D4CB5">
        <w:rPr>
          <w:color w:val="000000" w:themeColor="text1"/>
        </w:rPr>
        <w:t xml:space="preserve">.10, we considered it a novel independent lead SNP beyond those identified in the ancestry-stratified analyses. </w:t>
      </w:r>
      <w:r w:rsidR="003F4FD2" w:rsidRPr="006D4CB5">
        <w:rPr>
          <w:color w:val="000000" w:themeColor="text1"/>
        </w:rPr>
        <w:t>This two-</w:t>
      </w:r>
      <w:r w:rsidR="00BA28A4" w:rsidRPr="006D4CB5">
        <w:rPr>
          <w:color w:val="000000" w:themeColor="text1"/>
        </w:rPr>
        <w:t>stage</w:t>
      </w:r>
      <w:r w:rsidR="003F4FD2" w:rsidRPr="006D4CB5">
        <w:rPr>
          <w:color w:val="000000" w:themeColor="text1"/>
        </w:rPr>
        <w:t xml:space="preserve"> strategy of aligning SNPs to the EUR reference panel and then confirming lead SNPs using a transancestry-weighted LD matrix</w:t>
      </w:r>
      <w:r w:rsidR="00F6494D" w:rsidRPr="006D4CB5">
        <w:rPr>
          <w:color w:val="000000" w:themeColor="text1"/>
        </w:rPr>
        <w:t xml:space="preserve"> ensures that lead SNPs identified in transancestry analyses are indeed LD-independent and is</w:t>
      </w:r>
      <w:r w:rsidR="003F4FD2" w:rsidRPr="006D4CB5">
        <w:rPr>
          <w:color w:val="000000" w:themeColor="text1"/>
        </w:rPr>
        <w:t xml:space="preserve"> more computationally efficient than estimating a full transancestry-weighted LD matrix for all SNPs. </w:t>
      </w:r>
    </w:p>
    <w:p w14:paraId="03A50739" w14:textId="3BEAB7DA" w:rsidR="00076353" w:rsidRPr="006D4CB5" w:rsidRDefault="00076353" w:rsidP="00076353">
      <w:pPr>
        <w:ind w:firstLine="720"/>
        <w:rPr>
          <w:b/>
          <w:bCs/>
          <w:color w:val="000000" w:themeColor="text1"/>
        </w:rPr>
      </w:pPr>
      <w:r w:rsidRPr="006D4CB5">
        <w:rPr>
          <w:color w:val="000000" w:themeColor="text1"/>
        </w:rPr>
        <w:t xml:space="preserve">Of the 111 potentially novel lead SNPs identified in the transancestry GWAS, 103 remained LD-independent of all other lead SNPs in the synthesized transancestry LD matrix. We report the maximum LD of each of these SNPs in </w:t>
      </w:r>
      <w:r w:rsidRPr="006D4CB5">
        <w:rPr>
          <w:b/>
          <w:bCs/>
          <w:color w:val="000000" w:themeColor="text1"/>
        </w:rPr>
        <w:t>Supplementary Table S1</w:t>
      </w:r>
      <w:r w:rsidR="00D94EA2" w:rsidRPr="006D4CB5">
        <w:rPr>
          <w:b/>
          <w:bCs/>
          <w:color w:val="000000" w:themeColor="text1"/>
        </w:rPr>
        <w:t>1</w:t>
      </w:r>
      <w:r w:rsidRPr="006D4CB5">
        <w:rPr>
          <w:color w:val="000000" w:themeColor="text1"/>
        </w:rPr>
        <w:t xml:space="preserve">. </w:t>
      </w:r>
    </w:p>
    <w:p w14:paraId="05A563D8" w14:textId="68CD528E" w:rsidR="003E72B9" w:rsidRPr="006D4CB5" w:rsidRDefault="00076353" w:rsidP="003E72B9">
      <w:pPr>
        <w:rPr>
          <w:color w:val="000000" w:themeColor="text1"/>
        </w:rPr>
      </w:pPr>
      <w:r w:rsidRPr="006D4CB5">
        <w:rPr>
          <w:color w:val="000000" w:themeColor="text1"/>
        </w:rPr>
        <w:tab/>
        <w:t xml:space="preserve">To further characterize the independent strength of association of lead SNPs identified in this ancestry-combined sample, we conducted a conditional and joint analysis using the </w:t>
      </w:r>
      <w:proofErr w:type="spellStart"/>
      <w:proofErr w:type="gramStart"/>
      <w:r w:rsidRPr="006D4CB5">
        <w:rPr>
          <w:color w:val="000000" w:themeColor="text1"/>
        </w:rPr>
        <w:t>multiSNP</w:t>
      </w:r>
      <w:proofErr w:type="spellEnd"/>
      <w:r w:rsidRPr="006D4CB5">
        <w:rPr>
          <w:color w:val="000000" w:themeColor="text1"/>
        </w:rPr>
        <w:t>(</w:t>
      </w:r>
      <w:proofErr w:type="gramEnd"/>
      <w:r w:rsidRPr="006D4CB5">
        <w:rPr>
          <w:color w:val="000000" w:themeColor="text1"/>
        </w:rPr>
        <w:t xml:space="preserve">) function in the </w:t>
      </w:r>
      <w:proofErr w:type="spellStart"/>
      <w:r w:rsidRPr="006D4CB5">
        <w:rPr>
          <w:color w:val="000000" w:themeColor="text1"/>
        </w:rPr>
        <w:t>GenomicSEM</w:t>
      </w:r>
      <w:proofErr w:type="spellEnd"/>
      <w:r w:rsidRPr="006D4CB5">
        <w:rPr>
          <w:color w:val="000000" w:themeColor="text1"/>
        </w:rPr>
        <w:t xml:space="preserve"> R package (Grotzinger et al., 2019). Specifically, we predicted each new lead SNP identified in the ancestry-combined sample jointly from each of the lead SNPs on that chromosome identified in any genome-wide analysis (EUR</w:t>
      </w:r>
      <w:r w:rsidR="000A1360">
        <w:rPr>
          <w:color w:val="000000" w:themeColor="text1"/>
        </w:rPr>
        <w:t>-like</w:t>
      </w:r>
      <w:r w:rsidRPr="006D4CB5">
        <w:rPr>
          <w:color w:val="000000" w:themeColor="text1"/>
        </w:rPr>
        <w:t>, AFR</w:t>
      </w:r>
      <w:r w:rsidR="000A1360">
        <w:rPr>
          <w:color w:val="000000" w:themeColor="text1"/>
        </w:rPr>
        <w:t>-like</w:t>
      </w:r>
      <w:r w:rsidRPr="006D4CB5">
        <w:rPr>
          <w:color w:val="000000" w:themeColor="text1"/>
        </w:rPr>
        <w:t xml:space="preserve">, and transancestry), using the transancestry LD matrix described above. Results of these analyses, presented in </w:t>
      </w:r>
      <w:r w:rsidRPr="006D4CB5">
        <w:rPr>
          <w:b/>
          <w:bCs/>
          <w:color w:val="000000" w:themeColor="text1"/>
        </w:rPr>
        <w:t>Supplementary Table S1</w:t>
      </w:r>
      <w:r w:rsidR="00723032" w:rsidRPr="006D4CB5">
        <w:rPr>
          <w:b/>
          <w:bCs/>
          <w:color w:val="000000" w:themeColor="text1"/>
        </w:rPr>
        <w:t>2</w:t>
      </w:r>
      <w:r w:rsidRPr="006D4CB5">
        <w:rPr>
          <w:color w:val="000000" w:themeColor="text1"/>
        </w:rPr>
        <w:t xml:space="preserve">, describe the extent to which each lead SNP is associated with each trait </w:t>
      </w:r>
      <w:r w:rsidRPr="006D4CB5">
        <w:rPr>
          <w:i/>
          <w:iCs/>
          <w:color w:val="000000" w:themeColor="text1"/>
        </w:rPr>
        <w:t>over and above</w:t>
      </w:r>
      <w:r w:rsidRPr="006D4CB5">
        <w:rPr>
          <w:color w:val="000000" w:themeColor="text1"/>
        </w:rPr>
        <w:t xml:space="preserve"> other lead SNPs on that chromosome. As expected, many SNPs with </w:t>
      </w:r>
      <w:r w:rsidRPr="006D4CB5">
        <w:rPr>
          <w:i/>
          <w:iCs/>
          <w:color w:val="000000" w:themeColor="text1"/>
        </w:rPr>
        <w:t>p</w:t>
      </w:r>
      <w:r w:rsidRPr="006D4CB5">
        <w:rPr>
          <w:color w:val="000000" w:themeColor="text1"/>
        </w:rPr>
        <w:t>-values just below the genome-wide significance threshold were no longer significant after controlling for other lead SNPs, even if those other lead SNPs are nearly LD-independent.</w:t>
      </w:r>
    </w:p>
    <w:p w14:paraId="18074465" w14:textId="77A9FE8B" w:rsidR="00FC2189" w:rsidRPr="006D4CB5" w:rsidRDefault="00076353" w:rsidP="00D51AE2">
      <w:pPr>
        <w:ind w:firstLine="720"/>
        <w:rPr>
          <w:color w:val="000000" w:themeColor="text1"/>
        </w:rPr>
      </w:pPr>
      <w:r w:rsidRPr="006D4CB5">
        <w:rPr>
          <w:color w:val="000000" w:themeColor="text1"/>
        </w:rPr>
        <w:t>In total, synthesizing across all GWAS results, we identified 1,2</w:t>
      </w:r>
      <w:r w:rsidR="004E4F12" w:rsidRPr="006D4CB5">
        <w:rPr>
          <w:color w:val="000000" w:themeColor="text1"/>
        </w:rPr>
        <w:t>60</w:t>
      </w:r>
      <w:r w:rsidRPr="006D4CB5">
        <w:rPr>
          <w:color w:val="000000" w:themeColor="text1"/>
        </w:rPr>
        <w:t xml:space="preserve"> lead SNPs. Breaking down by trait, we identified 258 lead SNPs for extraversion: 234 in EUR</w:t>
      </w:r>
      <w:r w:rsidR="000A1360">
        <w:rPr>
          <w:color w:val="000000" w:themeColor="text1"/>
        </w:rPr>
        <w:t>-like</w:t>
      </w:r>
      <w:r w:rsidRPr="006D4CB5">
        <w:rPr>
          <w:color w:val="000000" w:themeColor="text1"/>
        </w:rPr>
        <w:t xml:space="preserve"> analyses, 1 in AFR</w:t>
      </w:r>
      <w:r w:rsidR="000A1360">
        <w:rPr>
          <w:color w:val="000000" w:themeColor="text1"/>
        </w:rPr>
        <w:t>-like</w:t>
      </w:r>
      <w:r w:rsidRPr="006D4CB5">
        <w:rPr>
          <w:color w:val="000000" w:themeColor="text1"/>
        </w:rPr>
        <w:t xml:space="preserve"> analyses, and 23 additional lead SNPs in transancestry analyses, where 20 EUR</w:t>
      </w:r>
      <w:r w:rsidR="000A1360">
        <w:rPr>
          <w:color w:val="000000" w:themeColor="text1"/>
        </w:rPr>
        <w:t>-like</w:t>
      </w:r>
      <w:r w:rsidRPr="006D4CB5">
        <w:rPr>
          <w:color w:val="000000" w:themeColor="text1"/>
        </w:rPr>
        <w:t xml:space="preserve"> lead SNPs were no longer significant. We identified 39 lead SNPs for agreeableness: 33 in EUR</w:t>
      </w:r>
      <w:r w:rsidR="000A1360">
        <w:rPr>
          <w:color w:val="000000" w:themeColor="text1"/>
        </w:rPr>
        <w:t>-like</w:t>
      </w:r>
      <w:r w:rsidRPr="006D4CB5">
        <w:rPr>
          <w:color w:val="000000" w:themeColor="text1"/>
        </w:rPr>
        <w:t xml:space="preserve"> analyses (of which one was on the X chromosome), 1 in AFR</w:t>
      </w:r>
      <w:r w:rsidR="000A1360">
        <w:rPr>
          <w:color w:val="000000" w:themeColor="text1"/>
        </w:rPr>
        <w:t>-like</w:t>
      </w:r>
      <w:r w:rsidRPr="006D4CB5">
        <w:rPr>
          <w:color w:val="000000" w:themeColor="text1"/>
        </w:rPr>
        <w:t xml:space="preserve"> analyses, and 5 additional lead SNPs in transancestry analyses, where 3 EUR</w:t>
      </w:r>
      <w:r w:rsidR="000A1360">
        <w:rPr>
          <w:color w:val="000000" w:themeColor="text1"/>
        </w:rPr>
        <w:t>-like</w:t>
      </w:r>
      <w:r w:rsidRPr="006D4CB5">
        <w:rPr>
          <w:color w:val="000000" w:themeColor="text1"/>
        </w:rPr>
        <w:t xml:space="preserve"> lead SNPs were no longer significant. We identified 131 lead SNPs for conscientiousness: 104 in EUR</w:t>
      </w:r>
      <w:r w:rsidR="000A1360">
        <w:rPr>
          <w:color w:val="000000" w:themeColor="text1"/>
        </w:rPr>
        <w:t>-like</w:t>
      </w:r>
      <w:r w:rsidRPr="006D4CB5">
        <w:rPr>
          <w:color w:val="000000" w:themeColor="text1"/>
        </w:rPr>
        <w:t xml:space="preserve"> analyses and 27 additional lead SNPs in transancestry analyses, where 14 EUR</w:t>
      </w:r>
      <w:r w:rsidR="000A1360">
        <w:rPr>
          <w:color w:val="000000" w:themeColor="text1"/>
        </w:rPr>
        <w:t>-like</w:t>
      </w:r>
      <w:r w:rsidRPr="006D4CB5">
        <w:rPr>
          <w:color w:val="000000" w:themeColor="text1"/>
        </w:rPr>
        <w:t xml:space="preserve"> lead SNPs were no longer significant. We identified 70</w:t>
      </w:r>
      <w:r w:rsidR="004E4F12" w:rsidRPr="006D4CB5">
        <w:rPr>
          <w:color w:val="000000" w:themeColor="text1"/>
        </w:rPr>
        <w:t>6</w:t>
      </w:r>
      <w:r w:rsidRPr="006D4CB5">
        <w:rPr>
          <w:color w:val="000000" w:themeColor="text1"/>
        </w:rPr>
        <w:t xml:space="preserve"> lead SNPs for neuroticism: 6</w:t>
      </w:r>
      <w:r w:rsidR="004E4F12" w:rsidRPr="006D4CB5">
        <w:rPr>
          <w:color w:val="000000" w:themeColor="text1"/>
        </w:rPr>
        <w:t>70</w:t>
      </w:r>
      <w:r w:rsidRPr="006D4CB5">
        <w:rPr>
          <w:color w:val="000000" w:themeColor="text1"/>
        </w:rPr>
        <w:t xml:space="preserve"> in EUR</w:t>
      </w:r>
      <w:r w:rsidR="000A1360">
        <w:rPr>
          <w:color w:val="000000" w:themeColor="text1"/>
        </w:rPr>
        <w:t>-like</w:t>
      </w:r>
      <w:r w:rsidRPr="006D4CB5">
        <w:rPr>
          <w:color w:val="000000" w:themeColor="text1"/>
        </w:rPr>
        <w:t xml:space="preserve"> analyses </w:t>
      </w:r>
      <w:r w:rsidR="004E4F12" w:rsidRPr="006D4CB5">
        <w:rPr>
          <w:color w:val="000000" w:themeColor="text1"/>
        </w:rPr>
        <w:t xml:space="preserve">(of which three were on the X chromosome) </w:t>
      </w:r>
      <w:r w:rsidRPr="006D4CB5">
        <w:rPr>
          <w:color w:val="000000" w:themeColor="text1"/>
        </w:rPr>
        <w:t>and 36 additional lead SNPs in transancestry analyses, where 27 EUR</w:t>
      </w:r>
      <w:r w:rsidR="000A1360">
        <w:rPr>
          <w:color w:val="000000" w:themeColor="text1"/>
        </w:rPr>
        <w:t>-like</w:t>
      </w:r>
      <w:r w:rsidRPr="006D4CB5">
        <w:rPr>
          <w:color w:val="000000" w:themeColor="text1"/>
        </w:rPr>
        <w:t xml:space="preserve"> lead SNPs were no longer significant. </w:t>
      </w:r>
      <w:r w:rsidR="00FC2189" w:rsidRPr="006D4CB5">
        <w:rPr>
          <w:color w:val="000000" w:themeColor="text1"/>
        </w:rPr>
        <w:t>Finally, we identified 126 lead SNPs for openness to experience: 113 in EUR</w:t>
      </w:r>
      <w:r w:rsidR="000A1360">
        <w:rPr>
          <w:color w:val="000000" w:themeColor="text1"/>
        </w:rPr>
        <w:t>-like</w:t>
      </w:r>
      <w:r w:rsidR="00FC2189" w:rsidRPr="006D4CB5">
        <w:rPr>
          <w:color w:val="000000" w:themeColor="text1"/>
        </w:rPr>
        <w:t xml:space="preserve"> analyses, 1 in AFR</w:t>
      </w:r>
      <w:r w:rsidR="000A1360">
        <w:rPr>
          <w:color w:val="000000" w:themeColor="text1"/>
        </w:rPr>
        <w:t>-like</w:t>
      </w:r>
      <w:r w:rsidR="00FC2189" w:rsidRPr="006D4CB5">
        <w:rPr>
          <w:color w:val="000000" w:themeColor="text1"/>
        </w:rPr>
        <w:t xml:space="preserve"> analyses, and 12 additional lead SNPs in transancestry analyses, where 9 EUR</w:t>
      </w:r>
      <w:r w:rsidR="000A1360">
        <w:rPr>
          <w:color w:val="000000" w:themeColor="text1"/>
        </w:rPr>
        <w:t>-like</w:t>
      </w:r>
      <w:r w:rsidR="00FC2189" w:rsidRPr="006D4CB5">
        <w:rPr>
          <w:color w:val="000000" w:themeColor="text1"/>
        </w:rPr>
        <w:t xml:space="preserve"> lead SNPs were no longer significant. We note that </w:t>
      </w:r>
      <w:r w:rsidR="00FC2189" w:rsidRPr="006D4CB5">
        <w:rPr>
          <w:color w:val="000000" w:themeColor="text1"/>
        </w:rPr>
        <w:lastRenderedPageBreak/>
        <w:t>this relative frequency of lead SNPs that were significant in EUR</w:t>
      </w:r>
      <w:r w:rsidR="000A1360">
        <w:rPr>
          <w:color w:val="000000" w:themeColor="text1"/>
        </w:rPr>
        <w:t>-like</w:t>
      </w:r>
      <w:r w:rsidR="00FC2189" w:rsidRPr="006D4CB5">
        <w:rPr>
          <w:color w:val="000000" w:themeColor="text1"/>
        </w:rPr>
        <w:t xml:space="preserve"> analyses but not transancestry analyses </w:t>
      </w:r>
      <w:proofErr w:type="gramStart"/>
      <w:r w:rsidR="00FC2189" w:rsidRPr="006D4CB5">
        <w:rPr>
          <w:color w:val="000000" w:themeColor="text1"/>
        </w:rPr>
        <w:t>is</w:t>
      </w:r>
      <w:proofErr w:type="gramEnd"/>
      <w:r w:rsidR="00FC2189" w:rsidRPr="006D4CB5">
        <w:rPr>
          <w:color w:val="000000" w:themeColor="text1"/>
        </w:rPr>
        <w:t xml:space="preserve"> </w:t>
      </w:r>
      <w:proofErr w:type="gramStart"/>
      <w:r w:rsidR="00FC2189" w:rsidRPr="006D4CB5">
        <w:rPr>
          <w:color w:val="000000" w:themeColor="text1"/>
        </w:rPr>
        <w:t>similar to</w:t>
      </w:r>
      <w:proofErr w:type="gramEnd"/>
      <w:r w:rsidR="00FC2189" w:rsidRPr="006D4CB5">
        <w:rPr>
          <w:color w:val="000000" w:themeColor="text1"/>
        </w:rPr>
        <w:t xml:space="preserve"> that in Gupta and colleagues (2024). Each of the lead SNPs across these analyses are presented in </w:t>
      </w:r>
      <w:r w:rsidR="00FC2189" w:rsidRPr="006D4CB5">
        <w:rPr>
          <w:b/>
          <w:bCs/>
          <w:color w:val="000000" w:themeColor="text1"/>
        </w:rPr>
        <w:t>Supplementary Tables S</w:t>
      </w:r>
      <w:r w:rsidR="00723032" w:rsidRPr="006D4CB5">
        <w:rPr>
          <w:b/>
          <w:bCs/>
          <w:color w:val="000000" w:themeColor="text1"/>
        </w:rPr>
        <w:t>6</w:t>
      </w:r>
      <w:r w:rsidR="00FC2189" w:rsidRPr="006D4CB5">
        <w:rPr>
          <w:b/>
          <w:bCs/>
          <w:color w:val="000000" w:themeColor="text1"/>
        </w:rPr>
        <w:t>-S</w:t>
      </w:r>
      <w:r w:rsidR="00723032" w:rsidRPr="006D4CB5">
        <w:rPr>
          <w:b/>
          <w:bCs/>
          <w:color w:val="000000" w:themeColor="text1"/>
        </w:rPr>
        <w:t>10</w:t>
      </w:r>
      <w:r w:rsidR="00FC2189" w:rsidRPr="006D4CB5">
        <w:rPr>
          <w:color w:val="000000" w:themeColor="text1"/>
        </w:rPr>
        <w:t>.</w:t>
      </w:r>
    </w:p>
    <w:p w14:paraId="06271174" w14:textId="7CF2578A" w:rsidR="00076353" w:rsidRPr="006D4CB5" w:rsidRDefault="00FC2189" w:rsidP="00FC2189">
      <w:pPr>
        <w:ind w:firstLine="720"/>
        <w:rPr>
          <w:color w:val="000000" w:themeColor="text1"/>
          <w:lang w:eastAsia="ja-JP"/>
        </w:rPr>
      </w:pPr>
      <w:r w:rsidRPr="006D4CB5">
        <w:rPr>
          <w:color w:val="000000" w:themeColor="text1"/>
        </w:rPr>
        <w:t>These lead SNPs were identified under the criteria of being approximately independent (</w:t>
      </w:r>
      <w:r w:rsidRPr="006D4CB5">
        <w:rPr>
          <w:i/>
          <w:iCs/>
          <w:color w:val="000000" w:themeColor="text1"/>
        </w:rPr>
        <w:t>r</w:t>
      </w:r>
      <w:r w:rsidRPr="006D4CB5">
        <w:rPr>
          <w:color w:val="000000" w:themeColor="text1"/>
          <w:vertAlign w:val="superscript"/>
        </w:rPr>
        <w:t>2</w:t>
      </w:r>
      <w:r w:rsidRPr="006D4CB5">
        <w:rPr>
          <w:color w:val="000000" w:themeColor="text1"/>
        </w:rPr>
        <w:t xml:space="preserve"> &lt; .10) within a 250kb range on the chromosome. Using a more conservative definition, we also identified the number of SNPs that were approximately independent of all other lead SNPs on the chromosome, regardless of distance. Under these criteria, we identified 1,239 lead SNPs, meaning that 21 lead SNPs were in long-</w:t>
      </w:r>
      <w:r w:rsidR="004259C4" w:rsidRPr="006D4CB5">
        <w:rPr>
          <w:color w:val="000000" w:themeColor="text1"/>
        </w:rPr>
        <w:t xml:space="preserve">range </w:t>
      </w:r>
      <w:r w:rsidRPr="006D4CB5">
        <w:rPr>
          <w:color w:val="000000" w:themeColor="text1"/>
        </w:rPr>
        <w:t>LD with other lead SNPs</w:t>
      </w:r>
      <w:r w:rsidR="00716F7E" w:rsidRPr="006D4CB5">
        <w:rPr>
          <w:color w:val="000000" w:themeColor="text1"/>
        </w:rPr>
        <w:t xml:space="preserve"> (&gt;250kb distance and </w:t>
      </w:r>
      <w:r w:rsidR="00716F7E" w:rsidRPr="006D4CB5">
        <w:rPr>
          <w:i/>
          <w:iCs/>
          <w:color w:val="000000" w:themeColor="text1"/>
        </w:rPr>
        <w:t>r</w:t>
      </w:r>
      <w:r w:rsidR="00716F7E" w:rsidRPr="006D4CB5">
        <w:rPr>
          <w:color w:val="000000" w:themeColor="text1"/>
          <w:vertAlign w:val="superscript"/>
        </w:rPr>
        <w:t>2</w:t>
      </w:r>
      <w:r w:rsidR="00716F7E" w:rsidRPr="006D4CB5">
        <w:rPr>
          <w:color w:val="000000" w:themeColor="text1"/>
        </w:rPr>
        <w:t xml:space="preserve"> &gt; .10)</w:t>
      </w:r>
      <w:r w:rsidR="00554BAD" w:rsidRPr="006D4CB5">
        <w:rPr>
          <w:color w:val="000000" w:themeColor="text1"/>
        </w:rPr>
        <w:t xml:space="preserve">, including 5 classified as novel SNPs that were in long-distance LD with </w:t>
      </w:r>
      <w:proofErr w:type="gramStart"/>
      <w:r w:rsidR="00554BAD" w:rsidRPr="006D4CB5">
        <w:rPr>
          <w:color w:val="000000" w:themeColor="text1"/>
        </w:rPr>
        <w:t>previously-identified</w:t>
      </w:r>
      <w:proofErr w:type="gramEnd"/>
      <w:r w:rsidR="00554BAD" w:rsidRPr="006D4CB5">
        <w:rPr>
          <w:color w:val="000000" w:themeColor="text1"/>
        </w:rPr>
        <w:t xml:space="preserve"> lead SNPs </w:t>
      </w:r>
      <w:r w:rsidR="003E72B9" w:rsidRPr="006D4CB5">
        <w:rPr>
          <w:color w:val="000000" w:themeColor="text1"/>
        </w:rPr>
        <w:t>(</w:t>
      </w:r>
      <w:r w:rsidR="003E72B9" w:rsidRPr="006D4CB5">
        <w:rPr>
          <w:b/>
          <w:bCs/>
          <w:color w:val="000000" w:themeColor="text1"/>
        </w:rPr>
        <w:t>Supplementary Table S1</w:t>
      </w:r>
      <w:r w:rsidR="00723032" w:rsidRPr="006D4CB5">
        <w:rPr>
          <w:b/>
          <w:bCs/>
          <w:color w:val="000000" w:themeColor="text1"/>
        </w:rPr>
        <w:t>3</w:t>
      </w:r>
      <w:r w:rsidR="003E72B9" w:rsidRPr="006D4CB5">
        <w:rPr>
          <w:color w:val="000000" w:themeColor="text1"/>
        </w:rPr>
        <w:t>)</w:t>
      </w:r>
      <w:r w:rsidRPr="006D4CB5">
        <w:rPr>
          <w:color w:val="000000" w:themeColor="text1"/>
        </w:rPr>
        <w:t>. Fourteen of these 21 lead SNPs were associated with Neuroticism</w:t>
      </w:r>
      <w:r w:rsidR="00076353" w:rsidRPr="006D4CB5">
        <w:rPr>
          <w:color w:val="000000" w:themeColor="text1"/>
        </w:rPr>
        <w:t xml:space="preserve">, for example due to their location on </w:t>
      </w:r>
      <w:r w:rsidRPr="006D4CB5">
        <w:rPr>
          <w:color w:val="000000" w:themeColor="text1"/>
        </w:rPr>
        <w:t xml:space="preserve">the </w:t>
      </w:r>
      <w:r w:rsidR="00076353" w:rsidRPr="006D4CB5">
        <w:rPr>
          <w:color w:val="000000" w:themeColor="text1"/>
        </w:rPr>
        <w:t>inversion region</w:t>
      </w:r>
      <w:r w:rsidRPr="006D4CB5">
        <w:rPr>
          <w:color w:val="000000" w:themeColor="text1"/>
        </w:rPr>
        <w:t xml:space="preserve"> of chromosome 8</w:t>
      </w:r>
      <w:r w:rsidR="00076353" w:rsidRPr="006D4CB5">
        <w:rPr>
          <w:color w:val="000000" w:themeColor="text1"/>
        </w:rPr>
        <w:t>. This pattern has been found in previous neuroticism GWAS (</w:t>
      </w:r>
      <w:proofErr w:type="spellStart"/>
      <w:r w:rsidR="00076353" w:rsidRPr="006D4CB5">
        <w:rPr>
          <w:color w:val="000000" w:themeColor="text1"/>
        </w:rPr>
        <w:t>Okbay</w:t>
      </w:r>
      <w:proofErr w:type="spellEnd"/>
      <w:r w:rsidR="00076353" w:rsidRPr="006D4CB5">
        <w:rPr>
          <w:color w:val="000000" w:themeColor="text1"/>
        </w:rPr>
        <w:t xml:space="preserve"> et al., 2016). </w:t>
      </w:r>
      <w:r w:rsidRPr="006D4CB5">
        <w:rPr>
          <w:color w:val="000000" w:themeColor="text1"/>
        </w:rPr>
        <w:t xml:space="preserve">In </w:t>
      </w:r>
      <w:r w:rsidRPr="006D4CB5">
        <w:rPr>
          <w:b/>
          <w:bCs/>
          <w:color w:val="000000" w:themeColor="text1"/>
        </w:rPr>
        <w:t>Supplementary Tables S</w:t>
      </w:r>
      <w:r w:rsidR="00723032" w:rsidRPr="006D4CB5">
        <w:rPr>
          <w:b/>
          <w:bCs/>
          <w:color w:val="000000" w:themeColor="text1"/>
        </w:rPr>
        <w:t>6</w:t>
      </w:r>
      <w:r w:rsidRPr="006D4CB5">
        <w:rPr>
          <w:b/>
          <w:bCs/>
          <w:color w:val="000000" w:themeColor="text1"/>
        </w:rPr>
        <w:t>-S</w:t>
      </w:r>
      <w:r w:rsidR="00723032" w:rsidRPr="006D4CB5">
        <w:rPr>
          <w:b/>
          <w:bCs/>
          <w:color w:val="000000" w:themeColor="text1"/>
        </w:rPr>
        <w:t>10</w:t>
      </w:r>
      <w:r w:rsidR="003E72B9" w:rsidRPr="006D4CB5">
        <w:rPr>
          <w:color w:val="000000" w:themeColor="text1"/>
        </w:rPr>
        <w:t xml:space="preserve">, </w:t>
      </w:r>
      <w:r w:rsidRPr="006D4CB5">
        <w:rPr>
          <w:color w:val="000000" w:themeColor="text1"/>
        </w:rPr>
        <w:t xml:space="preserve">we </w:t>
      </w:r>
      <w:r w:rsidR="00F43374" w:rsidRPr="006D4CB5">
        <w:rPr>
          <w:color w:val="000000" w:themeColor="text1"/>
        </w:rPr>
        <w:t>flag each lead SNP that was in long-</w:t>
      </w:r>
      <w:r w:rsidR="004259C4" w:rsidRPr="006D4CB5">
        <w:rPr>
          <w:color w:val="000000" w:themeColor="text1"/>
        </w:rPr>
        <w:t xml:space="preserve">range </w:t>
      </w:r>
      <w:r w:rsidR="00F43374" w:rsidRPr="006D4CB5">
        <w:rPr>
          <w:color w:val="000000" w:themeColor="text1"/>
        </w:rPr>
        <w:t>LD</w:t>
      </w:r>
      <w:r w:rsidRPr="006D4CB5">
        <w:rPr>
          <w:color w:val="000000" w:themeColor="text1"/>
        </w:rPr>
        <w:t xml:space="preserve">. </w:t>
      </w:r>
    </w:p>
    <w:p w14:paraId="47776592" w14:textId="77777777" w:rsidR="00357608" w:rsidRPr="006D4CB5" w:rsidRDefault="00357608" w:rsidP="00357608">
      <w:pPr>
        <w:rPr>
          <w:b/>
          <w:bCs/>
          <w:color w:val="000000" w:themeColor="text1"/>
        </w:rPr>
      </w:pPr>
    </w:p>
    <w:p w14:paraId="7B1AE466" w14:textId="5191E725" w:rsidR="00357608" w:rsidRPr="006D4CB5" w:rsidRDefault="00357608" w:rsidP="002C7B9D">
      <w:pPr>
        <w:rPr>
          <w:color w:val="000000" w:themeColor="text1"/>
          <w:u w:val="single"/>
        </w:rPr>
      </w:pPr>
      <w:r w:rsidRPr="006D4CB5">
        <w:rPr>
          <w:color w:val="000000" w:themeColor="text1"/>
          <w:u w:val="single"/>
        </w:rPr>
        <w:t>2.8 M</w:t>
      </w:r>
      <w:r w:rsidR="008013EB" w:rsidRPr="006D4CB5">
        <w:rPr>
          <w:color w:val="000000" w:themeColor="text1"/>
          <w:u w:val="single"/>
        </w:rPr>
        <w:t>ulti</w:t>
      </w:r>
      <w:r w:rsidRPr="006D4CB5">
        <w:rPr>
          <w:color w:val="000000" w:themeColor="text1"/>
          <w:u w:val="single"/>
        </w:rPr>
        <w:t xml:space="preserve"> Ancestry Meta Analyses</w:t>
      </w:r>
    </w:p>
    <w:p w14:paraId="43EF4681" w14:textId="771C6DC6" w:rsidR="002C7B9D" w:rsidRPr="006D4CB5" w:rsidRDefault="00357608" w:rsidP="002C7B9D">
      <w:pPr>
        <w:rPr>
          <w:color w:val="000000" w:themeColor="text1"/>
        </w:rPr>
      </w:pPr>
      <w:r w:rsidRPr="006D4CB5">
        <w:rPr>
          <w:color w:val="000000" w:themeColor="text1"/>
        </w:rPr>
        <w:tab/>
        <w:t xml:space="preserve">We also synthesized </w:t>
      </w:r>
      <w:r w:rsidR="000A1360">
        <w:rPr>
          <w:color w:val="000000" w:themeColor="text1"/>
        </w:rPr>
        <w:t>transancestry</w:t>
      </w:r>
      <w:r w:rsidRPr="006D4CB5">
        <w:rPr>
          <w:color w:val="000000" w:themeColor="text1"/>
        </w:rPr>
        <w:t xml:space="preserve"> participant data using M</w:t>
      </w:r>
      <w:r w:rsidR="008013EB" w:rsidRPr="006D4CB5">
        <w:rPr>
          <w:color w:val="000000" w:themeColor="text1"/>
        </w:rPr>
        <w:t>ulti</w:t>
      </w:r>
      <w:r w:rsidRPr="006D4CB5">
        <w:rPr>
          <w:color w:val="000000" w:themeColor="text1"/>
        </w:rPr>
        <w:t xml:space="preserve"> Ancestry Meta Analysis (MAMA; Turley et al., 2021). </w:t>
      </w:r>
      <w:r w:rsidR="00CB48BE" w:rsidRPr="006D4CB5">
        <w:rPr>
          <w:color w:val="000000" w:themeColor="text1"/>
        </w:rPr>
        <w:t>For</w:t>
      </w:r>
      <w:r w:rsidRPr="006D4CB5">
        <w:rPr>
          <w:color w:val="000000" w:themeColor="text1"/>
        </w:rPr>
        <w:t xml:space="preserve"> these analyses, we </w:t>
      </w:r>
      <w:r w:rsidR="00CB48BE" w:rsidRPr="006D4CB5">
        <w:rPr>
          <w:color w:val="000000" w:themeColor="text1"/>
        </w:rPr>
        <w:t>aligned SNPs to the</w:t>
      </w:r>
      <w:r w:rsidRPr="006D4CB5">
        <w:rPr>
          <w:color w:val="000000" w:themeColor="text1"/>
        </w:rPr>
        <w:t xml:space="preserve"> 1000 Genomes 3v5 EUR and AFR LD matrices,</w:t>
      </w:r>
      <w:r w:rsidR="00CB48BE" w:rsidRPr="006D4CB5">
        <w:rPr>
          <w:color w:val="000000" w:themeColor="text1"/>
        </w:rPr>
        <w:t xml:space="preserve"> respectively,</w:t>
      </w:r>
      <w:r w:rsidRPr="006D4CB5">
        <w:rPr>
          <w:color w:val="000000" w:themeColor="text1"/>
        </w:rPr>
        <w:t xml:space="preserve"> and we set the genetic correlation between participants </w:t>
      </w:r>
      <w:r w:rsidR="000A1360">
        <w:rPr>
          <w:color w:val="000000" w:themeColor="text1"/>
        </w:rPr>
        <w:t xml:space="preserve">with EUR-like and AFR-like genomes </w:t>
      </w:r>
      <w:r w:rsidRPr="006D4CB5">
        <w:rPr>
          <w:color w:val="000000" w:themeColor="text1"/>
        </w:rPr>
        <w:t>to 1</w:t>
      </w:r>
      <w:r w:rsidR="003B6D1A" w:rsidRPr="006D4CB5">
        <w:rPr>
          <w:color w:val="000000" w:themeColor="text1"/>
        </w:rPr>
        <w:t xml:space="preserve"> and the h</w:t>
      </w:r>
      <w:r w:rsidR="003B6D1A" w:rsidRPr="006D4CB5">
        <w:rPr>
          <w:color w:val="000000" w:themeColor="text1"/>
          <w:vertAlign w:val="superscript"/>
        </w:rPr>
        <w:t>2</w:t>
      </w:r>
      <w:r w:rsidR="003B6D1A" w:rsidRPr="006D4CB5">
        <w:rPr>
          <w:color w:val="000000" w:themeColor="text1"/>
          <w:vertAlign w:val="subscript"/>
        </w:rPr>
        <w:t>SNP</w:t>
      </w:r>
      <w:r w:rsidR="003B6D1A" w:rsidRPr="006D4CB5">
        <w:rPr>
          <w:color w:val="000000" w:themeColor="text1"/>
        </w:rPr>
        <w:t xml:space="preserve"> to equality</w:t>
      </w:r>
      <w:r w:rsidRPr="006D4CB5">
        <w:rPr>
          <w:color w:val="000000" w:themeColor="text1"/>
        </w:rPr>
        <w:t xml:space="preserve">. In comparison to IVW, which produces </w:t>
      </w:r>
      <w:r w:rsidR="00CB48BE" w:rsidRPr="006D4CB5">
        <w:rPr>
          <w:color w:val="000000" w:themeColor="text1"/>
        </w:rPr>
        <w:t>a single</w:t>
      </w:r>
      <w:r w:rsidRPr="006D4CB5">
        <w:rPr>
          <w:color w:val="000000" w:themeColor="text1"/>
        </w:rPr>
        <w:t xml:space="preserve"> set of transancestry summary statistics, MAMA </w:t>
      </w:r>
      <w:r w:rsidR="002C7B9D" w:rsidRPr="006D4CB5">
        <w:rPr>
          <w:color w:val="000000" w:themeColor="text1"/>
        </w:rPr>
        <w:t xml:space="preserve">across two ancestry groups </w:t>
      </w:r>
      <w:r w:rsidRPr="006D4CB5">
        <w:rPr>
          <w:color w:val="000000" w:themeColor="text1"/>
        </w:rPr>
        <w:t xml:space="preserve">produces </w:t>
      </w:r>
      <w:r w:rsidR="002C7B9D" w:rsidRPr="006D4CB5">
        <w:rPr>
          <w:color w:val="000000" w:themeColor="text1"/>
        </w:rPr>
        <w:t xml:space="preserve">two </w:t>
      </w:r>
      <w:r w:rsidRPr="006D4CB5">
        <w:rPr>
          <w:color w:val="000000" w:themeColor="text1"/>
        </w:rPr>
        <w:t>sets of summary statistics</w:t>
      </w:r>
      <w:r w:rsidR="002C7B9D" w:rsidRPr="006D4CB5">
        <w:rPr>
          <w:color w:val="000000" w:themeColor="text1"/>
        </w:rPr>
        <w:t xml:space="preserve">, each group </w:t>
      </w:r>
      <w:r w:rsidRPr="006D4CB5">
        <w:rPr>
          <w:color w:val="000000" w:themeColor="text1"/>
        </w:rPr>
        <w:t xml:space="preserve">“boosted” by summary statistics from </w:t>
      </w:r>
      <w:r w:rsidR="002C7B9D" w:rsidRPr="006D4CB5">
        <w:rPr>
          <w:color w:val="000000" w:themeColor="text1"/>
        </w:rPr>
        <w:t>the other. We term these here</w:t>
      </w:r>
      <w:r w:rsidRPr="006D4CB5">
        <w:rPr>
          <w:color w:val="000000" w:themeColor="text1"/>
        </w:rPr>
        <w:t xml:space="preserve"> EUR</w:t>
      </w:r>
      <w:r w:rsidR="000A1360">
        <w:rPr>
          <w:color w:val="000000" w:themeColor="text1"/>
        </w:rPr>
        <w:t>-like</w:t>
      </w:r>
      <w:r w:rsidRPr="006D4CB5">
        <w:rPr>
          <w:color w:val="000000" w:themeColor="text1"/>
        </w:rPr>
        <w:t xml:space="preserve"> MAMA and AFR</w:t>
      </w:r>
      <w:r w:rsidR="000A1360">
        <w:rPr>
          <w:color w:val="000000" w:themeColor="text1"/>
        </w:rPr>
        <w:t>-like</w:t>
      </w:r>
      <w:r w:rsidRPr="006D4CB5">
        <w:rPr>
          <w:color w:val="000000" w:themeColor="text1"/>
        </w:rPr>
        <w:t xml:space="preserve"> MAMA.</w:t>
      </w:r>
      <w:r w:rsidR="00CB48BE" w:rsidRPr="006D4CB5">
        <w:rPr>
          <w:color w:val="000000" w:themeColor="text1"/>
        </w:rPr>
        <w:t xml:space="preserve"> </w:t>
      </w:r>
      <w:r w:rsidR="008433D1" w:rsidRPr="006D4CB5">
        <w:rPr>
          <w:color w:val="000000" w:themeColor="text1"/>
        </w:rPr>
        <w:t xml:space="preserve">Because </w:t>
      </w:r>
      <w:r w:rsidR="00BA28A4" w:rsidRPr="006D4CB5">
        <w:rPr>
          <w:color w:val="000000" w:themeColor="text1"/>
        </w:rPr>
        <w:t>~</w:t>
      </w:r>
      <w:r w:rsidR="008433D1" w:rsidRPr="006D4CB5">
        <w:rPr>
          <w:color w:val="000000" w:themeColor="text1"/>
        </w:rPr>
        <w:t>95% of our GWAS discovery sample was participants</w:t>
      </w:r>
      <w:r w:rsidR="000A1360">
        <w:rPr>
          <w:color w:val="000000" w:themeColor="text1"/>
        </w:rPr>
        <w:t xml:space="preserve"> with EUR-like genomes</w:t>
      </w:r>
      <w:r w:rsidR="008433D1" w:rsidRPr="006D4CB5">
        <w:rPr>
          <w:color w:val="000000" w:themeColor="text1"/>
        </w:rPr>
        <w:t>, the closest point of comparison is therefore with EUR</w:t>
      </w:r>
      <w:r w:rsidR="000A1360">
        <w:rPr>
          <w:color w:val="000000" w:themeColor="text1"/>
        </w:rPr>
        <w:t>-like</w:t>
      </w:r>
      <w:r w:rsidR="008433D1" w:rsidRPr="006D4CB5">
        <w:rPr>
          <w:color w:val="000000" w:themeColor="text1"/>
        </w:rPr>
        <w:t xml:space="preserve"> MAMA. Another difference between the two methods is that</w:t>
      </w:r>
      <w:r w:rsidR="00F43374" w:rsidRPr="006D4CB5">
        <w:rPr>
          <w:color w:val="000000" w:themeColor="text1"/>
        </w:rPr>
        <w:t xml:space="preserve"> </w:t>
      </w:r>
      <w:r w:rsidR="002C7B9D" w:rsidRPr="006D4CB5">
        <w:rPr>
          <w:color w:val="000000" w:themeColor="text1"/>
        </w:rPr>
        <w:t>IVW incorporates all SNPs in the either the AFR</w:t>
      </w:r>
      <w:r w:rsidR="000A1360">
        <w:rPr>
          <w:color w:val="000000" w:themeColor="text1"/>
        </w:rPr>
        <w:t>-like</w:t>
      </w:r>
      <w:r w:rsidR="002C7B9D" w:rsidRPr="006D4CB5">
        <w:rPr>
          <w:color w:val="000000" w:themeColor="text1"/>
        </w:rPr>
        <w:t xml:space="preserve"> or EUR</w:t>
      </w:r>
      <w:r w:rsidR="000A1360">
        <w:rPr>
          <w:color w:val="000000" w:themeColor="text1"/>
        </w:rPr>
        <w:t>-like</w:t>
      </w:r>
      <w:r w:rsidR="002C7B9D" w:rsidRPr="006D4CB5">
        <w:rPr>
          <w:color w:val="000000" w:themeColor="text1"/>
        </w:rPr>
        <w:t xml:space="preserve"> meta-analyses (approximately 10 million per trait), whereas MAMA incorporates all SNPS in the union of the two meta-analyses (approximately 4.5 million per trait). </w:t>
      </w:r>
    </w:p>
    <w:p w14:paraId="7C17A846" w14:textId="6E0C30DC" w:rsidR="002C7B9D" w:rsidRPr="006D4CB5" w:rsidRDefault="00357608" w:rsidP="002C7B9D">
      <w:pPr>
        <w:ind w:firstLine="720"/>
        <w:rPr>
          <w:color w:val="000000" w:themeColor="text1"/>
        </w:rPr>
      </w:pPr>
      <w:r w:rsidRPr="006D4CB5">
        <w:rPr>
          <w:color w:val="000000" w:themeColor="text1"/>
        </w:rPr>
        <w:t xml:space="preserve">In </w:t>
      </w:r>
      <w:r w:rsidRPr="006D4CB5">
        <w:rPr>
          <w:b/>
          <w:bCs/>
          <w:color w:val="000000" w:themeColor="text1"/>
        </w:rPr>
        <w:t xml:space="preserve">Supplementary Table </w:t>
      </w:r>
      <w:r w:rsidR="00005897" w:rsidRPr="006D4CB5">
        <w:rPr>
          <w:b/>
          <w:bCs/>
          <w:color w:val="000000" w:themeColor="text1"/>
        </w:rPr>
        <w:t xml:space="preserve">S17 </w:t>
      </w:r>
      <w:r w:rsidRPr="006D4CB5">
        <w:rPr>
          <w:color w:val="000000" w:themeColor="text1"/>
        </w:rPr>
        <w:t xml:space="preserve">we </w:t>
      </w:r>
      <w:r w:rsidR="00F43374" w:rsidRPr="006D4CB5">
        <w:rPr>
          <w:color w:val="000000" w:themeColor="text1"/>
        </w:rPr>
        <w:t xml:space="preserve">display results of MAMA analyses and </w:t>
      </w:r>
      <w:r w:rsidRPr="006D4CB5">
        <w:rPr>
          <w:color w:val="000000" w:themeColor="text1"/>
        </w:rPr>
        <w:t xml:space="preserve">compare results </w:t>
      </w:r>
      <w:r w:rsidR="00F43374" w:rsidRPr="006D4CB5">
        <w:rPr>
          <w:color w:val="000000" w:themeColor="text1"/>
        </w:rPr>
        <w:t>with IVW methods</w:t>
      </w:r>
      <w:r w:rsidRPr="006D4CB5">
        <w:rPr>
          <w:color w:val="000000" w:themeColor="text1"/>
        </w:rPr>
        <w:t xml:space="preserve">. </w:t>
      </w:r>
      <w:r w:rsidR="002C7B9D" w:rsidRPr="006D4CB5">
        <w:rPr>
          <w:color w:val="000000" w:themeColor="text1"/>
        </w:rPr>
        <w:t>EUR</w:t>
      </w:r>
      <w:r w:rsidR="000A1360">
        <w:rPr>
          <w:color w:val="000000" w:themeColor="text1"/>
        </w:rPr>
        <w:t>-like</w:t>
      </w:r>
      <w:r w:rsidR="002C7B9D" w:rsidRPr="006D4CB5">
        <w:rPr>
          <w:color w:val="000000" w:themeColor="text1"/>
        </w:rPr>
        <w:t xml:space="preserve"> MAMA results were extremely similar to </w:t>
      </w:r>
      <w:r w:rsidR="00F43374" w:rsidRPr="006D4CB5">
        <w:rPr>
          <w:color w:val="000000" w:themeColor="text1"/>
        </w:rPr>
        <w:t xml:space="preserve">transancestry </w:t>
      </w:r>
      <w:r w:rsidR="002C7B9D" w:rsidRPr="006D4CB5">
        <w:rPr>
          <w:color w:val="000000" w:themeColor="text1"/>
        </w:rPr>
        <w:t>IVW analyses</w:t>
      </w:r>
      <w:r w:rsidR="00CB48BE" w:rsidRPr="006D4CB5">
        <w:rPr>
          <w:color w:val="000000" w:themeColor="text1"/>
        </w:rPr>
        <w:t>, when comparing the 4.5 million SNPs included in both sets of analyses</w:t>
      </w:r>
      <w:r w:rsidR="002C7B9D" w:rsidRPr="006D4CB5">
        <w:rPr>
          <w:color w:val="000000" w:themeColor="text1"/>
        </w:rPr>
        <w:t>.</w:t>
      </w:r>
      <w:r w:rsidRPr="006D4CB5">
        <w:rPr>
          <w:color w:val="000000" w:themeColor="text1"/>
        </w:rPr>
        <w:t xml:space="preserve"> </w:t>
      </w:r>
      <w:r w:rsidR="002C7B9D" w:rsidRPr="006D4CB5">
        <w:rPr>
          <w:color w:val="000000" w:themeColor="text1"/>
        </w:rPr>
        <w:t>T</w:t>
      </w:r>
      <w:r w:rsidRPr="006D4CB5">
        <w:rPr>
          <w:color w:val="000000" w:themeColor="text1"/>
        </w:rPr>
        <w:t xml:space="preserve">he mean association chi-square was </w:t>
      </w:r>
      <w:r w:rsidR="002C7B9D" w:rsidRPr="006D4CB5">
        <w:rPr>
          <w:color w:val="000000" w:themeColor="text1"/>
        </w:rPr>
        <w:t>near-equivalent</w:t>
      </w:r>
      <w:r w:rsidRPr="006D4CB5">
        <w:rPr>
          <w:color w:val="000000" w:themeColor="text1"/>
        </w:rPr>
        <w:t xml:space="preserve"> in EUR</w:t>
      </w:r>
      <w:r w:rsidR="000A1360">
        <w:rPr>
          <w:color w:val="000000" w:themeColor="text1"/>
        </w:rPr>
        <w:t>-like</w:t>
      </w:r>
      <w:r w:rsidRPr="006D4CB5">
        <w:rPr>
          <w:color w:val="000000" w:themeColor="text1"/>
        </w:rPr>
        <w:t xml:space="preserve"> MAMA analyses (1.87) </w:t>
      </w:r>
      <w:r w:rsidR="00CB48BE" w:rsidRPr="006D4CB5">
        <w:rPr>
          <w:color w:val="000000" w:themeColor="text1"/>
        </w:rPr>
        <w:t>and</w:t>
      </w:r>
      <w:r w:rsidRPr="006D4CB5">
        <w:rPr>
          <w:color w:val="000000" w:themeColor="text1"/>
        </w:rPr>
        <w:t xml:space="preserve"> </w:t>
      </w:r>
      <w:r w:rsidR="00F43374" w:rsidRPr="006D4CB5">
        <w:rPr>
          <w:color w:val="000000" w:themeColor="text1"/>
        </w:rPr>
        <w:t xml:space="preserve">transancestry </w:t>
      </w:r>
      <w:r w:rsidRPr="006D4CB5">
        <w:rPr>
          <w:color w:val="000000" w:themeColor="text1"/>
        </w:rPr>
        <w:t xml:space="preserve">IVW analyses (1.85). </w:t>
      </w:r>
      <w:r w:rsidRPr="006D4CB5">
        <w:rPr>
          <w:bCs/>
          <w:color w:val="000000" w:themeColor="text1"/>
        </w:rPr>
        <w:t>EUR</w:t>
      </w:r>
      <w:r w:rsidR="000A1360">
        <w:rPr>
          <w:color w:val="000000" w:themeColor="text1"/>
        </w:rPr>
        <w:t>-like</w:t>
      </w:r>
      <w:r w:rsidRPr="006D4CB5">
        <w:rPr>
          <w:bCs/>
          <w:color w:val="000000" w:themeColor="text1"/>
        </w:rPr>
        <w:t xml:space="preserve"> MAMA SNP z-statistics correlate</w:t>
      </w:r>
      <w:r w:rsidR="002C7B9D" w:rsidRPr="006D4CB5">
        <w:rPr>
          <w:bCs/>
          <w:color w:val="000000" w:themeColor="text1"/>
        </w:rPr>
        <w:t>d</w:t>
      </w:r>
      <w:r w:rsidRPr="006D4CB5">
        <w:rPr>
          <w:bCs/>
          <w:color w:val="000000" w:themeColor="text1"/>
        </w:rPr>
        <w:t xml:space="preserve"> </w:t>
      </w:r>
      <w:r w:rsidRPr="006D4CB5">
        <w:rPr>
          <w:bCs/>
          <w:i/>
          <w:iCs/>
          <w:color w:val="000000" w:themeColor="text1"/>
        </w:rPr>
        <w:t>r</w:t>
      </w:r>
      <w:r w:rsidRPr="006D4CB5">
        <w:rPr>
          <w:bCs/>
          <w:color w:val="000000" w:themeColor="text1"/>
        </w:rPr>
        <w:t xml:space="preserve"> = .98 on average with transancestry IVW SNP z-statistics. </w:t>
      </w:r>
      <w:r w:rsidRPr="006D4CB5">
        <w:rPr>
          <w:color w:val="000000" w:themeColor="text1"/>
        </w:rPr>
        <w:t>Finally, regressing EUR</w:t>
      </w:r>
      <w:r w:rsidR="000A1360">
        <w:rPr>
          <w:color w:val="000000" w:themeColor="text1"/>
        </w:rPr>
        <w:t>-like</w:t>
      </w:r>
      <w:r w:rsidRPr="006D4CB5">
        <w:rPr>
          <w:color w:val="000000" w:themeColor="text1"/>
        </w:rPr>
        <w:t xml:space="preserve"> MAMA SNP Z-statistics on transancestry IVW Z-statistics, the slope was extremely close to 1 (mean slope = .98</w:t>
      </w:r>
      <w:proofErr w:type="gramStart"/>
      <w:r w:rsidRPr="006D4CB5">
        <w:rPr>
          <w:color w:val="000000" w:themeColor="text1"/>
        </w:rPr>
        <w:t>)</w:t>
      </w:r>
      <w:proofErr w:type="gramEnd"/>
      <w:r w:rsidRPr="006D4CB5">
        <w:rPr>
          <w:color w:val="000000" w:themeColor="text1"/>
        </w:rPr>
        <w:t xml:space="preserve"> and the intercept was near-null (mean intercept = .001), indicating that estimates of SNP effects were nearly identical across methods</w:t>
      </w:r>
      <w:r w:rsidR="00EF3AE6" w:rsidRPr="006D4CB5">
        <w:rPr>
          <w:color w:val="000000" w:themeColor="text1"/>
        </w:rPr>
        <w:t xml:space="preserve"> </w:t>
      </w:r>
      <w:r w:rsidR="00EF3AE6" w:rsidRPr="006D4CB5">
        <w:rPr>
          <w:bCs/>
          <w:color w:val="000000" w:themeColor="text1"/>
        </w:rPr>
        <w:t>(</w:t>
      </w:r>
      <w:r w:rsidR="00EF3AE6" w:rsidRPr="006D4CB5">
        <w:rPr>
          <w:b/>
          <w:color w:val="000000" w:themeColor="text1"/>
        </w:rPr>
        <w:t>Extended Data Figure 1</w:t>
      </w:r>
      <w:r w:rsidR="00EF3AE6" w:rsidRPr="006D4CB5">
        <w:rPr>
          <w:bCs/>
          <w:color w:val="000000" w:themeColor="text1"/>
        </w:rPr>
        <w:t>)</w:t>
      </w:r>
      <w:r w:rsidRPr="006D4CB5">
        <w:rPr>
          <w:color w:val="000000" w:themeColor="text1"/>
        </w:rPr>
        <w:t>.</w:t>
      </w:r>
    </w:p>
    <w:p w14:paraId="23C0714D" w14:textId="58ABB3F2" w:rsidR="00076353" w:rsidRPr="006D4CB5" w:rsidRDefault="003E341D" w:rsidP="00F43374">
      <w:pPr>
        <w:spacing w:after="160"/>
        <w:ind w:firstLine="720"/>
        <w:rPr>
          <w:color w:val="000000" w:themeColor="text1"/>
        </w:rPr>
      </w:pPr>
      <w:r w:rsidRPr="006D4CB5">
        <w:rPr>
          <w:color w:val="000000" w:themeColor="text1"/>
        </w:rPr>
        <w:t xml:space="preserve">MAMA analyses </w:t>
      </w:r>
      <w:r w:rsidR="00F43374" w:rsidRPr="006D4CB5">
        <w:rPr>
          <w:color w:val="000000" w:themeColor="text1"/>
        </w:rPr>
        <w:t>produced</w:t>
      </w:r>
      <w:r w:rsidRPr="006D4CB5">
        <w:rPr>
          <w:color w:val="000000" w:themeColor="text1"/>
        </w:rPr>
        <w:t xml:space="preserve"> some</w:t>
      </w:r>
      <w:r w:rsidR="00F43374" w:rsidRPr="006D4CB5">
        <w:rPr>
          <w:color w:val="000000" w:themeColor="text1"/>
        </w:rPr>
        <w:t xml:space="preserve"> additional</w:t>
      </w:r>
      <w:r w:rsidRPr="006D4CB5">
        <w:rPr>
          <w:color w:val="000000" w:themeColor="text1"/>
        </w:rPr>
        <w:t xml:space="preserve"> unique findings over </w:t>
      </w:r>
      <w:r w:rsidR="00F43374" w:rsidRPr="006D4CB5">
        <w:rPr>
          <w:color w:val="000000" w:themeColor="text1"/>
        </w:rPr>
        <w:t xml:space="preserve">transancestry </w:t>
      </w:r>
      <w:r w:rsidRPr="006D4CB5">
        <w:rPr>
          <w:color w:val="000000" w:themeColor="text1"/>
        </w:rPr>
        <w:t>IVW analyses</w:t>
      </w:r>
      <w:r w:rsidR="002C7B9D" w:rsidRPr="006D4CB5">
        <w:rPr>
          <w:color w:val="000000" w:themeColor="text1"/>
        </w:rPr>
        <w:t>. Though the set of lead SNPs was highly similar across the two analyses, EUR</w:t>
      </w:r>
      <w:r w:rsidR="000A1360">
        <w:rPr>
          <w:color w:val="000000" w:themeColor="text1"/>
        </w:rPr>
        <w:t>-like</w:t>
      </w:r>
      <w:r w:rsidR="002C7B9D" w:rsidRPr="006D4CB5">
        <w:rPr>
          <w:color w:val="000000" w:themeColor="text1"/>
        </w:rPr>
        <w:t xml:space="preserve"> MAMA analyses produced seven additional lead SNPs for openness that were not in LD with previously-identified lead SNPs in either transancestry IVW, </w:t>
      </w:r>
      <w:r w:rsidR="00F43374" w:rsidRPr="006D4CB5">
        <w:rPr>
          <w:color w:val="000000" w:themeColor="text1"/>
        </w:rPr>
        <w:t xml:space="preserve">or ancestry-stratified </w:t>
      </w:r>
      <w:r w:rsidR="002C7B9D" w:rsidRPr="006D4CB5">
        <w:rPr>
          <w:color w:val="000000" w:themeColor="text1"/>
        </w:rPr>
        <w:t>EUR</w:t>
      </w:r>
      <w:r w:rsidR="000A1360">
        <w:rPr>
          <w:color w:val="000000" w:themeColor="text1"/>
        </w:rPr>
        <w:t>-like</w:t>
      </w:r>
      <w:r w:rsidR="002C7B9D" w:rsidRPr="006D4CB5">
        <w:rPr>
          <w:color w:val="000000" w:themeColor="text1"/>
        </w:rPr>
        <w:t xml:space="preserve"> or AFR</w:t>
      </w:r>
      <w:r w:rsidR="000A1360">
        <w:rPr>
          <w:color w:val="000000" w:themeColor="text1"/>
        </w:rPr>
        <w:t>-like</w:t>
      </w:r>
      <w:r w:rsidR="002C7B9D" w:rsidRPr="006D4CB5">
        <w:rPr>
          <w:color w:val="000000" w:themeColor="text1"/>
        </w:rPr>
        <w:t xml:space="preserve"> analyses</w:t>
      </w:r>
      <w:r w:rsidR="00CB48BE" w:rsidRPr="006D4CB5">
        <w:rPr>
          <w:color w:val="000000" w:themeColor="text1"/>
        </w:rPr>
        <w:t xml:space="preserve"> (We do not count these towards the total tally of lead SNP</w:t>
      </w:r>
      <w:r w:rsidR="00E0419F" w:rsidRPr="006D4CB5">
        <w:rPr>
          <w:color w:val="000000" w:themeColor="text1"/>
        </w:rPr>
        <w:t>s</w:t>
      </w:r>
      <w:r w:rsidR="006F1FA6" w:rsidRPr="006D4CB5">
        <w:rPr>
          <w:color w:val="000000" w:themeColor="text1"/>
        </w:rPr>
        <w:t xml:space="preserve"> reported in the main text</w:t>
      </w:r>
      <w:r w:rsidR="00CB48BE" w:rsidRPr="006D4CB5">
        <w:rPr>
          <w:color w:val="000000" w:themeColor="text1"/>
        </w:rPr>
        <w:t xml:space="preserve">, but we do note them in </w:t>
      </w:r>
      <w:r w:rsidR="00CB48BE" w:rsidRPr="006D4CB5">
        <w:rPr>
          <w:b/>
          <w:bCs/>
          <w:color w:val="000000" w:themeColor="text1"/>
        </w:rPr>
        <w:t xml:space="preserve">Supplementary Table </w:t>
      </w:r>
      <w:r w:rsidR="00723032" w:rsidRPr="006D4CB5">
        <w:rPr>
          <w:b/>
          <w:bCs/>
          <w:color w:val="000000" w:themeColor="text1"/>
        </w:rPr>
        <w:t>10</w:t>
      </w:r>
      <w:r w:rsidR="00CB48BE" w:rsidRPr="006D4CB5">
        <w:rPr>
          <w:color w:val="000000" w:themeColor="text1"/>
        </w:rPr>
        <w:t>)</w:t>
      </w:r>
      <w:r w:rsidR="002C7B9D" w:rsidRPr="006D4CB5">
        <w:rPr>
          <w:color w:val="000000" w:themeColor="text1"/>
        </w:rPr>
        <w:t xml:space="preserve">. </w:t>
      </w:r>
      <w:r w:rsidR="002C7B9D" w:rsidRPr="006D4CB5">
        <w:rPr>
          <w:bCs/>
          <w:color w:val="000000" w:themeColor="text1"/>
        </w:rPr>
        <w:t xml:space="preserve">These SNPs </w:t>
      </w:r>
      <w:r w:rsidR="00CB48BE" w:rsidRPr="006D4CB5">
        <w:rPr>
          <w:bCs/>
          <w:color w:val="000000" w:themeColor="text1"/>
        </w:rPr>
        <w:t xml:space="preserve">typically had </w:t>
      </w:r>
      <w:r w:rsidR="00CB48BE" w:rsidRPr="006D4CB5">
        <w:rPr>
          <w:bCs/>
          <w:i/>
          <w:iCs/>
          <w:color w:val="000000" w:themeColor="text1"/>
        </w:rPr>
        <w:t>p</w:t>
      </w:r>
      <w:r w:rsidR="00CB48BE" w:rsidRPr="006D4CB5">
        <w:rPr>
          <w:bCs/>
          <w:color w:val="000000" w:themeColor="text1"/>
        </w:rPr>
        <w:t>-values that were</w:t>
      </w:r>
      <w:r w:rsidR="002C7B9D" w:rsidRPr="006D4CB5">
        <w:rPr>
          <w:bCs/>
          <w:color w:val="000000" w:themeColor="text1"/>
        </w:rPr>
        <w:t xml:space="preserve"> just short of the genome-wide significance threshold in transancestry IVW analyses</w:t>
      </w:r>
      <w:r w:rsidR="00F43374" w:rsidRPr="006D4CB5">
        <w:rPr>
          <w:bCs/>
          <w:color w:val="000000" w:themeColor="text1"/>
        </w:rPr>
        <w:t xml:space="preserve"> (</w:t>
      </w:r>
      <w:r w:rsidR="002C7B9D" w:rsidRPr="006D4CB5">
        <w:rPr>
          <w:bCs/>
          <w:color w:val="000000" w:themeColor="text1"/>
        </w:rPr>
        <w:t xml:space="preserve">mean </w:t>
      </w:r>
      <w:r w:rsidR="002C7B9D" w:rsidRPr="006D4CB5">
        <w:rPr>
          <w:bCs/>
          <w:i/>
          <w:iCs/>
          <w:color w:val="000000" w:themeColor="text1"/>
        </w:rPr>
        <w:t>p</w:t>
      </w:r>
      <w:r w:rsidR="002C7B9D" w:rsidRPr="006D4CB5">
        <w:rPr>
          <w:bCs/>
          <w:color w:val="000000" w:themeColor="text1"/>
        </w:rPr>
        <w:t xml:space="preserve"> = 1.1x10</w:t>
      </w:r>
      <w:r w:rsidR="002C7B9D" w:rsidRPr="006D4CB5">
        <w:rPr>
          <w:bCs/>
          <w:color w:val="000000" w:themeColor="text1"/>
          <w:vertAlign w:val="superscript"/>
        </w:rPr>
        <w:t>-7</w:t>
      </w:r>
      <w:r w:rsidR="00F43374" w:rsidRPr="006D4CB5">
        <w:rPr>
          <w:bCs/>
          <w:color w:val="000000" w:themeColor="text1"/>
        </w:rPr>
        <w:t>)</w:t>
      </w:r>
      <w:r w:rsidR="002C7B9D" w:rsidRPr="006D4CB5">
        <w:rPr>
          <w:bCs/>
          <w:color w:val="000000" w:themeColor="text1"/>
        </w:rPr>
        <w:t xml:space="preserve"> and were just beyond this threshold</w:t>
      </w:r>
      <w:r w:rsidR="00CB48BE" w:rsidRPr="006D4CB5">
        <w:rPr>
          <w:bCs/>
          <w:color w:val="000000" w:themeColor="text1"/>
        </w:rPr>
        <w:t xml:space="preserve"> in EUR</w:t>
      </w:r>
      <w:r w:rsidR="000A1360">
        <w:rPr>
          <w:color w:val="000000" w:themeColor="text1"/>
        </w:rPr>
        <w:t>-like</w:t>
      </w:r>
      <w:r w:rsidR="00CB48BE" w:rsidRPr="006D4CB5">
        <w:rPr>
          <w:bCs/>
          <w:color w:val="000000" w:themeColor="text1"/>
        </w:rPr>
        <w:t xml:space="preserve"> MAMA</w:t>
      </w:r>
      <w:r w:rsidR="002C7B9D" w:rsidRPr="006D4CB5">
        <w:rPr>
          <w:bCs/>
          <w:color w:val="000000" w:themeColor="text1"/>
        </w:rPr>
        <w:t xml:space="preserve"> </w:t>
      </w:r>
      <w:r w:rsidR="00F43374" w:rsidRPr="006D4CB5">
        <w:rPr>
          <w:bCs/>
          <w:color w:val="000000" w:themeColor="text1"/>
        </w:rPr>
        <w:t>(</w:t>
      </w:r>
      <w:r w:rsidR="002C7B9D" w:rsidRPr="006D4CB5">
        <w:rPr>
          <w:bCs/>
          <w:color w:val="000000" w:themeColor="text1"/>
        </w:rPr>
        <w:t xml:space="preserve">mean </w:t>
      </w:r>
      <w:r w:rsidR="002C7B9D" w:rsidRPr="006D4CB5">
        <w:rPr>
          <w:bCs/>
          <w:i/>
          <w:iCs/>
          <w:color w:val="000000" w:themeColor="text1"/>
        </w:rPr>
        <w:t>p</w:t>
      </w:r>
      <w:r w:rsidR="002C7B9D" w:rsidRPr="006D4CB5">
        <w:rPr>
          <w:bCs/>
          <w:color w:val="000000" w:themeColor="text1"/>
        </w:rPr>
        <w:t xml:space="preserve"> </w:t>
      </w:r>
      <w:proofErr w:type="gramStart"/>
      <w:r w:rsidR="002C7B9D" w:rsidRPr="006D4CB5">
        <w:rPr>
          <w:bCs/>
          <w:color w:val="000000" w:themeColor="text1"/>
        </w:rPr>
        <w:t>=  3.8x10</w:t>
      </w:r>
      <w:proofErr w:type="gramEnd"/>
      <w:r w:rsidR="002C7B9D" w:rsidRPr="006D4CB5">
        <w:rPr>
          <w:bCs/>
          <w:color w:val="000000" w:themeColor="text1"/>
          <w:vertAlign w:val="superscript"/>
        </w:rPr>
        <w:t>-8</w:t>
      </w:r>
      <w:r w:rsidR="002C7B9D" w:rsidRPr="006D4CB5">
        <w:rPr>
          <w:bCs/>
          <w:color w:val="000000" w:themeColor="text1"/>
        </w:rPr>
        <w:t>)</w:t>
      </w:r>
      <w:r w:rsidR="002C7B9D" w:rsidRPr="006D4CB5">
        <w:rPr>
          <w:color w:val="000000" w:themeColor="text1"/>
        </w:rPr>
        <w:t xml:space="preserve">. </w:t>
      </w:r>
      <w:r w:rsidR="002C7B9D" w:rsidRPr="006D4CB5">
        <w:rPr>
          <w:bCs/>
          <w:color w:val="000000" w:themeColor="text1"/>
        </w:rPr>
        <w:t>Furthermore, across SNPs, EUR</w:t>
      </w:r>
      <w:r w:rsidR="000A1360">
        <w:rPr>
          <w:color w:val="000000" w:themeColor="text1"/>
        </w:rPr>
        <w:t>-like</w:t>
      </w:r>
      <w:r w:rsidR="002C7B9D" w:rsidRPr="006D4CB5">
        <w:rPr>
          <w:bCs/>
          <w:color w:val="000000" w:themeColor="text1"/>
        </w:rPr>
        <w:t xml:space="preserve"> MAMA analyses ha</w:t>
      </w:r>
      <w:r w:rsidR="00CB48BE" w:rsidRPr="006D4CB5">
        <w:rPr>
          <w:bCs/>
          <w:color w:val="000000" w:themeColor="text1"/>
        </w:rPr>
        <w:t>d</w:t>
      </w:r>
      <w:r w:rsidR="002C7B9D" w:rsidRPr="006D4CB5">
        <w:rPr>
          <w:bCs/>
          <w:color w:val="000000" w:themeColor="text1"/>
        </w:rPr>
        <w:t xml:space="preserve"> a much larger mean chi-square than ancestry-stratified EUR</w:t>
      </w:r>
      <w:r w:rsidR="000A1360">
        <w:rPr>
          <w:color w:val="000000" w:themeColor="text1"/>
        </w:rPr>
        <w:t>-like</w:t>
      </w:r>
      <w:r w:rsidR="002C7B9D" w:rsidRPr="006D4CB5">
        <w:rPr>
          <w:bCs/>
          <w:color w:val="000000" w:themeColor="text1"/>
        </w:rPr>
        <w:t xml:space="preserve"> analyses, and AFR</w:t>
      </w:r>
      <w:r w:rsidR="000A1360">
        <w:rPr>
          <w:color w:val="000000" w:themeColor="text1"/>
        </w:rPr>
        <w:t>-like</w:t>
      </w:r>
      <w:r w:rsidR="002C7B9D" w:rsidRPr="006D4CB5">
        <w:rPr>
          <w:bCs/>
          <w:color w:val="000000" w:themeColor="text1"/>
        </w:rPr>
        <w:t xml:space="preserve"> MAMA analyses ha</w:t>
      </w:r>
      <w:r w:rsidR="00CB48BE" w:rsidRPr="006D4CB5">
        <w:rPr>
          <w:bCs/>
          <w:color w:val="000000" w:themeColor="text1"/>
        </w:rPr>
        <w:t>d</w:t>
      </w:r>
      <w:r w:rsidR="002C7B9D" w:rsidRPr="006D4CB5">
        <w:rPr>
          <w:bCs/>
          <w:color w:val="000000" w:themeColor="text1"/>
        </w:rPr>
        <w:t xml:space="preserve"> a much larger </w:t>
      </w:r>
      <w:r w:rsidR="002C7B9D" w:rsidRPr="006D4CB5">
        <w:rPr>
          <w:bCs/>
          <w:color w:val="000000" w:themeColor="text1"/>
        </w:rPr>
        <w:lastRenderedPageBreak/>
        <w:t>mean chi-square than ancestry-stratified AFR</w:t>
      </w:r>
      <w:r w:rsidR="000A1360">
        <w:rPr>
          <w:color w:val="000000" w:themeColor="text1"/>
        </w:rPr>
        <w:t>-like</w:t>
      </w:r>
      <w:r w:rsidR="002C7B9D" w:rsidRPr="006D4CB5">
        <w:rPr>
          <w:bCs/>
          <w:color w:val="000000" w:themeColor="text1"/>
        </w:rPr>
        <w:t xml:space="preserve"> analyses (</w:t>
      </w:r>
      <w:r w:rsidR="002C7B9D" w:rsidRPr="006D4CB5">
        <w:rPr>
          <w:b/>
          <w:color w:val="000000" w:themeColor="text1"/>
        </w:rPr>
        <w:t xml:space="preserve">Supplementary Table </w:t>
      </w:r>
      <w:r w:rsidR="00CB48BE" w:rsidRPr="006D4CB5">
        <w:rPr>
          <w:b/>
          <w:color w:val="000000" w:themeColor="text1"/>
        </w:rPr>
        <w:t>S</w:t>
      </w:r>
      <w:r w:rsidR="00EF3AE6" w:rsidRPr="006D4CB5">
        <w:rPr>
          <w:b/>
          <w:color w:val="000000" w:themeColor="text1"/>
        </w:rPr>
        <w:t>1</w:t>
      </w:r>
      <w:r w:rsidR="00723032" w:rsidRPr="006D4CB5">
        <w:rPr>
          <w:b/>
          <w:color w:val="000000" w:themeColor="text1"/>
        </w:rPr>
        <w:t>6</w:t>
      </w:r>
      <w:r w:rsidR="002C7B9D" w:rsidRPr="006D4CB5">
        <w:rPr>
          <w:bCs/>
          <w:color w:val="000000" w:themeColor="text1"/>
        </w:rPr>
        <w:t>)</w:t>
      </w:r>
      <w:r w:rsidR="00924219" w:rsidRPr="006D4CB5">
        <w:rPr>
          <w:bCs/>
          <w:color w:val="000000" w:themeColor="text1"/>
        </w:rPr>
        <w:t>, which is notable given the comparatively small number of participants in AFR</w:t>
      </w:r>
      <w:r w:rsidR="000A1360">
        <w:rPr>
          <w:color w:val="000000" w:themeColor="text1"/>
        </w:rPr>
        <w:t>-like</w:t>
      </w:r>
      <w:r w:rsidR="00924219" w:rsidRPr="006D4CB5">
        <w:rPr>
          <w:bCs/>
          <w:color w:val="000000" w:themeColor="text1"/>
        </w:rPr>
        <w:t xml:space="preserve"> analyses</w:t>
      </w:r>
      <w:r w:rsidR="002C7B9D" w:rsidRPr="006D4CB5">
        <w:rPr>
          <w:bCs/>
          <w:color w:val="000000" w:themeColor="text1"/>
        </w:rPr>
        <w:t>. These findings suggest that transancestry IVW analyses and MAMA analyses complement</w:t>
      </w:r>
      <w:r w:rsidR="00E0419F" w:rsidRPr="006D4CB5">
        <w:rPr>
          <w:bCs/>
          <w:color w:val="000000" w:themeColor="text1"/>
        </w:rPr>
        <w:t xml:space="preserve"> each other</w:t>
      </w:r>
      <w:r w:rsidR="002C7B9D" w:rsidRPr="006D4CB5">
        <w:rPr>
          <w:bCs/>
          <w:color w:val="000000" w:themeColor="text1"/>
        </w:rPr>
        <w:t>.</w:t>
      </w:r>
    </w:p>
    <w:p w14:paraId="28C74BA6" w14:textId="77777777" w:rsidR="00076353" w:rsidRPr="006D4CB5" w:rsidRDefault="00076353" w:rsidP="00076353">
      <w:pPr>
        <w:rPr>
          <w:color w:val="000000" w:themeColor="text1"/>
          <w:u w:val="single"/>
        </w:rPr>
      </w:pPr>
      <w:r w:rsidRPr="006D4CB5">
        <w:rPr>
          <w:color w:val="000000" w:themeColor="text1"/>
          <w:u w:val="single"/>
        </w:rPr>
        <w:t>2.9 Identifying Novel SNPs</w:t>
      </w:r>
    </w:p>
    <w:p w14:paraId="00ADED62" w14:textId="4AE70285" w:rsidR="00076353" w:rsidRPr="006D4CB5" w:rsidRDefault="00076353" w:rsidP="00076353">
      <w:pPr>
        <w:rPr>
          <w:color w:val="000000" w:themeColor="text1"/>
        </w:rPr>
      </w:pPr>
      <w:r w:rsidRPr="006D4CB5">
        <w:rPr>
          <w:color w:val="000000" w:themeColor="text1"/>
        </w:rPr>
        <w:tab/>
        <w:t>We quantified whether lead SNPs indexed significant signal at a novel genomic locus or replicated significant signal found in a previous study. We aggregated lead and GWS SNPs (whichever were available) from previous Big Five GWAS studies with significant results: de Moor and colleagues (2012; including SNPs that were GWS in their discovery but not replication sample), Lo and colleagues (2017), Nagel and colleagues (2018; neuroticism only), Luciano and colleagues (2018; neuroticism only), Wu and colleagues (2024), and Gupta and colleagues (2024; including results significant in EUR</w:t>
      </w:r>
      <w:r w:rsidR="000A1360">
        <w:rPr>
          <w:color w:val="000000" w:themeColor="text1"/>
        </w:rPr>
        <w:t>-like</w:t>
      </w:r>
      <w:r w:rsidRPr="006D4CB5">
        <w:rPr>
          <w:color w:val="000000" w:themeColor="text1"/>
        </w:rPr>
        <w:t>, AFR</w:t>
      </w:r>
      <w:r w:rsidR="000A1360">
        <w:rPr>
          <w:color w:val="000000" w:themeColor="text1"/>
        </w:rPr>
        <w:t>-like</w:t>
      </w:r>
      <w:r w:rsidRPr="006D4CB5">
        <w:rPr>
          <w:color w:val="000000" w:themeColor="text1"/>
        </w:rPr>
        <w:t xml:space="preserve">, and transancestry analyses). We identified whether any of these GWS SNPs identified in past research were in the same 250kb locus as a GWS SNP in our results (Watanabe et al., 2017). If not, we consider this </w:t>
      </w:r>
      <w:proofErr w:type="gramStart"/>
      <w:r w:rsidRPr="006D4CB5">
        <w:rPr>
          <w:color w:val="000000" w:themeColor="text1"/>
        </w:rPr>
        <w:t>lead</w:t>
      </w:r>
      <w:proofErr w:type="gramEnd"/>
      <w:r w:rsidRPr="006D4CB5">
        <w:rPr>
          <w:color w:val="000000" w:themeColor="text1"/>
        </w:rPr>
        <w:t xml:space="preserve"> SNP to be novel.</w:t>
      </w:r>
    </w:p>
    <w:p w14:paraId="2B78866B" w14:textId="2923890D" w:rsidR="00076353" w:rsidRPr="006D4CB5" w:rsidRDefault="00076353" w:rsidP="00076353">
      <w:pPr>
        <w:rPr>
          <w:color w:val="000000" w:themeColor="text1"/>
        </w:rPr>
      </w:pPr>
      <w:r w:rsidRPr="006D4CB5">
        <w:rPr>
          <w:color w:val="000000" w:themeColor="text1"/>
        </w:rPr>
        <w:tab/>
        <w:t xml:space="preserve">Sixty-five percent of the lead SNPs – 823 of 1,257 – identified in this study were novel. in </w:t>
      </w:r>
      <w:r w:rsidRPr="006D4CB5">
        <w:rPr>
          <w:b/>
          <w:bCs/>
          <w:color w:val="000000" w:themeColor="text1"/>
        </w:rPr>
        <w:t>Supplementary Tables S</w:t>
      </w:r>
      <w:r w:rsidR="00723032" w:rsidRPr="006D4CB5">
        <w:rPr>
          <w:b/>
          <w:bCs/>
          <w:color w:val="000000" w:themeColor="text1"/>
        </w:rPr>
        <w:t>6</w:t>
      </w:r>
      <w:r w:rsidRPr="006D4CB5">
        <w:rPr>
          <w:b/>
          <w:bCs/>
          <w:color w:val="000000" w:themeColor="text1"/>
        </w:rPr>
        <w:t>-S</w:t>
      </w:r>
      <w:r w:rsidR="00723032" w:rsidRPr="006D4CB5">
        <w:rPr>
          <w:b/>
          <w:bCs/>
          <w:color w:val="000000" w:themeColor="text1"/>
        </w:rPr>
        <w:t>10</w:t>
      </w:r>
      <w:r w:rsidRPr="006D4CB5">
        <w:rPr>
          <w:color w:val="000000" w:themeColor="text1"/>
        </w:rPr>
        <w:t>, we categorize each lead SNP in this study as novel or replicating a previous finding.</w:t>
      </w:r>
      <w:r w:rsidRPr="006D4CB5">
        <w:rPr>
          <w:b/>
          <w:bCs/>
          <w:color w:val="000000" w:themeColor="text1"/>
        </w:rPr>
        <w:t xml:space="preserve"> </w:t>
      </w:r>
      <w:r w:rsidRPr="006D4CB5">
        <w:rPr>
          <w:color w:val="000000" w:themeColor="text1"/>
        </w:rPr>
        <w:t xml:space="preserve">Most findings were novel, which is expected considering the comparatively low power of prior Big Five GWAS analyses. Specifically, for extraversion, 233 lead SNPs were in novel loci, and 25 replicated </w:t>
      </w:r>
      <w:proofErr w:type="gramStart"/>
      <w:r w:rsidRPr="006D4CB5">
        <w:rPr>
          <w:color w:val="000000" w:themeColor="text1"/>
        </w:rPr>
        <w:t>previously-identified</w:t>
      </w:r>
      <w:proofErr w:type="gramEnd"/>
      <w:r w:rsidRPr="006D4CB5">
        <w:rPr>
          <w:color w:val="000000" w:themeColor="text1"/>
        </w:rPr>
        <w:t xml:space="preserve"> significant loci. For agreeableness, 30 lead SNPs were in novel loci, and 9 replicated </w:t>
      </w:r>
      <w:proofErr w:type="gramStart"/>
      <w:r w:rsidRPr="006D4CB5">
        <w:rPr>
          <w:color w:val="000000" w:themeColor="text1"/>
        </w:rPr>
        <w:t>previously-identified</w:t>
      </w:r>
      <w:proofErr w:type="gramEnd"/>
      <w:r w:rsidRPr="006D4CB5">
        <w:rPr>
          <w:color w:val="000000" w:themeColor="text1"/>
        </w:rPr>
        <w:t xml:space="preserve"> significant loci. For conscientiousness, 129 lead SNPs were in novel loci, and 2 replicated previous loci. For neuroticism, the trait examined with the largest sample size in prior GWAS studies, 3</w:t>
      </w:r>
      <w:r w:rsidR="003E341D" w:rsidRPr="006D4CB5">
        <w:rPr>
          <w:color w:val="000000" w:themeColor="text1"/>
        </w:rPr>
        <w:t>10</w:t>
      </w:r>
      <w:r w:rsidRPr="006D4CB5">
        <w:rPr>
          <w:color w:val="000000" w:themeColor="text1"/>
        </w:rPr>
        <w:t xml:space="preserve"> lead SNPs were in novel loci, and 39</w:t>
      </w:r>
      <w:r w:rsidR="003E341D" w:rsidRPr="006D4CB5">
        <w:rPr>
          <w:color w:val="000000" w:themeColor="text1"/>
        </w:rPr>
        <w:t>6</w:t>
      </w:r>
      <w:r w:rsidRPr="006D4CB5">
        <w:rPr>
          <w:color w:val="000000" w:themeColor="text1"/>
        </w:rPr>
        <w:t xml:space="preserve"> replicated previous loci. Finally, for openness to experience, 122 lead SNPs were in novel loci, and 4 replicated previous loci.</w:t>
      </w:r>
    </w:p>
    <w:p w14:paraId="49C98B17" w14:textId="77777777" w:rsidR="00076353" w:rsidRPr="006D4CB5" w:rsidRDefault="00076353" w:rsidP="00076353">
      <w:pPr>
        <w:rPr>
          <w:color w:val="000000" w:themeColor="text1"/>
        </w:rPr>
      </w:pPr>
    </w:p>
    <w:p w14:paraId="53E9DCFD" w14:textId="77777777" w:rsidR="00076353" w:rsidRPr="006D4CB5" w:rsidRDefault="00076353" w:rsidP="00076353">
      <w:pPr>
        <w:rPr>
          <w:color w:val="000000" w:themeColor="text1"/>
          <w:u w:val="single"/>
        </w:rPr>
      </w:pPr>
      <w:r w:rsidRPr="006D4CB5">
        <w:rPr>
          <w:color w:val="000000" w:themeColor="text1"/>
          <w:u w:val="single"/>
        </w:rPr>
        <w:t>2.10 Quantifying Overlap Among the Big Five</w:t>
      </w:r>
    </w:p>
    <w:p w14:paraId="4DCFC028" w14:textId="00E66CED" w:rsidR="00076353" w:rsidRPr="006D4CB5" w:rsidRDefault="00076353" w:rsidP="00076353">
      <w:pPr>
        <w:rPr>
          <w:color w:val="000000" w:themeColor="text1"/>
        </w:rPr>
      </w:pPr>
      <w:r w:rsidRPr="006D4CB5">
        <w:rPr>
          <w:color w:val="000000" w:themeColor="text1"/>
        </w:rPr>
        <w:tab/>
        <w:t>Finally, we quantified overlap in genetic signal across the Big Five, in two ways. First, we tallied the number of genetic loci tagged by the lead SNPs in analyses of each trait, and then we examined the overlap among those loci. As above, a genetic locus was defined as the 250kb region surrounding each lead SNP. Of the 931 total genomic loci tagged by the 1,257 lead SNPs in this study, 762 loci were unique to a single trait and did not overlap with any significant loci of other traits (</w:t>
      </w:r>
      <w:r w:rsidRPr="006D4CB5">
        <w:rPr>
          <w:b/>
          <w:bCs/>
          <w:color w:val="000000" w:themeColor="text1"/>
        </w:rPr>
        <w:t>Supplementary Table S1</w:t>
      </w:r>
      <w:r w:rsidR="00723032" w:rsidRPr="006D4CB5">
        <w:rPr>
          <w:b/>
          <w:bCs/>
          <w:color w:val="000000" w:themeColor="text1"/>
        </w:rPr>
        <w:t>4</w:t>
      </w:r>
      <w:r w:rsidRPr="006D4CB5">
        <w:rPr>
          <w:color w:val="000000" w:themeColor="text1"/>
        </w:rPr>
        <w:t xml:space="preserve">). The major exception to this general pattern of independence between the Big Five: a locus on the FOXP2 gene was associated with lower extraversion and neuroticism, and higher agreeableness and conscientiousness; this locus seems to be highly pleiotropic and has also been associated with borderline personality disorder (Streit et al., 2024). </w:t>
      </w:r>
    </w:p>
    <w:p w14:paraId="6D9ECDB9" w14:textId="12B75944" w:rsidR="00E81CD4" w:rsidRPr="006D4CB5" w:rsidRDefault="00076353" w:rsidP="00E81CD4">
      <w:pPr>
        <w:rPr>
          <w:color w:val="000000" w:themeColor="text1"/>
        </w:rPr>
      </w:pPr>
      <w:r w:rsidRPr="006D4CB5">
        <w:rPr>
          <w:color w:val="000000" w:themeColor="text1"/>
        </w:rPr>
        <w:tab/>
        <w:t xml:space="preserve">We </w:t>
      </w:r>
      <w:r w:rsidR="00F36E83" w:rsidRPr="006D4CB5">
        <w:rPr>
          <w:color w:val="000000" w:themeColor="text1"/>
        </w:rPr>
        <w:t xml:space="preserve">estimated genetic correlations to </w:t>
      </w:r>
      <w:r w:rsidRPr="006D4CB5">
        <w:rPr>
          <w:color w:val="000000" w:themeColor="text1"/>
        </w:rPr>
        <w:t>quantif</w:t>
      </w:r>
      <w:r w:rsidR="00F36E83" w:rsidRPr="006D4CB5">
        <w:rPr>
          <w:color w:val="000000" w:themeColor="text1"/>
        </w:rPr>
        <w:t>y</w:t>
      </w:r>
      <w:r w:rsidRPr="006D4CB5">
        <w:rPr>
          <w:color w:val="000000" w:themeColor="text1"/>
        </w:rPr>
        <w:t xml:space="preserve"> the general extent of genetic sharing genome-wide across the Big Five</w:t>
      </w:r>
      <w:r w:rsidR="00F36E83" w:rsidRPr="006D4CB5">
        <w:rPr>
          <w:color w:val="000000" w:themeColor="text1"/>
        </w:rPr>
        <w:t xml:space="preserve">. These estimates were obtained </w:t>
      </w:r>
      <w:r w:rsidR="00EC6A0F" w:rsidRPr="006D4CB5">
        <w:rPr>
          <w:color w:val="000000" w:themeColor="text1"/>
        </w:rPr>
        <w:t xml:space="preserve">by applying </w:t>
      </w:r>
      <w:r w:rsidRPr="006D4CB5">
        <w:rPr>
          <w:color w:val="000000" w:themeColor="text1"/>
        </w:rPr>
        <w:t xml:space="preserve">the </w:t>
      </w:r>
      <w:proofErr w:type="spellStart"/>
      <w:proofErr w:type="gramStart"/>
      <w:r w:rsidRPr="006D4CB5">
        <w:rPr>
          <w:color w:val="000000" w:themeColor="text1"/>
        </w:rPr>
        <w:t>rgmodel</w:t>
      </w:r>
      <w:proofErr w:type="spellEnd"/>
      <w:r w:rsidRPr="006D4CB5">
        <w:rPr>
          <w:color w:val="000000" w:themeColor="text1"/>
        </w:rPr>
        <w:t>(</w:t>
      </w:r>
      <w:proofErr w:type="gramEnd"/>
      <w:r w:rsidRPr="006D4CB5">
        <w:rPr>
          <w:color w:val="000000" w:themeColor="text1"/>
        </w:rPr>
        <w:t xml:space="preserve">) function within Genomic SEM </w:t>
      </w:r>
      <w:r w:rsidR="00EC6A0F" w:rsidRPr="006D4CB5">
        <w:rPr>
          <w:color w:val="000000" w:themeColor="text1"/>
        </w:rPr>
        <w:t xml:space="preserve">to LD Score Regression (LDSC)-estimated genetic covariances. LDSC is explained in full in sections 3.1 and 3.3 below. The </w:t>
      </w:r>
      <w:proofErr w:type="spellStart"/>
      <w:proofErr w:type="gramStart"/>
      <w:r w:rsidR="00EC6A0F" w:rsidRPr="006D4CB5">
        <w:rPr>
          <w:color w:val="000000" w:themeColor="text1"/>
        </w:rPr>
        <w:t>rgmodel</w:t>
      </w:r>
      <w:proofErr w:type="spellEnd"/>
      <w:r w:rsidR="00EC6A0F" w:rsidRPr="006D4CB5">
        <w:rPr>
          <w:color w:val="000000" w:themeColor="text1"/>
        </w:rPr>
        <w:t>(</w:t>
      </w:r>
      <w:proofErr w:type="gramEnd"/>
      <w:r w:rsidR="00EC6A0F" w:rsidRPr="006D4CB5">
        <w:rPr>
          <w:color w:val="000000" w:themeColor="text1"/>
        </w:rPr>
        <w:t>) function</w:t>
      </w:r>
      <w:r w:rsidR="003065B3" w:rsidRPr="006D4CB5">
        <w:rPr>
          <w:color w:val="000000" w:themeColor="text1"/>
        </w:rPr>
        <w:t xml:space="preserve"> </w:t>
      </w:r>
      <w:r w:rsidRPr="006D4CB5">
        <w:rPr>
          <w:color w:val="000000" w:themeColor="text1"/>
        </w:rPr>
        <w:t>provides SEs and p values of the true genetic correlation, as opposed to the standardized genetic covariance (Ennis et al., 2025; Tan et al., 202</w:t>
      </w:r>
      <w:r w:rsidR="00B4305B" w:rsidRPr="006D4CB5">
        <w:rPr>
          <w:color w:val="000000" w:themeColor="text1"/>
        </w:rPr>
        <w:t>5</w:t>
      </w:r>
      <w:r w:rsidRPr="006D4CB5">
        <w:rPr>
          <w:color w:val="000000" w:themeColor="text1"/>
        </w:rPr>
        <w:t xml:space="preserve">). Results are presented in </w:t>
      </w:r>
      <w:r w:rsidRPr="006D4CB5">
        <w:rPr>
          <w:b/>
          <w:bCs/>
          <w:color w:val="000000" w:themeColor="text1"/>
        </w:rPr>
        <w:t>Figure 1</w:t>
      </w:r>
      <w:r w:rsidRPr="006D4CB5">
        <w:rPr>
          <w:color w:val="000000" w:themeColor="text1"/>
        </w:rPr>
        <w:t xml:space="preserve"> in the main text. In general, the Big Five were mostly independent of one another, with similar correlations to those typically found in phenotypic research (e.g., Soto &amp; John, 2017). As with phenotypic correlations, we found small but significant genetic correlations between agreeableness, conscientiousness, and low neuroticism, which is often referred to as the stability </w:t>
      </w:r>
      <w:proofErr w:type="spellStart"/>
      <w:r w:rsidRPr="006D4CB5">
        <w:rPr>
          <w:color w:val="000000" w:themeColor="text1"/>
        </w:rPr>
        <w:t>superfactor</w:t>
      </w:r>
      <w:proofErr w:type="spellEnd"/>
      <w:r w:rsidRPr="006D4CB5">
        <w:rPr>
          <w:color w:val="000000" w:themeColor="text1"/>
        </w:rPr>
        <w:t xml:space="preserve">, </w:t>
      </w:r>
      <w:r w:rsidRPr="006D4CB5">
        <w:rPr>
          <w:color w:val="000000" w:themeColor="text1"/>
        </w:rPr>
        <w:lastRenderedPageBreak/>
        <w:t xml:space="preserve">and small but significant genetic correlations between openness and extraversion, often referred to as the plasticity </w:t>
      </w:r>
      <w:proofErr w:type="spellStart"/>
      <w:r w:rsidRPr="006D4CB5">
        <w:rPr>
          <w:color w:val="000000" w:themeColor="text1"/>
        </w:rPr>
        <w:t>superfactor</w:t>
      </w:r>
      <w:proofErr w:type="spellEnd"/>
      <w:r w:rsidRPr="006D4CB5">
        <w:rPr>
          <w:color w:val="000000" w:themeColor="text1"/>
        </w:rPr>
        <w:t xml:space="preserve"> (Digman, 1997; DeYoung, 2015). </w:t>
      </w:r>
      <w:r w:rsidR="00F36E83" w:rsidRPr="006D4CB5">
        <w:rPr>
          <w:color w:val="000000" w:themeColor="text1"/>
        </w:rPr>
        <w:t>We also</w:t>
      </w:r>
      <w:r w:rsidRPr="006D4CB5">
        <w:rPr>
          <w:color w:val="000000" w:themeColor="text1"/>
        </w:rPr>
        <w:t xml:space="preserve"> identified a negative genetic correlation between extraversion and neuroticism, which is commonly found in phenotypic research (e.g., Soto &amp; John, 2017</w:t>
      </w:r>
      <w:r w:rsidR="0036556A" w:rsidRPr="006D4CB5">
        <w:rPr>
          <w:color w:val="000000" w:themeColor="text1"/>
        </w:rPr>
        <w:t>; Park et al., 2020</w:t>
      </w:r>
      <w:r w:rsidRPr="006D4CB5">
        <w:rPr>
          <w:color w:val="000000" w:themeColor="text1"/>
        </w:rPr>
        <w:t>).</w:t>
      </w:r>
      <w:r w:rsidR="0036556A" w:rsidRPr="006D4CB5">
        <w:rPr>
          <w:color w:val="000000" w:themeColor="text1"/>
        </w:rPr>
        <w:t xml:space="preserve"> </w:t>
      </w:r>
      <w:r w:rsidR="003065B3" w:rsidRPr="006D4CB5">
        <w:rPr>
          <w:color w:val="000000" w:themeColor="text1"/>
        </w:rPr>
        <w:t>The negative genetic correlation between conscientiousness and openness to experience (</w:t>
      </w:r>
      <w:r w:rsidR="003065B3" w:rsidRPr="006D4CB5">
        <w:rPr>
          <w:i/>
          <w:iCs/>
          <w:color w:val="000000" w:themeColor="text1"/>
        </w:rPr>
        <w:t>r</w:t>
      </w:r>
      <w:r w:rsidR="003065B3" w:rsidRPr="006D4CB5">
        <w:rPr>
          <w:i/>
          <w:iCs/>
          <w:color w:val="000000" w:themeColor="text1"/>
          <w:vertAlign w:val="subscript"/>
        </w:rPr>
        <w:t>g</w:t>
      </w:r>
      <w:r w:rsidR="003065B3" w:rsidRPr="006D4CB5">
        <w:rPr>
          <w:color w:val="000000" w:themeColor="text1"/>
        </w:rPr>
        <w:t xml:space="preserve"> = -.20) contrasts with the small positive correlation that has been obtained in phenotypic research (</w:t>
      </w:r>
      <w:r w:rsidR="003065B3" w:rsidRPr="006D4CB5">
        <w:rPr>
          <w:i/>
          <w:iCs/>
          <w:color w:val="000000" w:themeColor="text1"/>
        </w:rPr>
        <w:t>r</w:t>
      </w:r>
      <w:r w:rsidR="003065B3" w:rsidRPr="006D4CB5">
        <w:rPr>
          <w:color w:val="000000" w:themeColor="text1"/>
        </w:rPr>
        <w:t xml:space="preserve"> = .08 in Park et al., 2020). One possible explanation for this divergence is ascertainment bias (van </w:t>
      </w:r>
      <w:proofErr w:type="spellStart"/>
      <w:r w:rsidR="003065B3" w:rsidRPr="006D4CB5">
        <w:rPr>
          <w:color w:val="000000" w:themeColor="text1"/>
        </w:rPr>
        <w:t>Alten</w:t>
      </w:r>
      <w:proofErr w:type="spellEnd"/>
      <w:r w:rsidR="003065B3" w:rsidRPr="006D4CB5">
        <w:rPr>
          <w:color w:val="000000" w:themeColor="text1"/>
        </w:rPr>
        <w:t xml:space="preserve"> et al., 2025). As education is positively correlated with both conscientiousness and openness to experience, this can induce a negative correlation between the traits in educated samples (see Lamp &amp; MacKinnon, 2025). A second possible explanation for this divergence is that environmental factors that are partly independent of genotype </w:t>
      </w:r>
      <w:r w:rsidR="00DD6A2E" w:rsidRPr="006D4CB5">
        <w:rPr>
          <w:color w:val="000000" w:themeColor="text1"/>
        </w:rPr>
        <w:t xml:space="preserve">may </w:t>
      </w:r>
      <w:r w:rsidR="003065B3" w:rsidRPr="006D4CB5">
        <w:rPr>
          <w:color w:val="000000" w:themeColor="text1"/>
        </w:rPr>
        <w:t xml:space="preserve">affect openness and conscientiousness in the same direction (both trait increasing or both trait decreasing) whereas genetic factors, on average, </w:t>
      </w:r>
      <w:r w:rsidR="00DD6A2E" w:rsidRPr="006D4CB5">
        <w:rPr>
          <w:color w:val="000000" w:themeColor="text1"/>
        </w:rPr>
        <w:t xml:space="preserve">may </w:t>
      </w:r>
      <w:r w:rsidR="003065B3" w:rsidRPr="006D4CB5">
        <w:rPr>
          <w:color w:val="000000" w:themeColor="text1"/>
        </w:rPr>
        <w:t xml:space="preserve">act in opposing directions (e.g., trait increasing for conscientiousness and trait decreasing for openness, and vice versa). </w:t>
      </w:r>
      <w:r w:rsidR="003065B3" w:rsidRPr="006D4CB5">
        <w:rPr>
          <w:color w:val="000000" w:themeColor="text1"/>
          <w:shd w:val="clear" w:color="auto" w:fill="FFFFFF"/>
        </w:rPr>
        <w:t xml:space="preserve">For instance, greater schooling may increase both conscientiousness and openness, even if genetic variants that are associated with </w:t>
      </w:r>
      <w:r w:rsidR="00DD6A2E" w:rsidRPr="006D4CB5">
        <w:rPr>
          <w:color w:val="000000" w:themeColor="text1"/>
          <w:shd w:val="clear" w:color="auto" w:fill="FFFFFF"/>
        </w:rPr>
        <w:t>higher</w:t>
      </w:r>
      <w:r w:rsidR="003065B3" w:rsidRPr="006D4CB5">
        <w:rPr>
          <w:color w:val="000000" w:themeColor="text1"/>
          <w:shd w:val="clear" w:color="auto" w:fill="FFFFFF"/>
        </w:rPr>
        <w:t xml:space="preserve"> conscientiousness tend to be associated with </w:t>
      </w:r>
      <w:r w:rsidR="00DD6A2E" w:rsidRPr="006D4CB5">
        <w:rPr>
          <w:color w:val="000000" w:themeColor="text1"/>
          <w:shd w:val="clear" w:color="auto" w:fill="FFFFFF"/>
        </w:rPr>
        <w:t xml:space="preserve">lower </w:t>
      </w:r>
      <w:r w:rsidR="003065B3" w:rsidRPr="006D4CB5">
        <w:rPr>
          <w:color w:val="000000" w:themeColor="text1"/>
          <w:shd w:val="clear" w:color="auto" w:fill="FFFFFF"/>
        </w:rPr>
        <w:t xml:space="preserve">openness. This would result in a case where phenotypic correlations are more positive than genetic correlations. </w:t>
      </w:r>
      <w:r w:rsidR="003065B3" w:rsidRPr="006D4CB5">
        <w:rPr>
          <w:color w:val="000000" w:themeColor="text1"/>
        </w:rPr>
        <w:t>Further research is needed to evaluate these and other possible explanations.</w:t>
      </w:r>
    </w:p>
    <w:p w14:paraId="360BAE1A" w14:textId="0743A82A" w:rsidR="00076353" w:rsidRPr="006D4CB5" w:rsidRDefault="00076353" w:rsidP="00E81CD4">
      <w:pPr>
        <w:ind w:firstLine="360"/>
        <w:rPr>
          <w:color w:val="000000" w:themeColor="text1"/>
        </w:rPr>
      </w:pPr>
      <w:r w:rsidRPr="006D4CB5">
        <w:rPr>
          <w:color w:val="000000" w:themeColor="text1"/>
        </w:rPr>
        <w:t>Overall, the low degree of overlap among the Big Five at the genetic level substantiates that these traits should be considered separately, as each indexes unique vectors of genetic variation. For further information on cross-Big-Five correlations</w:t>
      </w:r>
      <w:r w:rsidR="00ED3960" w:rsidRPr="006D4CB5">
        <w:rPr>
          <w:color w:val="000000" w:themeColor="text1"/>
        </w:rPr>
        <w:t xml:space="preserve"> in within-family</w:t>
      </w:r>
      <w:r w:rsidR="00622150">
        <w:rPr>
          <w:color w:val="000000" w:themeColor="text1"/>
        </w:rPr>
        <w:t xml:space="preserve"> EUR</w:t>
      </w:r>
      <w:r w:rsidR="00ED3960" w:rsidRPr="006D4CB5">
        <w:rPr>
          <w:color w:val="000000" w:themeColor="text1"/>
        </w:rPr>
        <w:t xml:space="preserve"> and</w:t>
      </w:r>
      <w:r w:rsidR="00622150">
        <w:rPr>
          <w:color w:val="000000" w:themeColor="text1"/>
        </w:rPr>
        <w:t xml:space="preserve"> population-level</w:t>
      </w:r>
      <w:r w:rsidR="00ED3960" w:rsidRPr="006D4CB5">
        <w:rPr>
          <w:color w:val="000000" w:themeColor="text1"/>
        </w:rPr>
        <w:t xml:space="preserve"> </w:t>
      </w:r>
      <w:r w:rsidR="00622150">
        <w:rPr>
          <w:color w:val="000000" w:themeColor="text1"/>
        </w:rPr>
        <w:t xml:space="preserve">AFR-like </w:t>
      </w:r>
      <w:proofErr w:type="spellStart"/>
      <w:r w:rsidR="00622150">
        <w:rPr>
          <w:color w:val="000000" w:themeColor="text1"/>
        </w:rPr>
        <w:t>GWASes</w:t>
      </w:r>
      <w:proofErr w:type="spellEnd"/>
      <w:r w:rsidR="00ED3960" w:rsidRPr="006D4CB5">
        <w:rPr>
          <w:color w:val="000000" w:themeColor="text1"/>
        </w:rPr>
        <w:t xml:space="preserve">, see </w:t>
      </w:r>
      <w:r w:rsidR="00ED3960" w:rsidRPr="006D4CB5">
        <w:rPr>
          <w:b/>
          <w:bCs/>
          <w:color w:val="000000" w:themeColor="text1"/>
        </w:rPr>
        <w:t>Extended Data Figure 10</w:t>
      </w:r>
      <w:r w:rsidR="00ED3960" w:rsidRPr="006D4CB5">
        <w:rPr>
          <w:color w:val="000000" w:themeColor="text1"/>
        </w:rPr>
        <w:t xml:space="preserve"> and section 6.7 below</w:t>
      </w:r>
      <w:r w:rsidRPr="006D4CB5">
        <w:rPr>
          <w:color w:val="000000" w:themeColor="text1"/>
        </w:rPr>
        <w:t>.</w:t>
      </w:r>
    </w:p>
    <w:p w14:paraId="7922E0AD" w14:textId="77777777" w:rsidR="00076353" w:rsidRPr="006D4CB5" w:rsidRDefault="00076353" w:rsidP="00076353">
      <w:pPr>
        <w:rPr>
          <w:color w:val="000000" w:themeColor="text1"/>
        </w:rPr>
      </w:pPr>
    </w:p>
    <w:p w14:paraId="4A1246C1" w14:textId="04279397" w:rsidR="00076353" w:rsidRPr="006D4CB5" w:rsidRDefault="00FD2004" w:rsidP="00FD2004">
      <w:pPr>
        <w:contextualSpacing/>
        <w:jc w:val="center"/>
        <w:rPr>
          <w:rFonts w:eastAsiaTheme="minorHAnsi"/>
          <w:b/>
          <w:bCs/>
          <w:color w:val="000000" w:themeColor="text1"/>
          <w:kern w:val="2"/>
          <w14:ligatures w14:val="standardContextual"/>
        </w:rPr>
      </w:pPr>
      <w:r>
        <w:rPr>
          <w:rFonts w:eastAsiaTheme="minorHAnsi"/>
          <w:b/>
          <w:bCs/>
          <w:color w:val="000000" w:themeColor="text1"/>
          <w:kern w:val="2"/>
          <w14:ligatures w14:val="standardContextual"/>
        </w:rPr>
        <w:t xml:space="preserve">Supplementary Note 3: </w:t>
      </w:r>
      <w:r w:rsidR="00076353" w:rsidRPr="006D4CB5">
        <w:rPr>
          <w:rFonts w:eastAsiaTheme="minorHAnsi"/>
          <w:b/>
          <w:bCs/>
          <w:color w:val="000000" w:themeColor="text1"/>
          <w:kern w:val="2"/>
          <w14:ligatures w14:val="standardContextual"/>
        </w:rPr>
        <w:t>Characterizing Common-Variant Heritability</w:t>
      </w:r>
    </w:p>
    <w:p w14:paraId="3A314855" w14:textId="77777777" w:rsidR="00076353" w:rsidRPr="006D4CB5" w:rsidRDefault="00076353" w:rsidP="00076353">
      <w:pPr>
        <w:rPr>
          <w:b/>
          <w:bCs/>
          <w:color w:val="000000" w:themeColor="text1"/>
        </w:rPr>
      </w:pPr>
    </w:p>
    <w:p w14:paraId="0FB0C624" w14:textId="77777777" w:rsidR="00076353" w:rsidRPr="006D4CB5" w:rsidRDefault="00076353" w:rsidP="00076353">
      <w:pPr>
        <w:rPr>
          <w:color w:val="000000" w:themeColor="text1"/>
          <w:u w:val="single"/>
        </w:rPr>
      </w:pPr>
      <w:r w:rsidRPr="006D4CB5">
        <w:rPr>
          <w:color w:val="000000" w:themeColor="text1"/>
          <w:u w:val="single"/>
        </w:rPr>
        <w:t>3.1 Estimating SNP Heritability with Linkage Disequilibrium Score Regression</w:t>
      </w:r>
    </w:p>
    <w:p w14:paraId="0BADFDB7" w14:textId="3F3A8E23" w:rsidR="00076353" w:rsidRPr="006D4CB5" w:rsidRDefault="00076353" w:rsidP="00076353">
      <w:pPr>
        <w:ind w:firstLine="720"/>
        <w:rPr>
          <w:color w:val="000000" w:themeColor="text1"/>
        </w:rPr>
      </w:pPr>
      <w:r w:rsidRPr="006D4CB5">
        <w:rPr>
          <w:color w:val="000000" w:themeColor="text1"/>
        </w:rPr>
        <w:t xml:space="preserve">We estimated the </w:t>
      </w:r>
      <w:r w:rsidR="00F43374" w:rsidRPr="006D4CB5">
        <w:rPr>
          <w:color w:val="000000" w:themeColor="text1"/>
        </w:rPr>
        <w:t>h</w:t>
      </w:r>
      <w:r w:rsidR="00F43374" w:rsidRPr="006D4CB5">
        <w:rPr>
          <w:color w:val="000000" w:themeColor="text1"/>
          <w:vertAlign w:val="superscript"/>
        </w:rPr>
        <w:t>2</w:t>
      </w:r>
      <w:r w:rsidR="00F43374" w:rsidRPr="006D4CB5">
        <w:rPr>
          <w:color w:val="000000" w:themeColor="text1"/>
          <w:vertAlign w:val="subscript"/>
        </w:rPr>
        <w:t>SNP</w:t>
      </w:r>
      <w:r w:rsidR="00F43374" w:rsidRPr="006D4CB5">
        <w:rPr>
          <w:color w:val="000000" w:themeColor="text1"/>
        </w:rPr>
        <w:t xml:space="preserve"> </w:t>
      </w:r>
      <w:r w:rsidRPr="006D4CB5">
        <w:rPr>
          <w:color w:val="000000" w:themeColor="text1"/>
        </w:rPr>
        <w:t xml:space="preserve">of each personality trait using the univariate </w:t>
      </w:r>
      <w:proofErr w:type="spellStart"/>
      <w:r w:rsidRPr="006D4CB5">
        <w:rPr>
          <w:color w:val="000000" w:themeColor="text1"/>
        </w:rPr>
        <w:t>GenomicSEM</w:t>
      </w:r>
      <w:proofErr w:type="spellEnd"/>
      <w:r w:rsidRPr="006D4CB5">
        <w:rPr>
          <w:color w:val="000000" w:themeColor="text1"/>
        </w:rPr>
        <w:t xml:space="preserve"> extension of Linkage Disequilibrium Score Regression (LDSC; Bulik-Sullivan et al., 2015; Grotzinger et al., 2019). LDSC estimates the proportion of variance in a highly polygenic phenotype indexed by a set of common variants across the genome by regressing SNP GWAS effect sizes against their LD scores. SNPs with higher LD scores have proportionally higher odds of tagging a causal variant, so the slope of this regression indexes the heritability of a phenotype. Confounding due to population stratification and cryptic relatedness inflates GWAS effect sizes uniformly across the genome, so the intercept of this regression indexes and accounts for confounding (Bulik-Sullivan et al., 2015). </w:t>
      </w:r>
      <w:r w:rsidR="00284D27" w:rsidRPr="006D4CB5">
        <w:rPr>
          <w:color w:val="000000" w:themeColor="text1"/>
        </w:rPr>
        <w:t xml:space="preserve">We also report </w:t>
      </w:r>
      <w:r w:rsidR="00924EAF" w:rsidRPr="006D4CB5">
        <w:rPr>
          <w:color w:val="000000" w:themeColor="text1"/>
        </w:rPr>
        <w:t xml:space="preserve">the LDSC </w:t>
      </w:r>
      <w:r w:rsidR="00284D27" w:rsidRPr="006D4CB5">
        <w:rPr>
          <w:color w:val="000000" w:themeColor="text1"/>
        </w:rPr>
        <w:t>ratio</w:t>
      </w:r>
      <w:r w:rsidR="00924EAF" w:rsidRPr="006D4CB5">
        <w:rPr>
          <w:color w:val="000000" w:themeColor="text1"/>
        </w:rPr>
        <w:t>, defined as the ratio</w:t>
      </w:r>
      <w:r w:rsidR="00284D27" w:rsidRPr="006D4CB5">
        <w:rPr>
          <w:color w:val="000000" w:themeColor="text1"/>
        </w:rPr>
        <w:t xml:space="preserve"> of the intercept</w:t>
      </w:r>
      <w:r w:rsidR="00611FEC" w:rsidRPr="006D4CB5">
        <w:rPr>
          <w:color w:val="000000" w:themeColor="text1"/>
        </w:rPr>
        <w:t xml:space="preserve"> minus one</w:t>
      </w:r>
      <w:r w:rsidR="00284D27" w:rsidRPr="006D4CB5">
        <w:rPr>
          <w:color w:val="000000" w:themeColor="text1"/>
        </w:rPr>
        <w:t xml:space="preserve"> to </w:t>
      </w:r>
      <w:r w:rsidR="00924EAF" w:rsidRPr="006D4CB5">
        <w:rPr>
          <w:color w:val="000000" w:themeColor="text1"/>
        </w:rPr>
        <w:t xml:space="preserve">the </w:t>
      </w:r>
      <w:r w:rsidR="00284D27" w:rsidRPr="006D4CB5">
        <w:rPr>
          <w:color w:val="000000" w:themeColor="text1"/>
        </w:rPr>
        <w:t xml:space="preserve">mean chi-square </w:t>
      </w:r>
      <w:r w:rsidR="00611FEC" w:rsidRPr="006D4CB5">
        <w:rPr>
          <w:color w:val="000000" w:themeColor="text1"/>
        </w:rPr>
        <w:t>minus one</w:t>
      </w:r>
      <w:r w:rsidR="00284D27" w:rsidRPr="006D4CB5">
        <w:rPr>
          <w:color w:val="000000" w:themeColor="text1"/>
        </w:rPr>
        <w:t xml:space="preserve">, which indexes confounding relative to association signal.  </w:t>
      </w:r>
    </w:p>
    <w:p w14:paraId="2CEB1685" w14:textId="42A49AAB" w:rsidR="00076353" w:rsidRPr="006D4CB5" w:rsidRDefault="00076353" w:rsidP="00076353">
      <w:pPr>
        <w:ind w:firstLine="720"/>
        <w:rPr>
          <w:color w:val="000000" w:themeColor="text1"/>
        </w:rPr>
      </w:pPr>
      <w:r w:rsidRPr="006D4CB5">
        <w:rPr>
          <w:color w:val="000000" w:themeColor="text1"/>
        </w:rPr>
        <w:t>The SNPs included in LDSC analyses were the 1.</w:t>
      </w:r>
      <w:r w:rsidR="003E341D" w:rsidRPr="006D4CB5">
        <w:rPr>
          <w:color w:val="000000" w:themeColor="text1"/>
        </w:rPr>
        <w:t>3</w:t>
      </w:r>
      <w:r w:rsidRPr="006D4CB5">
        <w:rPr>
          <w:color w:val="000000" w:themeColor="text1"/>
        </w:rPr>
        <w:t xml:space="preserve"> million available in the HapMap3 reference panel. Because LD scores vary substantially across groups of people with different recent ancestral histories, these analyses were conducted with participants stratified into EUR</w:t>
      </w:r>
      <w:r w:rsidR="000A1360">
        <w:rPr>
          <w:color w:val="000000" w:themeColor="text1"/>
        </w:rPr>
        <w:t>-like</w:t>
      </w:r>
      <w:r w:rsidRPr="006D4CB5">
        <w:rPr>
          <w:color w:val="000000" w:themeColor="text1"/>
        </w:rPr>
        <w:t xml:space="preserve"> or AFR</w:t>
      </w:r>
      <w:r w:rsidR="000A1360">
        <w:rPr>
          <w:color w:val="000000" w:themeColor="text1"/>
        </w:rPr>
        <w:t>-like</w:t>
      </w:r>
      <w:r w:rsidRPr="006D4CB5">
        <w:rPr>
          <w:color w:val="000000" w:themeColor="text1"/>
        </w:rPr>
        <w:t xml:space="preserve"> groups</w:t>
      </w:r>
      <w:r w:rsidR="000A1360">
        <w:rPr>
          <w:color w:val="000000" w:themeColor="text1"/>
        </w:rPr>
        <w:t xml:space="preserve"> based on their similarity to genetic reference panels</w:t>
      </w:r>
      <w:r w:rsidRPr="006D4CB5">
        <w:rPr>
          <w:color w:val="000000" w:themeColor="text1"/>
        </w:rPr>
        <w:t>. For analyses of participants</w:t>
      </w:r>
      <w:r w:rsidR="000A1360">
        <w:rPr>
          <w:color w:val="000000" w:themeColor="text1"/>
        </w:rPr>
        <w:t xml:space="preserve"> with EUR-like genomes</w:t>
      </w:r>
      <w:r w:rsidRPr="006D4CB5">
        <w:rPr>
          <w:color w:val="000000" w:themeColor="text1"/>
        </w:rPr>
        <w:t>, LD scores were estimated from 1000 Genomes phase 3v5 EUR sample (Bulik-Sullivan et al., 2015). For participants</w:t>
      </w:r>
      <w:r w:rsidR="000A1360">
        <w:rPr>
          <w:color w:val="000000" w:themeColor="text1"/>
        </w:rPr>
        <w:t xml:space="preserve"> with AFR-like genomes</w:t>
      </w:r>
      <w:r w:rsidRPr="006D4CB5">
        <w:rPr>
          <w:color w:val="000000" w:themeColor="text1"/>
        </w:rPr>
        <w:t xml:space="preserve">, we followed the same procedure using the 1000 Genomes phase 3v5 AFR sample to estimate LD scores. </w:t>
      </w:r>
    </w:p>
    <w:p w14:paraId="51CBB944" w14:textId="734FF34C" w:rsidR="00076353" w:rsidRPr="006D4CB5" w:rsidRDefault="00076353" w:rsidP="00076353">
      <w:pPr>
        <w:ind w:firstLine="720"/>
        <w:rPr>
          <w:color w:val="000000" w:themeColor="text1"/>
        </w:rPr>
      </w:pPr>
      <w:r w:rsidRPr="006D4CB5">
        <w:rPr>
          <w:color w:val="000000" w:themeColor="text1"/>
        </w:rPr>
        <w:t xml:space="preserve">First, we applied LDSC to estimate the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of the meta-analytically synthesized GWAS results. We filtered SNPs to those with sample-size weighted meta-analytic MAF ≥ .01 and </w:t>
      </w:r>
      <w:r w:rsidRPr="006D4CB5">
        <w:rPr>
          <w:color w:val="000000" w:themeColor="text1"/>
        </w:rPr>
        <w:lastRenderedPageBreak/>
        <w:t>INFO ≥ .90 (</w:t>
      </w:r>
      <w:r w:rsidR="004E4F12" w:rsidRPr="006D4CB5">
        <w:rPr>
          <w:color w:val="000000" w:themeColor="text1"/>
        </w:rPr>
        <w:t>E</w:t>
      </w:r>
      <w:r w:rsidRPr="006D4CB5">
        <w:rPr>
          <w:color w:val="000000" w:themeColor="text1"/>
        </w:rPr>
        <w:t>quation 6, above). Because these GWAS results were synthesized using a fixed-effects framework, the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of these associations indexes genetic effects that are shared across contributing studies, discarding the unique heritable variance in each study that is not shared with others. </w:t>
      </w:r>
    </w:p>
    <w:p w14:paraId="0F8F5473" w14:textId="70483400" w:rsidR="00076353" w:rsidRPr="006D4CB5" w:rsidRDefault="00076353" w:rsidP="00076353">
      <w:pPr>
        <w:ind w:firstLine="720"/>
        <w:rPr>
          <w:color w:val="000000" w:themeColor="text1"/>
        </w:rPr>
      </w:pPr>
      <w:r w:rsidRPr="006D4CB5">
        <w:rPr>
          <w:color w:val="000000" w:themeColor="text1"/>
        </w:rPr>
        <w:t xml:space="preserve">As we discuss in the main text, LDSC estimated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among participants</w:t>
      </w:r>
      <w:r w:rsidR="000A1360">
        <w:rPr>
          <w:color w:val="000000" w:themeColor="text1"/>
        </w:rPr>
        <w:t xml:space="preserve"> with EUR-like genomes</w:t>
      </w:r>
      <w:r w:rsidRPr="006D4CB5">
        <w:rPr>
          <w:color w:val="000000" w:themeColor="text1"/>
        </w:rPr>
        <w:t xml:space="preserve"> ranged from 4.9% (agreeableness) to 9.3% (extraversion). In contrast,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among participants </w:t>
      </w:r>
      <w:r w:rsidR="000A1360">
        <w:rPr>
          <w:color w:val="000000" w:themeColor="text1"/>
        </w:rPr>
        <w:t xml:space="preserve">with AFR-like </w:t>
      </w:r>
      <w:proofErr w:type="spellStart"/>
      <w:r w:rsidR="000A1360">
        <w:rPr>
          <w:color w:val="000000" w:themeColor="text1"/>
        </w:rPr>
        <w:t xml:space="preserve">genomes </w:t>
      </w:r>
      <w:r w:rsidRPr="006D4CB5">
        <w:rPr>
          <w:color w:val="000000" w:themeColor="text1"/>
        </w:rPr>
        <w:t>wa</w:t>
      </w:r>
      <w:proofErr w:type="spellEnd"/>
      <w:r w:rsidRPr="006D4CB5">
        <w:rPr>
          <w:color w:val="000000" w:themeColor="text1"/>
        </w:rPr>
        <w:t xml:space="preserve">s lower in magnitude, ranging from 1.6% (conscientiousness) to 5.1% (neuroticism; </w:t>
      </w:r>
      <w:r w:rsidRPr="006D4CB5">
        <w:rPr>
          <w:b/>
          <w:bCs/>
          <w:color w:val="000000" w:themeColor="text1"/>
        </w:rPr>
        <w:t>Supplementary Table S4</w:t>
      </w:r>
      <w:r w:rsidRPr="006D4CB5">
        <w:rPr>
          <w:color w:val="000000" w:themeColor="text1"/>
        </w:rPr>
        <w:t xml:space="preserve">). </w:t>
      </w:r>
    </w:p>
    <w:p w14:paraId="08A78517" w14:textId="2F4D5B41" w:rsidR="00076353" w:rsidRPr="006D4CB5" w:rsidRDefault="00076353" w:rsidP="00076353">
      <w:pPr>
        <w:ind w:firstLine="720"/>
        <w:rPr>
          <w:color w:val="000000" w:themeColor="text1"/>
        </w:rPr>
      </w:pPr>
      <w:r w:rsidRPr="006D4CB5">
        <w:rPr>
          <w:color w:val="000000" w:themeColor="text1"/>
        </w:rPr>
        <w:t xml:space="preserve">To rule out that these differences in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were attributable to differences in samples across the two analyses, we re-ran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analyses among the subset of 10 cohorts that ascertained participants</w:t>
      </w:r>
      <w:r w:rsidR="000A1360">
        <w:rPr>
          <w:color w:val="000000" w:themeColor="text1"/>
        </w:rPr>
        <w:t xml:space="preserve"> with both EUR-like and AFR-like genomes</w:t>
      </w:r>
      <w:r w:rsidRPr="006D4CB5">
        <w:rPr>
          <w:color w:val="000000" w:themeColor="text1"/>
        </w:rPr>
        <w:t xml:space="preserve"> (</w:t>
      </w:r>
      <w:r w:rsidRPr="006D4CB5">
        <w:rPr>
          <w:b/>
          <w:bCs/>
          <w:color w:val="000000" w:themeColor="text1"/>
        </w:rPr>
        <w:t>Supplementary Table S1</w:t>
      </w:r>
      <w:r w:rsidR="00723032" w:rsidRPr="006D4CB5">
        <w:rPr>
          <w:b/>
          <w:bCs/>
          <w:color w:val="000000" w:themeColor="text1"/>
        </w:rPr>
        <w:t>8</w:t>
      </w:r>
      <w:r w:rsidRPr="006D4CB5">
        <w:rPr>
          <w:color w:val="000000" w:themeColor="text1"/>
        </w:rPr>
        <w:t xml:space="preserve">). Even in this matched set of cohorts, the lower-bound of the 95% confidence interval of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among participants</w:t>
      </w:r>
      <w:r w:rsidR="000A1360">
        <w:rPr>
          <w:color w:val="000000" w:themeColor="text1"/>
        </w:rPr>
        <w:t xml:space="preserve"> with EUR-like genomes</w:t>
      </w:r>
      <w:r w:rsidRPr="006D4CB5">
        <w:rPr>
          <w:color w:val="000000" w:themeColor="text1"/>
        </w:rPr>
        <w:t xml:space="preserve"> was greater than the upper bound of the 95% confidence interval of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among participants </w:t>
      </w:r>
      <w:r w:rsidR="000A1360">
        <w:rPr>
          <w:color w:val="000000" w:themeColor="text1"/>
        </w:rPr>
        <w:t xml:space="preserve">with AFR-like genomes </w:t>
      </w:r>
      <w:r w:rsidRPr="006D4CB5">
        <w:rPr>
          <w:color w:val="000000" w:themeColor="text1"/>
        </w:rPr>
        <w:t>for extraversion (EUR</w:t>
      </w:r>
      <w:r w:rsidR="000A1360">
        <w:rPr>
          <w:color w:val="000000" w:themeColor="text1"/>
        </w:rPr>
        <w:t>-like</w:t>
      </w:r>
      <w:r w:rsidRPr="006D4CB5">
        <w:rPr>
          <w:color w:val="000000" w:themeColor="text1"/>
        </w:rPr>
        <w:t xml:space="preserve"> 9.3% vs. AFR</w:t>
      </w:r>
      <w:r w:rsidR="000A1360">
        <w:rPr>
          <w:color w:val="000000" w:themeColor="text1"/>
        </w:rPr>
        <w:t>-like</w:t>
      </w:r>
      <w:r w:rsidRPr="006D4CB5">
        <w:rPr>
          <w:color w:val="000000" w:themeColor="text1"/>
        </w:rPr>
        <w:t xml:space="preserve"> 8.0%), conscientiousness (EUR</w:t>
      </w:r>
      <w:r w:rsidR="000A1360">
        <w:rPr>
          <w:color w:val="000000" w:themeColor="text1"/>
        </w:rPr>
        <w:t>-like</w:t>
      </w:r>
      <w:r w:rsidRPr="006D4CB5">
        <w:rPr>
          <w:color w:val="000000" w:themeColor="text1"/>
        </w:rPr>
        <w:t xml:space="preserve"> 5.4% vs AFR</w:t>
      </w:r>
      <w:r w:rsidR="000A1360">
        <w:rPr>
          <w:color w:val="000000" w:themeColor="text1"/>
        </w:rPr>
        <w:t>-like</w:t>
      </w:r>
      <w:r w:rsidRPr="006D4CB5">
        <w:rPr>
          <w:color w:val="000000" w:themeColor="text1"/>
        </w:rPr>
        <w:t xml:space="preserve"> 5.2%), neuroticism (EUR</w:t>
      </w:r>
      <w:r w:rsidR="000A1360">
        <w:rPr>
          <w:color w:val="000000" w:themeColor="text1"/>
        </w:rPr>
        <w:t>-like</w:t>
      </w:r>
      <w:r w:rsidRPr="006D4CB5">
        <w:rPr>
          <w:color w:val="000000" w:themeColor="text1"/>
        </w:rPr>
        <w:t xml:space="preserve"> 14.2% vs. AFR</w:t>
      </w:r>
      <w:r w:rsidR="000A1360">
        <w:rPr>
          <w:color w:val="000000" w:themeColor="text1"/>
        </w:rPr>
        <w:t>-like</w:t>
      </w:r>
      <w:r w:rsidRPr="006D4CB5">
        <w:rPr>
          <w:color w:val="000000" w:themeColor="text1"/>
        </w:rPr>
        <w:t xml:space="preserve"> 9.4%), and openness to experience (EUR</w:t>
      </w:r>
      <w:r w:rsidR="000A1360">
        <w:rPr>
          <w:color w:val="000000" w:themeColor="text1"/>
        </w:rPr>
        <w:t>-like</w:t>
      </w:r>
      <w:r w:rsidRPr="006D4CB5">
        <w:rPr>
          <w:color w:val="000000" w:themeColor="text1"/>
        </w:rPr>
        <w:t xml:space="preserve"> 7.6% vs AFR</w:t>
      </w:r>
      <w:r w:rsidR="000A1360">
        <w:rPr>
          <w:color w:val="000000" w:themeColor="text1"/>
        </w:rPr>
        <w:t>-like</w:t>
      </w:r>
      <w:r w:rsidRPr="006D4CB5">
        <w:rPr>
          <w:color w:val="000000" w:themeColor="text1"/>
        </w:rPr>
        <w:t xml:space="preserve"> 6.7%). This suggests that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as indexed by LDSC differs across participants with different ancestral histories. This may relate to the more complex LD structure among participants </w:t>
      </w:r>
      <w:r w:rsidR="000A1360">
        <w:rPr>
          <w:color w:val="000000" w:themeColor="text1"/>
        </w:rPr>
        <w:t xml:space="preserve">with AFR-like </w:t>
      </w:r>
      <w:r w:rsidRPr="006D4CB5">
        <w:rPr>
          <w:color w:val="000000" w:themeColor="text1"/>
        </w:rPr>
        <w:t xml:space="preserve">compared to </w:t>
      </w:r>
      <w:r w:rsidR="000A1360">
        <w:rPr>
          <w:color w:val="000000" w:themeColor="text1"/>
        </w:rPr>
        <w:t>EUR-like genomes</w:t>
      </w:r>
      <w:r w:rsidRPr="006D4CB5">
        <w:rPr>
          <w:color w:val="000000" w:themeColor="text1"/>
        </w:rPr>
        <w:t>, rendering directly genotyped SNPs less effective at indirectly tagging effects of non-genotyped SNPs, and to the greater amount of admixture among participants</w:t>
      </w:r>
      <w:r w:rsidR="000A1360">
        <w:rPr>
          <w:color w:val="000000" w:themeColor="text1"/>
        </w:rPr>
        <w:t xml:space="preserve"> with broadly AFR-like genomes</w:t>
      </w:r>
      <w:r w:rsidRPr="006D4CB5">
        <w:rPr>
          <w:color w:val="000000" w:themeColor="text1"/>
        </w:rPr>
        <w:t>, which may render AFR LD scores less well-matched to the</w:t>
      </w:r>
      <w:r w:rsidR="000A1360">
        <w:rPr>
          <w:color w:val="000000" w:themeColor="text1"/>
        </w:rPr>
        <w:t xml:space="preserve"> genetic ancestry of the</w:t>
      </w:r>
      <w:r w:rsidRPr="006D4CB5">
        <w:rPr>
          <w:color w:val="000000" w:themeColor="text1"/>
        </w:rPr>
        <w:t xml:space="preserve"> analytic sample (Bulik-Sullivan et al., 2015).</w:t>
      </w:r>
    </w:p>
    <w:p w14:paraId="1DA97782" w14:textId="677DF8E0" w:rsidR="00076353" w:rsidRPr="006D4CB5" w:rsidRDefault="00076353" w:rsidP="00076353">
      <w:pPr>
        <w:ind w:firstLine="720"/>
        <w:rPr>
          <w:color w:val="000000" w:themeColor="text1"/>
        </w:rPr>
      </w:pPr>
      <w:r w:rsidRPr="006D4CB5">
        <w:rPr>
          <w:color w:val="000000" w:themeColor="text1"/>
        </w:rPr>
        <w:t>We applied Stratified LD Fourth Moments Regression (S-LD4M; O’Connor et al., 2019) to estimate the polygenicity of SNP effects on personality among participants</w:t>
      </w:r>
      <w:r w:rsidR="000A1360">
        <w:rPr>
          <w:color w:val="000000" w:themeColor="text1"/>
        </w:rPr>
        <w:t xml:space="preserve"> with EUR-like genomes</w:t>
      </w:r>
      <w:r w:rsidRPr="006D4CB5">
        <w:rPr>
          <w:color w:val="000000" w:themeColor="text1"/>
        </w:rPr>
        <w:t xml:space="preserve">. Using GWAS summary statistics as input, S-LD4M describes how evenly the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of a trait is spread across the genome by modeling the kurtosis of SNP effect sizes. In </w:t>
      </w:r>
      <w:r w:rsidRPr="006D4CB5">
        <w:rPr>
          <w:b/>
          <w:bCs/>
          <w:color w:val="000000" w:themeColor="text1"/>
        </w:rPr>
        <w:t>Supplementary Table S1</w:t>
      </w:r>
      <w:r w:rsidR="00723032" w:rsidRPr="006D4CB5">
        <w:rPr>
          <w:b/>
          <w:bCs/>
          <w:color w:val="000000" w:themeColor="text1"/>
        </w:rPr>
        <w:t>7</w:t>
      </w:r>
      <w:r w:rsidRPr="006D4CB5">
        <w:rPr>
          <w:color w:val="000000" w:themeColor="text1"/>
        </w:rPr>
        <w:t xml:space="preserve"> we quantify the estimated effective number of independent common SNPs with effects on each trait.   </w:t>
      </w:r>
    </w:p>
    <w:p w14:paraId="095A79E4" w14:textId="77777777" w:rsidR="00076353" w:rsidRPr="006D4CB5" w:rsidRDefault="00076353" w:rsidP="00076353">
      <w:pPr>
        <w:rPr>
          <w:color w:val="000000" w:themeColor="text1"/>
        </w:rPr>
      </w:pPr>
    </w:p>
    <w:p w14:paraId="6F02D420" w14:textId="2D0357CF" w:rsidR="00076353" w:rsidRPr="006D4CB5" w:rsidRDefault="00076353" w:rsidP="00076353">
      <w:pPr>
        <w:rPr>
          <w:color w:val="000000" w:themeColor="text1"/>
          <w:u w:val="single"/>
        </w:rPr>
      </w:pPr>
      <w:r w:rsidRPr="006D4CB5">
        <w:rPr>
          <w:color w:val="000000" w:themeColor="text1"/>
          <w:u w:val="single"/>
        </w:rPr>
        <w:t xml:space="preserve">3.2 Genetic Correlations Across </w:t>
      </w:r>
      <w:r w:rsidRPr="000A1360">
        <w:rPr>
          <w:color w:val="000000" w:themeColor="text1"/>
          <w:u w:val="single"/>
        </w:rPr>
        <w:t>participants</w:t>
      </w:r>
      <w:r w:rsidR="000A1360" w:rsidRPr="000A1360">
        <w:rPr>
          <w:color w:val="000000" w:themeColor="text1"/>
          <w:u w:val="single"/>
        </w:rPr>
        <w:t xml:space="preserve"> </w:t>
      </w:r>
      <w:r w:rsidR="000A1360" w:rsidRPr="000A1360">
        <w:rPr>
          <w:color w:val="000000" w:themeColor="text1"/>
          <w:u w:val="single"/>
        </w:rPr>
        <w:t xml:space="preserve">with EUR-like </w:t>
      </w:r>
      <w:r w:rsidR="000A1360" w:rsidRPr="000A1360">
        <w:rPr>
          <w:color w:val="000000" w:themeColor="text1"/>
          <w:u w:val="single"/>
        </w:rPr>
        <w:t xml:space="preserve">and AFR-like </w:t>
      </w:r>
      <w:r w:rsidR="000A1360" w:rsidRPr="000A1360">
        <w:rPr>
          <w:color w:val="000000" w:themeColor="text1"/>
          <w:u w:val="single"/>
        </w:rPr>
        <w:t>genomes</w:t>
      </w:r>
    </w:p>
    <w:p w14:paraId="5A90C795" w14:textId="41198015" w:rsidR="00076353" w:rsidRPr="006D4CB5" w:rsidRDefault="00076353" w:rsidP="00076353">
      <w:pPr>
        <w:ind w:firstLine="720"/>
        <w:rPr>
          <w:color w:val="000000" w:themeColor="text1"/>
        </w:rPr>
      </w:pPr>
      <w:r w:rsidRPr="006D4CB5">
        <w:rPr>
          <w:color w:val="000000" w:themeColor="text1"/>
        </w:rPr>
        <w:t>We estimated transancestry LD scores and within-trait transancestry genetic correlations using POPCORN (Brown et al., 2016). Transancestry LD scores were calculated for 4,607,783 SNPs that were available in both the AFR</w:t>
      </w:r>
      <w:r w:rsidR="000A1360">
        <w:rPr>
          <w:color w:val="000000" w:themeColor="text1"/>
        </w:rPr>
        <w:t>-like</w:t>
      </w:r>
      <w:r w:rsidRPr="006D4CB5">
        <w:rPr>
          <w:color w:val="000000" w:themeColor="text1"/>
        </w:rPr>
        <w:t xml:space="preserve"> and EUR</w:t>
      </w:r>
      <w:r w:rsidR="000A1360">
        <w:rPr>
          <w:color w:val="000000" w:themeColor="text1"/>
        </w:rPr>
        <w:t>-like</w:t>
      </w:r>
      <w:r w:rsidRPr="006D4CB5">
        <w:rPr>
          <w:color w:val="000000" w:themeColor="text1"/>
        </w:rPr>
        <w:t xml:space="preserve"> ancestry groups in the 1000 Genomes Project (The 1000 Genomes Project Consortium, 2015), had a MAF &gt; 0.01, and were not in the major histocompatibility complex region. LD scores were used as input with the EUR</w:t>
      </w:r>
      <w:r w:rsidR="000A1360">
        <w:rPr>
          <w:color w:val="000000" w:themeColor="text1"/>
        </w:rPr>
        <w:t>-like</w:t>
      </w:r>
      <w:r w:rsidRPr="006D4CB5">
        <w:rPr>
          <w:color w:val="000000" w:themeColor="text1"/>
        </w:rPr>
        <w:t xml:space="preserve"> and AFR</w:t>
      </w:r>
      <w:r w:rsidR="000A1360">
        <w:rPr>
          <w:color w:val="000000" w:themeColor="text1"/>
        </w:rPr>
        <w:t>-like</w:t>
      </w:r>
      <w:r w:rsidRPr="006D4CB5">
        <w:rPr>
          <w:color w:val="000000" w:themeColor="text1"/>
        </w:rPr>
        <w:t xml:space="preserve"> GWAS to estimate transancestry within-trait genetic correlations using the default regression-based model. Importantly, the regression-based genetic correlations estimated using POPCORN are not constrained between -1 and 1. The within-ancestry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w:t>
      </w:r>
      <w:r w:rsidR="001C5988" w:rsidRPr="006D4CB5">
        <w:rPr>
          <w:i/>
          <w:iCs/>
          <w:color w:val="000000" w:themeColor="text1"/>
        </w:rPr>
        <w:t>p</w:t>
      </w:r>
      <w:r w:rsidRPr="006D4CB5">
        <w:rPr>
          <w:color w:val="000000" w:themeColor="text1"/>
        </w:rPr>
        <w:t xml:space="preserve">-value reported is for a test that the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is greater than 0 and the transancestry genetic correlation </w:t>
      </w:r>
      <w:r w:rsidRPr="006D4CB5">
        <w:rPr>
          <w:i/>
          <w:iCs/>
          <w:color w:val="000000" w:themeColor="text1"/>
        </w:rPr>
        <w:t>p</w:t>
      </w:r>
      <w:r w:rsidRPr="006D4CB5">
        <w:rPr>
          <w:color w:val="000000" w:themeColor="text1"/>
        </w:rPr>
        <w:t xml:space="preserve">-value reported is for a test that the genetic correlation is less than 1. Within ancestry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and the transancestry genetic correlations were calculated from SNPs with available LD scores that were also present in the AFR</w:t>
      </w:r>
      <w:r w:rsidR="000A1360">
        <w:rPr>
          <w:color w:val="000000" w:themeColor="text1"/>
        </w:rPr>
        <w:t>-like</w:t>
      </w:r>
      <w:r w:rsidRPr="006D4CB5">
        <w:rPr>
          <w:color w:val="000000" w:themeColor="text1"/>
        </w:rPr>
        <w:t xml:space="preserve"> and EUR</w:t>
      </w:r>
      <w:r w:rsidR="000A1360">
        <w:rPr>
          <w:color w:val="000000" w:themeColor="text1"/>
        </w:rPr>
        <w:t>-like</w:t>
      </w:r>
      <w:r w:rsidRPr="006D4CB5">
        <w:rPr>
          <w:color w:val="000000" w:themeColor="text1"/>
        </w:rPr>
        <w:t xml:space="preserve"> GWAS. We computed both genetic effect and genetic impact LD scores and genetic correlations.</w:t>
      </w:r>
    </w:p>
    <w:p w14:paraId="7F4597FC" w14:textId="21A0AA56" w:rsidR="00076353" w:rsidRPr="006D4CB5" w:rsidRDefault="00076353" w:rsidP="00076353">
      <w:pPr>
        <w:ind w:firstLine="720"/>
        <w:rPr>
          <w:color w:val="000000" w:themeColor="text1"/>
        </w:rPr>
      </w:pPr>
      <w:r w:rsidRPr="006D4CB5">
        <w:rPr>
          <w:color w:val="000000" w:themeColor="text1"/>
        </w:rPr>
        <w:t xml:space="preserve">We present results of these analyses in </w:t>
      </w:r>
      <w:r w:rsidRPr="006D4CB5">
        <w:rPr>
          <w:b/>
          <w:bCs/>
          <w:color w:val="000000" w:themeColor="text1"/>
        </w:rPr>
        <w:t>Supplementary Table S1</w:t>
      </w:r>
      <w:r w:rsidR="00723032" w:rsidRPr="006D4CB5">
        <w:rPr>
          <w:b/>
          <w:bCs/>
          <w:color w:val="000000" w:themeColor="text1"/>
        </w:rPr>
        <w:t>9</w:t>
      </w:r>
      <w:r w:rsidRPr="006D4CB5">
        <w:rPr>
          <w:color w:val="000000" w:themeColor="text1"/>
        </w:rPr>
        <w:t xml:space="preserve">. </w:t>
      </w:r>
      <w:r w:rsidR="003E341D" w:rsidRPr="006D4CB5">
        <w:rPr>
          <w:color w:val="000000" w:themeColor="text1"/>
        </w:rPr>
        <w:t xml:space="preserve">Heritability estimates for each ancestry group were </w:t>
      </w:r>
      <w:r w:rsidR="003E72B9" w:rsidRPr="006D4CB5">
        <w:rPr>
          <w:color w:val="000000" w:themeColor="text1"/>
        </w:rPr>
        <w:t>larger in LDSC analyses than POPCORN analyses</w:t>
      </w:r>
      <w:r w:rsidR="00F6494D" w:rsidRPr="006D4CB5">
        <w:rPr>
          <w:color w:val="000000" w:themeColor="text1"/>
        </w:rPr>
        <w:t>, despite</w:t>
      </w:r>
      <w:r w:rsidR="003E72B9" w:rsidRPr="006D4CB5">
        <w:rPr>
          <w:color w:val="000000" w:themeColor="text1"/>
        </w:rPr>
        <w:t xml:space="preserve"> POPCORN analyses</w:t>
      </w:r>
      <w:r w:rsidR="00F6494D" w:rsidRPr="006D4CB5">
        <w:rPr>
          <w:color w:val="000000" w:themeColor="text1"/>
        </w:rPr>
        <w:t xml:space="preserve"> being based on a much larger number of SNPs (3.5 million versus 1.3 </w:t>
      </w:r>
      <w:r w:rsidR="00F6494D" w:rsidRPr="006D4CB5">
        <w:rPr>
          <w:color w:val="000000" w:themeColor="text1"/>
        </w:rPr>
        <w:lastRenderedPageBreak/>
        <w:t>million</w:t>
      </w:r>
      <w:r w:rsidR="00F66956" w:rsidRPr="006D4CB5">
        <w:rPr>
          <w:color w:val="000000" w:themeColor="text1"/>
        </w:rPr>
        <w:t xml:space="preserve">; </w:t>
      </w:r>
      <w:r w:rsidR="00F66956" w:rsidRPr="006D4CB5">
        <w:rPr>
          <w:b/>
          <w:bCs/>
          <w:color w:val="000000" w:themeColor="text1"/>
        </w:rPr>
        <w:t>Supplementary Table S</w:t>
      </w:r>
      <w:r w:rsidR="00723032" w:rsidRPr="006D4CB5">
        <w:rPr>
          <w:b/>
          <w:bCs/>
          <w:color w:val="000000" w:themeColor="text1"/>
        </w:rPr>
        <w:t>20</w:t>
      </w:r>
      <w:r w:rsidR="00F6494D" w:rsidRPr="006D4CB5">
        <w:rPr>
          <w:color w:val="000000" w:themeColor="text1"/>
        </w:rPr>
        <w:t>). This indicates that lower LDSC</w:t>
      </w:r>
      <w:r w:rsidR="00005897" w:rsidRPr="006D4CB5">
        <w:rPr>
          <w:color w:val="000000" w:themeColor="text1"/>
        </w:rPr>
        <w:t>-</w:t>
      </w:r>
      <w:r w:rsidR="00D54C75" w:rsidRPr="006D4CB5">
        <w:rPr>
          <w:color w:val="000000" w:themeColor="text1"/>
        </w:rPr>
        <w:t>based estimates of heritability</w:t>
      </w:r>
      <w:r w:rsidR="00F6494D" w:rsidRPr="006D4CB5">
        <w:rPr>
          <w:color w:val="000000" w:themeColor="text1"/>
        </w:rPr>
        <w:t xml:space="preserve"> of the Big Five in participants</w:t>
      </w:r>
      <w:r w:rsidR="000A1360">
        <w:rPr>
          <w:color w:val="000000" w:themeColor="text1"/>
        </w:rPr>
        <w:t xml:space="preserve"> with AFR-like genomes</w:t>
      </w:r>
      <w:r w:rsidR="00F6494D" w:rsidRPr="006D4CB5">
        <w:rPr>
          <w:color w:val="000000" w:themeColor="text1"/>
        </w:rPr>
        <w:t xml:space="preserve"> </w:t>
      </w:r>
      <w:r w:rsidR="00D54C75" w:rsidRPr="006D4CB5">
        <w:rPr>
          <w:color w:val="000000" w:themeColor="text1"/>
        </w:rPr>
        <w:t xml:space="preserve">is unlikely to be simply explained by </w:t>
      </w:r>
      <w:proofErr w:type="gramStart"/>
      <w:r w:rsidR="00D54C75" w:rsidRPr="006D4CB5">
        <w:rPr>
          <w:color w:val="000000" w:themeColor="text1"/>
        </w:rPr>
        <w:t>the  relatively</w:t>
      </w:r>
      <w:proofErr w:type="gramEnd"/>
      <w:r w:rsidR="00D54C75" w:rsidRPr="006D4CB5">
        <w:rPr>
          <w:color w:val="000000" w:themeColor="text1"/>
        </w:rPr>
        <w:t xml:space="preserve"> low coverage of SNPS (common</w:t>
      </w:r>
      <w:r w:rsidR="00F6494D" w:rsidRPr="006D4CB5">
        <w:rPr>
          <w:color w:val="000000" w:themeColor="text1"/>
        </w:rPr>
        <w:t xml:space="preserve"> HapMap 3 SNPs</w:t>
      </w:r>
      <w:r w:rsidR="00D54C75" w:rsidRPr="006D4CB5">
        <w:rPr>
          <w:color w:val="000000" w:themeColor="text1"/>
        </w:rPr>
        <w:t>)</w:t>
      </w:r>
      <w:r w:rsidR="00F6494D" w:rsidRPr="006D4CB5">
        <w:rPr>
          <w:color w:val="000000" w:themeColor="text1"/>
        </w:rPr>
        <w:t xml:space="preserve"> included in LDSC</w:t>
      </w:r>
      <w:r w:rsidR="003E341D" w:rsidRPr="006D4CB5">
        <w:rPr>
          <w:color w:val="000000" w:themeColor="text1"/>
        </w:rPr>
        <w:t xml:space="preserve">. </w:t>
      </w:r>
      <w:r w:rsidRPr="006D4CB5">
        <w:rPr>
          <w:color w:val="000000" w:themeColor="text1"/>
        </w:rPr>
        <w:t>All transancestry within-trait genetic correlations, for both genetic effect and genetic impact, did not differ significantly from 1; point estimates for correlations of genetic impact ranged from 0.635 (SE = 0.324) for neuroticism to 1.586 (SE = 6.965) for agreeableness. The wide range of plausible values was likely driven by the comparatively small sample size of analyses among participants</w:t>
      </w:r>
      <w:r w:rsidR="000A1360">
        <w:rPr>
          <w:color w:val="000000" w:themeColor="text1"/>
        </w:rPr>
        <w:t xml:space="preserve"> with AFR-like genomes</w:t>
      </w:r>
      <w:r w:rsidRPr="006D4CB5">
        <w:rPr>
          <w:color w:val="000000" w:themeColor="text1"/>
        </w:rPr>
        <w:t>, highlighting the continued need for GWAS sample size increases in participants</w:t>
      </w:r>
      <w:r w:rsidR="000A1360">
        <w:rPr>
          <w:color w:val="000000" w:themeColor="text1"/>
        </w:rPr>
        <w:t xml:space="preserve"> with non-EUR-like genomes</w:t>
      </w:r>
      <w:r w:rsidRPr="006D4CB5">
        <w:rPr>
          <w:color w:val="000000" w:themeColor="text1"/>
        </w:rPr>
        <w:t xml:space="preserve">. </w:t>
      </w:r>
    </w:p>
    <w:p w14:paraId="2BE49E3A" w14:textId="77777777" w:rsidR="00076353" w:rsidRPr="006D4CB5" w:rsidRDefault="00076353" w:rsidP="00076353">
      <w:pPr>
        <w:ind w:firstLine="720"/>
        <w:rPr>
          <w:color w:val="000000" w:themeColor="text1"/>
        </w:rPr>
      </w:pPr>
    </w:p>
    <w:p w14:paraId="7C96DE53" w14:textId="6EA99957" w:rsidR="00076353" w:rsidRPr="006D4CB5" w:rsidRDefault="00076353" w:rsidP="00076353">
      <w:pPr>
        <w:rPr>
          <w:bCs/>
          <w:color w:val="000000" w:themeColor="text1"/>
        </w:rPr>
      </w:pPr>
      <w:r w:rsidRPr="006D4CB5">
        <w:rPr>
          <w:color w:val="000000" w:themeColor="text1"/>
          <w:u w:val="single"/>
        </w:rPr>
        <w:t xml:space="preserve">3.3 Quantifying Heritability </w:t>
      </w:r>
      <w:r w:rsidR="006C2D2F" w:rsidRPr="006D4CB5">
        <w:rPr>
          <w:color w:val="000000" w:themeColor="text1"/>
          <w:u w:val="single"/>
        </w:rPr>
        <w:t xml:space="preserve">and Genetic Correlations </w:t>
      </w:r>
      <w:r w:rsidRPr="006D4CB5">
        <w:rPr>
          <w:color w:val="000000" w:themeColor="text1"/>
          <w:u w:val="single"/>
        </w:rPr>
        <w:t>Across Cohorts with Random-Effects Meta-Analysis and Weighted Meta-Regression</w:t>
      </w:r>
      <w:r w:rsidRPr="006D4CB5">
        <w:rPr>
          <w:bCs/>
          <w:color w:val="000000" w:themeColor="text1"/>
        </w:rPr>
        <w:t xml:space="preserve"> </w:t>
      </w:r>
    </w:p>
    <w:p w14:paraId="42DC0C64" w14:textId="32E08804" w:rsidR="00076353" w:rsidRPr="006D4CB5" w:rsidRDefault="00076353" w:rsidP="00076353">
      <w:pPr>
        <w:ind w:firstLine="720"/>
        <w:rPr>
          <w:color w:val="000000" w:themeColor="text1"/>
        </w:rPr>
      </w:pPr>
      <w:r w:rsidRPr="006D4CB5">
        <w:rPr>
          <w:color w:val="000000" w:themeColor="text1"/>
        </w:rPr>
        <w:t xml:space="preserve">We applied LDSC to estimate the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of each trait in each individual EUR</w:t>
      </w:r>
      <w:r w:rsidR="000A1360">
        <w:rPr>
          <w:color w:val="000000" w:themeColor="text1"/>
        </w:rPr>
        <w:t>-like</w:t>
      </w:r>
      <w:r w:rsidRPr="006D4CB5">
        <w:rPr>
          <w:color w:val="000000" w:themeColor="text1"/>
        </w:rPr>
        <w:t xml:space="preserve"> cohort, leveraging the diversity of contributing cohorts with </w:t>
      </w:r>
      <w:proofErr w:type="gramStart"/>
      <w:r w:rsidRPr="006D4CB5">
        <w:rPr>
          <w:color w:val="000000" w:themeColor="text1"/>
        </w:rPr>
        <w:t>potentially-varying</w:t>
      </w:r>
      <w:proofErr w:type="gramEnd"/>
      <w:r w:rsidRPr="006D4CB5">
        <w:rPr>
          <w:color w:val="000000" w:themeColor="text1"/>
        </w:rPr>
        <w:t xml:space="preserv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We filtered SNPs in each cohort to those with MAF ≥ .01 and INFO ≥ .90. LDSC intercept and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for each trait and each cohort can be found in </w:t>
      </w:r>
      <w:r w:rsidRPr="006D4CB5">
        <w:rPr>
          <w:b/>
          <w:bCs/>
          <w:color w:val="000000" w:themeColor="text1"/>
        </w:rPr>
        <w:t>Supplementary Table S1</w:t>
      </w:r>
      <w:r w:rsidRPr="006D4CB5">
        <w:rPr>
          <w:color w:val="000000" w:themeColor="text1"/>
        </w:rPr>
        <w:t xml:space="preserve">. We note that for smaller cohorts (roughly, N &lt; 10,000),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have especially large standard errors; we caution against over-interpretation of estimates in each individual cohort. </w:t>
      </w:r>
    </w:p>
    <w:p w14:paraId="6CD77284" w14:textId="653768E7" w:rsidR="004068E8" w:rsidRPr="006D4CB5" w:rsidRDefault="00076353" w:rsidP="001E251E">
      <w:pPr>
        <w:ind w:firstLine="720"/>
        <w:rPr>
          <w:color w:val="000000" w:themeColor="text1"/>
        </w:rPr>
      </w:pPr>
      <w:r w:rsidRPr="006D4CB5">
        <w:rPr>
          <w:color w:val="000000" w:themeColor="text1"/>
        </w:rPr>
        <w:t xml:space="preserve">We then applied fixed-effects and random-effects meta-analysis across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for these cohorts</w:t>
      </w:r>
      <w:r w:rsidR="009E264D" w:rsidRPr="006D4CB5">
        <w:rPr>
          <w:color w:val="000000" w:themeColor="text1"/>
        </w:rPr>
        <w:t xml:space="preserve"> using the R package </w:t>
      </w:r>
      <w:proofErr w:type="spellStart"/>
      <w:r w:rsidR="009E264D" w:rsidRPr="006D4CB5">
        <w:rPr>
          <w:color w:val="000000" w:themeColor="text1"/>
        </w:rPr>
        <w:t>metafor</w:t>
      </w:r>
      <w:proofErr w:type="spellEnd"/>
      <w:r w:rsidR="009E264D" w:rsidRPr="006D4CB5">
        <w:rPr>
          <w:color w:val="000000" w:themeColor="text1"/>
        </w:rPr>
        <w:t xml:space="preserve"> (</w:t>
      </w:r>
      <w:proofErr w:type="spellStart"/>
      <w:r w:rsidR="009E264D" w:rsidRPr="006D4CB5">
        <w:rPr>
          <w:color w:val="000000" w:themeColor="text1"/>
        </w:rPr>
        <w:t>Veichtbauer</w:t>
      </w:r>
      <w:proofErr w:type="spellEnd"/>
      <w:r w:rsidR="009E264D" w:rsidRPr="006D4CB5">
        <w:rPr>
          <w:color w:val="000000" w:themeColor="text1"/>
        </w:rPr>
        <w:t>, 20</w:t>
      </w:r>
      <w:r w:rsidR="00843CD7" w:rsidRPr="006D4CB5">
        <w:rPr>
          <w:color w:val="000000" w:themeColor="text1"/>
        </w:rPr>
        <w:t>10</w:t>
      </w:r>
      <w:r w:rsidR="009E264D" w:rsidRPr="006D4CB5">
        <w:rPr>
          <w:color w:val="000000" w:themeColor="text1"/>
        </w:rPr>
        <w:t>)</w:t>
      </w:r>
      <w:r w:rsidRPr="006D4CB5">
        <w:rPr>
          <w:color w:val="000000" w:themeColor="text1"/>
        </w:rPr>
        <w:t xml:space="preserve">. In a general sense, fixed-effects meta-analyses aggregate information about a parameter under the assumption that estimates from different studies are drawn from a single distribution with one true parameter, whereas random-effects meta-analyses relax this assumption to accommodate the possibility that effects are drawn from multiple distributions (Borenstein et al., 2007). </w:t>
      </w:r>
      <w:r w:rsidR="009E264D" w:rsidRPr="006D4CB5">
        <w:rPr>
          <w:color w:val="000000" w:themeColor="text1"/>
        </w:rPr>
        <w:t>The fixed-effects meta-analyses were estimated</w:t>
      </w:r>
      <w:r w:rsidR="004068E8" w:rsidRPr="006D4CB5">
        <w:rPr>
          <w:color w:val="000000" w:themeColor="text1"/>
        </w:rPr>
        <w:t xml:space="preserve"> with the </w:t>
      </w:r>
      <w:proofErr w:type="spellStart"/>
      <w:proofErr w:type="gramStart"/>
      <w:r w:rsidR="004068E8" w:rsidRPr="006D4CB5">
        <w:rPr>
          <w:color w:val="000000" w:themeColor="text1"/>
        </w:rPr>
        <w:t>rma</w:t>
      </w:r>
      <w:proofErr w:type="spellEnd"/>
      <w:r w:rsidR="004068E8" w:rsidRPr="006D4CB5">
        <w:rPr>
          <w:color w:val="000000" w:themeColor="text1"/>
        </w:rPr>
        <w:t>(</w:t>
      </w:r>
      <w:proofErr w:type="gramEnd"/>
      <w:r w:rsidR="004068E8" w:rsidRPr="006D4CB5">
        <w:rPr>
          <w:color w:val="000000" w:themeColor="text1"/>
        </w:rPr>
        <w:t>) function</w:t>
      </w:r>
      <w:r w:rsidR="004E4F12" w:rsidRPr="006D4CB5">
        <w:rPr>
          <w:color w:val="000000" w:themeColor="text1"/>
        </w:rPr>
        <w:t xml:space="preserve"> with methods set to fixed effects</w:t>
      </w:r>
      <w:r w:rsidR="004068E8" w:rsidRPr="006D4CB5">
        <w:rPr>
          <w:color w:val="000000" w:themeColor="text1"/>
        </w:rPr>
        <w:t xml:space="preserve">, </w:t>
      </w:r>
      <w:r w:rsidR="001C5988" w:rsidRPr="006D4CB5">
        <w:rPr>
          <w:color w:val="000000" w:themeColor="text1"/>
        </w:rPr>
        <w:t xml:space="preserve">which meta-analyzes effects </w:t>
      </w:r>
      <w:r w:rsidR="004E4F12" w:rsidRPr="006D4CB5">
        <w:rPr>
          <w:color w:val="000000" w:themeColor="text1"/>
        </w:rPr>
        <w:t>using inverse variance weighting</w:t>
      </w:r>
      <w:r w:rsidR="004068E8" w:rsidRPr="006D4CB5">
        <w:rPr>
          <w:color w:val="000000" w:themeColor="text1"/>
        </w:rPr>
        <w:t>:</w:t>
      </w:r>
    </w:p>
    <w:p w14:paraId="48E91F49" w14:textId="77777777" w:rsidR="004068E8" w:rsidRPr="006D4CB5" w:rsidRDefault="004068E8" w:rsidP="004068E8">
      <w:pPr>
        <w:jc w:val="center"/>
        <w:rPr>
          <w:color w:val="000000" w:themeColor="text1"/>
        </w:rPr>
      </w:pPr>
    </w:p>
    <w:p w14:paraId="25C4909A" w14:textId="4769C1B1" w:rsidR="004068E8" w:rsidRPr="006D4CB5" w:rsidRDefault="00000000" w:rsidP="004068E8">
      <w:pPr>
        <w:jc w:val="center"/>
        <w:rPr>
          <w:color w:val="000000" w:themeColor="text1"/>
        </w:rPr>
      </w:pPr>
      <m:oMath>
        <m:sSub>
          <m:sSubPr>
            <m:ctrlPr>
              <w:rPr>
                <w:rFonts w:ascii="Cambria Math" w:hAnsi="Cambria Math"/>
                <w:i/>
                <w:color w:val="000000" w:themeColor="text1"/>
                <w:sz w:val="28"/>
                <w:szCs w:val="28"/>
              </w:rPr>
            </m:ctrlPr>
          </m:sSubPr>
          <m:e>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e>
          <m:sub>
            <m:r>
              <w:rPr>
                <w:rFonts w:ascii="Cambria Math" w:hAnsi="Cambria Math"/>
                <w:color w:val="000000" w:themeColor="text1"/>
                <w:sz w:val="28"/>
                <w:szCs w:val="28"/>
              </w:rPr>
              <m:t>meta</m:t>
            </m:r>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den>
                </m:f>
                <m:sSub>
                  <m:sSubPr>
                    <m:ctrlPr>
                      <w:rPr>
                        <w:rFonts w:ascii="Cambria Math" w:hAnsi="Cambria Math"/>
                        <w:i/>
                        <w:color w:val="000000" w:themeColor="text1"/>
                        <w:sz w:val="28"/>
                        <w:szCs w:val="28"/>
                      </w:rPr>
                    </m:ctrlPr>
                  </m:sSubPr>
                  <m:e>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e>
                  <m:sub>
                    <m:r>
                      <w:rPr>
                        <w:rFonts w:ascii="Cambria Math" w:hAnsi="Cambria Math"/>
                        <w:color w:val="000000" w:themeColor="text1"/>
                        <w:sz w:val="28"/>
                        <w:szCs w:val="28"/>
                      </w:rPr>
                      <m:t>k</m:t>
                    </m:r>
                  </m:sub>
                </m:sSub>
              </m:e>
            </m:nary>
          </m:num>
          <m:den>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den>
                </m:f>
              </m:e>
            </m:nary>
          </m:den>
        </m:f>
      </m:oMath>
      <w:r w:rsidR="004068E8" w:rsidRPr="006D4CB5">
        <w:rPr>
          <w:color w:val="000000" w:themeColor="text1"/>
        </w:rPr>
        <w:t>,</w:t>
      </w:r>
      <w:r w:rsidR="004068E8" w:rsidRPr="006D4CB5">
        <w:rPr>
          <w:color w:val="000000" w:themeColor="text1"/>
        </w:rPr>
        <w:tab/>
        <w:t xml:space="preserve">(Eq. </w:t>
      </w:r>
      <w:r w:rsidR="00566C22" w:rsidRPr="006D4CB5">
        <w:rPr>
          <w:color w:val="000000" w:themeColor="text1"/>
        </w:rPr>
        <w:t>11</w:t>
      </w:r>
      <w:r w:rsidR="004068E8" w:rsidRPr="006D4CB5">
        <w:rPr>
          <w:color w:val="000000" w:themeColor="text1"/>
        </w:rPr>
        <w:t>a)</w:t>
      </w:r>
    </w:p>
    <w:p w14:paraId="00EC2536" w14:textId="77777777" w:rsidR="004068E8" w:rsidRPr="006D4CB5" w:rsidRDefault="004068E8" w:rsidP="004068E8">
      <w:pPr>
        <w:ind w:left="720" w:firstLine="720"/>
        <w:jc w:val="center"/>
        <w:rPr>
          <w:color w:val="000000" w:themeColor="text1"/>
        </w:rPr>
      </w:pPr>
    </w:p>
    <w:p w14:paraId="7E5C441B" w14:textId="5EDD91CE" w:rsidR="004068E8" w:rsidRPr="006D4CB5" w:rsidRDefault="00000000" w:rsidP="004068E8">
      <w:pPr>
        <w:jc w:val="center"/>
        <w:rPr>
          <w:color w:val="000000" w:themeColor="text1"/>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SE</m:t>
            </m:r>
          </m:e>
          <m:sub>
            <m:r>
              <w:rPr>
                <w:rFonts w:ascii="Cambria Math" w:hAnsi="Cambria Math"/>
                <w:color w:val="000000" w:themeColor="text1"/>
                <w:sz w:val="28"/>
                <w:szCs w:val="28"/>
              </w:rPr>
              <m:t>meta</m:t>
            </m:r>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rad>
              <m:radPr>
                <m:degHide m:val="1"/>
                <m:ctrlPr>
                  <w:rPr>
                    <w:rFonts w:ascii="Cambria Math" w:hAnsi="Cambria Math"/>
                    <w:color w:val="000000" w:themeColor="text1"/>
                    <w:sz w:val="28"/>
                    <w:szCs w:val="28"/>
                  </w:rPr>
                </m:ctrlPr>
              </m:radPr>
              <m:deg/>
              <m:e>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den>
                    </m:f>
                  </m:e>
                </m:nary>
              </m:e>
            </m:rad>
          </m:den>
        </m:f>
      </m:oMath>
      <w:r w:rsidR="004068E8" w:rsidRPr="006D4CB5">
        <w:rPr>
          <w:color w:val="000000" w:themeColor="text1"/>
        </w:rPr>
        <w:t>,</w:t>
      </w:r>
      <w:r w:rsidR="004068E8" w:rsidRPr="006D4CB5">
        <w:rPr>
          <w:color w:val="000000" w:themeColor="text1"/>
        </w:rPr>
        <w:tab/>
        <w:t xml:space="preserve">(Eq. </w:t>
      </w:r>
      <w:r w:rsidR="00566C22" w:rsidRPr="006D4CB5">
        <w:rPr>
          <w:color w:val="000000" w:themeColor="text1"/>
        </w:rPr>
        <w:t>11</w:t>
      </w:r>
      <w:r w:rsidR="004068E8" w:rsidRPr="006D4CB5">
        <w:rPr>
          <w:color w:val="000000" w:themeColor="text1"/>
        </w:rPr>
        <w:t>b)</w:t>
      </w:r>
    </w:p>
    <w:p w14:paraId="39A9D87E" w14:textId="4F7BF24C" w:rsidR="004068E8" w:rsidRPr="006D4CB5" w:rsidRDefault="004068E8" w:rsidP="004068E8">
      <w:pPr>
        <w:rPr>
          <w:color w:val="000000" w:themeColor="text1"/>
        </w:rPr>
      </w:pPr>
    </w:p>
    <w:p w14:paraId="7939491F" w14:textId="263396F3" w:rsidR="00AD1317" w:rsidRPr="006D4CB5" w:rsidRDefault="004068E8" w:rsidP="00B933BC">
      <w:pPr>
        <w:rPr>
          <w:color w:val="000000" w:themeColor="text1"/>
        </w:rPr>
      </w:pPr>
      <w:r w:rsidRPr="006D4CB5">
        <w:rPr>
          <w:color w:val="000000" w:themeColor="text1"/>
        </w:rPr>
        <w:t xml:space="preserve">where </w:t>
      </w:r>
      <w:r w:rsidR="00B933BC" w:rsidRPr="006D4CB5">
        <w:rPr>
          <w:color w:val="000000" w:themeColor="text1"/>
        </w:rPr>
        <w:t xml:space="preserve">k is a given cohort in which LDSC was used to estimate </w:t>
      </w:r>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oMath>
      <w:r w:rsidR="00B933BC" w:rsidRPr="006D4CB5">
        <w:rPr>
          <w:color w:val="000000" w:themeColor="text1"/>
        </w:rPr>
        <w:t>and its associated SE.</w:t>
      </w:r>
      <w:r w:rsidR="004E4F12" w:rsidRPr="006D4CB5">
        <w:rPr>
          <w:color w:val="000000" w:themeColor="text1"/>
        </w:rPr>
        <w:t xml:space="preserve"> Note that this equation is mathematically identical to Equation 5 </w:t>
      </w:r>
      <w:proofErr w:type="gramStart"/>
      <w:r w:rsidR="004E4F12" w:rsidRPr="006D4CB5">
        <w:rPr>
          <w:color w:val="000000" w:themeColor="text1"/>
        </w:rPr>
        <w:t>above, but</w:t>
      </w:r>
      <w:proofErr w:type="gramEnd"/>
      <w:r w:rsidR="004E4F12" w:rsidRPr="006D4CB5">
        <w:rPr>
          <w:color w:val="000000" w:themeColor="text1"/>
        </w:rPr>
        <w:t xml:space="preserve"> applied to </w:t>
      </w:r>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oMath>
      <w:r w:rsidR="004E4F12" w:rsidRPr="006D4CB5">
        <w:rPr>
          <w:color w:val="000000" w:themeColor="text1"/>
        </w:rPr>
        <w:t xml:space="preserve"> estimates rather than estimates of SNP beta. </w:t>
      </w:r>
      <w:r w:rsidR="009E264D" w:rsidRPr="006D4CB5">
        <w:rPr>
          <w:color w:val="000000" w:themeColor="text1"/>
        </w:rPr>
        <w:t xml:space="preserve">The random-effects meta-analyses were estimated </w:t>
      </w:r>
      <w:r w:rsidR="00B933BC" w:rsidRPr="006D4CB5">
        <w:rPr>
          <w:color w:val="000000" w:themeColor="text1"/>
        </w:rPr>
        <w:t xml:space="preserve">using the </w:t>
      </w:r>
      <w:proofErr w:type="spellStart"/>
      <w:proofErr w:type="gramStart"/>
      <w:r w:rsidR="00B933BC" w:rsidRPr="006D4CB5">
        <w:rPr>
          <w:color w:val="000000" w:themeColor="text1"/>
        </w:rPr>
        <w:t>rma</w:t>
      </w:r>
      <w:proofErr w:type="spellEnd"/>
      <w:r w:rsidR="00B933BC" w:rsidRPr="006D4CB5">
        <w:rPr>
          <w:color w:val="000000" w:themeColor="text1"/>
        </w:rPr>
        <w:t>(</w:t>
      </w:r>
      <w:proofErr w:type="gramEnd"/>
      <w:r w:rsidR="00B933BC" w:rsidRPr="006D4CB5">
        <w:rPr>
          <w:color w:val="000000" w:themeColor="text1"/>
        </w:rPr>
        <w:t xml:space="preserve">) function with methods set to random effects, which modifies the </w:t>
      </w:r>
      <w:r w:rsidR="00AD1317" w:rsidRPr="006D4CB5">
        <w:rPr>
          <w:color w:val="000000" w:themeColor="text1"/>
        </w:rPr>
        <w:t>SE weights in</w:t>
      </w:r>
      <w:r w:rsidR="00B933BC" w:rsidRPr="006D4CB5">
        <w:rPr>
          <w:color w:val="000000" w:themeColor="text1"/>
        </w:rPr>
        <w:t xml:space="preserve"> Eq. 8a to </w:t>
      </w:r>
      <w:r w:rsidR="00AD1317" w:rsidRPr="006D4CB5">
        <w:rPr>
          <w:color w:val="000000" w:themeColor="text1"/>
        </w:rPr>
        <w:t xml:space="preserve">account for heterogeneity in </w:t>
      </w:r>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oMath>
      <w:r w:rsidR="00AD1317" w:rsidRPr="006D4CB5">
        <w:rPr>
          <w:color w:val="000000" w:themeColor="text1"/>
        </w:rPr>
        <w:t xml:space="preserve"> across studies (</w:t>
      </w:r>
      <m:oMath>
        <m:sSup>
          <m:sSupPr>
            <m:ctrlPr>
              <w:rPr>
                <w:rFonts w:ascii="Cambria Math" w:hAnsi="Cambria Math"/>
                <w:color w:val="000000" w:themeColor="text1"/>
              </w:rPr>
            </m:ctrlPr>
          </m:sSupPr>
          <m:e>
            <m:r>
              <m:rPr>
                <m:sty m:val="p"/>
              </m:rPr>
              <w:rPr>
                <w:rFonts w:ascii="Cambria Math" w:hAnsi="Cambria Math"/>
                <w:color w:val="000000" w:themeColor="text1"/>
              </w:rPr>
              <m:t>τ</m:t>
            </m:r>
          </m:e>
          <m:sup>
            <m:r>
              <w:rPr>
                <w:rFonts w:ascii="Cambria Math" w:hAnsi="Cambria Math"/>
                <w:color w:val="000000" w:themeColor="text1"/>
              </w:rPr>
              <m:t>2</m:t>
            </m:r>
          </m:sup>
        </m:sSup>
        <m:r>
          <w:rPr>
            <w:rFonts w:ascii="Cambria Math" w:hAnsi="Cambria Math"/>
            <w:color w:val="000000" w:themeColor="text1"/>
          </w:rPr>
          <m:t>)</m:t>
        </m:r>
      </m:oMath>
      <w:r w:rsidR="00AD1317" w:rsidRPr="006D4CB5">
        <w:rPr>
          <w:color w:val="000000" w:themeColor="text1"/>
        </w:rPr>
        <w:t xml:space="preserve">, as follows: </w:t>
      </w:r>
      <w:r w:rsidR="00B933BC" w:rsidRPr="006D4CB5">
        <w:rPr>
          <w:color w:val="000000" w:themeColor="text1"/>
        </w:rPr>
        <w:t xml:space="preserve"> </w:t>
      </w:r>
    </w:p>
    <w:p w14:paraId="221762B2" w14:textId="77777777" w:rsidR="00AD1317" w:rsidRPr="006D4CB5" w:rsidRDefault="00AD1317" w:rsidP="009E264D">
      <w:pPr>
        <w:rPr>
          <w:color w:val="000000" w:themeColor="text1"/>
        </w:rPr>
      </w:pPr>
    </w:p>
    <w:p w14:paraId="77535189" w14:textId="4E36D9DE" w:rsidR="00AD1317" w:rsidRPr="006D4CB5" w:rsidRDefault="00000000" w:rsidP="00AD1317">
      <w:pPr>
        <w:jc w:val="center"/>
        <w:rPr>
          <w:color w:val="000000" w:themeColor="text1"/>
        </w:rPr>
      </w:pPr>
      <m:oMath>
        <m:sSub>
          <m:sSubPr>
            <m:ctrlPr>
              <w:rPr>
                <w:rFonts w:ascii="Cambria Math" w:hAnsi="Cambria Math"/>
                <w:i/>
                <w:color w:val="000000" w:themeColor="text1"/>
                <w:sz w:val="28"/>
                <w:szCs w:val="28"/>
              </w:rPr>
            </m:ctrlPr>
          </m:sSubPr>
          <m:e>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h</m:t>
                </m:r>
              </m:e>
              <m:sub>
                <m:r>
                  <w:rPr>
                    <w:rFonts w:ascii="Cambria Math" w:hAnsi="Cambria Math"/>
                    <w:color w:val="000000" w:themeColor="text1"/>
                    <w:sz w:val="28"/>
                    <w:szCs w:val="28"/>
                  </w:rPr>
                  <m:t>SNP</m:t>
                </m:r>
              </m:sub>
              <m:sup>
                <m:r>
                  <w:rPr>
                    <w:rFonts w:ascii="Cambria Math" w:hAnsi="Cambria Math"/>
                    <w:color w:val="000000" w:themeColor="text1"/>
                    <w:sz w:val="28"/>
                    <w:szCs w:val="28"/>
                  </w:rPr>
                  <m:t>2</m:t>
                </m:r>
              </m:sup>
            </m:sSubSup>
          </m:e>
          <m:sub>
            <m:r>
              <w:rPr>
                <w:rFonts w:ascii="Cambria Math" w:hAnsi="Cambria Math"/>
                <w:color w:val="000000" w:themeColor="text1"/>
                <w:sz w:val="28"/>
                <w:szCs w:val="28"/>
              </w:rPr>
              <m:t>meta</m:t>
            </m:r>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r>
                      <w:rPr>
                        <w:rFonts w:ascii="Cambria Math" w:hAnsi="Cambria Math"/>
                        <w:color w:val="000000" w:themeColor="text1"/>
                        <w:sz w:val="28"/>
                        <w:szCs w:val="28"/>
                      </w:rPr>
                      <m:t>+</m:t>
                    </m:r>
                    <m:sSup>
                      <m:sSupPr>
                        <m:ctrlPr>
                          <w:rPr>
                            <w:rFonts w:ascii="Cambria Math" w:hAnsi="Cambria Math"/>
                            <w:color w:val="000000" w:themeColor="text1"/>
                            <w:sz w:val="28"/>
                            <w:szCs w:val="28"/>
                          </w:rPr>
                        </m:ctrlPr>
                      </m:sSupPr>
                      <m:e>
                        <m:r>
                          <m:rPr>
                            <m:sty m:val="p"/>
                          </m:rPr>
                          <w:rPr>
                            <w:rFonts w:ascii="Cambria Math" w:hAnsi="Cambria Math"/>
                            <w:color w:val="000000" w:themeColor="text1"/>
                            <w:sz w:val="28"/>
                            <w:szCs w:val="28"/>
                          </w:rPr>
                          <m:t>τ</m:t>
                        </m:r>
                      </m:e>
                      <m:sup>
                        <m:r>
                          <w:rPr>
                            <w:rFonts w:ascii="Cambria Math" w:hAnsi="Cambria Math"/>
                            <w:color w:val="000000" w:themeColor="text1"/>
                            <w:sz w:val="28"/>
                            <w:szCs w:val="28"/>
                          </w:rPr>
                          <m:t>2</m:t>
                        </m:r>
                      </m:sup>
                    </m:sSup>
                  </m:den>
                </m:f>
                <m:sSub>
                  <m:sSubPr>
                    <m:ctrlPr>
                      <w:rPr>
                        <w:rFonts w:ascii="Cambria Math" w:hAnsi="Cambria Math"/>
                        <w:i/>
                        <w:color w:val="000000" w:themeColor="text1"/>
                        <w:sz w:val="28"/>
                        <w:szCs w:val="28"/>
                      </w:rPr>
                    </m:ctrlPr>
                  </m:sSubPr>
                  <m:e>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h</m:t>
                        </m:r>
                      </m:e>
                      <m:sub>
                        <m:r>
                          <w:rPr>
                            <w:rFonts w:ascii="Cambria Math" w:hAnsi="Cambria Math"/>
                            <w:color w:val="000000" w:themeColor="text1"/>
                            <w:sz w:val="28"/>
                            <w:szCs w:val="28"/>
                          </w:rPr>
                          <m:t>SNP</m:t>
                        </m:r>
                      </m:sub>
                      <m:sup>
                        <m:r>
                          <w:rPr>
                            <w:rFonts w:ascii="Cambria Math" w:hAnsi="Cambria Math"/>
                            <w:color w:val="000000" w:themeColor="text1"/>
                            <w:sz w:val="28"/>
                            <w:szCs w:val="28"/>
                          </w:rPr>
                          <m:t>2</m:t>
                        </m:r>
                      </m:sup>
                    </m:sSubSup>
                  </m:e>
                  <m:sub>
                    <m:r>
                      <w:rPr>
                        <w:rFonts w:ascii="Cambria Math" w:hAnsi="Cambria Math"/>
                        <w:color w:val="000000" w:themeColor="text1"/>
                        <w:sz w:val="28"/>
                        <w:szCs w:val="28"/>
                      </w:rPr>
                      <m:t>k</m:t>
                    </m:r>
                  </m:sub>
                </m:sSub>
              </m:e>
            </m:nary>
          </m:num>
          <m:den>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r>
                      <w:rPr>
                        <w:rFonts w:ascii="Cambria Math" w:hAnsi="Cambria Math"/>
                        <w:color w:val="000000" w:themeColor="text1"/>
                        <w:sz w:val="28"/>
                        <w:szCs w:val="28"/>
                      </w:rPr>
                      <m:t>+</m:t>
                    </m:r>
                    <m:sSup>
                      <m:sSupPr>
                        <m:ctrlPr>
                          <w:rPr>
                            <w:rFonts w:ascii="Cambria Math" w:hAnsi="Cambria Math"/>
                            <w:color w:val="000000" w:themeColor="text1"/>
                            <w:sz w:val="28"/>
                            <w:szCs w:val="28"/>
                          </w:rPr>
                        </m:ctrlPr>
                      </m:sSupPr>
                      <m:e>
                        <m:r>
                          <m:rPr>
                            <m:sty m:val="p"/>
                          </m:rPr>
                          <w:rPr>
                            <w:rFonts w:ascii="Cambria Math" w:hAnsi="Cambria Math"/>
                            <w:color w:val="000000" w:themeColor="text1"/>
                            <w:sz w:val="28"/>
                            <w:szCs w:val="28"/>
                          </w:rPr>
                          <m:t>τ</m:t>
                        </m:r>
                      </m:e>
                      <m:sup>
                        <m:r>
                          <w:rPr>
                            <w:rFonts w:ascii="Cambria Math" w:hAnsi="Cambria Math"/>
                            <w:color w:val="000000" w:themeColor="text1"/>
                            <w:sz w:val="28"/>
                            <w:szCs w:val="28"/>
                          </w:rPr>
                          <m:t>2</m:t>
                        </m:r>
                      </m:sup>
                    </m:sSup>
                  </m:den>
                </m:f>
              </m:e>
            </m:nary>
          </m:den>
        </m:f>
      </m:oMath>
      <w:r w:rsidR="00AD1317" w:rsidRPr="006D4CB5">
        <w:rPr>
          <w:color w:val="000000" w:themeColor="text1"/>
        </w:rPr>
        <w:t>,</w:t>
      </w:r>
      <w:r w:rsidR="00AD1317" w:rsidRPr="006D4CB5">
        <w:rPr>
          <w:color w:val="000000" w:themeColor="text1"/>
        </w:rPr>
        <w:tab/>
        <w:t xml:space="preserve">(Eq. </w:t>
      </w:r>
      <w:r w:rsidR="00566C22" w:rsidRPr="006D4CB5">
        <w:rPr>
          <w:color w:val="000000" w:themeColor="text1"/>
        </w:rPr>
        <w:t>12</w:t>
      </w:r>
      <w:r w:rsidR="00AD1317" w:rsidRPr="006D4CB5">
        <w:rPr>
          <w:color w:val="000000" w:themeColor="text1"/>
        </w:rPr>
        <w:t>a)</w:t>
      </w:r>
    </w:p>
    <w:p w14:paraId="526BE623" w14:textId="77777777" w:rsidR="00AD1317" w:rsidRPr="006D4CB5" w:rsidRDefault="00AD1317" w:rsidP="00AD1317">
      <w:pPr>
        <w:ind w:left="720" w:firstLine="720"/>
        <w:jc w:val="center"/>
        <w:rPr>
          <w:color w:val="000000" w:themeColor="text1"/>
        </w:rPr>
      </w:pPr>
    </w:p>
    <w:p w14:paraId="6F86E41E" w14:textId="4837E43F" w:rsidR="00AD1317" w:rsidRPr="006D4CB5" w:rsidRDefault="00000000" w:rsidP="00AD1317">
      <w:pPr>
        <w:ind w:left="2160" w:firstLine="720"/>
        <w:rPr>
          <w:color w:val="000000" w:themeColor="text1"/>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SE</m:t>
            </m:r>
          </m:e>
          <m:sub>
            <m:r>
              <w:rPr>
                <w:rFonts w:ascii="Cambria Math" w:hAnsi="Cambria Math"/>
                <w:color w:val="000000" w:themeColor="text1"/>
                <w:sz w:val="28"/>
                <w:szCs w:val="28"/>
              </w:rPr>
              <m:t>meta</m:t>
            </m:r>
          </m:sub>
        </m:sSub>
        <m:r>
          <w:rPr>
            <w:rFonts w:ascii="Cambria Math" w:hAnsi="Cambria Math"/>
            <w:color w:val="000000" w:themeColor="text1"/>
            <w:sz w:val="28"/>
            <w:szCs w:val="28"/>
          </w:rPr>
          <m:t> = </m:t>
        </m:r>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rad>
              <m:radPr>
                <m:degHide m:val="1"/>
                <m:ctrlPr>
                  <w:rPr>
                    <w:rFonts w:ascii="Cambria Math" w:hAnsi="Cambria Math"/>
                    <w:color w:val="000000" w:themeColor="text1"/>
                    <w:sz w:val="28"/>
                    <w:szCs w:val="28"/>
                  </w:rPr>
                </m:ctrlPr>
              </m:radPr>
              <m:deg/>
              <m:e>
                <m:nary>
                  <m:naryPr>
                    <m:chr m:val="∑"/>
                    <m:limLoc m:val="undOvr"/>
                    <m:subHide m:val="1"/>
                    <m:supHide m:val="1"/>
                    <m:ctrlPr>
                      <w:rPr>
                        <w:rFonts w:ascii="Cambria Math" w:hAnsi="Cambria Math"/>
                        <w:color w:val="000000" w:themeColor="text1"/>
                        <w:sz w:val="28"/>
                        <w:szCs w:val="28"/>
                      </w:rPr>
                    </m:ctrlPr>
                  </m:naryPr>
                  <m:sub/>
                  <m:sup/>
                  <m:e>
                    <m:f>
                      <m:fPr>
                        <m:ctrlPr>
                          <w:rPr>
                            <w:rFonts w:ascii="Cambria Math" w:hAnsi="Cambria Math"/>
                            <w:color w:val="000000" w:themeColor="text1"/>
                            <w:sz w:val="28"/>
                            <w:szCs w:val="28"/>
                          </w:rPr>
                        </m:ctrlPr>
                      </m:fPr>
                      <m:num>
                        <m:r>
                          <w:rPr>
                            <w:rFonts w:ascii="Cambria Math" w:hAnsi="Cambria Math"/>
                            <w:color w:val="000000" w:themeColor="text1"/>
                            <w:sz w:val="28"/>
                            <w:szCs w:val="28"/>
                          </w:rPr>
                          <m:t>1</m:t>
                        </m:r>
                      </m:num>
                      <m:den>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rPr>
                              <m:t>SE</m:t>
                            </m:r>
                          </m:e>
                          <m:sub>
                            <m:r>
                              <w:rPr>
                                <w:rFonts w:ascii="Cambria Math" w:hAnsi="Cambria Math"/>
                                <w:color w:val="000000" w:themeColor="text1"/>
                                <w:sz w:val="28"/>
                                <w:szCs w:val="28"/>
                              </w:rPr>
                              <m:t>k</m:t>
                            </m:r>
                          </m:sub>
                          <m:sup>
                            <m:r>
                              <w:rPr>
                                <w:rFonts w:ascii="Cambria Math" w:hAnsi="Cambria Math"/>
                                <w:color w:val="000000" w:themeColor="text1"/>
                                <w:sz w:val="28"/>
                                <w:szCs w:val="28"/>
                              </w:rPr>
                              <m:t>2</m:t>
                            </m:r>
                          </m:sup>
                        </m:sSubSup>
                        <m:r>
                          <w:rPr>
                            <w:rFonts w:ascii="Cambria Math" w:hAnsi="Cambria Math"/>
                            <w:color w:val="000000" w:themeColor="text1"/>
                            <w:sz w:val="28"/>
                            <w:szCs w:val="28"/>
                          </w:rPr>
                          <m:t>+</m:t>
                        </m:r>
                        <m:sSup>
                          <m:sSupPr>
                            <m:ctrlPr>
                              <w:rPr>
                                <w:rFonts w:ascii="Cambria Math" w:hAnsi="Cambria Math"/>
                                <w:color w:val="000000" w:themeColor="text1"/>
                                <w:sz w:val="28"/>
                                <w:szCs w:val="28"/>
                              </w:rPr>
                            </m:ctrlPr>
                          </m:sSupPr>
                          <m:e>
                            <m:r>
                              <m:rPr>
                                <m:sty m:val="p"/>
                              </m:rPr>
                              <w:rPr>
                                <w:rFonts w:ascii="Cambria Math" w:hAnsi="Cambria Math"/>
                                <w:color w:val="000000" w:themeColor="text1"/>
                                <w:sz w:val="28"/>
                                <w:szCs w:val="28"/>
                              </w:rPr>
                              <m:t>τ</m:t>
                            </m:r>
                          </m:e>
                          <m:sup>
                            <m:r>
                              <w:rPr>
                                <w:rFonts w:ascii="Cambria Math" w:hAnsi="Cambria Math"/>
                                <w:color w:val="000000" w:themeColor="text1"/>
                                <w:sz w:val="28"/>
                                <w:szCs w:val="28"/>
                              </w:rPr>
                              <m:t>2</m:t>
                            </m:r>
                          </m:sup>
                        </m:sSup>
                      </m:den>
                    </m:f>
                  </m:e>
                </m:nary>
              </m:e>
            </m:rad>
          </m:den>
        </m:f>
      </m:oMath>
      <w:r w:rsidR="00AD1317" w:rsidRPr="006D4CB5">
        <w:rPr>
          <w:color w:val="000000" w:themeColor="text1"/>
        </w:rPr>
        <w:t xml:space="preserve">, </w:t>
      </w:r>
      <w:r w:rsidR="00AD1317" w:rsidRPr="006D4CB5">
        <w:rPr>
          <w:color w:val="000000" w:themeColor="text1"/>
        </w:rPr>
        <w:tab/>
        <w:t xml:space="preserve">(Eq. </w:t>
      </w:r>
      <w:r w:rsidR="00566C22" w:rsidRPr="006D4CB5">
        <w:rPr>
          <w:color w:val="000000" w:themeColor="text1"/>
        </w:rPr>
        <w:t>12</w:t>
      </w:r>
      <w:r w:rsidR="00AD1317" w:rsidRPr="006D4CB5">
        <w:rPr>
          <w:color w:val="000000" w:themeColor="text1"/>
        </w:rPr>
        <w:t>b),</w:t>
      </w:r>
    </w:p>
    <w:p w14:paraId="06451F2A" w14:textId="77777777" w:rsidR="00AD1317" w:rsidRPr="006D4CB5" w:rsidRDefault="00AD1317" w:rsidP="00AD1317">
      <w:pPr>
        <w:rPr>
          <w:color w:val="000000" w:themeColor="text1"/>
        </w:rPr>
      </w:pPr>
    </w:p>
    <w:p w14:paraId="0ED423EF" w14:textId="52CF3B7D" w:rsidR="00076353" w:rsidRPr="006D4CB5" w:rsidRDefault="00AD1317" w:rsidP="001E251E">
      <w:pPr>
        <w:rPr>
          <w:color w:val="000000" w:themeColor="text1"/>
        </w:rPr>
      </w:pPr>
      <w:r w:rsidRPr="006D4CB5">
        <w:rPr>
          <w:color w:val="000000" w:themeColor="text1"/>
        </w:rPr>
        <w:t xml:space="preserve">Where </w:t>
      </w:r>
      <m:oMath>
        <m:sSup>
          <m:sSupPr>
            <m:ctrlPr>
              <w:rPr>
                <w:rFonts w:ascii="Cambria Math" w:hAnsi="Cambria Math"/>
                <w:color w:val="000000" w:themeColor="text1"/>
              </w:rPr>
            </m:ctrlPr>
          </m:sSupPr>
          <m:e>
            <m:r>
              <m:rPr>
                <m:sty m:val="p"/>
              </m:rPr>
              <w:rPr>
                <w:rFonts w:ascii="Cambria Math" w:hAnsi="Cambria Math"/>
                <w:color w:val="000000" w:themeColor="text1"/>
              </w:rPr>
              <m:t>τ</m:t>
            </m:r>
          </m:e>
          <m:sup>
            <m:r>
              <w:rPr>
                <w:rFonts w:ascii="Cambria Math" w:hAnsi="Cambria Math"/>
                <w:color w:val="000000" w:themeColor="text1"/>
              </w:rPr>
              <m:t>2</m:t>
            </m:r>
          </m:sup>
        </m:sSup>
      </m:oMath>
      <w:r w:rsidRPr="006D4CB5">
        <w:rPr>
          <w:color w:val="000000" w:themeColor="text1"/>
        </w:rPr>
        <w:t xml:space="preserve"> is estimated using restricted maximum-likelihood estimation. </w:t>
      </w:r>
      <w:r w:rsidR="00076353" w:rsidRPr="006D4CB5">
        <w:rPr>
          <w:color w:val="000000" w:themeColor="text1"/>
        </w:rPr>
        <w:t xml:space="preserve">We present these estimates, alongside LDSC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00076353" w:rsidRPr="006D4CB5">
        <w:rPr>
          <w:color w:val="000000" w:themeColor="text1"/>
        </w:rPr>
        <w:t xml:space="preserve"> estimates, in </w:t>
      </w:r>
      <w:r w:rsidR="00076353" w:rsidRPr="006D4CB5">
        <w:rPr>
          <w:b/>
          <w:bCs/>
          <w:color w:val="000000" w:themeColor="text1"/>
        </w:rPr>
        <w:t>Supplementary Table S</w:t>
      </w:r>
      <w:r w:rsidR="006B5674" w:rsidRPr="006D4CB5">
        <w:rPr>
          <w:b/>
          <w:bCs/>
          <w:color w:val="000000" w:themeColor="text1"/>
        </w:rPr>
        <w:t>2</w:t>
      </w:r>
      <w:r w:rsidR="00723032" w:rsidRPr="006D4CB5">
        <w:rPr>
          <w:b/>
          <w:bCs/>
          <w:color w:val="000000" w:themeColor="text1"/>
        </w:rPr>
        <w:t>1</w:t>
      </w:r>
      <w:r w:rsidR="006B5674" w:rsidRPr="006D4CB5">
        <w:rPr>
          <w:color w:val="000000" w:themeColor="text1"/>
        </w:rPr>
        <w:t>.</w:t>
      </w:r>
    </w:p>
    <w:p w14:paraId="7B7345DD" w14:textId="1BDE7441" w:rsidR="00076353" w:rsidRPr="006D4CB5" w:rsidRDefault="00076353" w:rsidP="00076353">
      <w:pPr>
        <w:ind w:firstLine="720"/>
        <w:rPr>
          <w:color w:val="000000" w:themeColor="text1"/>
        </w:rPr>
      </w:pPr>
      <w:r w:rsidRPr="006D4CB5">
        <w:rPr>
          <w:color w:val="000000" w:themeColor="text1"/>
        </w:rPr>
        <w:t xml:space="preserve">Across traits, LDSC and fixed-effects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were highly similar, reflecting the similar set of assumptions underlying these fixed-effects models. In contrast,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as indexed by random-effects meta-analysis sometimes varied from these fixed-effects estimates: For agreeableness, random-effects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was significantly larger than LDSC-estimated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(.074, SE = .010 versus .049, SE = .002), indicating heterogeneity in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across contributing cohorts. The variability in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across cohorts, quantified in a random-effects model using the </w:t>
      </w:r>
      <m:oMath>
        <m:r>
          <w:rPr>
            <w:rFonts w:ascii="Cambria Math" w:hAnsi="Cambria Math"/>
            <w:color w:val="000000" w:themeColor="text1"/>
          </w:rPr>
          <m:t>τ</m:t>
        </m:r>
      </m:oMath>
      <w:r w:rsidR="001C5988" w:rsidRPr="006D4CB5">
        <w:rPr>
          <w:color w:val="000000" w:themeColor="text1"/>
          <w:vertAlign w:val="superscript"/>
        </w:rPr>
        <w:t>2</w:t>
      </w:r>
      <w:r w:rsidRPr="006D4CB5">
        <w:rPr>
          <w:color w:val="000000" w:themeColor="text1"/>
        </w:rPr>
        <w:t xml:space="preserve"> parameter, ranged from .019 for neuroticism to .046 for openness to experience. </w:t>
      </w:r>
    </w:p>
    <w:p w14:paraId="104C186A" w14:textId="6F821FAE" w:rsidR="00076353" w:rsidRPr="006D4CB5" w:rsidRDefault="00076353" w:rsidP="00076353">
      <w:pPr>
        <w:ind w:firstLine="720"/>
        <w:rPr>
          <w:color w:val="000000" w:themeColor="text1"/>
        </w:rPr>
      </w:pPr>
      <w:r w:rsidRPr="006D4CB5">
        <w:rPr>
          <w:color w:val="000000" w:themeColor="text1"/>
        </w:rPr>
        <w:t xml:space="preserve">Foundational psychometric theory posits that measurement error attenuates a measure’s statistical signal (Spearman, 1910; Novick et al., 1971) This has previously been demonstrated for the heritability of personality using twin samples (Jang et al., 1998): less reliable scales tend to be less heritable, and scales with greater reliability tend to be more heritable.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estimates across many cohorts that measured personality using differentially reliable instruments allowed us to test for the first time whether there is an association between a personality measure’s reliability and its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w:t>
      </w:r>
    </w:p>
    <w:p w14:paraId="525147FD" w14:textId="70271B6E" w:rsidR="00076353" w:rsidRPr="006D4CB5" w:rsidRDefault="00076353" w:rsidP="00076353">
      <w:pPr>
        <w:ind w:firstLine="720"/>
        <w:rPr>
          <w:color w:val="000000" w:themeColor="text1"/>
        </w:rPr>
      </w:pPr>
      <w:r w:rsidRPr="006D4CB5">
        <w:rPr>
          <w:color w:val="000000" w:themeColor="text1"/>
        </w:rPr>
        <w:t xml:space="preserve">To test this, we estimated six weighted meta-regressions where the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in each cohort was regressed on the reliability of its personality measure, indexed in terms of Cronbach’s alpha and accounting for each cohort’s relative power. Specifically, for each of the Big Five traits, we estimated the following equation:</w:t>
      </w:r>
    </w:p>
    <w:p w14:paraId="13439891" w14:textId="77777777" w:rsidR="00076353" w:rsidRPr="006D4CB5" w:rsidRDefault="00076353" w:rsidP="00076353">
      <w:pPr>
        <w:rPr>
          <w:color w:val="000000" w:themeColor="text1"/>
        </w:rPr>
      </w:pPr>
    </w:p>
    <w:p w14:paraId="2340BC7B" w14:textId="27543CB5" w:rsidR="00076353" w:rsidRPr="006D4CB5" w:rsidRDefault="00000000" w:rsidP="00076353">
      <w:pPr>
        <w:ind w:left="720" w:firstLine="720"/>
        <w:jc w:val="center"/>
        <w:rPr>
          <w:color w:val="000000" w:themeColor="text1"/>
        </w:rPr>
      </w:pPr>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m:t>
            </m:r>
          </m:sub>
          <m:sup>
            <m:r>
              <w:rPr>
                <w:rFonts w:ascii="Cambria Math" w:hAnsi="Cambria Math"/>
                <w:color w:val="000000" w:themeColor="text1"/>
              </w:rPr>
              <m:t>2</m:t>
            </m:r>
          </m:sup>
        </m:sSubSup>
        <m:r>
          <w:rPr>
            <w:rFonts w:ascii="Cambria Math" w:hAnsi="Cambria Math"/>
            <w:color w:val="000000" w:themeColor="text1"/>
          </w:rPr>
          <m:t> = 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α-1</m:t>
            </m:r>
          </m:e>
        </m:d>
        <m:r>
          <w:rPr>
            <w:rFonts w:ascii="Cambria Math" w:hAnsi="Cambria Math"/>
            <w:color w:val="000000" w:themeColor="text1"/>
          </w:rPr>
          <m:t>+e</m:t>
        </m:r>
      </m:oMath>
      <w:r w:rsidR="00076353" w:rsidRPr="006D4CB5">
        <w:rPr>
          <w:color w:val="000000" w:themeColor="text1"/>
        </w:rPr>
        <w:t xml:space="preserve"> ,</w:t>
      </w:r>
      <w:r w:rsidR="00076353" w:rsidRPr="006D4CB5">
        <w:rPr>
          <w:color w:val="000000" w:themeColor="text1"/>
        </w:rPr>
        <w:tab/>
        <w:t xml:space="preserve">(Eq. </w:t>
      </w:r>
      <w:r w:rsidR="0032425E" w:rsidRPr="006D4CB5">
        <w:rPr>
          <w:color w:val="000000" w:themeColor="text1"/>
        </w:rPr>
        <w:t>1</w:t>
      </w:r>
      <w:r w:rsidR="00566C22" w:rsidRPr="006D4CB5">
        <w:rPr>
          <w:color w:val="000000" w:themeColor="text1"/>
        </w:rPr>
        <w:t>3</w:t>
      </w:r>
      <w:r w:rsidR="004E4F12" w:rsidRPr="006D4CB5">
        <w:rPr>
          <w:color w:val="000000" w:themeColor="text1"/>
        </w:rPr>
        <w:t>a</w:t>
      </w:r>
      <w:r w:rsidR="00076353" w:rsidRPr="006D4CB5">
        <w:rPr>
          <w:color w:val="000000" w:themeColor="text1"/>
        </w:rPr>
        <w:t>)</w:t>
      </w:r>
    </w:p>
    <w:p w14:paraId="058B914E" w14:textId="77777777" w:rsidR="00076353" w:rsidRPr="006D4CB5" w:rsidRDefault="00076353" w:rsidP="00076353">
      <w:pPr>
        <w:rPr>
          <w:color w:val="000000" w:themeColor="text1"/>
        </w:rPr>
      </w:pPr>
    </w:p>
    <w:p w14:paraId="56520FE9" w14:textId="77777777" w:rsidR="00076353" w:rsidRPr="006D4CB5" w:rsidRDefault="00076353" w:rsidP="00076353">
      <w:pPr>
        <w:rPr>
          <w:color w:val="000000" w:themeColor="text1"/>
        </w:rPr>
      </w:pPr>
      <w:r w:rsidRPr="006D4CB5">
        <w:rPr>
          <w:color w:val="000000" w:themeColor="text1"/>
        </w:rPr>
        <w:t xml:space="preserve">with each estimate weighted according to </w:t>
      </w:r>
      <w:r w:rsidRPr="006D4CB5">
        <w:rPr>
          <w:color w:val="000000" w:themeColor="text1"/>
        </w:rPr>
        <w:br/>
      </w:r>
    </w:p>
    <w:p w14:paraId="25394ECA" w14:textId="65A9A06D" w:rsidR="00076353" w:rsidRPr="006D4CB5" w:rsidRDefault="00076353" w:rsidP="00076353">
      <w:pPr>
        <w:ind w:firstLine="720"/>
        <w:jc w:val="center"/>
        <w:rPr>
          <w:color w:val="000000" w:themeColor="text1"/>
        </w:rPr>
      </w:pPr>
      <m:oMath>
        <m:r>
          <w:rPr>
            <w:rFonts w:ascii="Cambria Math" w:hAnsi="Cambria Math"/>
            <w:color w:val="000000" w:themeColor="text1"/>
          </w:rPr>
          <m:t>weight = </m:t>
        </m:r>
        <m:f>
          <m:fPr>
            <m:ctrlPr>
              <w:rPr>
                <w:rFonts w:ascii="Cambria Math" w:hAnsi="Cambria Math"/>
                <w:color w:val="000000" w:themeColor="text1"/>
              </w:rPr>
            </m:ctrlPr>
          </m:fPr>
          <m:num>
            <m:r>
              <w:rPr>
                <w:rFonts w:ascii="Cambria Math" w:hAnsi="Cambria Math"/>
                <w:color w:val="000000" w:themeColor="text1"/>
              </w:rPr>
              <m:t>1</m:t>
            </m:r>
          </m:num>
          <m:den>
            <m:sSubSup>
              <m:sSubSupPr>
                <m:ctrlPr>
                  <w:rPr>
                    <w:rFonts w:ascii="Cambria Math" w:hAnsi="Cambria Math"/>
                    <w:color w:val="000000" w:themeColor="text1"/>
                  </w:rPr>
                </m:ctrlPr>
              </m:sSubSupPr>
              <m:e>
                <m:r>
                  <m:rPr>
                    <m:sty m:val="p"/>
                  </m:rPr>
                  <w:rPr>
                    <w:rFonts w:ascii="Cambria Math" w:hAnsi="Cambria Math"/>
                    <w:color w:val="000000" w:themeColor="text1"/>
                  </w:rPr>
                  <m:t>SE</m:t>
                </m:r>
              </m:e>
              <m:sub>
                <m:sSup>
                  <m:sSupPr>
                    <m:ctrlPr>
                      <w:rPr>
                        <w:rFonts w:ascii="Cambria Math" w:hAnsi="Cambria Math"/>
                        <w:i/>
                        <w:color w:val="000000" w:themeColor="text1"/>
                      </w:rPr>
                    </m:ctrlPr>
                  </m:sSupPr>
                  <m:e>
                    <m:r>
                      <w:rPr>
                        <w:rFonts w:ascii="Cambria Math" w:hAnsi="Cambria Math"/>
                        <w:color w:val="000000" w:themeColor="text1"/>
                      </w:rPr>
                      <m:t>h</m:t>
                    </m:r>
                  </m:e>
                  <m:sup>
                    <m:r>
                      <w:rPr>
                        <w:rFonts w:ascii="Cambria Math" w:hAnsi="Cambria Math"/>
                        <w:color w:val="000000" w:themeColor="text1"/>
                      </w:rPr>
                      <m:t>2</m:t>
                    </m:r>
                  </m:sup>
                </m:sSup>
              </m:sub>
              <m:sup>
                <m:r>
                  <w:rPr>
                    <w:rFonts w:ascii="Cambria Math" w:hAnsi="Cambria Math"/>
                    <w:color w:val="000000" w:themeColor="text1"/>
                  </w:rPr>
                  <m:t>2</m:t>
                </m:r>
              </m:sup>
            </m:sSubSup>
          </m:den>
        </m:f>
      </m:oMath>
      <w:r w:rsidRPr="006D4CB5">
        <w:rPr>
          <w:color w:val="000000" w:themeColor="text1"/>
        </w:rPr>
        <w:t xml:space="preserve"> .</w:t>
      </w:r>
      <w:r w:rsidR="006B02C8" w:rsidRPr="006D4CB5">
        <w:rPr>
          <w:color w:val="000000" w:themeColor="text1"/>
        </w:rPr>
        <w:tab/>
      </w:r>
      <w:r w:rsidRPr="006D4CB5">
        <w:rPr>
          <w:color w:val="000000" w:themeColor="text1"/>
        </w:rPr>
        <w:t xml:space="preserve">(Eq. </w:t>
      </w:r>
      <w:r w:rsidR="0032425E" w:rsidRPr="006D4CB5">
        <w:rPr>
          <w:color w:val="000000" w:themeColor="text1"/>
        </w:rPr>
        <w:t>1</w:t>
      </w:r>
      <w:r w:rsidR="00566C22" w:rsidRPr="006D4CB5">
        <w:rPr>
          <w:color w:val="000000" w:themeColor="text1"/>
        </w:rPr>
        <w:t>3</w:t>
      </w:r>
      <w:r w:rsidR="004E4F12" w:rsidRPr="006D4CB5">
        <w:rPr>
          <w:color w:val="000000" w:themeColor="text1"/>
        </w:rPr>
        <w:t>b</w:t>
      </w:r>
      <w:r w:rsidRPr="006D4CB5">
        <w:rPr>
          <w:color w:val="000000" w:themeColor="text1"/>
        </w:rPr>
        <w:t>)</w:t>
      </w:r>
    </w:p>
    <w:p w14:paraId="22905980" w14:textId="77777777" w:rsidR="00076353" w:rsidRPr="006D4CB5" w:rsidRDefault="00076353" w:rsidP="00076353">
      <w:pPr>
        <w:rPr>
          <w:color w:val="000000" w:themeColor="text1"/>
        </w:rPr>
      </w:pPr>
    </w:p>
    <w:p w14:paraId="16C64D3B" w14:textId="535508A6" w:rsidR="00076353" w:rsidRPr="006D4CB5" w:rsidRDefault="00076353" w:rsidP="00076353">
      <w:pPr>
        <w:spacing w:line="259" w:lineRule="auto"/>
        <w:ind w:firstLine="720"/>
        <w:rPr>
          <w:color w:val="000000" w:themeColor="text1"/>
        </w:rPr>
      </w:pPr>
      <w:r w:rsidRPr="006D4CB5">
        <w:rPr>
          <w:color w:val="000000" w:themeColor="text1"/>
        </w:rPr>
        <w:t xml:space="preserve">In this equation,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oMath>
      <w:r w:rsidRPr="006D4CB5">
        <w:rPr>
          <w:color w:val="000000" w:themeColor="text1"/>
        </w:rPr>
        <w:t xml:space="preserve"> is an intercept describing the trait’s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at an alpha of 1.0,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oMath>
      <w:r w:rsidRPr="006D4CB5">
        <w:rPr>
          <w:color w:val="000000" w:themeColor="text1"/>
        </w:rPr>
        <w:t xml:space="preserve"> is a slope parameter describing the association between variability in the scale’s</w:t>
      </w:r>
      <w:r w:rsidR="00E26327" w:rsidRPr="006D4CB5">
        <w:rPr>
          <w:color w:val="000000" w:themeColor="text1"/>
        </w:rPr>
        <w:t xml:space="preserve"> reliability (</w:t>
      </w:r>
      <w:r w:rsidRPr="006D4CB5">
        <w:rPr>
          <w:color w:val="000000" w:themeColor="text1"/>
        </w:rPr>
        <w:t>internal consistency</w:t>
      </w:r>
      <w:r w:rsidR="00E26327" w:rsidRPr="006D4CB5">
        <w:rPr>
          <w:color w:val="000000" w:themeColor="text1"/>
        </w:rPr>
        <w:t xml:space="preserve">, </w:t>
      </w:r>
      <w:r w:rsidRPr="006D4CB5">
        <w:rPr>
          <w:i/>
          <w:iCs/>
          <w:color w:val="000000" w:themeColor="text1"/>
        </w:rPr>
        <w:t>α</w:t>
      </w:r>
      <w:r w:rsidRPr="006D4CB5">
        <w:rPr>
          <w:color w:val="000000" w:themeColor="text1"/>
        </w:rPr>
        <w:t xml:space="preserve">) minus 1 and its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and </w:t>
      </w:r>
      <m:oMath>
        <m:sSubSup>
          <m:sSubSupPr>
            <m:ctrlPr>
              <w:rPr>
                <w:rFonts w:ascii="Cambria Math" w:hAnsi="Cambria Math"/>
                <w:color w:val="000000" w:themeColor="text1"/>
              </w:rPr>
            </m:ctrlPr>
          </m:sSubSupPr>
          <m:e>
            <m:r>
              <m:rPr>
                <m:sty m:val="p"/>
              </m:rPr>
              <w:rPr>
                <w:rFonts w:ascii="Cambria Math" w:hAnsi="Cambria Math"/>
                <w:color w:val="000000" w:themeColor="text1"/>
              </w:rPr>
              <m:t>SE</m:t>
            </m:r>
          </m:e>
          <m:sub>
            <m:sSup>
              <m:sSupPr>
                <m:ctrlPr>
                  <w:rPr>
                    <w:rFonts w:ascii="Cambria Math" w:hAnsi="Cambria Math"/>
                    <w:i/>
                    <w:color w:val="000000" w:themeColor="text1"/>
                  </w:rPr>
                </m:ctrlPr>
              </m:sSupPr>
              <m:e>
                <m:r>
                  <w:rPr>
                    <w:rFonts w:ascii="Cambria Math" w:hAnsi="Cambria Math"/>
                    <w:color w:val="000000" w:themeColor="text1"/>
                  </w:rPr>
                  <m:t>h</m:t>
                </m:r>
              </m:e>
              <m:sup>
                <m:r>
                  <w:rPr>
                    <w:rFonts w:ascii="Cambria Math" w:hAnsi="Cambria Math"/>
                    <w:color w:val="000000" w:themeColor="text1"/>
                  </w:rPr>
                  <m:t>2</m:t>
                </m:r>
              </m:sup>
            </m:sSup>
          </m:sub>
          <m:sup>
            <m:r>
              <w:rPr>
                <w:rFonts w:ascii="Cambria Math" w:hAnsi="Cambria Math"/>
                <w:color w:val="000000" w:themeColor="text1"/>
              </w:rPr>
              <m:t>2</m:t>
            </m:r>
          </m:sup>
        </m:sSubSup>
      </m:oMath>
      <w:r w:rsidRPr="006D4CB5">
        <w:rPr>
          <w:color w:val="000000" w:themeColor="text1"/>
        </w:rPr>
        <w:t xml:space="preserve"> is the SNP heritability standard error for each cohort. We also estimated a sixth meta-regression using the lme4 package in R (Bates, 2010), where we predicted </w:t>
      </w:r>
      <w:r w:rsidR="00065F92" w:rsidRPr="006D4CB5">
        <w:rPr>
          <w:color w:val="000000" w:themeColor="text1"/>
        </w:rPr>
        <w:t>h</w:t>
      </w:r>
      <w:r w:rsidR="00065F92" w:rsidRPr="006D4CB5">
        <w:rPr>
          <w:color w:val="000000" w:themeColor="text1"/>
          <w:vertAlign w:val="superscript"/>
        </w:rPr>
        <w:t>2</w:t>
      </w:r>
      <w:r w:rsidR="00065F92" w:rsidRPr="006D4CB5">
        <w:rPr>
          <w:color w:val="000000" w:themeColor="text1"/>
          <w:vertAlign w:val="subscript"/>
        </w:rPr>
        <w:t>SNP</w:t>
      </w:r>
      <w:r w:rsidRPr="006D4CB5">
        <w:rPr>
          <w:color w:val="000000" w:themeColor="text1"/>
        </w:rPr>
        <w:t xml:space="preserve"> from internal consistency in a mixed linear model with a random intercept, with </w:t>
      </w:r>
      <w:r w:rsidR="00065F92" w:rsidRPr="006D4CB5">
        <w:rPr>
          <w:color w:val="000000" w:themeColor="text1"/>
        </w:rPr>
        <w:t>h</w:t>
      </w:r>
      <w:r w:rsidR="00065F92" w:rsidRPr="006D4CB5">
        <w:rPr>
          <w:color w:val="000000" w:themeColor="text1"/>
          <w:vertAlign w:val="superscript"/>
        </w:rPr>
        <w:t>2</w:t>
      </w:r>
      <w:r w:rsidR="00065F92" w:rsidRPr="006D4CB5">
        <w:rPr>
          <w:color w:val="000000" w:themeColor="text1"/>
          <w:vertAlign w:val="subscript"/>
        </w:rPr>
        <w:t>SNP</w:t>
      </w:r>
      <w:r w:rsidRPr="006D4CB5">
        <w:rPr>
          <w:color w:val="000000" w:themeColor="text1"/>
        </w:rPr>
        <w:t xml:space="preserve"> estimates for each trait nested within studies, and estimates weighted by both the inverse sampling variance of the </w:t>
      </w:r>
      <w:r w:rsidR="00065F92" w:rsidRPr="006D4CB5">
        <w:rPr>
          <w:color w:val="000000" w:themeColor="text1"/>
        </w:rPr>
        <w:t>h</w:t>
      </w:r>
      <w:r w:rsidR="00065F92" w:rsidRPr="006D4CB5">
        <w:rPr>
          <w:color w:val="000000" w:themeColor="text1"/>
          <w:vertAlign w:val="superscript"/>
        </w:rPr>
        <w:t>2</w:t>
      </w:r>
      <w:r w:rsidR="00065F92" w:rsidRPr="006D4CB5">
        <w:rPr>
          <w:color w:val="000000" w:themeColor="text1"/>
          <w:vertAlign w:val="subscript"/>
        </w:rPr>
        <w:t>SNP</w:t>
      </w:r>
      <w:r w:rsidRPr="006D4CB5">
        <w:rPr>
          <w:color w:val="000000" w:themeColor="text1"/>
        </w:rPr>
        <w:t xml:space="preserve"> estimates and the inverse number of estimates contributed by that cohort, to appropriately account for cohorts that contributed multiple estimates across traits, as in the following equation:</w:t>
      </w:r>
    </w:p>
    <w:p w14:paraId="508DA015" w14:textId="77777777" w:rsidR="00076353" w:rsidRPr="006D4CB5" w:rsidRDefault="00076353" w:rsidP="00076353">
      <w:pPr>
        <w:spacing w:line="259" w:lineRule="auto"/>
        <w:rPr>
          <w:color w:val="000000" w:themeColor="text1"/>
        </w:rPr>
      </w:pPr>
    </w:p>
    <w:p w14:paraId="644322B0" w14:textId="2D01E418" w:rsidR="00076353" w:rsidRPr="006D4CB5" w:rsidRDefault="00000000" w:rsidP="00076353">
      <w:pPr>
        <w:spacing w:line="259" w:lineRule="auto"/>
        <w:ind w:firstLine="720"/>
        <w:jc w:val="center"/>
        <w:rPr>
          <w:color w:val="000000" w:themeColor="text1"/>
        </w:rPr>
      </w:pPr>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SNP i, j</m:t>
            </m:r>
          </m:sub>
          <m:sup>
            <m:r>
              <w:rPr>
                <w:rFonts w:ascii="Cambria Math" w:hAnsi="Cambria Math"/>
                <w:color w:val="000000" w:themeColor="text1"/>
              </w:rPr>
              <m:t>2</m:t>
            </m:r>
          </m:sup>
        </m:sSubSup>
        <m:r>
          <w:rPr>
            <w:rFonts w:ascii="Cambria Math" w:hAnsi="Cambria Math"/>
            <w:color w:val="000000" w:themeColor="text1"/>
          </w:rPr>
          <m:t>= 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d>
          <m:dPr>
            <m:ctrlPr>
              <w:rPr>
                <w:rFonts w:ascii="Cambria Math" w:hAnsi="Cambria Math"/>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ij</m:t>
                </m:r>
              </m:sub>
            </m:sSub>
            <m:r>
              <w:rPr>
                <w:rFonts w:ascii="Cambria Math" w:hAnsi="Cambria Math"/>
                <w:color w:val="000000" w:themeColor="text1"/>
              </w:rPr>
              <m:t>-1</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ij</m:t>
            </m:r>
          </m:sub>
        </m:sSub>
      </m:oMath>
      <w:r w:rsidR="00076353" w:rsidRPr="006D4CB5">
        <w:rPr>
          <w:color w:val="000000" w:themeColor="text1"/>
        </w:rPr>
        <w:t>.</w:t>
      </w:r>
      <w:r w:rsidR="006B02C8" w:rsidRPr="006D4CB5">
        <w:rPr>
          <w:color w:val="000000" w:themeColor="text1"/>
        </w:rPr>
        <w:tab/>
      </w:r>
      <w:r w:rsidR="00076353" w:rsidRPr="006D4CB5">
        <w:rPr>
          <w:color w:val="000000" w:themeColor="text1"/>
        </w:rPr>
        <w:t xml:space="preserve">(Eq. </w:t>
      </w:r>
      <w:r w:rsidR="0032425E" w:rsidRPr="006D4CB5">
        <w:rPr>
          <w:color w:val="000000" w:themeColor="text1"/>
        </w:rPr>
        <w:t>1</w:t>
      </w:r>
      <w:r w:rsidR="00566C22" w:rsidRPr="006D4CB5">
        <w:rPr>
          <w:color w:val="000000" w:themeColor="text1"/>
        </w:rPr>
        <w:t>4</w:t>
      </w:r>
      <w:r w:rsidR="0032425E" w:rsidRPr="006D4CB5">
        <w:rPr>
          <w:color w:val="000000" w:themeColor="text1"/>
        </w:rPr>
        <w:t>a</w:t>
      </w:r>
      <w:r w:rsidR="00076353" w:rsidRPr="006D4CB5">
        <w:rPr>
          <w:color w:val="000000" w:themeColor="text1"/>
        </w:rPr>
        <w:t>)</w:t>
      </w:r>
    </w:p>
    <w:p w14:paraId="7E96AAB3" w14:textId="77777777" w:rsidR="00076353" w:rsidRPr="006D4CB5" w:rsidRDefault="00076353" w:rsidP="00076353">
      <w:pPr>
        <w:spacing w:line="259" w:lineRule="auto"/>
        <w:rPr>
          <w:color w:val="000000" w:themeColor="text1"/>
        </w:rPr>
      </w:pPr>
    </w:p>
    <w:p w14:paraId="751FA363" w14:textId="1FF39A78" w:rsidR="00076353" w:rsidRPr="006D4CB5" w:rsidRDefault="00076353" w:rsidP="00076353">
      <w:pPr>
        <w:spacing w:line="259" w:lineRule="auto"/>
        <w:rPr>
          <w:color w:val="000000" w:themeColor="text1"/>
        </w:rPr>
      </w:pPr>
      <w:r w:rsidRPr="006D4CB5">
        <w:rPr>
          <w:color w:val="000000" w:themeColor="text1"/>
        </w:rPr>
        <w:lastRenderedPageBreak/>
        <w:t xml:space="preserve">where </w:t>
      </w:r>
      <m:oMath>
        <m:r>
          <w:rPr>
            <w:rFonts w:ascii="Cambria Math" w:hAnsi="Cambria Math"/>
            <w:color w:val="000000" w:themeColor="text1"/>
          </w:rPr>
          <m:t>i</m:t>
        </m:r>
      </m:oMath>
      <w:r w:rsidRPr="006D4CB5">
        <w:rPr>
          <w:color w:val="000000" w:themeColor="text1"/>
        </w:rPr>
        <w:t xml:space="preserve"> is each individual </w:t>
      </w:r>
      <w:r w:rsidR="00065F92" w:rsidRPr="006D4CB5">
        <w:rPr>
          <w:color w:val="000000" w:themeColor="text1"/>
        </w:rPr>
        <w:t xml:space="preserve">SNP heritability </w:t>
      </w:r>
      <w:r w:rsidRPr="006D4CB5">
        <w:rPr>
          <w:color w:val="000000" w:themeColor="text1"/>
        </w:rPr>
        <w:t xml:space="preserve">estimate and </w:t>
      </w:r>
      <m:oMath>
        <m:r>
          <w:rPr>
            <w:rFonts w:ascii="Cambria Math" w:hAnsi="Cambria Math"/>
            <w:color w:val="000000" w:themeColor="text1"/>
          </w:rPr>
          <m:t>j</m:t>
        </m:r>
      </m:oMath>
      <w:r w:rsidRPr="006D4CB5">
        <w:rPr>
          <w:color w:val="000000" w:themeColor="text1"/>
        </w:rPr>
        <w:t xml:space="preserve"> is each cohort, with each estimate given weight that is inversely proportional to the number of Big Five traits it measured (</w:t>
      </w:r>
      <m:oMath>
        <m:r>
          <w:rPr>
            <w:rFonts w:ascii="Cambria Math" w:hAnsi="Cambria Math"/>
            <w:color w:val="000000" w:themeColor="text1"/>
          </w:rPr>
          <m:t>Ntraits</m:t>
        </m:r>
      </m:oMath>
      <w:r w:rsidRPr="006D4CB5">
        <w:rPr>
          <w:color w:val="000000" w:themeColor="text1"/>
        </w:rPr>
        <w:t>), ranging from 1 to 5:</w:t>
      </w:r>
    </w:p>
    <w:p w14:paraId="59CC11A9" w14:textId="77777777" w:rsidR="00076353" w:rsidRPr="006D4CB5" w:rsidRDefault="00076353" w:rsidP="00076353">
      <w:pPr>
        <w:rPr>
          <w:color w:val="000000" w:themeColor="text1"/>
        </w:rPr>
      </w:pPr>
    </w:p>
    <w:p w14:paraId="04CE749D" w14:textId="7F06E9EA" w:rsidR="00076353" w:rsidRPr="006D4CB5" w:rsidRDefault="00076353" w:rsidP="00076353">
      <w:pPr>
        <w:ind w:firstLine="720"/>
        <w:jc w:val="center"/>
        <w:rPr>
          <w:color w:val="000000" w:themeColor="text1"/>
        </w:rPr>
      </w:pPr>
      <m:oMath>
        <m:r>
          <w:rPr>
            <w:rFonts w:ascii="Cambria Math" w:hAnsi="Cambria Math"/>
            <w:color w:val="000000" w:themeColor="text1"/>
          </w:rPr>
          <m:t>weight = </m:t>
        </m:r>
        <m:f>
          <m:fPr>
            <m:ctrlPr>
              <w:rPr>
                <w:rFonts w:ascii="Cambria Math" w:hAnsi="Cambria Math"/>
                <w:color w:val="000000" w:themeColor="text1"/>
              </w:rPr>
            </m:ctrlPr>
          </m:fPr>
          <m:num>
            <m:r>
              <w:rPr>
                <w:rFonts w:ascii="Cambria Math" w:hAnsi="Cambria Math"/>
                <w:color w:val="000000" w:themeColor="text1"/>
              </w:rPr>
              <m:t>1</m:t>
            </m:r>
          </m:num>
          <m:den>
            <m:sSup>
              <m:sSupPr>
                <m:ctrlPr>
                  <w:rPr>
                    <w:rFonts w:ascii="Cambria Math" w:hAnsi="Cambria Math"/>
                    <w:color w:val="000000" w:themeColor="text1"/>
                  </w:rPr>
                </m:ctrlPr>
              </m:sSupPr>
              <m:e>
                <m:r>
                  <w:rPr>
                    <w:rFonts w:ascii="Cambria Math" w:hAnsi="Cambria Math"/>
                    <w:color w:val="000000" w:themeColor="text1"/>
                  </w:rPr>
                  <m:t>h</m:t>
                </m:r>
              </m:e>
              <m:sup>
                <m:r>
                  <w:rPr>
                    <w:rFonts w:ascii="Cambria Math" w:hAnsi="Cambria Math"/>
                    <w:color w:val="000000" w:themeColor="text1"/>
                  </w:rPr>
                  <m:t>2</m:t>
                </m:r>
              </m:sup>
            </m:sSup>
            <m:r>
              <w:rPr>
                <w:rFonts w:ascii="Cambria Math" w:hAnsi="Cambria Math"/>
                <w:color w:val="000000" w:themeColor="text1"/>
              </w:rPr>
              <m:t>S</m:t>
            </m:r>
            <m:sSup>
              <m:sSupPr>
                <m:ctrlPr>
                  <w:rPr>
                    <w:rFonts w:ascii="Cambria Math" w:hAnsi="Cambria Math"/>
                    <w:color w:val="000000" w:themeColor="text1"/>
                  </w:rPr>
                </m:ctrlPr>
              </m:sSupPr>
              <m:e>
                <m:r>
                  <w:rPr>
                    <w:rFonts w:ascii="Cambria Math" w:hAnsi="Cambria Math"/>
                    <w:color w:val="000000" w:themeColor="text1"/>
                  </w:rPr>
                  <m:t>E</m:t>
                </m:r>
              </m:e>
              <m:sup>
                <m:r>
                  <w:rPr>
                    <w:rFonts w:ascii="Cambria Math" w:hAnsi="Cambria Math"/>
                    <w:color w:val="000000" w:themeColor="text1"/>
                  </w:rPr>
                  <m:t>2</m:t>
                </m:r>
              </m:sup>
            </m:sSup>
            <m:r>
              <w:rPr>
                <w:rFonts w:ascii="Cambria Math" w:hAnsi="Cambria Math"/>
                <w:color w:val="000000" w:themeColor="text1"/>
              </w:rPr>
              <m:t>×Ntraits</m:t>
            </m:r>
          </m:den>
        </m:f>
      </m:oMath>
      <w:r w:rsidRPr="006D4CB5">
        <w:rPr>
          <w:color w:val="000000" w:themeColor="text1"/>
        </w:rPr>
        <w:t xml:space="preserve"> .</w:t>
      </w:r>
      <w:r w:rsidRPr="006D4CB5">
        <w:rPr>
          <w:color w:val="000000" w:themeColor="text1"/>
        </w:rPr>
        <w:tab/>
        <w:t xml:space="preserve">(Eq. </w:t>
      </w:r>
      <w:r w:rsidR="0032425E" w:rsidRPr="006D4CB5">
        <w:rPr>
          <w:color w:val="000000" w:themeColor="text1"/>
        </w:rPr>
        <w:t>1</w:t>
      </w:r>
      <w:r w:rsidR="00566C22" w:rsidRPr="006D4CB5">
        <w:rPr>
          <w:color w:val="000000" w:themeColor="text1"/>
        </w:rPr>
        <w:t>4</w:t>
      </w:r>
      <w:r w:rsidR="0032425E" w:rsidRPr="006D4CB5">
        <w:rPr>
          <w:color w:val="000000" w:themeColor="text1"/>
        </w:rPr>
        <w:t>b</w:t>
      </w:r>
      <w:r w:rsidRPr="006D4CB5">
        <w:rPr>
          <w:color w:val="000000" w:themeColor="text1"/>
        </w:rPr>
        <w:t>)</w:t>
      </w:r>
    </w:p>
    <w:p w14:paraId="7F5C53F1" w14:textId="77777777" w:rsidR="00076353" w:rsidRPr="006D4CB5" w:rsidRDefault="00076353" w:rsidP="00076353">
      <w:pPr>
        <w:spacing w:line="259" w:lineRule="auto"/>
        <w:rPr>
          <w:color w:val="000000" w:themeColor="text1"/>
        </w:rPr>
      </w:pPr>
    </w:p>
    <w:p w14:paraId="140D4B80" w14:textId="47489FF5" w:rsidR="00076353" w:rsidRPr="006D4CB5" w:rsidRDefault="00076353" w:rsidP="00076353">
      <w:pPr>
        <w:ind w:firstLine="720"/>
        <w:rPr>
          <w:color w:val="000000" w:themeColor="text1"/>
        </w:rPr>
      </w:pPr>
      <w:r w:rsidRPr="006D4CB5">
        <w:rPr>
          <w:color w:val="000000" w:themeColor="text1"/>
        </w:rPr>
        <w:t xml:space="preserve">Specific </w:t>
      </w:r>
      <w:r w:rsidRPr="006D4CB5">
        <w:rPr>
          <w:i/>
          <w:iCs/>
          <w:color w:val="000000" w:themeColor="text1"/>
        </w:rPr>
        <w:t>α</w:t>
      </w:r>
      <w:r w:rsidRPr="006D4CB5">
        <w:rPr>
          <w:color w:val="000000" w:themeColor="text1"/>
        </w:rPr>
        <w:t xml:space="preserve"> estimates for each trait measured with each scale can be found in </w:t>
      </w:r>
      <w:r w:rsidRPr="006D4CB5">
        <w:rPr>
          <w:b/>
          <w:bCs/>
          <w:color w:val="000000" w:themeColor="text1"/>
        </w:rPr>
        <w:t>Supplementary Table S1</w:t>
      </w:r>
      <w:r w:rsidRPr="006D4CB5">
        <w:rPr>
          <w:color w:val="000000" w:themeColor="text1"/>
        </w:rPr>
        <w:t xml:space="preserve">. We note that for many scales, estimates of </w:t>
      </w:r>
      <w:r w:rsidR="00065F92" w:rsidRPr="006D4CB5">
        <w:rPr>
          <w:i/>
          <w:iCs/>
          <w:color w:val="000000" w:themeColor="text1"/>
        </w:rPr>
        <w:t>α</w:t>
      </w:r>
      <w:r w:rsidR="00065F92" w:rsidRPr="006D4CB5" w:rsidDel="00065F92">
        <w:rPr>
          <w:color w:val="000000" w:themeColor="text1"/>
        </w:rPr>
        <w:t xml:space="preserve"> </w:t>
      </w:r>
      <w:r w:rsidRPr="006D4CB5">
        <w:rPr>
          <w:color w:val="000000" w:themeColor="text1"/>
        </w:rPr>
        <w:t xml:space="preserve">were obtained from externally published scale validation estimates using different cohorts, introducing measurement error that likely attenuated meta-regression associations somewhat. </w:t>
      </w:r>
    </w:p>
    <w:p w14:paraId="62E4B4A1" w14:textId="518CADC8" w:rsidR="00076353" w:rsidRPr="006D4CB5" w:rsidRDefault="00076353" w:rsidP="006C2D2F">
      <w:pPr>
        <w:rPr>
          <w:color w:val="000000" w:themeColor="text1"/>
        </w:rPr>
      </w:pPr>
      <w:r w:rsidRPr="006D4CB5">
        <w:rPr>
          <w:color w:val="000000" w:themeColor="text1"/>
        </w:rPr>
        <w:t xml:space="preserve">As shown in </w:t>
      </w:r>
      <w:r w:rsidR="0052029E" w:rsidRPr="006D4CB5">
        <w:rPr>
          <w:b/>
          <w:bCs/>
          <w:color w:val="000000" w:themeColor="text1"/>
        </w:rPr>
        <w:t>Extended Data Figure 2</w:t>
      </w:r>
      <w:r w:rsidRPr="006D4CB5">
        <w:rPr>
          <w:color w:val="000000" w:themeColor="text1"/>
        </w:rPr>
        <w:t xml:space="preserve">, we identified a robust association between a measure’s reliability and its </w:t>
      </w:r>
      <w:r w:rsidR="00065F92" w:rsidRPr="006D4CB5">
        <w:rPr>
          <w:color w:val="000000" w:themeColor="text1"/>
        </w:rPr>
        <w:t>h</w:t>
      </w:r>
      <w:r w:rsidR="00065F92" w:rsidRPr="006D4CB5">
        <w:rPr>
          <w:color w:val="000000" w:themeColor="text1"/>
          <w:vertAlign w:val="superscript"/>
        </w:rPr>
        <w:t>2</w:t>
      </w:r>
      <w:r w:rsidR="00065F92" w:rsidRPr="006D4CB5">
        <w:rPr>
          <w:color w:val="000000" w:themeColor="text1"/>
          <w:vertAlign w:val="subscript"/>
        </w:rPr>
        <w:t>SNP</w:t>
      </w:r>
      <w:r w:rsidRPr="006D4CB5">
        <w:rPr>
          <w:color w:val="000000" w:themeColor="text1"/>
        </w:rPr>
        <w:t xml:space="preserve">: across traits, slope </w:t>
      </w:r>
      <w:r w:rsidRPr="006D4CB5">
        <w:rPr>
          <w:i/>
          <w:iCs/>
          <w:color w:val="000000" w:themeColor="text1"/>
        </w:rPr>
        <w:t>b</w:t>
      </w:r>
      <w:r w:rsidRPr="006D4CB5">
        <w:rPr>
          <w:color w:val="000000" w:themeColor="text1"/>
        </w:rPr>
        <w:t xml:space="preserve"> = .067 (SE = .007), for extraversion, </w:t>
      </w:r>
      <w:r w:rsidRPr="006D4CB5">
        <w:rPr>
          <w:i/>
          <w:iCs/>
          <w:color w:val="000000" w:themeColor="text1"/>
        </w:rPr>
        <w:t>b</w:t>
      </w:r>
      <w:r w:rsidRPr="006D4CB5">
        <w:rPr>
          <w:color w:val="000000" w:themeColor="text1"/>
        </w:rPr>
        <w:t xml:space="preserve"> = .137 (.017), agreeableness, </w:t>
      </w:r>
      <w:r w:rsidRPr="006D4CB5">
        <w:rPr>
          <w:i/>
          <w:iCs/>
          <w:color w:val="000000" w:themeColor="text1"/>
        </w:rPr>
        <w:t>b</w:t>
      </w:r>
      <w:r w:rsidRPr="006D4CB5">
        <w:rPr>
          <w:color w:val="000000" w:themeColor="text1"/>
        </w:rPr>
        <w:t xml:space="preserve"> = .079 (.014), conscientiousness, </w:t>
      </w:r>
      <w:r w:rsidRPr="006D4CB5">
        <w:rPr>
          <w:i/>
          <w:iCs/>
          <w:color w:val="000000" w:themeColor="text1"/>
        </w:rPr>
        <w:t>b</w:t>
      </w:r>
      <w:r w:rsidRPr="006D4CB5">
        <w:rPr>
          <w:color w:val="000000" w:themeColor="text1"/>
        </w:rPr>
        <w:t xml:space="preserve"> = .082 (.018), neuroticism, </w:t>
      </w:r>
      <w:r w:rsidRPr="006D4CB5">
        <w:rPr>
          <w:i/>
          <w:iCs/>
          <w:color w:val="000000" w:themeColor="text1"/>
        </w:rPr>
        <w:t>b</w:t>
      </w:r>
      <w:r w:rsidRPr="006D4CB5">
        <w:rPr>
          <w:color w:val="000000" w:themeColor="text1"/>
        </w:rPr>
        <w:t xml:space="preserve"> = .128 (.023), and openness, </w:t>
      </w:r>
      <w:r w:rsidRPr="006D4CB5">
        <w:rPr>
          <w:i/>
          <w:iCs/>
          <w:color w:val="000000" w:themeColor="text1"/>
        </w:rPr>
        <w:t>b</w:t>
      </w:r>
      <w:r w:rsidRPr="006D4CB5">
        <w:rPr>
          <w:color w:val="000000" w:themeColor="text1"/>
        </w:rPr>
        <w:t xml:space="preserve"> = .116 (.017).</w:t>
      </w:r>
    </w:p>
    <w:p w14:paraId="4E830AD3" w14:textId="2B9E53B0" w:rsidR="00174E4B" w:rsidRPr="006D4CB5" w:rsidRDefault="00174E4B" w:rsidP="00174E4B">
      <w:pPr>
        <w:ind w:firstLine="720"/>
        <w:rPr>
          <w:color w:val="000000" w:themeColor="text1"/>
        </w:rPr>
      </w:pPr>
      <w:r w:rsidRPr="006D4CB5">
        <w:rPr>
          <w:color w:val="000000" w:themeColor="text1"/>
        </w:rPr>
        <w:t>Because we re-scaled the X axis by subtracting 1 from alpha reliability estimates, the Y-intercepts in these regressions represent the expected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at reliability = 1. This expectation is valuable for inferring the genetic effect on the latent trait for which observed scores serve as an imperfect proxy. These results indicate that a personality instrument disattenuated for all measurement error would have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of 15.8% (SE = 0.9%) for extraversion, 10.8% (0.9%) for agreeableness, 11.2% (0.9%) for conscientiousness, 12.0% (0.8</w:t>
      </w:r>
      <w:r w:rsidR="006B5674" w:rsidRPr="006D4CB5">
        <w:rPr>
          <w:color w:val="000000" w:themeColor="text1"/>
        </w:rPr>
        <w:t>%</w:t>
      </w:r>
      <w:r w:rsidRPr="006D4CB5">
        <w:rPr>
          <w:color w:val="000000" w:themeColor="text1"/>
        </w:rPr>
        <w:t xml:space="preserve">), for neuroticism, 15.2% (1.0%) for openness to experience, and 9.7% (0.8%) across all Big Five </w:t>
      </w:r>
      <w:proofErr w:type="gramStart"/>
      <w:r w:rsidRPr="006D4CB5">
        <w:rPr>
          <w:color w:val="000000" w:themeColor="text1"/>
        </w:rPr>
        <w:t>traits,.</w:t>
      </w:r>
      <w:proofErr w:type="gramEnd"/>
      <w:r w:rsidRPr="006D4CB5">
        <w:rPr>
          <w:color w:val="000000" w:themeColor="text1"/>
        </w:rPr>
        <w:t xml:space="preserve"> </w:t>
      </w:r>
    </w:p>
    <w:p w14:paraId="14431B78" w14:textId="10AA5932" w:rsidR="00174E4B" w:rsidRPr="006D4CB5" w:rsidRDefault="00174E4B" w:rsidP="00174E4B">
      <w:pPr>
        <w:ind w:firstLine="720"/>
        <w:rPr>
          <w:color w:val="000000" w:themeColor="text1"/>
        </w:rPr>
      </w:pPr>
      <w:r w:rsidRPr="006D4CB5">
        <w:rPr>
          <w:color w:val="000000" w:themeColor="text1"/>
        </w:rPr>
        <w:t>To obtain estimates of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for measurement instruments </w:t>
      </w:r>
      <w:r w:rsidR="006B5674" w:rsidRPr="006D4CB5">
        <w:rPr>
          <w:color w:val="000000" w:themeColor="text1"/>
        </w:rPr>
        <w:t>at</w:t>
      </w:r>
      <w:r w:rsidRPr="006D4CB5">
        <w:rPr>
          <w:color w:val="000000" w:themeColor="text1"/>
        </w:rPr>
        <w:t xml:space="preserve"> the reliability of a </w:t>
      </w:r>
      <w:r w:rsidRPr="006D4CB5">
        <w:rPr>
          <w:i/>
          <w:iCs/>
          <w:color w:val="000000" w:themeColor="text1"/>
        </w:rPr>
        <w:t>typical</w:t>
      </w:r>
      <w:r w:rsidRPr="006D4CB5">
        <w:rPr>
          <w:color w:val="000000" w:themeColor="text1"/>
        </w:rPr>
        <w:t xml:space="preserve"> instrument, we implemented the same strategy, subtracting the median alpha (rather than 1.0) from all alpha estimates. These estimates are valuable for representing the genetic effects on observed measures of personality under typical conditions of moderately reliable measurement. Note that, because we center alpha estimates on the median rather than mean value, these estimates are expected to differ from the naïve (not reliability-corrected) meta-analytic estimates. For instance, because larger studies tend to implement shorter scales, the naïve meta-analytic estimates of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are expected to disproportionately represent genetic effects on less reliable scales. Across measures contributing to the meta-analytic GWAS, the median alpha reliability was .81. Using this value, we estimated that the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values for a typical personality measurement instrument are 13.3% (SE = 0.6%) for extraversion, 9.3% (0.6%) for agreeableness, 9.6% (0.6%) for conscientiousness, 9.6% (0.4%) for neuroticism, 12.9% (0.8%) for openness to experience, and 8.5% (0.8%) across all Big Five traits</w:t>
      </w:r>
      <w:r w:rsidR="006B5674" w:rsidRPr="006D4CB5">
        <w:rPr>
          <w:color w:val="000000" w:themeColor="text1"/>
        </w:rPr>
        <w:t xml:space="preserve"> (</w:t>
      </w:r>
      <w:r w:rsidR="006B5674" w:rsidRPr="006D4CB5">
        <w:rPr>
          <w:b/>
          <w:bCs/>
          <w:color w:val="000000" w:themeColor="text1"/>
        </w:rPr>
        <w:t>Supplementary Table S2</w:t>
      </w:r>
      <w:r w:rsidR="00723032" w:rsidRPr="006D4CB5">
        <w:rPr>
          <w:b/>
          <w:bCs/>
          <w:color w:val="000000" w:themeColor="text1"/>
        </w:rPr>
        <w:t>1</w:t>
      </w:r>
      <w:r w:rsidR="006B5674" w:rsidRPr="006D4CB5">
        <w:rPr>
          <w:color w:val="000000" w:themeColor="text1"/>
        </w:rPr>
        <w:t>)</w:t>
      </w:r>
      <w:r w:rsidRPr="006D4CB5">
        <w:rPr>
          <w:color w:val="000000" w:themeColor="text1"/>
        </w:rPr>
        <w:t>.</w:t>
      </w:r>
    </w:p>
    <w:p w14:paraId="5E37509B" w14:textId="72126155" w:rsidR="00076353" w:rsidRPr="006D4CB5" w:rsidRDefault="00174E4B">
      <w:pPr>
        <w:rPr>
          <w:color w:val="000000" w:themeColor="text1"/>
        </w:rPr>
      </w:pPr>
      <w:r w:rsidRPr="006D4CB5">
        <w:rPr>
          <w:color w:val="000000" w:themeColor="text1"/>
        </w:rPr>
        <w:tab/>
      </w:r>
      <w:r w:rsidR="006C2D2F" w:rsidRPr="006D4CB5">
        <w:rPr>
          <w:color w:val="000000" w:themeColor="text1"/>
        </w:rPr>
        <w:t>Finally, we</w:t>
      </w:r>
      <w:r w:rsidR="00042C76" w:rsidRPr="006D4CB5">
        <w:rPr>
          <w:color w:val="000000" w:themeColor="text1"/>
        </w:rPr>
        <w:t xml:space="preserve"> </w:t>
      </w:r>
      <w:r w:rsidR="00F166A3" w:rsidRPr="006D4CB5">
        <w:rPr>
          <w:color w:val="000000" w:themeColor="text1"/>
        </w:rPr>
        <w:t>quantif</w:t>
      </w:r>
      <w:r w:rsidR="006C2D2F" w:rsidRPr="006D4CB5">
        <w:rPr>
          <w:color w:val="000000" w:themeColor="text1"/>
        </w:rPr>
        <w:t>ied</w:t>
      </w:r>
      <w:r w:rsidR="00F166A3" w:rsidRPr="006D4CB5">
        <w:rPr>
          <w:color w:val="000000" w:themeColor="text1"/>
        </w:rPr>
        <w:t xml:space="preserve"> the average similarity in genetic architecture of each trait across cohorts</w:t>
      </w:r>
      <w:r w:rsidR="00042C76" w:rsidRPr="006D4CB5">
        <w:rPr>
          <w:color w:val="000000" w:themeColor="text1"/>
        </w:rPr>
        <w:t xml:space="preserve">. Specifically, </w:t>
      </w:r>
      <w:r w:rsidR="00F166A3" w:rsidRPr="006D4CB5">
        <w:rPr>
          <w:color w:val="000000" w:themeColor="text1"/>
        </w:rPr>
        <w:t xml:space="preserve">for each Big Five trait, </w:t>
      </w:r>
      <w:r w:rsidR="00042C76" w:rsidRPr="006D4CB5">
        <w:rPr>
          <w:color w:val="000000" w:themeColor="text1"/>
        </w:rPr>
        <w:t xml:space="preserve">we used </w:t>
      </w:r>
      <w:r w:rsidR="00F166A3" w:rsidRPr="006D4CB5">
        <w:rPr>
          <w:color w:val="000000" w:themeColor="text1"/>
        </w:rPr>
        <w:t>b</w:t>
      </w:r>
      <w:r w:rsidR="00042C76" w:rsidRPr="006D4CB5">
        <w:rPr>
          <w:color w:val="000000" w:themeColor="text1"/>
        </w:rPr>
        <w:t>ivariate LDSC to e</w:t>
      </w:r>
      <w:r w:rsidR="00F166A3" w:rsidRPr="006D4CB5">
        <w:rPr>
          <w:color w:val="000000" w:themeColor="text1"/>
        </w:rPr>
        <w:t>stimate genetic correlations</w:t>
      </w:r>
      <w:r w:rsidR="00042C76" w:rsidRPr="006D4CB5">
        <w:rPr>
          <w:color w:val="000000" w:themeColor="text1"/>
        </w:rPr>
        <w:t xml:space="preserve"> between all</w:t>
      </w:r>
      <w:r w:rsidR="00F166A3" w:rsidRPr="006D4CB5">
        <w:rPr>
          <w:color w:val="000000" w:themeColor="text1"/>
        </w:rPr>
        <w:t xml:space="preserve"> pairs of cohorts</w:t>
      </w:r>
      <w:r w:rsidR="00DF7CCA" w:rsidRPr="006D4CB5">
        <w:rPr>
          <w:color w:val="000000" w:themeColor="text1"/>
        </w:rPr>
        <w:t xml:space="preserve"> for which heritability was positively estimated (466 pairs for extraversion, 232 for agreeableness, 352 for conscientiousness, 379 for neuroticism, and 352 for openness)</w:t>
      </w:r>
      <w:r w:rsidR="00F166A3" w:rsidRPr="006D4CB5">
        <w:rPr>
          <w:color w:val="000000" w:themeColor="text1"/>
        </w:rPr>
        <w:t>. We then</w:t>
      </w:r>
      <w:r w:rsidR="00042C76" w:rsidRPr="006D4CB5">
        <w:rPr>
          <w:color w:val="000000" w:themeColor="text1"/>
        </w:rPr>
        <w:t xml:space="preserve"> used fixed-effects inverse-variance-weighted meta-analysis to obtain a weighted mean estimate for this genetic correlation value</w:t>
      </w:r>
      <w:r w:rsidR="00F166A3" w:rsidRPr="006D4CB5">
        <w:rPr>
          <w:color w:val="000000" w:themeColor="text1"/>
        </w:rPr>
        <w:t xml:space="preserve"> across the 1,781 cohort pairs</w:t>
      </w:r>
      <w:r w:rsidR="00042C76" w:rsidRPr="006D4CB5">
        <w:rPr>
          <w:color w:val="000000" w:themeColor="text1"/>
        </w:rPr>
        <w:t xml:space="preserve">. These values are presented in </w:t>
      </w:r>
      <w:r w:rsidR="00042C76" w:rsidRPr="006D4CB5">
        <w:rPr>
          <w:b/>
          <w:bCs/>
          <w:color w:val="000000" w:themeColor="text1"/>
        </w:rPr>
        <w:t>Table 1</w:t>
      </w:r>
      <w:r w:rsidR="00042C76" w:rsidRPr="006D4CB5">
        <w:rPr>
          <w:color w:val="000000" w:themeColor="text1"/>
        </w:rPr>
        <w:t xml:space="preserve"> in the main text. </w:t>
      </w:r>
    </w:p>
    <w:p w14:paraId="60E4BC22" w14:textId="32BA1AD9" w:rsidR="00076353" w:rsidRPr="006D4CB5" w:rsidRDefault="00076353" w:rsidP="00076353">
      <w:pPr>
        <w:rPr>
          <w:color w:val="000000" w:themeColor="text1"/>
        </w:rPr>
      </w:pPr>
    </w:p>
    <w:p w14:paraId="421258CA" w14:textId="4707DF5D" w:rsidR="00076353" w:rsidRPr="006D4CB5" w:rsidRDefault="00076353" w:rsidP="00076353">
      <w:pPr>
        <w:rPr>
          <w:color w:val="000000" w:themeColor="text1"/>
          <w:u w:val="single"/>
        </w:rPr>
      </w:pPr>
      <w:r w:rsidRPr="006D4CB5">
        <w:rPr>
          <w:color w:val="000000" w:themeColor="text1"/>
          <w:u w:val="single"/>
        </w:rPr>
        <w:t>3.</w:t>
      </w:r>
      <w:r w:rsidR="001F35EA" w:rsidRPr="006D4CB5">
        <w:rPr>
          <w:color w:val="000000" w:themeColor="text1"/>
          <w:u w:val="single"/>
        </w:rPr>
        <w:t>4</w:t>
      </w:r>
      <w:r w:rsidRPr="006D4CB5">
        <w:rPr>
          <w:color w:val="000000" w:themeColor="text1"/>
          <w:u w:val="single"/>
        </w:rPr>
        <w:t xml:space="preserve"> Comparison of Genetic Architecture Across Grouping Variables</w:t>
      </w:r>
    </w:p>
    <w:p w14:paraId="71B176A6" w14:textId="090E0746" w:rsidR="00042C76" w:rsidRPr="006D4CB5" w:rsidRDefault="00076353" w:rsidP="00076353">
      <w:pPr>
        <w:rPr>
          <w:color w:val="000000" w:themeColor="text1"/>
        </w:rPr>
      </w:pPr>
      <w:r w:rsidRPr="006D4CB5">
        <w:rPr>
          <w:color w:val="000000" w:themeColor="text1"/>
        </w:rPr>
        <w:lastRenderedPageBreak/>
        <w:tab/>
        <w:t xml:space="preserve">We compared the genetic architecture of each of the Big Five personality traits across five vectors of variation that differed substantially across </w:t>
      </w:r>
      <w:r w:rsidR="00B4305B" w:rsidRPr="006D4CB5">
        <w:rPr>
          <w:color w:val="000000" w:themeColor="text1"/>
        </w:rPr>
        <w:t>EUR</w:t>
      </w:r>
      <w:r w:rsidR="000A1360">
        <w:rPr>
          <w:color w:val="000000" w:themeColor="text1"/>
        </w:rPr>
        <w:t>-like</w:t>
      </w:r>
      <w:r w:rsidR="00B4305B" w:rsidRPr="006D4CB5">
        <w:rPr>
          <w:color w:val="000000" w:themeColor="text1"/>
        </w:rPr>
        <w:t xml:space="preserve"> GWAS </w:t>
      </w:r>
      <w:r w:rsidRPr="006D4CB5">
        <w:rPr>
          <w:color w:val="000000" w:themeColor="text1"/>
        </w:rPr>
        <w:t xml:space="preserve">cohorts: geographic region, age group, rater perspective, military veteran status, and measurement instrument. </w:t>
      </w:r>
    </w:p>
    <w:p w14:paraId="75456587" w14:textId="77777777" w:rsidR="00076353" w:rsidRPr="006D4CB5" w:rsidRDefault="00076353" w:rsidP="00076353">
      <w:pPr>
        <w:ind w:firstLine="720"/>
        <w:rPr>
          <w:color w:val="000000" w:themeColor="text1"/>
        </w:rPr>
      </w:pPr>
      <w:r w:rsidRPr="006D4CB5">
        <w:rPr>
          <w:color w:val="000000" w:themeColor="text1"/>
        </w:rPr>
        <w:t xml:space="preserve">For measurement instrument, geographic region, and age group, we constructed groups for comparison using a uniform procedure. First, we identified grouping variables that maximized the number of mutually exclusive stratification groups while ensuring that 1) each group would have a sample size of over N = 15,000, allowing sufficient power for genetic correlations across groups, 2) when possible, each individual group contained multiple cohorts of participants, to minimize idiosyncratic effects of an individual cohort, and 3) when possible, each group included cohorts that varied on other grouping variables (e.g., the young age group contained cohorts that completed a variety of questionnaires and lived in different geographic regions). These grouping strategies were chosen to maximize the specificity of inference that could be drawn from comparison analyses. To compare genetic effects across rater perspectives, we contrasted Estonian Biobank self-reported GWAS estimates with Estonian Biobank other-reported GWAS estimates. To compare genetic effects across military veteran status, we contrasted Million Veteran Program GWAS estimates with GWAS estimates pooled across the other 45 cohorts.  </w:t>
      </w:r>
    </w:p>
    <w:p w14:paraId="0254F28B" w14:textId="77777777" w:rsidR="00076353" w:rsidRPr="006D4CB5" w:rsidRDefault="00076353" w:rsidP="00076353">
      <w:pPr>
        <w:ind w:firstLine="720"/>
        <w:rPr>
          <w:color w:val="000000" w:themeColor="text1"/>
        </w:rPr>
      </w:pPr>
      <w:r w:rsidRPr="006D4CB5">
        <w:rPr>
          <w:color w:val="000000" w:themeColor="text1"/>
        </w:rPr>
        <w:t>Then, for each Big Five trait, among the cohorts included in each group, we conducted a GWAS using same method as for the main analyses. We then compared the genetic architecture across groups using bivariate LD score regression (LDSC; Bulik-Sullivan et al., 2015). In addition to quantifying h</w:t>
      </w:r>
      <w:r w:rsidRPr="006D4CB5">
        <w:rPr>
          <w:color w:val="000000" w:themeColor="text1"/>
          <w:vertAlign w:val="superscript"/>
        </w:rPr>
        <w:t>2</w:t>
      </w:r>
      <w:r w:rsidRPr="006D4CB5">
        <w:rPr>
          <w:color w:val="000000" w:themeColor="text1"/>
        </w:rPr>
        <w:t xml:space="preserve">SNP for each phenotype, Bivariate LDSC quantifies the genetic covariance across two phenotypes by regressing the product of their SNP GWAS effect sizes against their LD scores. As with univariate LDSC, SNPs with higher LD scores have proportionally higher odds of tagging a variant that is associated with both phenotypes, so the slope of this regression indexes the covariance between two phenotypes; this slope can be rescaled by the heritability of both phenotypes (i.e., by each phenotype’s variance) so that it is expressed as a genetic correlation that ranges from -1 to 1. Confounding due to population stratification and cryptic relatedness, and sample overlap across the two phenotypes, inflates GWAS effect sizes uniformly across the genome, so the intercept of this regression accounts for these sources of confounding and unknown and varying degrees of genetic overlap across the two phenotypes (Bulik-Sullivan et al., 2015). Critically, because LDSC examines covariance in effects across genetic variants, rather than covariance in effects across participants, associations can be estimated across mutually exclusive groups (e.g., to compare participants from the US with those from continental Europe).  </w:t>
      </w:r>
    </w:p>
    <w:p w14:paraId="0FE973C6" w14:textId="075AEDCD" w:rsidR="00076353" w:rsidRPr="006D4CB5" w:rsidRDefault="00076353" w:rsidP="00076353">
      <w:pPr>
        <w:ind w:firstLine="720"/>
        <w:rPr>
          <w:b/>
          <w:bCs/>
          <w:color w:val="000000" w:themeColor="text1"/>
        </w:rPr>
      </w:pPr>
      <w:r w:rsidRPr="006D4CB5">
        <w:rPr>
          <w:color w:val="000000" w:themeColor="text1"/>
        </w:rPr>
        <w:t xml:space="preserve">First, we compared the similarity of genetic signal across geographic regions. Personality trait structure can vary across cultures and languages (McCrae et al., 2005; Saucier et al., 2014); the genetic architecture of personality may similarly vary across </w:t>
      </w:r>
      <w:r w:rsidR="001F35EA" w:rsidRPr="006D4CB5">
        <w:rPr>
          <w:color w:val="000000" w:themeColor="text1"/>
        </w:rPr>
        <w:t xml:space="preserve">Western </w:t>
      </w:r>
      <w:r w:rsidRPr="006D4CB5">
        <w:rPr>
          <w:color w:val="000000" w:themeColor="text1"/>
        </w:rPr>
        <w:t xml:space="preserve">geographic regions. We structured our grouping across geographic regions to also stratify by language, when possible, leading to four groups: the United States (k = 12 cohorts, max N = 49,091), the United Kingdom and Australia, which both speak English but are not individually large enough to form their own group (k = 11 cohorts, max N = 500,558; max N minus the UK Biobank = 26,803), continental Europe (k = 11 cohorts, max N = 56,510), and Nordic countries (k = 6, max N = 60,646). Details on </w:t>
      </w:r>
      <w:r w:rsidR="006B5674" w:rsidRPr="006D4CB5">
        <w:rPr>
          <w:color w:val="000000" w:themeColor="text1"/>
        </w:rPr>
        <w:t xml:space="preserve">each </w:t>
      </w:r>
      <w:r w:rsidRPr="006D4CB5">
        <w:rPr>
          <w:color w:val="000000" w:themeColor="text1"/>
        </w:rPr>
        <w:t>cohort</w:t>
      </w:r>
      <w:r w:rsidR="006B5674" w:rsidRPr="006D4CB5">
        <w:rPr>
          <w:color w:val="000000" w:themeColor="text1"/>
        </w:rPr>
        <w:t>’s</w:t>
      </w:r>
      <w:r w:rsidRPr="006D4CB5">
        <w:rPr>
          <w:color w:val="000000" w:themeColor="text1"/>
        </w:rPr>
        <w:t xml:space="preserve"> geography are available in </w:t>
      </w:r>
      <w:r w:rsidRPr="006D4CB5">
        <w:rPr>
          <w:b/>
          <w:bCs/>
          <w:color w:val="000000" w:themeColor="text1"/>
        </w:rPr>
        <w:t>Supplementary Table S1.</w:t>
      </w:r>
    </w:p>
    <w:p w14:paraId="7685C886" w14:textId="0D68E1D8" w:rsidR="00076353" w:rsidRPr="006D4CB5" w:rsidRDefault="00076353" w:rsidP="00F8526E">
      <w:pPr>
        <w:ind w:firstLine="720"/>
        <w:rPr>
          <w:color w:val="000000" w:themeColor="text1"/>
        </w:rPr>
      </w:pPr>
      <w:r w:rsidRPr="006D4CB5">
        <w:rPr>
          <w:color w:val="000000" w:themeColor="text1"/>
        </w:rPr>
        <w:t>Results of cross-geographic comparisons (</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A</w:t>
      </w:r>
      <w:r w:rsidRPr="006D4CB5">
        <w:rPr>
          <w:color w:val="000000" w:themeColor="text1"/>
        </w:rPr>
        <w:t xml:space="preserve">) indicated clear evidence of convergent and discriminant validity for four of the Big Five traits. </w:t>
      </w:r>
      <w:r w:rsidR="008C6BC5" w:rsidRPr="006D4CB5">
        <w:rPr>
          <w:color w:val="000000" w:themeColor="text1"/>
        </w:rPr>
        <w:t>That is, for each trait</w:t>
      </w:r>
      <w:r w:rsidR="004472FE" w:rsidRPr="006D4CB5">
        <w:rPr>
          <w:color w:val="000000" w:themeColor="text1"/>
        </w:rPr>
        <w:t>,</w:t>
      </w:r>
      <w:r w:rsidR="008C6BC5" w:rsidRPr="006D4CB5">
        <w:rPr>
          <w:color w:val="000000" w:themeColor="text1"/>
        </w:rPr>
        <w:t xml:space="preserve"> correlations were high across </w:t>
      </w:r>
      <w:r w:rsidR="001B1DAF" w:rsidRPr="006D4CB5">
        <w:rPr>
          <w:color w:val="000000" w:themeColor="text1"/>
        </w:rPr>
        <w:t>geographic groups</w:t>
      </w:r>
      <w:r w:rsidR="008C6BC5" w:rsidRPr="006D4CB5">
        <w:rPr>
          <w:color w:val="000000" w:themeColor="text1"/>
        </w:rPr>
        <w:t xml:space="preserve"> and low with other traits</w:t>
      </w:r>
      <w:r w:rsidR="001B1DAF" w:rsidRPr="006D4CB5">
        <w:rPr>
          <w:color w:val="000000" w:themeColor="text1"/>
        </w:rPr>
        <w:t xml:space="preserve"> in other </w:t>
      </w:r>
      <w:r w:rsidR="001B1DAF" w:rsidRPr="006D4CB5">
        <w:rPr>
          <w:color w:val="000000" w:themeColor="text1"/>
        </w:rPr>
        <w:lastRenderedPageBreak/>
        <w:t>groups</w:t>
      </w:r>
      <w:r w:rsidR="008C6BC5" w:rsidRPr="006D4CB5">
        <w:rPr>
          <w:color w:val="000000" w:themeColor="text1"/>
        </w:rPr>
        <w:t>.</w:t>
      </w:r>
      <w:r w:rsidR="007237DA" w:rsidRPr="006D4CB5">
        <w:rPr>
          <w:color w:val="000000" w:themeColor="text1"/>
        </w:rPr>
        <w:t xml:space="preserve"> For each trait, correlations across geographic region were also greater in magnitude than the average correlation between pairs of cohorts not stratified into groups (</w:t>
      </w:r>
      <w:r w:rsidR="007237DA" w:rsidRPr="006D4CB5">
        <w:rPr>
          <w:b/>
          <w:bCs/>
          <w:color w:val="000000" w:themeColor="text1"/>
        </w:rPr>
        <w:t>Table 1</w:t>
      </w:r>
      <w:r w:rsidR="007237DA" w:rsidRPr="006D4CB5">
        <w:rPr>
          <w:color w:val="000000" w:themeColor="text1"/>
        </w:rPr>
        <w:t>).</w:t>
      </w:r>
      <w:r w:rsidR="001B1DAF" w:rsidRPr="006D4CB5">
        <w:rPr>
          <w:color w:val="000000" w:themeColor="text1"/>
        </w:rPr>
        <w:t xml:space="preserve"> This illustrates the increase in </w:t>
      </w:r>
      <w:r w:rsidR="004472FE" w:rsidRPr="006D4CB5">
        <w:rPr>
          <w:color w:val="000000" w:themeColor="text1"/>
        </w:rPr>
        <w:t xml:space="preserve">consistency </w:t>
      </w:r>
      <w:r w:rsidR="001B1DAF" w:rsidRPr="006D4CB5">
        <w:rPr>
          <w:color w:val="000000" w:themeColor="text1"/>
        </w:rPr>
        <w:t>of GWAS signal w</w:t>
      </w:r>
      <w:r w:rsidR="00F166A3" w:rsidRPr="006D4CB5">
        <w:rPr>
          <w:color w:val="000000" w:themeColor="text1"/>
        </w:rPr>
        <w:t xml:space="preserve">hen </w:t>
      </w:r>
      <w:r w:rsidR="004472FE" w:rsidRPr="006D4CB5">
        <w:rPr>
          <w:color w:val="000000" w:themeColor="text1"/>
        </w:rPr>
        <w:t xml:space="preserve">that </w:t>
      </w:r>
      <w:r w:rsidR="00F166A3" w:rsidRPr="006D4CB5">
        <w:rPr>
          <w:color w:val="000000" w:themeColor="text1"/>
        </w:rPr>
        <w:t>signal is aggregated and grouped</w:t>
      </w:r>
      <w:r w:rsidR="001B1DAF" w:rsidRPr="006D4CB5">
        <w:rPr>
          <w:color w:val="000000" w:themeColor="text1"/>
        </w:rPr>
        <w:t xml:space="preserve">. </w:t>
      </w:r>
      <w:r w:rsidRPr="006D4CB5">
        <w:rPr>
          <w:color w:val="000000" w:themeColor="text1"/>
        </w:rPr>
        <w:t>The major exception</w:t>
      </w:r>
      <w:r w:rsidR="008C6BC5" w:rsidRPr="006D4CB5">
        <w:rPr>
          <w:color w:val="000000" w:themeColor="text1"/>
        </w:rPr>
        <w:t xml:space="preserve"> to this pattern</w:t>
      </w:r>
      <w:r w:rsidR="001B1DAF" w:rsidRPr="006D4CB5">
        <w:rPr>
          <w:color w:val="000000" w:themeColor="text1"/>
        </w:rPr>
        <w:t xml:space="preserve"> of strong convergent and discriminant validity</w:t>
      </w:r>
      <w:r w:rsidRPr="006D4CB5">
        <w:rPr>
          <w:color w:val="000000" w:themeColor="text1"/>
        </w:rPr>
        <w:t xml:space="preserve"> was agreeableness, which was less strongly intercorrelated across groups</w:t>
      </w:r>
      <w:r w:rsidR="00C30B47" w:rsidRPr="006D4CB5">
        <w:rPr>
          <w:color w:val="000000" w:themeColor="text1"/>
        </w:rPr>
        <w:t xml:space="preserve"> (Table 1) than the other Big Five</w:t>
      </w:r>
      <w:r w:rsidRPr="006D4CB5">
        <w:rPr>
          <w:color w:val="000000" w:themeColor="text1"/>
        </w:rPr>
        <w:t>. Among Nordic participants, agreeableness scores were strongly correlated with extraversion scores</w:t>
      </w:r>
      <w:r w:rsidR="001C5988" w:rsidRPr="006D4CB5">
        <w:rPr>
          <w:color w:val="000000" w:themeColor="text1"/>
        </w:rPr>
        <w:t xml:space="preserve"> (</w:t>
      </w:r>
      <w:r w:rsidR="001C5988" w:rsidRPr="006D4CB5">
        <w:rPr>
          <w:i/>
          <w:iCs/>
          <w:color w:val="000000" w:themeColor="text1"/>
        </w:rPr>
        <w:t>r</w:t>
      </w:r>
      <w:r w:rsidR="001C5988" w:rsidRPr="006D4CB5">
        <w:rPr>
          <w:color w:val="000000" w:themeColor="text1"/>
          <w:vertAlign w:val="subscript"/>
        </w:rPr>
        <w:t xml:space="preserve">g </w:t>
      </w:r>
      <w:r w:rsidR="001C5988" w:rsidRPr="006D4CB5">
        <w:rPr>
          <w:color w:val="000000" w:themeColor="text1"/>
        </w:rPr>
        <w:t>= .80, SE = .07)</w:t>
      </w:r>
      <w:r w:rsidRPr="006D4CB5">
        <w:rPr>
          <w:color w:val="000000" w:themeColor="text1"/>
        </w:rPr>
        <w:t xml:space="preserve">, and among UK/AUS participants, agreeableness scores were not strongly correlated with agreeableness scores in other geographic regions </w:t>
      </w:r>
      <w:r w:rsidR="001C5988" w:rsidRPr="006D4CB5">
        <w:rPr>
          <w:color w:val="000000" w:themeColor="text1"/>
        </w:rPr>
        <w:t xml:space="preserve">(with Nordic, </w:t>
      </w:r>
      <w:r w:rsidR="001C5988" w:rsidRPr="006D4CB5">
        <w:rPr>
          <w:i/>
          <w:iCs/>
          <w:color w:val="000000" w:themeColor="text1"/>
        </w:rPr>
        <w:t>r</w:t>
      </w:r>
      <w:r w:rsidR="001C5988" w:rsidRPr="006D4CB5">
        <w:rPr>
          <w:color w:val="000000" w:themeColor="text1"/>
          <w:vertAlign w:val="subscript"/>
        </w:rPr>
        <w:t xml:space="preserve">g </w:t>
      </w:r>
      <w:r w:rsidR="001C5988" w:rsidRPr="006D4CB5">
        <w:rPr>
          <w:color w:val="000000" w:themeColor="text1"/>
        </w:rPr>
        <w:t xml:space="preserve">= .58, SE = .15; with Continental EU, </w:t>
      </w:r>
      <w:r w:rsidR="001C5988" w:rsidRPr="006D4CB5">
        <w:rPr>
          <w:i/>
          <w:iCs/>
          <w:color w:val="000000" w:themeColor="text1"/>
        </w:rPr>
        <w:t>r</w:t>
      </w:r>
      <w:r w:rsidR="001C5988" w:rsidRPr="006D4CB5">
        <w:rPr>
          <w:color w:val="000000" w:themeColor="text1"/>
          <w:vertAlign w:val="subscript"/>
        </w:rPr>
        <w:t xml:space="preserve">g </w:t>
      </w:r>
      <w:r w:rsidR="001C5988" w:rsidRPr="006D4CB5">
        <w:rPr>
          <w:color w:val="000000" w:themeColor="text1"/>
        </w:rPr>
        <w:t xml:space="preserve">= .29, SE = .26, with the US, </w:t>
      </w:r>
      <w:r w:rsidR="001C5988" w:rsidRPr="006D4CB5">
        <w:rPr>
          <w:i/>
          <w:iCs/>
          <w:color w:val="000000" w:themeColor="text1"/>
        </w:rPr>
        <w:t>r</w:t>
      </w:r>
      <w:r w:rsidR="001C5988" w:rsidRPr="006D4CB5">
        <w:rPr>
          <w:color w:val="000000" w:themeColor="text1"/>
          <w:vertAlign w:val="subscript"/>
        </w:rPr>
        <w:t xml:space="preserve">g </w:t>
      </w:r>
      <w:r w:rsidR="001C5988" w:rsidRPr="006D4CB5">
        <w:rPr>
          <w:color w:val="000000" w:themeColor="text1"/>
        </w:rPr>
        <w:t xml:space="preserve">= .35, SE = .24) </w:t>
      </w:r>
      <w:r w:rsidRPr="006D4CB5">
        <w:rPr>
          <w:color w:val="000000" w:themeColor="text1"/>
        </w:rPr>
        <w:t xml:space="preserve">(we note that the Nordic-group </w:t>
      </w:r>
      <w:proofErr w:type="spellStart"/>
      <w:r w:rsidRPr="006D4CB5">
        <w:rPr>
          <w:color w:val="000000" w:themeColor="text1"/>
        </w:rPr>
        <w:t>MoBa</w:t>
      </w:r>
      <w:proofErr w:type="spellEnd"/>
      <w:r w:rsidRPr="006D4CB5">
        <w:rPr>
          <w:color w:val="000000" w:themeColor="text1"/>
        </w:rPr>
        <w:t xml:space="preserve"> cohort, the UK/AUS-group TEDS cohort, and the UK/AUS-group Generation Scotland cohort each provided personality data using the IPIP questionnaire, creating collinearity between cross-geography and cross-questionnaire comparisons; see cross-questionnaire comparisons below). These findings indicate that the genetic architecture of agreeableness may be particularly variable across western geography. </w:t>
      </w:r>
      <w:r w:rsidR="008C6BC5" w:rsidRPr="006D4CB5">
        <w:rPr>
          <w:color w:val="000000" w:themeColor="text1"/>
        </w:rPr>
        <w:t xml:space="preserve">Research on </w:t>
      </w:r>
      <w:r w:rsidR="001C5988" w:rsidRPr="006D4CB5">
        <w:rPr>
          <w:color w:val="000000" w:themeColor="text1"/>
        </w:rPr>
        <w:t xml:space="preserve">phenotypic </w:t>
      </w:r>
      <w:r w:rsidR="008C6BC5" w:rsidRPr="006D4CB5">
        <w:rPr>
          <w:color w:val="000000" w:themeColor="text1"/>
        </w:rPr>
        <w:t xml:space="preserve">personality structure has </w:t>
      </w:r>
      <w:r w:rsidR="001C5988" w:rsidRPr="006D4CB5">
        <w:rPr>
          <w:color w:val="000000" w:themeColor="text1"/>
        </w:rPr>
        <w:t>also f</w:t>
      </w:r>
      <w:r w:rsidR="008C6BC5" w:rsidRPr="006D4CB5">
        <w:rPr>
          <w:color w:val="000000" w:themeColor="text1"/>
        </w:rPr>
        <w:t>ound that</w:t>
      </w:r>
      <w:r w:rsidR="001C5988" w:rsidRPr="006D4CB5">
        <w:rPr>
          <w:color w:val="000000" w:themeColor="text1"/>
        </w:rPr>
        <w:t>,</w:t>
      </w:r>
      <w:r w:rsidR="008C6BC5" w:rsidRPr="006D4CB5">
        <w:rPr>
          <w:color w:val="000000" w:themeColor="text1"/>
        </w:rPr>
        <w:t xml:space="preserve"> across cultural contexts, narrower traits that constitute the Big Five agreeableness factor are often compatible with a six-factor model, in which content related to honesty and humility is considered </w:t>
      </w:r>
      <w:r w:rsidR="001C5988" w:rsidRPr="006D4CB5">
        <w:rPr>
          <w:color w:val="000000" w:themeColor="text1"/>
        </w:rPr>
        <w:t>as a separate broad factor</w:t>
      </w:r>
      <w:r w:rsidR="008C6BC5" w:rsidRPr="006D4CB5">
        <w:rPr>
          <w:color w:val="000000" w:themeColor="text1"/>
        </w:rPr>
        <w:t xml:space="preserve"> (Ashton &amp; Lee, 2004). These current results suggest that future research</w:t>
      </w:r>
      <w:r w:rsidR="001F35EA" w:rsidRPr="006D4CB5">
        <w:rPr>
          <w:color w:val="000000" w:themeColor="text1"/>
        </w:rPr>
        <w:t xml:space="preserve"> </w:t>
      </w:r>
      <w:r w:rsidR="008C6BC5" w:rsidRPr="006D4CB5">
        <w:rPr>
          <w:color w:val="000000" w:themeColor="text1"/>
        </w:rPr>
        <w:t xml:space="preserve">should investigate whether a </w:t>
      </w:r>
      <w:r w:rsidR="001C5988" w:rsidRPr="006D4CB5">
        <w:rPr>
          <w:color w:val="000000" w:themeColor="text1"/>
        </w:rPr>
        <w:t>six</w:t>
      </w:r>
      <w:r w:rsidR="008C6BC5" w:rsidRPr="006D4CB5">
        <w:rPr>
          <w:color w:val="000000" w:themeColor="text1"/>
        </w:rPr>
        <w:t>-factor model (or some other personality model) improves</w:t>
      </w:r>
      <w:r w:rsidR="001F35EA" w:rsidRPr="006D4CB5">
        <w:rPr>
          <w:color w:val="000000" w:themeColor="text1"/>
        </w:rPr>
        <w:t xml:space="preserve"> convergent and discriminant validity of personality signal </w:t>
      </w:r>
      <w:r w:rsidR="001B1DAF" w:rsidRPr="006D4CB5">
        <w:rPr>
          <w:color w:val="000000" w:themeColor="text1"/>
        </w:rPr>
        <w:t xml:space="preserve">when data are </w:t>
      </w:r>
      <w:proofErr w:type="gramStart"/>
      <w:r w:rsidR="001B1DAF" w:rsidRPr="006D4CB5">
        <w:rPr>
          <w:color w:val="000000" w:themeColor="text1"/>
        </w:rPr>
        <w:t>geographically-stratified</w:t>
      </w:r>
      <w:proofErr w:type="gramEnd"/>
      <w:r w:rsidR="001B1DAF" w:rsidRPr="006D4CB5">
        <w:rPr>
          <w:color w:val="000000" w:themeColor="text1"/>
        </w:rPr>
        <w:t>.</w:t>
      </w:r>
    </w:p>
    <w:p w14:paraId="056AC3A1" w14:textId="77777777" w:rsidR="00076353" w:rsidRPr="006D4CB5" w:rsidRDefault="00076353" w:rsidP="00076353">
      <w:pPr>
        <w:ind w:firstLine="720"/>
        <w:rPr>
          <w:color w:val="000000" w:themeColor="text1"/>
        </w:rPr>
      </w:pPr>
      <w:r w:rsidRPr="006D4CB5">
        <w:rPr>
          <w:color w:val="000000" w:themeColor="text1"/>
        </w:rPr>
        <w:t xml:space="preserve">We also compared correlations across age groups. Twin and family research has identified strong but imperfect genetic continuity in personality development across the lifespan, including a trend of decreasing heritability with age, as environmental variance increases (Tucker-Drob &amp; Briley, 2014). For the first time, we examined whether the molecular genetic architecture followed similar developmental trends, and we conducted age-group comparisons not possible in phenotype data that requires sample overlap. Because many participating cohorts ascertained participants with wide variance in age, we grouped cohorts by comparing their mean age +/- 1.5 SD, which includes roughly 87% of participants in each cohort, and identified break points that would permit maximally large sample sizes within each age group while retaining few cohorts with participants who overlapped across age groups. The young age group contained cohorts where ~87%+ of participants were 25 or younger at mean age of personality measurement (k = 6, max N = 15,454). The middle adulthood age group contained cohorts between ages 26 and 64 (k = 6, max N = 54,414), and the older adulthood age group contained cohorts over age 65 (k = 5, max N = 18,624). </w:t>
      </w:r>
    </w:p>
    <w:p w14:paraId="0216070E" w14:textId="104B737D" w:rsidR="00076353" w:rsidRPr="006D4CB5" w:rsidRDefault="00076353" w:rsidP="00A37A84">
      <w:pPr>
        <w:ind w:firstLine="720"/>
        <w:rPr>
          <w:color w:val="000000" w:themeColor="text1"/>
        </w:rPr>
      </w:pPr>
      <w:r w:rsidRPr="006D4CB5">
        <w:rPr>
          <w:color w:val="000000" w:themeColor="text1"/>
        </w:rPr>
        <w:t>For each trait, we found general continuity in genetic architecture across age groups (</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B</w:t>
      </w:r>
      <w:r w:rsidRPr="006D4CB5">
        <w:rPr>
          <w:color w:val="000000" w:themeColor="text1"/>
        </w:rPr>
        <w:t>), replicating results of past twin and family research (Tucker-Drob &amp; Briley, 2014).</w:t>
      </w:r>
      <w:r w:rsidR="007237DA" w:rsidRPr="006D4CB5">
        <w:rPr>
          <w:color w:val="000000" w:themeColor="text1"/>
        </w:rPr>
        <w:t xml:space="preserve"> Again, correlations across age groups were on average stronger than correlations across pairs of cohorts </w:t>
      </w:r>
      <w:r w:rsidR="001B1DAF" w:rsidRPr="006D4CB5">
        <w:rPr>
          <w:color w:val="000000" w:themeColor="text1"/>
        </w:rPr>
        <w:t>before age-group stratification</w:t>
      </w:r>
      <w:r w:rsidR="007237DA" w:rsidRPr="006D4CB5">
        <w:rPr>
          <w:color w:val="000000" w:themeColor="text1"/>
        </w:rPr>
        <w:t xml:space="preserve"> (</w:t>
      </w:r>
      <w:r w:rsidR="007237DA" w:rsidRPr="006D4CB5">
        <w:rPr>
          <w:b/>
          <w:bCs/>
          <w:color w:val="000000" w:themeColor="text1"/>
        </w:rPr>
        <w:t>Table 1</w:t>
      </w:r>
      <w:r w:rsidR="007237DA" w:rsidRPr="006D4CB5">
        <w:rPr>
          <w:color w:val="000000" w:themeColor="text1"/>
        </w:rPr>
        <w:t>).</w:t>
      </w:r>
      <w:r w:rsidRPr="006D4CB5">
        <w:rPr>
          <w:color w:val="000000" w:themeColor="text1"/>
        </w:rPr>
        <w:t xml:space="preserve"> However, unlike twin and family research, which finds decreases in broad-sense heritability with age, we did not find any systematic decreases in the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of any trait with age. </w:t>
      </w:r>
      <w:r w:rsidR="001B1DAF" w:rsidRPr="006D4CB5">
        <w:rPr>
          <w:color w:val="000000" w:themeColor="text1"/>
        </w:rPr>
        <w:t>Genetic correlation</w:t>
      </w:r>
      <w:r w:rsidR="00A37A84" w:rsidRPr="006D4CB5">
        <w:rPr>
          <w:color w:val="000000" w:themeColor="text1"/>
        </w:rPr>
        <w:t xml:space="preserve"> estimates were generally consistent with observed differentiation of </w:t>
      </w:r>
      <w:r w:rsidR="001B1DAF" w:rsidRPr="006D4CB5">
        <w:rPr>
          <w:color w:val="000000" w:themeColor="text1"/>
        </w:rPr>
        <w:t xml:space="preserve">genetic </w:t>
      </w:r>
      <w:r w:rsidR="00A37A84" w:rsidRPr="006D4CB5">
        <w:rPr>
          <w:color w:val="000000" w:themeColor="text1"/>
        </w:rPr>
        <w:t>effects across the lifespan</w:t>
      </w:r>
      <w:r w:rsidR="001B1DAF" w:rsidRPr="006D4CB5">
        <w:rPr>
          <w:color w:val="000000" w:themeColor="text1"/>
        </w:rPr>
        <w:t xml:space="preserve"> (Tucker-Drob &amp; Briley, 2014)</w:t>
      </w:r>
      <w:r w:rsidR="00A37A84" w:rsidRPr="006D4CB5">
        <w:rPr>
          <w:color w:val="000000" w:themeColor="text1"/>
        </w:rPr>
        <w:t xml:space="preserve">: </w:t>
      </w:r>
      <w:r w:rsidR="00C30B47" w:rsidRPr="006D4CB5">
        <w:rPr>
          <w:color w:val="000000" w:themeColor="text1"/>
        </w:rPr>
        <w:t xml:space="preserve">on average, </w:t>
      </w:r>
      <w:r w:rsidR="00A37A84" w:rsidRPr="006D4CB5">
        <w:rPr>
          <w:color w:val="000000" w:themeColor="text1"/>
        </w:rPr>
        <w:t>correlations between midlife</w:t>
      </w:r>
      <w:r w:rsidR="00C30B47" w:rsidRPr="006D4CB5">
        <w:rPr>
          <w:color w:val="000000" w:themeColor="text1"/>
        </w:rPr>
        <w:t xml:space="preserve"> adults</w:t>
      </w:r>
      <w:r w:rsidR="00A37A84" w:rsidRPr="006D4CB5">
        <w:rPr>
          <w:color w:val="000000" w:themeColor="text1"/>
        </w:rPr>
        <w:t xml:space="preserve"> and older adults (</w:t>
      </w:r>
      <w:r w:rsidR="00C30B47" w:rsidRPr="006D4CB5">
        <w:rPr>
          <w:i/>
          <w:iCs/>
          <w:color w:val="000000" w:themeColor="text1"/>
        </w:rPr>
        <w:t>r</w:t>
      </w:r>
      <w:r w:rsidR="00C30B47" w:rsidRPr="006D4CB5">
        <w:rPr>
          <w:color w:val="000000" w:themeColor="text1"/>
          <w:vertAlign w:val="subscript"/>
        </w:rPr>
        <w:t>g</w:t>
      </w:r>
      <w:r w:rsidR="00A37A84" w:rsidRPr="006D4CB5">
        <w:rPr>
          <w:color w:val="000000" w:themeColor="text1"/>
        </w:rPr>
        <w:t xml:space="preserve"> = .90) and correlations between younger participants and midlife adults (</w:t>
      </w:r>
      <w:r w:rsidR="00C30B47" w:rsidRPr="006D4CB5">
        <w:rPr>
          <w:i/>
          <w:iCs/>
          <w:color w:val="000000" w:themeColor="text1"/>
        </w:rPr>
        <w:t>r</w:t>
      </w:r>
      <w:r w:rsidR="00C30B47" w:rsidRPr="006D4CB5">
        <w:rPr>
          <w:color w:val="000000" w:themeColor="text1"/>
          <w:vertAlign w:val="subscript"/>
        </w:rPr>
        <w:t>g</w:t>
      </w:r>
      <w:r w:rsidR="00A37A84" w:rsidRPr="006D4CB5">
        <w:rPr>
          <w:color w:val="000000" w:themeColor="text1"/>
        </w:rPr>
        <w:t xml:space="preserve"> = .80) were larger on average than correlations between younger participants and older adults </w:t>
      </w:r>
      <w:r w:rsidR="00C30B47" w:rsidRPr="006D4CB5">
        <w:rPr>
          <w:color w:val="000000" w:themeColor="text1"/>
        </w:rPr>
        <w:t>(</w:t>
      </w:r>
      <w:r w:rsidR="00C30B47" w:rsidRPr="006D4CB5">
        <w:rPr>
          <w:i/>
          <w:iCs/>
          <w:color w:val="000000" w:themeColor="text1"/>
        </w:rPr>
        <w:t>r</w:t>
      </w:r>
      <w:r w:rsidR="00C30B47" w:rsidRPr="006D4CB5">
        <w:rPr>
          <w:color w:val="000000" w:themeColor="text1"/>
          <w:vertAlign w:val="subscript"/>
        </w:rPr>
        <w:t>g</w:t>
      </w:r>
      <w:r w:rsidR="00A37A84" w:rsidRPr="006D4CB5">
        <w:rPr>
          <w:color w:val="000000" w:themeColor="text1"/>
        </w:rPr>
        <w:t xml:space="preserve"> = .72), who are separated by </w:t>
      </w:r>
      <w:r w:rsidR="001B1DAF" w:rsidRPr="006D4CB5">
        <w:rPr>
          <w:color w:val="000000" w:themeColor="text1"/>
        </w:rPr>
        <w:t>a greater age</w:t>
      </w:r>
      <w:r w:rsidR="00A37A84" w:rsidRPr="006D4CB5">
        <w:rPr>
          <w:color w:val="000000" w:themeColor="text1"/>
        </w:rPr>
        <w:t xml:space="preserve">. </w:t>
      </w:r>
      <w:r w:rsidR="005831EA" w:rsidRPr="006D4CB5">
        <w:rPr>
          <w:color w:val="000000" w:themeColor="text1"/>
        </w:rPr>
        <w:t xml:space="preserve">As samples for this </w:t>
      </w:r>
      <w:r w:rsidR="001B1DAF" w:rsidRPr="006D4CB5">
        <w:rPr>
          <w:color w:val="000000" w:themeColor="text1"/>
        </w:rPr>
        <w:t xml:space="preserve">group-stratified </w:t>
      </w:r>
      <w:r w:rsidR="005831EA" w:rsidRPr="006D4CB5">
        <w:rPr>
          <w:color w:val="000000" w:themeColor="text1"/>
        </w:rPr>
        <w:t>analysis were smaller</w:t>
      </w:r>
      <w:r w:rsidR="001B1DAF" w:rsidRPr="006D4CB5">
        <w:rPr>
          <w:color w:val="000000" w:themeColor="text1"/>
        </w:rPr>
        <w:t>, leading to larger</w:t>
      </w:r>
      <w:r w:rsidR="005831EA" w:rsidRPr="006D4CB5">
        <w:rPr>
          <w:color w:val="000000" w:themeColor="text1"/>
        </w:rPr>
        <w:t xml:space="preserve"> standard errors, only one within-trait cross-age correlation showed </w:t>
      </w:r>
      <w:r w:rsidR="00C30B47" w:rsidRPr="006D4CB5">
        <w:rPr>
          <w:color w:val="000000" w:themeColor="text1"/>
        </w:rPr>
        <w:t>significant</w:t>
      </w:r>
      <w:r w:rsidR="001B1DAF" w:rsidRPr="006D4CB5">
        <w:rPr>
          <w:color w:val="000000" w:themeColor="text1"/>
        </w:rPr>
        <w:t xml:space="preserve"> </w:t>
      </w:r>
      <w:r w:rsidR="005831EA" w:rsidRPr="006D4CB5">
        <w:rPr>
          <w:color w:val="000000" w:themeColor="text1"/>
        </w:rPr>
        <w:t xml:space="preserve">evidence for </w:t>
      </w:r>
      <w:r w:rsidR="005831EA" w:rsidRPr="006D4CB5">
        <w:rPr>
          <w:color w:val="000000" w:themeColor="text1"/>
        </w:rPr>
        <w:lastRenderedPageBreak/>
        <w:t>deviation from unity</w:t>
      </w:r>
      <w:r w:rsidR="00C30B47" w:rsidRPr="006D4CB5">
        <w:rPr>
          <w:color w:val="000000" w:themeColor="text1"/>
        </w:rPr>
        <w:t xml:space="preserve"> (95% CI not overlapping with 1)</w:t>
      </w:r>
      <w:r w:rsidR="005831EA" w:rsidRPr="006D4CB5">
        <w:rPr>
          <w:color w:val="000000" w:themeColor="text1"/>
        </w:rPr>
        <w:t>: the genetic architecture of neuroticism among young participants was markedly different from older participants (</w:t>
      </w:r>
      <w:r w:rsidR="005831EA" w:rsidRPr="006D4CB5">
        <w:rPr>
          <w:i/>
          <w:iCs/>
          <w:color w:val="000000" w:themeColor="text1"/>
        </w:rPr>
        <w:t>r</w:t>
      </w:r>
      <w:r w:rsidR="005831EA" w:rsidRPr="006D4CB5">
        <w:rPr>
          <w:color w:val="000000" w:themeColor="text1"/>
          <w:vertAlign w:val="subscript"/>
        </w:rPr>
        <w:t>g</w:t>
      </w:r>
      <w:r w:rsidR="005831EA" w:rsidRPr="006D4CB5">
        <w:rPr>
          <w:color w:val="000000" w:themeColor="text1"/>
        </w:rPr>
        <w:t xml:space="preserve"> = .33, SE = .26</w:t>
      </w:r>
      <w:r w:rsidR="001B1DAF" w:rsidRPr="006D4CB5">
        <w:rPr>
          <w:color w:val="000000" w:themeColor="text1"/>
        </w:rPr>
        <w:t>, 95%CI [-.18, .84]</w:t>
      </w:r>
      <w:r w:rsidR="005831EA" w:rsidRPr="006D4CB5">
        <w:rPr>
          <w:color w:val="000000" w:themeColor="text1"/>
        </w:rPr>
        <w:t xml:space="preserve">), </w:t>
      </w:r>
      <w:r w:rsidR="001B1DAF" w:rsidRPr="006D4CB5">
        <w:rPr>
          <w:color w:val="000000" w:themeColor="text1"/>
        </w:rPr>
        <w:t>which contrasts markedly with the near-unity</w:t>
      </w:r>
      <w:r w:rsidR="005831EA" w:rsidRPr="006D4CB5">
        <w:rPr>
          <w:color w:val="000000" w:themeColor="text1"/>
        </w:rPr>
        <w:t xml:space="preserve"> observed genetic architecture between midlife and older participants (</w:t>
      </w:r>
      <w:r w:rsidR="005831EA" w:rsidRPr="006D4CB5">
        <w:rPr>
          <w:i/>
          <w:iCs/>
          <w:color w:val="000000" w:themeColor="text1"/>
        </w:rPr>
        <w:t>r</w:t>
      </w:r>
      <w:r w:rsidR="005831EA" w:rsidRPr="006D4CB5">
        <w:rPr>
          <w:color w:val="000000" w:themeColor="text1"/>
          <w:vertAlign w:val="subscript"/>
        </w:rPr>
        <w:t>g</w:t>
      </w:r>
      <w:r w:rsidR="005831EA" w:rsidRPr="006D4CB5">
        <w:rPr>
          <w:color w:val="000000" w:themeColor="text1"/>
        </w:rPr>
        <w:t xml:space="preserve"> = .99, SE = .16).</w:t>
      </w:r>
      <w:r w:rsidR="00A37A84" w:rsidRPr="006D4CB5">
        <w:rPr>
          <w:color w:val="000000" w:themeColor="text1"/>
        </w:rPr>
        <w:t xml:space="preserve"> Also notable is the perfect</w:t>
      </w:r>
      <w:r w:rsidR="001B1DAF" w:rsidRPr="006D4CB5">
        <w:rPr>
          <w:color w:val="000000" w:themeColor="text1"/>
        </w:rPr>
        <w:t xml:space="preserve"> observed</w:t>
      </w:r>
      <w:r w:rsidR="00A37A84" w:rsidRPr="006D4CB5">
        <w:rPr>
          <w:color w:val="000000" w:themeColor="text1"/>
        </w:rPr>
        <w:t xml:space="preserve"> congruence in the genetic architecture of extraversion across the lifespan: effects among young, midlife, and older participants all correlated at</w:t>
      </w:r>
      <w:r w:rsidR="001B1DAF" w:rsidRPr="006D4CB5">
        <w:rPr>
          <w:color w:val="000000" w:themeColor="text1"/>
        </w:rPr>
        <w:t xml:space="preserve"> or above</w:t>
      </w:r>
      <w:r w:rsidR="00A37A84" w:rsidRPr="006D4CB5">
        <w:rPr>
          <w:color w:val="000000" w:themeColor="text1"/>
        </w:rPr>
        <w:t xml:space="preserve"> </w:t>
      </w:r>
      <w:r w:rsidR="001B1DAF" w:rsidRPr="006D4CB5">
        <w:rPr>
          <w:i/>
          <w:iCs/>
          <w:color w:val="000000" w:themeColor="text1"/>
        </w:rPr>
        <w:t>r</w:t>
      </w:r>
      <w:r w:rsidR="001B1DAF" w:rsidRPr="006D4CB5">
        <w:rPr>
          <w:color w:val="000000" w:themeColor="text1"/>
        </w:rPr>
        <w:t xml:space="preserve"> = 1.00)</w:t>
      </w:r>
      <w:r w:rsidR="00A37A84" w:rsidRPr="006D4CB5">
        <w:rPr>
          <w:color w:val="000000" w:themeColor="text1"/>
        </w:rPr>
        <w:t xml:space="preserve">. </w:t>
      </w:r>
      <w:r w:rsidRPr="006D4CB5">
        <w:rPr>
          <w:color w:val="000000" w:themeColor="text1"/>
        </w:rPr>
        <w:t xml:space="preserve">In general, these results set the stage for future investigations with fine-grained age groups and stratified GWAS within a cohort, to obtain maximally comparable </w:t>
      </w:r>
      <w:r w:rsidR="001B1DAF" w:rsidRPr="006D4CB5">
        <w:rPr>
          <w:color w:val="000000" w:themeColor="text1"/>
        </w:rPr>
        <w:t xml:space="preserve">genetic effect </w:t>
      </w:r>
      <w:r w:rsidRPr="006D4CB5">
        <w:rPr>
          <w:color w:val="000000" w:themeColor="text1"/>
        </w:rPr>
        <w:t xml:space="preserve">estimates across </w:t>
      </w:r>
      <w:r w:rsidR="001B1DAF" w:rsidRPr="006D4CB5">
        <w:rPr>
          <w:color w:val="000000" w:themeColor="text1"/>
        </w:rPr>
        <w:t xml:space="preserve">age </w:t>
      </w:r>
      <w:r w:rsidRPr="006D4CB5">
        <w:rPr>
          <w:color w:val="000000" w:themeColor="text1"/>
        </w:rPr>
        <w:t xml:space="preserve">groups that can be used to refine lifespan theories of personality genomics.  </w:t>
      </w:r>
    </w:p>
    <w:p w14:paraId="75EF10BF" w14:textId="4EA47F36" w:rsidR="00076353" w:rsidRPr="006D4CB5" w:rsidRDefault="00076353" w:rsidP="00F8526E">
      <w:pPr>
        <w:spacing w:line="259" w:lineRule="auto"/>
        <w:rPr>
          <w:color w:val="000000" w:themeColor="text1"/>
        </w:rPr>
      </w:pPr>
      <w:r w:rsidRPr="006D4CB5">
        <w:rPr>
          <w:color w:val="000000" w:themeColor="text1"/>
        </w:rPr>
        <w:tab/>
        <w:t xml:space="preserve">We structured our next comparison, of veteran status, to highlight the Million Veterans Project, which ascertained participants who had prior military service (Gupta et al., 2024). Notably, this cohort made up the majority of the most recently published GWAS, and so comparing the genetic architecture between the Million Veterans Project cohort and the remaining </w:t>
      </w:r>
      <w:proofErr w:type="spellStart"/>
      <w:r w:rsidRPr="006D4CB5">
        <w:rPr>
          <w:color w:val="000000" w:themeColor="text1"/>
        </w:rPr>
        <w:t>ReGPC</w:t>
      </w:r>
      <w:proofErr w:type="spellEnd"/>
      <w:r w:rsidRPr="006D4CB5">
        <w:rPr>
          <w:color w:val="000000" w:themeColor="text1"/>
        </w:rPr>
        <w:t xml:space="preserve"> contributing cohorts also allows us to evaluate the extent to which the genetic architecture of personality is </w:t>
      </w:r>
      <w:proofErr w:type="gramStart"/>
      <w:r w:rsidRPr="006D4CB5">
        <w:rPr>
          <w:color w:val="000000" w:themeColor="text1"/>
        </w:rPr>
        <w:t>similar to</w:t>
      </w:r>
      <w:proofErr w:type="gramEnd"/>
      <w:r w:rsidRPr="006D4CB5">
        <w:rPr>
          <w:color w:val="000000" w:themeColor="text1"/>
        </w:rPr>
        <w:t xml:space="preserve"> past published estimates. Importantly, there may be veterans in other </w:t>
      </w:r>
      <w:proofErr w:type="spellStart"/>
      <w:r w:rsidRPr="006D4CB5">
        <w:rPr>
          <w:color w:val="000000" w:themeColor="text1"/>
        </w:rPr>
        <w:t>ReGPC</w:t>
      </w:r>
      <w:proofErr w:type="spellEnd"/>
      <w:r w:rsidRPr="006D4CB5">
        <w:rPr>
          <w:color w:val="000000" w:themeColor="text1"/>
        </w:rPr>
        <w:t xml:space="preserve"> cohorts; no information was collected about veteran status in any of the other participating cohorts. Comparisons between the MVP cohort and the other 45 </w:t>
      </w:r>
      <w:proofErr w:type="spellStart"/>
      <w:r w:rsidRPr="006D4CB5">
        <w:rPr>
          <w:color w:val="000000" w:themeColor="text1"/>
        </w:rPr>
        <w:t>ReGPC</w:t>
      </w:r>
      <w:proofErr w:type="spellEnd"/>
      <w:r w:rsidRPr="006D4CB5">
        <w:rPr>
          <w:color w:val="000000" w:themeColor="text1"/>
        </w:rPr>
        <w:t xml:space="preserve"> cohorts illustrate general similarity across the two groups, as can be seen in the lower-left ribbon of</w:t>
      </w:r>
      <w:r w:rsidRPr="006D4CB5">
        <w:rPr>
          <w:b/>
          <w:bCs/>
          <w:color w:val="000000" w:themeColor="text1"/>
        </w:rPr>
        <w:t xml:space="preserve"> </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C</w:t>
      </w:r>
      <w:r w:rsidR="00B63597" w:rsidRPr="006D4CB5">
        <w:rPr>
          <w:color w:val="000000" w:themeColor="text1"/>
        </w:rPr>
        <w:t>; Across traits</w:t>
      </w:r>
      <w:r w:rsidR="001B1DAF" w:rsidRPr="006D4CB5">
        <w:rPr>
          <w:color w:val="000000" w:themeColor="text1"/>
        </w:rPr>
        <w:t>,</w:t>
      </w:r>
      <w:r w:rsidR="00B63597" w:rsidRPr="006D4CB5">
        <w:rPr>
          <w:color w:val="000000" w:themeColor="text1"/>
        </w:rPr>
        <w:t xml:space="preserve"> convergent correlations ranged between </w:t>
      </w:r>
      <w:r w:rsidR="00C30B47" w:rsidRPr="006D4CB5">
        <w:rPr>
          <w:i/>
          <w:iCs/>
          <w:color w:val="000000" w:themeColor="text1"/>
        </w:rPr>
        <w:t>r</w:t>
      </w:r>
      <w:r w:rsidR="00C30B47" w:rsidRPr="006D4CB5">
        <w:rPr>
          <w:color w:val="000000" w:themeColor="text1"/>
          <w:vertAlign w:val="subscript"/>
        </w:rPr>
        <w:t>g</w:t>
      </w:r>
      <w:r w:rsidR="001B1DAF" w:rsidRPr="006D4CB5">
        <w:rPr>
          <w:color w:val="000000" w:themeColor="text1"/>
        </w:rPr>
        <w:t xml:space="preserve"> =</w:t>
      </w:r>
      <w:r w:rsidR="00B63597" w:rsidRPr="006D4CB5">
        <w:rPr>
          <w:color w:val="000000" w:themeColor="text1"/>
        </w:rPr>
        <w:t xml:space="preserve">.73 </w:t>
      </w:r>
      <w:r w:rsidR="001B1DAF" w:rsidRPr="006D4CB5">
        <w:rPr>
          <w:color w:val="000000" w:themeColor="text1"/>
        </w:rPr>
        <w:t>and</w:t>
      </w:r>
      <w:r w:rsidR="00B63597" w:rsidRPr="006D4CB5">
        <w:rPr>
          <w:color w:val="000000" w:themeColor="text1"/>
        </w:rPr>
        <w:t xml:space="preserve"> </w:t>
      </w:r>
      <w:r w:rsidR="001B1DAF" w:rsidRPr="006D4CB5">
        <w:rPr>
          <w:i/>
          <w:iCs/>
          <w:color w:val="000000" w:themeColor="text1"/>
        </w:rPr>
        <w:t>r</w:t>
      </w:r>
      <w:r w:rsidR="001B1DAF" w:rsidRPr="006D4CB5">
        <w:rPr>
          <w:color w:val="000000" w:themeColor="text1"/>
        </w:rPr>
        <w:t xml:space="preserve"> = </w:t>
      </w:r>
      <w:r w:rsidR="00B63597" w:rsidRPr="006D4CB5">
        <w:rPr>
          <w:color w:val="000000" w:themeColor="text1"/>
        </w:rPr>
        <w:t>.85.</w:t>
      </w:r>
      <w:r w:rsidRPr="006D4CB5">
        <w:rPr>
          <w:b/>
          <w:bCs/>
          <w:color w:val="000000" w:themeColor="text1"/>
        </w:rPr>
        <w:t xml:space="preserve"> </w:t>
      </w:r>
      <w:r w:rsidRPr="006D4CB5">
        <w:rPr>
          <w:color w:val="000000" w:themeColor="text1"/>
        </w:rPr>
        <w:t xml:space="preserve">These correlations suggest </w:t>
      </w:r>
      <w:r w:rsidR="001B1DAF" w:rsidRPr="006D4CB5">
        <w:rPr>
          <w:color w:val="000000" w:themeColor="text1"/>
        </w:rPr>
        <w:t>similarity in genetic effects</w:t>
      </w:r>
      <w:r w:rsidRPr="006D4CB5">
        <w:rPr>
          <w:color w:val="000000" w:themeColor="text1"/>
        </w:rPr>
        <w:t xml:space="preserve"> between Gupta and colleagues’ discovery cohort and ours</w:t>
      </w:r>
      <w:r w:rsidR="001B1DAF" w:rsidRPr="006D4CB5">
        <w:rPr>
          <w:color w:val="000000" w:themeColor="text1"/>
        </w:rPr>
        <w:t>, despite differences in cohort demographics, ascertainment, and measurement between GWAS samples</w:t>
      </w:r>
      <w:r w:rsidRPr="006D4CB5">
        <w:rPr>
          <w:color w:val="000000" w:themeColor="text1"/>
        </w:rPr>
        <w:t xml:space="preserve">. </w:t>
      </w:r>
      <w:r w:rsidR="001B1DAF" w:rsidRPr="006D4CB5">
        <w:rPr>
          <w:color w:val="000000" w:themeColor="text1"/>
        </w:rPr>
        <w:t>Estimates of</w:t>
      </w:r>
      <w:r w:rsidR="00A37A84" w:rsidRPr="006D4CB5">
        <w:rPr>
          <w:color w:val="000000" w:themeColor="text1"/>
        </w:rPr>
        <w:t xml:space="preserve"> </w:t>
      </w:r>
      <w:r w:rsidR="001B1DAF" w:rsidRPr="006D4CB5">
        <w:rPr>
          <w:color w:val="000000" w:themeColor="text1"/>
        </w:rPr>
        <w:t>h</w:t>
      </w:r>
      <w:r w:rsidR="001B1DAF" w:rsidRPr="006D4CB5">
        <w:rPr>
          <w:color w:val="000000" w:themeColor="text1"/>
          <w:vertAlign w:val="superscript"/>
        </w:rPr>
        <w:t>2</w:t>
      </w:r>
      <w:r w:rsidR="001B1DAF" w:rsidRPr="006D4CB5">
        <w:rPr>
          <w:color w:val="000000" w:themeColor="text1"/>
          <w:vertAlign w:val="subscript"/>
        </w:rPr>
        <w:t>SNP</w:t>
      </w:r>
      <w:r w:rsidR="001B1DAF" w:rsidRPr="006D4CB5">
        <w:rPr>
          <w:color w:val="000000" w:themeColor="text1"/>
        </w:rPr>
        <w:t xml:space="preserve"> were</w:t>
      </w:r>
      <w:r w:rsidRPr="006D4CB5">
        <w:rPr>
          <w:color w:val="000000" w:themeColor="text1"/>
        </w:rPr>
        <w:t xml:space="preserve"> higher in the </w:t>
      </w:r>
      <w:r w:rsidR="003E72B9" w:rsidRPr="006D4CB5">
        <w:rPr>
          <w:color w:val="000000" w:themeColor="text1"/>
        </w:rPr>
        <w:t xml:space="preserve">other </w:t>
      </w:r>
      <w:proofErr w:type="spellStart"/>
      <w:r w:rsidRPr="006D4CB5">
        <w:rPr>
          <w:color w:val="000000" w:themeColor="text1"/>
        </w:rPr>
        <w:t>ReGPC</w:t>
      </w:r>
      <w:proofErr w:type="spellEnd"/>
      <w:r w:rsidRPr="006D4CB5">
        <w:rPr>
          <w:color w:val="000000" w:themeColor="text1"/>
        </w:rPr>
        <w:t xml:space="preserve"> cohorts </w:t>
      </w:r>
      <w:r w:rsidR="00C30B47" w:rsidRPr="006D4CB5">
        <w:rPr>
          <w:color w:val="000000" w:themeColor="text1"/>
        </w:rPr>
        <w:t xml:space="preserve">(6%-11%) </w:t>
      </w:r>
      <w:r w:rsidRPr="006D4CB5">
        <w:rPr>
          <w:color w:val="000000" w:themeColor="text1"/>
        </w:rPr>
        <w:t>than in the MVP cohort</w:t>
      </w:r>
      <w:r w:rsidR="00C30B47" w:rsidRPr="006D4CB5">
        <w:rPr>
          <w:color w:val="000000" w:themeColor="text1"/>
        </w:rPr>
        <w:t xml:space="preserve"> (4%-8%)</w:t>
      </w:r>
      <w:r w:rsidRPr="006D4CB5">
        <w:rPr>
          <w:color w:val="000000" w:themeColor="text1"/>
        </w:rPr>
        <w:t xml:space="preserve">, which is expected given the comparatively low reliability of the ten-item measure administered to MVP participants. </w:t>
      </w:r>
      <w:r w:rsidR="00C30B47" w:rsidRPr="006D4CB5">
        <w:rPr>
          <w:color w:val="000000" w:themeColor="text1"/>
        </w:rPr>
        <w:t>We note a</w:t>
      </w:r>
      <w:r w:rsidR="00A37A84" w:rsidRPr="006D4CB5">
        <w:rPr>
          <w:color w:val="000000" w:themeColor="text1"/>
        </w:rPr>
        <w:t xml:space="preserve"> strong negative correlation between neuroticism and agreeableness</w:t>
      </w:r>
      <w:r w:rsidR="00C30B47" w:rsidRPr="006D4CB5">
        <w:rPr>
          <w:color w:val="000000" w:themeColor="text1"/>
        </w:rPr>
        <w:t xml:space="preserve"> among veterans</w:t>
      </w:r>
      <w:r w:rsidR="00A37A84" w:rsidRPr="006D4CB5">
        <w:rPr>
          <w:color w:val="000000" w:themeColor="text1"/>
        </w:rPr>
        <w:t xml:space="preserve"> (</w:t>
      </w:r>
      <w:r w:rsidR="00C30B47" w:rsidRPr="006D4CB5">
        <w:rPr>
          <w:i/>
          <w:iCs/>
          <w:color w:val="000000" w:themeColor="text1"/>
        </w:rPr>
        <w:t>r</w:t>
      </w:r>
      <w:r w:rsidR="00C30B47" w:rsidRPr="006D4CB5">
        <w:rPr>
          <w:color w:val="000000" w:themeColor="text1"/>
          <w:vertAlign w:val="subscript"/>
        </w:rPr>
        <w:t>g</w:t>
      </w:r>
      <w:r w:rsidR="00A37A84" w:rsidRPr="006D4CB5">
        <w:rPr>
          <w:color w:val="000000" w:themeColor="text1"/>
        </w:rPr>
        <w:t xml:space="preserve"> = -.53, SE = </w:t>
      </w:r>
      <w:r w:rsidR="00B63597" w:rsidRPr="006D4CB5">
        <w:rPr>
          <w:color w:val="000000" w:themeColor="text1"/>
        </w:rPr>
        <w:t>.06</w:t>
      </w:r>
      <w:r w:rsidR="00A37A84" w:rsidRPr="006D4CB5">
        <w:rPr>
          <w:color w:val="000000" w:themeColor="text1"/>
        </w:rPr>
        <w:t>)</w:t>
      </w:r>
      <w:r w:rsidR="00C30B47" w:rsidRPr="006D4CB5">
        <w:rPr>
          <w:color w:val="000000" w:themeColor="text1"/>
        </w:rPr>
        <w:t>,</w:t>
      </w:r>
      <w:r w:rsidR="00A37A84" w:rsidRPr="006D4CB5">
        <w:rPr>
          <w:color w:val="000000" w:themeColor="text1"/>
        </w:rPr>
        <w:t xml:space="preserve"> </w:t>
      </w:r>
      <w:r w:rsidR="00C30B47" w:rsidRPr="006D4CB5">
        <w:rPr>
          <w:color w:val="000000" w:themeColor="text1"/>
        </w:rPr>
        <w:t>which</w:t>
      </w:r>
      <w:r w:rsidR="00A37A84" w:rsidRPr="006D4CB5">
        <w:rPr>
          <w:color w:val="000000" w:themeColor="text1"/>
        </w:rPr>
        <w:t xml:space="preserve"> </w:t>
      </w:r>
      <w:r w:rsidR="00C30B47" w:rsidRPr="006D4CB5">
        <w:rPr>
          <w:color w:val="000000" w:themeColor="text1"/>
        </w:rPr>
        <w:t>was</w:t>
      </w:r>
      <w:r w:rsidR="00B63597" w:rsidRPr="006D4CB5">
        <w:rPr>
          <w:color w:val="000000" w:themeColor="text1"/>
        </w:rPr>
        <w:t xml:space="preserve"> similar to the correlation between neuroticism in veterans and agreeableness in nonveterans (</w:t>
      </w:r>
      <w:r w:rsidR="00C30B47" w:rsidRPr="006D4CB5">
        <w:rPr>
          <w:i/>
          <w:iCs/>
          <w:color w:val="000000" w:themeColor="text1"/>
        </w:rPr>
        <w:t>r</w:t>
      </w:r>
      <w:r w:rsidR="00C30B47" w:rsidRPr="006D4CB5">
        <w:rPr>
          <w:color w:val="000000" w:themeColor="text1"/>
          <w:vertAlign w:val="subscript"/>
        </w:rPr>
        <w:t>g</w:t>
      </w:r>
      <w:r w:rsidR="00B63597" w:rsidRPr="006D4CB5">
        <w:rPr>
          <w:color w:val="000000" w:themeColor="text1"/>
        </w:rPr>
        <w:t xml:space="preserve"> = -.51, SE = .05) and</w:t>
      </w:r>
      <w:r w:rsidR="00A37A84" w:rsidRPr="006D4CB5">
        <w:rPr>
          <w:color w:val="000000" w:themeColor="text1"/>
        </w:rPr>
        <w:t xml:space="preserve"> nearly double the negative correlation </w:t>
      </w:r>
      <w:r w:rsidR="00C30B47" w:rsidRPr="006D4CB5">
        <w:rPr>
          <w:color w:val="000000" w:themeColor="text1"/>
        </w:rPr>
        <w:t>between the two traits among</w:t>
      </w:r>
      <w:r w:rsidR="00A37A84" w:rsidRPr="006D4CB5">
        <w:rPr>
          <w:color w:val="000000" w:themeColor="text1"/>
        </w:rPr>
        <w:t xml:space="preserve"> </w:t>
      </w:r>
      <w:r w:rsidR="00C30B47" w:rsidRPr="006D4CB5">
        <w:rPr>
          <w:color w:val="000000" w:themeColor="text1"/>
        </w:rPr>
        <w:t>non-veteran cohorts</w:t>
      </w:r>
      <w:r w:rsidR="00A37A84" w:rsidRPr="006D4CB5">
        <w:rPr>
          <w:color w:val="000000" w:themeColor="text1"/>
        </w:rPr>
        <w:t xml:space="preserve"> (</w:t>
      </w:r>
      <w:r w:rsidR="00C30B47" w:rsidRPr="006D4CB5">
        <w:rPr>
          <w:i/>
          <w:iCs/>
          <w:color w:val="000000" w:themeColor="text1"/>
        </w:rPr>
        <w:t>r</w:t>
      </w:r>
      <w:r w:rsidR="00C30B47" w:rsidRPr="006D4CB5">
        <w:rPr>
          <w:color w:val="000000" w:themeColor="text1"/>
          <w:vertAlign w:val="subscript"/>
        </w:rPr>
        <w:t>g</w:t>
      </w:r>
      <w:r w:rsidR="00A37A84" w:rsidRPr="006D4CB5">
        <w:rPr>
          <w:color w:val="000000" w:themeColor="text1"/>
        </w:rPr>
        <w:t xml:space="preserve"> = -.26, SE =</w:t>
      </w:r>
      <w:r w:rsidR="00B63597" w:rsidRPr="006D4CB5">
        <w:rPr>
          <w:color w:val="000000" w:themeColor="text1"/>
        </w:rPr>
        <w:t xml:space="preserve"> .03). </w:t>
      </w:r>
      <w:r w:rsidR="00C30B47" w:rsidRPr="006D4CB5">
        <w:rPr>
          <w:color w:val="000000" w:themeColor="text1"/>
        </w:rPr>
        <w:t>We attribute this differential</w:t>
      </w:r>
      <w:r w:rsidR="00B63597" w:rsidRPr="006D4CB5">
        <w:rPr>
          <w:color w:val="000000" w:themeColor="text1"/>
        </w:rPr>
        <w:t xml:space="preserve"> correlation to the MVP-administered </w:t>
      </w:r>
      <w:r w:rsidR="00C30B47" w:rsidRPr="006D4CB5">
        <w:rPr>
          <w:color w:val="000000" w:themeColor="text1"/>
        </w:rPr>
        <w:t xml:space="preserve">low </w:t>
      </w:r>
      <w:r w:rsidR="00B63597" w:rsidRPr="006D4CB5">
        <w:rPr>
          <w:color w:val="000000" w:themeColor="text1"/>
        </w:rPr>
        <w:t>agreeableness item “</w:t>
      </w:r>
      <w:r w:rsidR="00B63597" w:rsidRPr="006D4CB5">
        <w:rPr>
          <w:i/>
          <w:iCs/>
          <w:color w:val="000000" w:themeColor="text1"/>
        </w:rPr>
        <w:t>tends to find fault with others</w:t>
      </w:r>
      <w:r w:rsidR="00B63597" w:rsidRPr="006D4CB5">
        <w:rPr>
          <w:color w:val="000000" w:themeColor="text1"/>
        </w:rPr>
        <w:t>,</w:t>
      </w:r>
      <w:r w:rsidR="00C30B47" w:rsidRPr="006D4CB5">
        <w:rPr>
          <w:color w:val="000000" w:themeColor="text1"/>
        </w:rPr>
        <w:t>”</w:t>
      </w:r>
      <w:r w:rsidR="00B63597" w:rsidRPr="006D4CB5">
        <w:rPr>
          <w:color w:val="000000" w:themeColor="text1"/>
        </w:rPr>
        <w:t xml:space="preserve"> which is also highly relevant to </w:t>
      </w:r>
      <w:r w:rsidR="00C30B47" w:rsidRPr="006D4CB5">
        <w:rPr>
          <w:color w:val="000000" w:themeColor="text1"/>
        </w:rPr>
        <w:t xml:space="preserve">high </w:t>
      </w:r>
      <w:r w:rsidR="00B63597" w:rsidRPr="006D4CB5">
        <w:rPr>
          <w:color w:val="000000" w:themeColor="text1"/>
        </w:rPr>
        <w:t>neuroticism</w:t>
      </w:r>
      <w:r w:rsidR="00C30B47" w:rsidRPr="006D4CB5">
        <w:rPr>
          <w:color w:val="000000" w:themeColor="text1"/>
        </w:rPr>
        <w:t>; this content was not as prominently featured in non-MVP agreeableness inventories</w:t>
      </w:r>
      <w:r w:rsidR="00B63597" w:rsidRPr="006D4CB5">
        <w:rPr>
          <w:color w:val="000000" w:themeColor="text1"/>
        </w:rPr>
        <w:t xml:space="preserve">. </w:t>
      </w:r>
    </w:p>
    <w:p w14:paraId="29C07008" w14:textId="79BF7756" w:rsidR="00076353" w:rsidRPr="006D4CB5" w:rsidRDefault="00076353" w:rsidP="001321FF">
      <w:pPr>
        <w:ind w:firstLine="720"/>
        <w:rPr>
          <w:color w:val="000000" w:themeColor="text1"/>
        </w:rPr>
      </w:pPr>
      <w:r w:rsidRPr="006D4CB5">
        <w:rPr>
          <w:color w:val="000000" w:themeColor="text1"/>
        </w:rPr>
        <w:t xml:space="preserve">We compared the genetic architecture across rater perspectives using data from the Estonian Biobank (EBB). The EBB measured personality traits from two perspectives: participants reported on their own personality traits (max N = 73,983), and they also nominated an informant to provide a second rating of their personality, from the perspective of a close other (max N = 20,269). This allowed us to examine the extent to which genetic signal was similar across rater perspectives. In general, people and close others provide similar but imperfectly correlated </w:t>
      </w:r>
      <w:r w:rsidR="001321FF" w:rsidRPr="006D4CB5">
        <w:rPr>
          <w:color w:val="000000" w:themeColor="text1"/>
        </w:rPr>
        <w:t xml:space="preserve">phenotypic </w:t>
      </w:r>
      <w:r w:rsidRPr="006D4CB5">
        <w:rPr>
          <w:color w:val="000000" w:themeColor="text1"/>
        </w:rPr>
        <w:t xml:space="preserve">ratings on a target’s personality (Kenny &amp; West, 2010; </w:t>
      </w:r>
      <w:proofErr w:type="spellStart"/>
      <w:r w:rsidRPr="006D4CB5">
        <w:rPr>
          <w:color w:val="000000" w:themeColor="text1"/>
        </w:rPr>
        <w:t>Vazire</w:t>
      </w:r>
      <w:proofErr w:type="spellEnd"/>
      <w:r w:rsidRPr="006D4CB5">
        <w:rPr>
          <w:color w:val="000000" w:themeColor="text1"/>
        </w:rPr>
        <w:t>, 2010). Extending this</w:t>
      </w:r>
      <w:r w:rsidR="0058619C" w:rsidRPr="006D4CB5">
        <w:rPr>
          <w:color w:val="000000" w:themeColor="text1"/>
        </w:rPr>
        <w:t xml:space="preserve"> finding</w:t>
      </w:r>
      <w:r w:rsidRPr="006D4CB5">
        <w:rPr>
          <w:color w:val="000000" w:themeColor="text1"/>
        </w:rPr>
        <w:t xml:space="preserve"> to molecular genetic data for the first time, we find generally high correlations between self-rated and other-rated genetic architectures (</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D</w:t>
      </w:r>
      <w:r w:rsidRPr="006D4CB5">
        <w:rPr>
          <w:color w:val="000000" w:themeColor="text1"/>
        </w:rPr>
        <w:t>), especially for the traits of extraversion, agreeableness, and openness to experience. That is, people tend to see themselves quite similarly to how others see them, both phenotypically and in terms of genetic associations.</w:t>
      </w:r>
      <w:r w:rsidR="0058619C" w:rsidRPr="006D4CB5">
        <w:rPr>
          <w:color w:val="000000" w:themeColor="text1"/>
        </w:rPr>
        <w:t xml:space="preserve"> </w:t>
      </w:r>
      <w:r w:rsidR="001321FF" w:rsidRPr="006D4CB5">
        <w:rPr>
          <w:color w:val="000000" w:themeColor="text1"/>
        </w:rPr>
        <w:t xml:space="preserve">Self-other genetic correlations for conscientiousness </w:t>
      </w:r>
      <w:proofErr w:type="gramStart"/>
      <w:r w:rsidR="001321FF" w:rsidRPr="006D4CB5">
        <w:rPr>
          <w:color w:val="000000" w:themeColor="text1"/>
        </w:rPr>
        <w:t>in particular were</w:t>
      </w:r>
      <w:proofErr w:type="gramEnd"/>
      <w:r w:rsidR="001321FF" w:rsidRPr="006D4CB5">
        <w:rPr>
          <w:color w:val="000000" w:themeColor="text1"/>
        </w:rPr>
        <w:t xml:space="preserve"> </w:t>
      </w:r>
      <w:r w:rsidR="00C30B47" w:rsidRPr="006D4CB5">
        <w:rPr>
          <w:color w:val="000000" w:themeColor="text1"/>
        </w:rPr>
        <w:t xml:space="preserve">significantly </w:t>
      </w:r>
      <w:r w:rsidR="001321FF" w:rsidRPr="006D4CB5">
        <w:rPr>
          <w:color w:val="000000" w:themeColor="text1"/>
        </w:rPr>
        <w:t xml:space="preserve">less than unity </w:t>
      </w:r>
      <w:r w:rsidR="00C46ABD" w:rsidRPr="006D4CB5">
        <w:rPr>
          <w:color w:val="000000" w:themeColor="text1"/>
        </w:rPr>
        <w:t>(</w:t>
      </w:r>
      <w:r w:rsidR="00C46ABD" w:rsidRPr="006D4CB5">
        <w:rPr>
          <w:i/>
          <w:iCs/>
          <w:color w:val="000000" w:themeColor="text1"/>
        </w:rPr>
        <w:t>r</w:t>
      </w:r>
      <w:r w:rsidR="00C46ABD" w:rsidRPr="006D4CB5">
        <w:rPr>
          <w:color w:val="000000" w:themeColor="text1"/>
          <w:vertAlign w:val="subscript"/>
        </w:rPr>
        <w:t>g</w:t>
      </w:r>
      <w:r w:rsidR="00C46ABD" w:rsidRPr="006D4CB5">
        <w:rPr>
          <w:color w:val="000000" w:themeColor="text1"/>
        </w:rPr>
        <w:t xml:space="preserve"> = .68, SE =</w:t>
      </w:r>
      <w:r w:rsidRPr="006D4CB5">
        <w:rPr>
          <w:color w:val="000000" w:themeColor="text1"/>
        </w:rPr>
        <w:t xml:space="preserve"> </w:t>
      </w:r>
      <w:r w:rsidR="00C46ABD" w:rsidRPr="006D4CB5">
        <w:rPr>
          <w:color w:val="000000" w:themeColor="text1"/>
        </w:rPr>
        <w:t>.11</w:t>
      </w:r>
      <w:r w:rsidR="00C30B47" w:rsidRPr="006D4CB5">
        <w:rPr>
          <w:color w:val="000000" w:themeColor="text1"/>
        </w:rPr>
        <w:t xml:space="preserve">, 95%CI = </w:t>
      </w:r>
      <w:r w:rsidR="006B5674" w:rsidRPr="006D4CB5">
        <w:rPr>
          <w:color w:val="000000" w:themeColor="text1"/>
        </w:rPr>
        <w:t>[</w:t>
      </w:r>
      <w:r w:rsidR="00C30B47" w:rsidRPr="006D4CB5">
        <w:rPr>
          <w:color w:val="000000" w:themeColor="text1"/>
        </w:rPr>
        <w:t>.46, .90]</w:t>
      </w:r>
      <w:r w:rsidR="00C46ABD" w:rsidRPr="006D4CB5">
        <w:rPr>
          <w:color w:val="000000" w:themeColor="text1"/>
        </w:rPr>
        <w:t>),</w:t>
      </w:r>
      <w:r w:rsidR="001321FF" w:rsidRPr="006D4CB5">
        <w:rPr>
          <w:color w:val="000000" w:themeColor="text1"/>
        </w:rPr>
        <w:t xml:space="preserve"> </w:t>
      </w:r>
      <w:r w:rsidR="00C30B47" w:rsidRPr="006D4CB5">
        <w:rPr>
          <w:color w:val="000000" w:themeColor="text1"/>
        </w:rPr>
        <w:t xml:space="preserve">suggesting </w:t>
      </w:r>
      <w:r w:rsidR="001321FF" w:rsidRPr="006D4CB5">
        <w:rPr>
          <w:color w:val="000000" w:themeColor="text1"/>
        </w:rPr>
        <w:t>divergence between self- and other- perceptions of this trait</w:t>
      </w:r>
      <w:r w:rsidR="00C30B47" w:rsidRPr="006D4CB5">
        <w:rPr>
          <w:color w:val="000000" w:themeColor="text1"/>
        </w:rPr>
        <w:t xml:space="preserve"> in this cohort</w:t>
      </w:r>
      <w:r w:rsidR="001321FF" w:rsidRPr="006D4CB5">
        <w:rPr>
          <w:color w:val="000000" w:themeColor="text1"/>
        </w:rPr>
        <w:t xml:space="preserve">. </w:t>
      </w:r>
      <w:r w:rsidR="001321FF" w:rsidRPr="006D4CB5">
        <w:rPr>
          <w:color w:val="000000" w:themeColor="text1"/>
        </w:rPr>
        <w:lastRenderedPageBreak/>
        <w:t>In general, t</w:t>
      </w:r>
      <w:r w:rsidRPr="006D4CB5">
        <w:rPr>
          <w:color w:val="000000" w:themeColor="text1"/>
        </w:rPr>
        <w:t>hese findings indicate that, though personality is typically assessed via self-report, these self-report measurements correspond with how a person is perceived by close others, reflecting a shared psychological reality</w:t>
      </w:r>
      <w:r w:rsidR="00F8526E" w:rsidRPr="006D4CB5">
        <w:rPr>
          <w:color w:val="000000" w:themeColor="text1"/>
        </w:rPr>
        <w:t>.</w:t>
      </w:r>
    </w:p>
    <w:p w14:paraId="5696BD7E" w14:textId="77777777" w:rsidR="00076353" w:rsidRPr="006D4CB5" w:rsidRDefault="00076353" w:rsidP="00076353">
      <w:pPr>
        <w:ind w:firstLine="720"/>
        <w:rPr>
          <w:color w:val="000000" w:themeColor="text1"/>
        </w:rPr>
      </w:pPr>
      <w:r w:rsidRPr="006D4CB5">
        <w:rPr>
          <w:color w:val="000000" w:themeColor="text1"/>
        </w:rPr>
        <w:t xml:space="preserve">Finally, we compared the similarity of genetic signal across questionnaires. Though the Big Five is the dominant structural paradigm in modern personality psychology, content of individual questionnaires varies depending on the theories espoused by each scale’s creators, with phenotypic correlations for the same Big Five trait ranging as low as </w:t>
      </w:r>
      <w:r w:rsidRPr="006D4CB5">
        <w:rPr>
          <w:i/>
          <w:iCs/>
          <w:color w:val="000000" w:themeColor="text1"/>
        </w:rPr>
        <w:t>r</w:t>
      </w:r>
      <w:r w:rsidRPr="006D4CB5">
        <w:rPr>
          <w:color w:val="000000" w:themeColor="text1"/>
        </w:rPr>
        <w:t xml:space="preserve"> = .60 across instruments (Soto &amp; John, 2017; Thalmayer et al., 2011). Thus, it is an open question whether scales designed to measure the same trait will demonstrate high levels of genetic overlap in genomic data. Most cohorts completed personality questionnaires belonging to one of four questionnaire families. Eight cohorts (max N = 96,966) completed Big Five Inventory (BFI) scales, including the BFI and BFI-short. Four cohorts (max N = 481,307) completed the Eysenck Personality Questionnaire (EPQ) or Eysenck Personality Inventory extraversion and neuroticism scales, which are theoretically and empirically congruent with their corresponding Big Five traits. Four cohorts (max N = 47,175) completed Big Five scales drawn from the International Personality Item Pool, and 19 cohorts (max N = 117,524) completed NEO personality Inventories (NEO), including the NEO-Personality Inventory-Revised and the shorter NEO-Five Factor Inventory. Finally, Estonian Biobank participants completed the 100 Nuances of Personality inventory (max N = 73,983). Details on which cohorts were administered which questionnaires can be found in </w:t>
      </w:r>
      <w:r w:rsidRPr="006D4CB5">
        <w:rPr>
          <w:b/>
          <w:bCs/>
          <w:color w:val="000000" w:themeColor="text1"/>
        </w:rPr>
        <w:t>Supplementary Table S1</w:t>
      </w:r>
      <w:r w:rsidRPr="006D4CB5">
        <w:rPr>
          <w:color w:val="000000" w:themeColor="text1"/>
        </w:rPr>
        <w:t xml:space="preserve">. </w:t>
      </w:r>
    </w:p>
    <w:p w14:paraId="77C8E4BE" w14:textId="522FC1E2" w:rsidR="00076353" w:rsidRPr="006D4CB5" w:rsidRDefault="00076353" w:rsidP="00FD2004">
      <w:pPr>
        <w:ind w:firstLine="720"/>
        <w:rPr>
          <w:color w:val="000000" w:themeColor="text1"/>
        </w:rPr>
      </w:pPr>
      <w:r w:rsidRPr="006D4CB5">
        <w:rPr>
          <w:color w:val="000000" w:themeColor="text1"/>
        </w:rPr>
        <w:t xml:space="preserve">As we show in </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E</w:t>
      </w:r>
      <w:r w:rsidRPr="006D4CB5">
        <w:rPr>
          <w:color w:val="000000" w:themeColor="text1"/>
        </w:rPr>
        <w:t>, for extraversion, neuroticism, conscientiousness, and openness, we observed strong convergent validity (</w:t>
      </w:r>
      <w:proofErr w:type="spellStart"/>
      <w:r w:rsidRPr="006D4CB5">
        <w:rPr>
          <w:i/>
          <w:iCs/>
          <w:color w:val="000000" w:themeColor="text1"/>
        </w:rPr>
        <w:t>r</w:t>
      </w:r>
      <w:r w:rsidRPr="006D4CB5">
        <w:rPr>
          <w:color w:val="000000" w:themeColor="text1"/>
          <w:vertAlign w:val="subscript"/>
        </w:rPr>
        <w:t>g</w:t>
      </w:r>
      <w:r w:rsidRPr="006D4CB5">
        <w:rPr>
          <w:color w:val="000000" w:themeColor="text1"/>
        </w:rPr>
        <w:t>s</w:t>
      </w:r>
      <w:proofErr w:type="spellEnd"/>
      <w:r w:rsidRPr="006D4CB5">
        <w:rPr>
          <w:color w:val="000000" w:themeColor="text1"/>
        </w:rPr>
        <w:t xml:space="preserve"> ~.75 and above) across personality scales measuring the same trait. For agreeableness, convergent validity across measures was moderate (</w:t>
      </w:r>
      <w:proofErr w:type="spellStart"/>
      <w:r w:rsidRPr="006D4CB5">
        <w:rPr>
          <w:i/>
          <w:iCs/>
          <w:color w:val="000000" w:themeColor="text1"/>
        </w:rPr>
        <w:t>r</w:t>
      </w:r>
      <w:r w:rsidRPr="006D4CB5">
        <w:rPr>
          <w:color w:val="000000" w:themeColor="text1"/>
          <w:vertAlign w:val="subscript"/>
        </w:rPr>
        <w:t>g</w:t>
      </w:r>
      <w:r w:rsidRPr="006D4CB5">
        <w:rPr>
          <w:color w:val="000000" w:themeColor="text1"/>
        </w:rPr>
        <w:t>s</w:t>
      </w:r>
      <w:proofErr w:type="spellEnd"/>
      <w:r w:rsidRPr="006D4CB5">
        <w:rPr>
          <w:color w:val="000000" w:themeColor="text1"/>
        </w:rPr>
        <w:t xml:space="preserve"> ~ .</w:t>
      </w:r>
      <w:r w:rsidR="00086C0D" w:rsidRPr="006D4CB5">
        <w:rPr>
          <w:color w:val="000000" w:themeColor="text1"/>
        </w:rPr>
        <w:t>60 and above</w:t>
      </w:r>
      <w:r w:rsidRPr="006D4CB5">
        <w:rPr>
          <w:color w:val="000000" w:themeColor="text1"/>
        </w:rPr>
        <w:t xml:space="preserve">), </w:t>
      </w:r>
      <w:proofErr w:type="gramStart"/>
      <w:r w:rsidRPr="006D4CB5">
        <w:rPr>
          <w:color w:val="000000" w:themeColor="text1"/>
        </w:rPr>
        <w:t>with the exception of</w:t>
      </w:r>
      <w:proofErr w:type="gramEnd"/>
      <w:r w:rsidRPr="006D4CB5">
        <w:rPr>
          <w:color w:val="000000" w:themeColor="text1"/>
        </w:rPr>
        <w:t xml:space="preserve"> the genetic correlation between IPIP agreeableness and 100NP agreeableness (</w:t>
      </w:r>
      <w:r w:rsidR="00B63597" w:rsidRPr="006D4CB5">
        <w:rPr>
          <w:i/>
          <w:iCs/>
          <w:color w:val="000000" w:themeColor="text1"/>
        </w:rPr>
        <w:t>r</w:t>
      </w:r>
      <w:r w:rsidR="00B63597" w:rsidRPr="006D4CB5">
        <w:rPr>
          <w:color w:val="000000" w:themeColor="text1"/>
          <w:vertAlign w:val="subscript"/>
        </w:rPr>
        <w:t>g</w:t>
      </w:r>
      <w:r w:rsidR="00B63597" w:rsidRPr="006D4CB5">
        <w:rPr>
          <w:color w:val="000000" w:themeColor="text1"/>
        </w:rPr>
        <w:t xml:space="preserve"> = </w:t>
      </w:r>
      <w:r w:rsidRPr="006D4CB5">
        <w:rPr>
          <w:color w:val="000000" w:themeColor="text1"/>
        </w:rPr>
        <w:t>.</w:t>
      </w:r>
      <w:r w:rsidR="00086C0D" w:rsidRPr="006D4CB5">
        <w:rPr>
          <w:color w:val="000000" w:themeColor="text1"/>
        </w:rPr>
        <w:t>31</w:t>
      </w:r>
      <w:r w:rsidR="00B63597" w:rsidRPr="006D4CB5">
        <w:rPr>
          <w:color w:val="000000" w:themeColor="text1"/>
        </w:rPr>
        <w:t>, SE = .07</w:t>
      </w:r>
      <w:r w:rsidRPr="006D4CB5">
        <w:rPr>
          <w:color w:val="000000" w:themeColor="text1"/>
        </w:rPr>
        <w:t>). We also generally observed good discriminant validity between scales measuring different traits. Exceptions included genetic associations between IPIP and 100NP measures of agreeableness</w:t>
      </w:r>
      <w:r w:rsidR="00086C0D" w:rsidRPr="006D4CB5">
        <w:rPr>
          <w:color w:val="000000" w:themeColor="text1"/>
        </w:rPr>
        <w:t xml:space="preserve"> and extraversion. </w:t>
      </w:r>
      <w:r w:rsidRPr="006D4CB5">
        <w:rPr>
          <w:color w:val="000000" w:themeColor="text1"/>
        </w:rPr>
        <w:t xml:space="preserve">The association between IPIP agreeableness and extraversion may be explained by the inclusion of sociability-relevant content in IPIP agreeableness inventories, as exemplified by the item </w:t>
      </w:r>
      <w:r w:rsidRPr="006D4CB5">
        <w:rPr>
          <w:i/>
          <w:iCs/>
          <w:color w:val="000000" w:themeColor="text1"/>
        </w:rPr>
        <w:t>“am interested in people</w:t>
      </w:r>
      <w:r w:rsidRPr="006D4CB5">
        <w:rPr>
          <w:color w:val="000000" w:themeColor="text1"/>
        </w:rPr>
        <w:t xml:space="preserve">”.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001C5988" w:rsidRPr="006D4CB5" w:rsidDel="001C5988">
        <w:rPr>
          <w:color w:val="000000" w:themeColor="text1"/>
        </w:rPr>
        <w:t xml:space="preserve"> </w:t>
      </w:r>
      <w:r w:rsidRPr="006D4CB5">
        <w:rPr>
          <w:color w:val="000000" w:themeColor="text1"/>
        </w:rPr>
        <w:t>did not vary substantially across scales measuring the same trait. Overall, the pattern of genetic correlations indicates that heritable signal in the Big Five is largely robust across measurement instruments.</w:t>
      </w:r>
    </w:p>
    <w:p w14:paraId="19008945" w14:textId="77777777" w:rsidR="00076353" w:rsidRPr="006D4CB5" w:rsidRDefault="00076353" w:rsidP="00076353">
      <w:pPr>
        <w:rPr>
          <w:color w:val="000000" w:themeColor="text1"/>
        </w:rPr>
      </w:pPr>
    </w:p>
    <w:p w14:paraId="449EDCBB" w14:textId="77777777" w:rsidR="00076353" w:rsidRPr="006D4CB5" w:rsidRDefault="00076353" w:rsidP="00E30AAF">
      <w:pPr>
        <w:rPr>
          <w:color w:val="000000" w:themeColor="text1"/>
          <w:u w:val="single"/>
        </w:rPr>
      </w:pPr>
      <w:r w:rsidRPr="006D4CB5">
        <w:rPr>
          <w:color w:val="000000" w:themeColor="text1"/>
          <w:u w:val="single"/>
        </w:rPr>
        <w:t>3.5 Genomic SEM Analyses Stratified by Measurement Instrument</w:t>
      </w:r>
    </w:p>
    <w:p w14:paraId="38E03C49" w14:textId="6B9BBC5B" w:rsidR="00E62264" w:rsidRPr="006D4CB5" w:rsidRDefault="00076353" w:rsidP="00E30AAF">
      <w:pPr>
        <w:ind w:firstLine="720"/>
        <w:rPr>
          <w:color w:val="000000" w:themeColor="text1"/>
        </w:rPr>
      </w:pPr>
      <w:r w:rsidRPr="006D4CB5">
        <w:rPr>
          <w:color w:val="000000" w:themeColor="text1"/>
        </w:rPr>
        <w:t xml:space="preserve">To investigate the extent to which genetic effects on personality may differ by measurement instrument, we formally modeled the multivariate genetic architecture of the 22 </w:t>
      </w:r>
      <w:proofErr w:type="gramStart"/>
      <w:r w:rsidRPr="006D4CB5">
        <w:rPr>
          <w:color w:val="000000" w:themeColor="text1"/>
        </w:rPr>
        <w:t>instrument-stratified</w:t>
      </w:r>
      <w:proofErr w:type="gramEnd"/>
      <w:r w:rsidRPr="006D4CB5">
        <w:rPr>
          <w:color w:val="000000" w:themeColor="text1"/>
        </w:rPr>
        <w:t xml:space="preserve"> Big Five GWAS phenotypes using Genomic </w:t>
      </w:r>
      <w:r w:rsidR="00F236B5" w:rsidRPr="006D4CB5">
        <w:rPr>
          <w:color w:val="000000" w:themeColor="text1"/>
        </w:rPr>
        <w:t>SEM</w:t>
      </w:r>
      <w:r w:rsidR="00F166A3" w:rsidRPr="006D4CB5">
        <w:rPr>
          <w:color w:val="000000" w:themeColor="text1"/>
        </w:rPr>
        <w:t xml:space="preserve"> (Grotzinger et al., 2019)</w:t>
      </w:r>
      <w:r w:rsidRPr="006D4CB5">
        <w:rPr>
          <w:color w:val="000000" w:themeColor="text1"/>
        </w:rPr>
        <w:t xml:space="preserve">. We first fit a confirmatory five-factor model conforming to </w:t>
      </w:r>
      <w:r w:rsidRPr="006D4CB5">
        <w:rPr>
          <w:i/>
          <w:iCs/>
          <w:color w:val="000000" w:themeColor="text1"/>
        </w:rPr>
        <w:t>simple structure,</w:t>
      </w:r>
      <w:r w:rsidRPr="006D4CB5">
        <w:rPr>
          <w:color w:val="000000" w:themeColor="text1"/>
        </w:rPr>
        <w:t xml:space="preserve"> in which each instrument loaded only on the factor corresponding to the Big Five trait that it was designed to measure, with no cross loadings modeled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A</w:t>
      </w:r>
      <w:r w:rsidRPr="006D4CB5">
        <w:rPr>
          <w:color w:val="000000" w:themeColor="text1"/>
        </w:rPr>
        <w:t xml:space="preserve">). </w:t>
      </w:r>
      <w:r w:rsidR="00E62264" w:rsidRPr="006D4CB5">
        <w:rPr>
          <w:color w:val="000000" w:themeColor="text1"/>
        </w:rPr>
        <w:t>In this model, standardized loadings of each indictor on its corresponding factor were generally high, with the factors correlating only modestly. However, model fit was poor (χ</w:t>
      </w:r>
      <w:proofErr w:type="gramStart"/>
      <w:r w:rsidR="00E62264" w:rsidRPr="006D4CB5">
        <w:rPr>
          <w:color w:val="000000" w:themeColor="text1"/>
        </w:rPr>
        <w:t>²(</w:t>
      </w:r>
      <w:proofErr w:type="gramEnd"/>
      <w:r w:rsidR="00E62264" w:rsidRPr="006D4CB5">
        <w:rPr>
          <w:color w:val="000000" w:themeColor="text1"/>
        </w:rPr>
        <w:t>199) = 28,290.18; AIC = 28,398.18; CFI = .749; SRMR = .129), suggesting that additional complexity was warranted, e.g. to reflect influences on each measure by off-target traits.</w:t>
      </w:r>
    </w:p>
    <w:p w14:paraId="72B7A5AD" w14:textId="77777777" w:rsidR="00E62264" w:rsidRPr="006D4CB5" w:rsidRDefault="00E62264" w:rsidP="001E251E">
      <w:pPr>
        <w:ind w:firstLine="720"/>
        <w:rPr>
          <w:color w:val="000000" w:themeColor="text1"/>
        </w:rPr>
      </w:pPr>
      <w:r w:rsidRPr="006D4CB5">
        <w:rPr>
          <w:rFonts w:eastAsiaTheme="minorEastAsia"/>
          <w:color w:val="000000" w:themeColor="text1"/>
          <w:lang w:eastAsia="ja-JP"/>
        </w:rPr>
        <w:t xml:space="preserve">We employed an iterative data-driven approach to extend the confirmatory model to include additional free parameters. At each iteration, we inspected the residual genetic </w:t>
      </w:r>
      <w:r w:rsidRPr="006D4CB5">
        <w:rPr>
          <w:rFonts w:eastAsiaTheme="minorEastAsia"/>
          <w:color w:val="000000" w:themeColor="text1"/>
          <w:lang w:eastAsia="ja-JP"/>
        </w:rPr>
        <w:lastRenderedPageBreak/>
        <w:t>covariance matrix (calculated as the difference between the observed and model-implied genetic covariance matrices) to identify clusters of sign-consistent (all positive or all negative) residual covariances reflecting unaccounted for dependencies between a single measure of a Big Five trait and all measures of another Big Five trait. We then modeled that dependency by adding a corresponding cross-loading to the factor model, estimated the elaborated model, and examined its residual covariance matrix. We proceeded until no variable exhibited the clustered pattern of residual genetic covariances with indicators of an off-target Big Five trait with at least one residual genetic covariance exceeding an absolute value of |0.035| (which corresponds to a residual correlation of .35 for two traits with h</w:t>
      </w:r>
      <w:r w:rsidRPr="006D4CB5">
        <w:rPr>
          <w:rFonts w:eastAsiaTheme="minorEastAsia"/>
          <w:color w:val="000000" w:themeColor="text1"/>
          <w:vertAlign w:val="superscript"/>
          <w:lang w:eastAsia="ja-JP"/>
        </w:rPr>
        <w:t>2</w:t>
      </w:r>
      <w:r w:rsidRPr="006D4CB5">
        <w:rPr>
          <w:rFonts w:eastAsiaTheme="minorEastAsia"/>
          <w:color w:val="000000" w:themeColor="text1"/>
          <w:vertAlign w:val="subscript"/>
          <w:lang w:eastAsia="ja-JP"/>
        </w:rPr>
        <w:t>SNP</w:t>
      </w:r>
      <w:r w:rsidRPr="006D4CB5">
        <w:rPr>
          <w:rFonts w:eastAsiaTheme="minorEastAsia"/>
          <w:color w:val="000000" w:themeColor="text1"/>
          <w:lang w:eastAsia="ja-JP"/>
        </w:rPr>
        <w:t xml:space="preserve"> = .10). </w:t>
      </w:r>
    </w:p>
    <w:p w14:paraId="543B78DA" w14:textId="28A2C049" w:rsidR="00E62264" w:rsidRPr="006D4CB5" w:rsidRDefault="00076353" w:rsidP="00E30AAF">
      <w:pPr>
        <w:ind w:firstLine="720"/>
        <w:rPr>
          <w:color w:val="000000" w:themeColor="text1"/>
        </w:rPr>
      </w:pPr>
      <w:r w:rsidRPr="006D4CB5">
        <w:rPr>
          <w:color w:val="000000" w:themeColor="text1"/>
        </w:rPr>
        <w:t xml:space="preserve">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B</w:t>
      </w:r>
      <w:r w:rsidRPr="006D4CB5">
        <w:rPr>
          <w:color w:val="000000" w:themeColor="text1"/>
        </w:rPr>
        <w:t>,</w:t>
      </w:r>
      <w:r w:rsidRPr="006D4CB5">
        <w:rPr>
          <w:b/>
          <w:bCs/>
          <w:color w:val="000000" w:themeColor="text1"/>
        </w:rPr>
        <w:t xml:space="preserve"> </w:t>
      </w:r>
      <w:r w:rsidR="00E62264" w:rsidRPr="006D4CB5">
        <w:rPr>
          <w:color w:val="000000" w:themeColor="text1"/>
        </w:rPr>
        <w:t>we display the residual genetic correlation matrix for the confirmatory simple structure model. (Note that although we used residual genetic covariances to guide model modification, we present residual genetic correlations for ease of interpretation). We observed a consistent pattern of negative residuals between 100NP agreeableness and measures of extraversion (</w:t>
      </w:r>
      <w:r w:rsidR="00E62264" w:rsidRPr="006D4CB5">
        <w:rPr>
          <w:i/>
          <w:iCs/>
          <w:color w:val="000000" w:themeColor="text1"/>
        </w:rPr>
        <w:t>r</w:t>
      </w:r>
      <w:r w:rsidR="00E62264" w:rsidRPr="006D4CB5">
        <w:rPr>
          <w:color w:val="000000" w:themeColor="text1"/>
          <w:vertAlign w:val="subscript"/>
        </w:rPr>
        <w:t>g</w:t>
      </w:r>
      <w:r w:rsidR="00E62264" w:rsidRPr="006D4CB5">
        <w:rPr>
          <w:color w:val="000000" w:themeColor="text1"/>
        </w:rPr>
        <w:t xml:space="preserve"> = -0.56, -0.34, -0.44, -0.54, -0.25 for the BFI, IPIP, NEO, EPQ, and 100NP, respectively), suggesting that 100NP agreeableness may also reflect low extraversion. This may, in part, be attributable to the fact that 100NP agreeableness consists entirely of negatively worded items. We therefore specified 100NP agreeableness to also load on the extraversion factor and refit the model using the procedure described above.</w:t>
      </w:r>
    </w:p>
    <w:p w14:paraId="60C13F3C" w14:textId="7939DC45" w:rsidR="00E62264" w:rsidRPr="006D4CB5" w:rsidRDefault="00076353" w:rsidP="00E30AAF">
      <w:pPr>
        <w:ind w:firstLine="720"/>
        <w:rPr>
          <w:color w:val="000000" w:themeColor="text1"/>
        </w:rPr>
      </w:pPr>
      <w:r w:rsidRPr="006D4CB5">
        <w:rPr>
          <w:color w:val="000000" w:themeColor="text1"/>
        </w:rPr>
        <w:t xml:space="preserve">We display the final factor model of measurement-instrument stratified GWAS of the Big Five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C</w:t>
      </w:r>
      <w:r w:rsidRPr="006D4CB5">
        <w:rPr>
          <w:color w:val="000000" w:themeColor="text1"/>
        </w:rPr>
        <w:t>, with its residual genetic correlation matrix in</w:t>
      </w:r>
      <w:r w:rsidRPr="006D4CB5">
        <w:rPr>
          <w:b/>
          <w:bCs/>
          <w:color w:val="000000" w:themeColor="text1"/>
        </w:rPr>
        <w:t xml:space="preserve">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D</w:t>
      </w:r>
      <w:r w:rsidRPr="006D4CB5">
        <w:rPr>
          <w:color w:val="000000" w:themeColor="text1"/>
        </w:rPr>
        <w:t xml:space="preserve">. As compared to the residual genetic correlation matrix displayed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B</w:t>
      </w:r>
      <w:r w:rsidRPr="006D4CB5">
        <w:rPr>
          <w:color w:val="000000" w:themeColor="text1"/>
        </w:rPr>
        <w:t xml:space="preserve">, </w:t>
      </w:r>
      <w:r w:rsidR="00E62264" w:rsidRPr="006D4CB5">
        <w:rPr>
          <w:color w:val="000000" w:themeColor="text1"/>
        </w:rPr>
        <w:t>large clusters of residuals are no longer apparent. While we observe a single sizable negative residual genetic correlation between IPIP agreeableness and IPIP conscientiousness, the fact that this residual genetic correlation does not appear within a cluster of other sizable residual genetic correlations suggests that it does not reflect an omitted cross</w:t>
      </w:r>
      <w:r w:rsidR="00065F92" w:rsidRPr="006D4CB5">
        <w:rPr>
          <w:color w:val="000000" w:themeColor="text1"/>
        </w:rPr>
        <w:t>-</w:t>
      </w:r>
      <w:proofErr w:type="gramStart"/>
      <w:r w:rsidR="00065F92" w:rsidRPr="006D4CB5">
        <w:rPr>
          <w:color w:val="000000" w:themeColor="text1"/>
        </w:rPr>
        <w:t>loading</w:t>
      </w:r>
      <w:r w:rsidR="00E62264" w:rsidRPr="006D4CB5">
        <w:rPr>
          <w:color w:val="000000" w:themeColor="text1"/>
        </w:rPr>
        <w:t>, but</w:t>
      </w:r>
      <w:proofErr w:type="gramEnd"/>
      <w:r w:rsidR="00E62264" w:rsidRPr="006D4CB5">
        <w:rPr>
          <w:color w:val="000000" w:themeColor="text1"/>
        </w:rPr>
        <w:t xml:space="preserve"> rather reflects a more specific pairwise association between these two scales.  In comparison to the poor model fit of the simple structure model, the final model that included cross-loadings displayed much improved fit (χ</w:t>
      </w:r>
      <w:proofErr w:type="gramStart"/>
      <w:r w:rsidR="00E62264" w:rsidRPr="006D4CB5">
        <w:rPr>
          <w:color w:val="000000" w:themeColor="text1"/>
        </w:rPr>
        <w:t>²(</w:t>
      </w:r>
      <w:proofErr w:type="gramEnd"/>
      <w:r w:rsidR="00E62264" w:rsidRPr="006D4CB5">
        <w:rPr>
          <w:color w:val="000000" w:themeColor="text1"/>
        </w:rPr>
        <w:t>195) = 14,699.38; AIC = 14,815.38; CFI = .870; SRMR = .086).</w:t>
      </w:r>
      <w:r w:rsidR="00E62264" w:rsidRPr="006D4CB5">
        <w:rPr>
          <w:color w:val="000000" w:themeColor="text1"/>
        </w:rPr>
        <w:tab/>
      </w:r>
    </w:p>
    <w:p w14:paraId="00BBECA8" w14:textId="5502DAA6" w:rsidR="00E62264" w:rsidRPr="006D4CB5" w:rsidRDefault="00E62264" w:rsidP="003C1887">
      <w:pPr>
        <w:ind w:firstLine="720"/>
        <w:rPr>
          <w:color w:val="000000" w:themeColor="text1"/>
        </w:rPr>
      </w:pPr>
      <w:r w:rsidRPr="006D4CB5">
        <w:rPr>
          <w:color w:val="000000" w:themeColor="text1"/>
        </w:rPr>
        <w:t>We also conducted an exploratory factor analysis (EFA) on the LDSC-derived genetic correlation matrix of all 22 measures (</w:t>
      </w:r>
      <w:r w:rsidR="006B5674" w:rsidRPr="006D4CB5">
        <w:rPr>
          <w:b/>
          <w:bCs/>
          <w:color w:val="000000" w:themeColor="text1"/>
        </w:rPr>
        <w:t xml:space="preserve">Supplementary </w:t>
      </w:r>
      <w:r w:rsidR="00723032" w:rsidRPr="006D4CB5">
        <w:rPr>
          <w:b/>
          <w:bCs/>
          <w:color w:val="000000" w:themeColor="text1"/>
        </w:rPr>
        <w:t>Table</w:t>
      </w:r>
      <w:r w:rsidR="006B5674" w:rsidRPr="006D4CB5">
        <w:rPr>
          <w:b/>
          <w:bCs/>
          <w:color w:val="000000" w:themeColor="text1"/>
        </w:rPr>
        <w:t xml:space="preserve"> S2</w:t>
      </w:r>
      <w:r w:rsidR="00723032" w:rsidRPr="006D4CB5">
        <w:rPr>
          <w:b/>
          <w:bCs/>
          <w:color w:val="000000" w:themeColor="text1"/>
        </w:rPr>
        <w:t>2</w:t>
      </w:r>
      <w:r w:rsidRPr="006D4CB5">
        <w:rPr>
          <w:color w:val="000000" w:themeColor="text1"/>
        </w:rPr>
        <w:t>). Note that, in contrast to confirmatory models fit within Genomic SEM, such EFAs are not optimized using the LDSC V matrix (which contains information about the magnitude of, and dependencies among, estimation errors in the genetic covariance matrix) and should therefore be viewed as only approximate. We observed good agreement between the EFA cross-loadings and the cross-loadings from our final model.</w:t>
      </w:r>
    </w:p>
    <w:p w14:paraId="5701D34C" w14:textId="30B67D4C" w:rsidR="00E62264" w:rsidRPr="006D4CB5" w:rsidRDefault="00E62264" w:rsidP="00E30AAF">
      <w:pPr>
        <w:ind w:firstLine="720"/>
        <w:rPr>
          <w:rFonts w:eastAsiaTheme="minorEastAsia"/>
          <w:color w:val="000000" w:themeColor="text1"/>
        </w:rPr>
      </w:pPr>
      <w:r w:rsidRPr="006D4CB5">
        <w:rPr>
          <w:color w:val="000000" w:themeColor="text1"/>
        </w:rPr>
        <w:t>To illustrate the value of this iterative model fitting procedure, we again consider 100NP agreeableness. In the poor fitting simple structure model (</w:t>
      </w:r>
      <w:r w:rsidR="006B5674" w:rsidRPr="006D4CB5">
        <w:rPr>
          <w:b/>
          <w:bCs/>
          <w:color w:val="000000" w:themeColor="text1"/>
        </w:rPr>
        <w:t>Extended Data Figure 4 panel A</w:t>
      </w:r>
      <w:r w:rsidRPr="006D4CB5">
        <w:rPr>
          <w:color w:val="000000" w:themeColor="text1"/>
        </w:rPr>
        <w:t>), we observed that 100NP agreeableness had a very low loading on its latent factor (0.31). However, in the final model, in which the 100NP agreeableness is allowed to additionally cross-load on extraversion, its loading on the agreeableness factor is strong (0.84). In other words, failing to model the effect of low extraversion on 100NP agreeableness produce</w:t>
      </w:r>
      <w:r w:rsidR="00065F92" w:rsidRPr="006D4CB5">
        <w:rPr>
          <w:color w:val="000000" w:themeColor="text1"/>
        </w:rPr>
        <w:t>s</w:t>
      </w:r>
      <w:r w:rsidRPr="006D4CB5">
        <w:rPr>
          <w:color w:val="000000" w:themeColor="text1"/>
        </w:rPr>
        <w:t xml:space="preserve"> </w:t>
      </w:r>
      <w:r w:rsidR="00065F92" w:rsidRPr="006D4CB5">
        <w:rPr>
          <w:color w:val="000000" w:themeColor="text1"/>
        </w:rPr>
        <w:t>the</w:t>
      </w:r>
      <w:r w:rsidRPr="006D4CB5">
        <w:rPr>
          <w:color w:val="000000" w:themeColor="text1"/>
        </w:rPr>
        <w:t xml:space="preserve"> misimpression that 100NP agreeableness does not reflect agreeableness genetics well.</w:t>
      </w:r>
    </w:p>
    <w:p w14:paraId="04B5C51D" w14:textId="77777777" w:rsidR="00076353" w:rsidRPr="006D4CB5" w:rsidRDefault="00076353" w:rsidP="00E30AAF">
      <w:pPr>
        <w:rPr>
          <w:b/>
          <w:bCs/>
          <w:color w:val="000000" w:themeColor="text1"/>
        </w:rPr>
      </w:pPr>
    </w:p>
    <w:p w14:paraId="4C578CAD" w14:textId="77777777" w:rsidR="00076353" w:rsidRPr="006D4CB5" w:rsidRDefault="00076353" w:rsidP="00E30AAF">
      <w:pPr>
        <w:ind w:firstLine="720"/>
        <w:rPr>
          <w:color w:val="000000" w:themeColor="text1"/>
          <w:u w:val="single"/>
        </w:rPr>
      </w:pPr>
      <w:r w:rsidRPr="006D4CB5">
        <w:rPr>
          <w:color w:val="000000" w:themeColor="text1"/>
          <w:u w:val="single"/>
        </w:rPr>
        <w:t>3.5.1 Genome-Wide Association Models with SNP effects</w:t>
      </w:r>
    </w:p>
    <w:p w14:paraId="71D15104" w14:textId="4BA4CE2E" w:rsidR="00E62264" w:rsidRPr="006D4CB5" w:rsidRDefault="00076353" w:rsidP="00E30AAF">
      <w:pPr>
        <w:ind w:firstLine="720"/>
        <w:rPr>
          <w:color w:val="000000" w:themeColor="text1"/>
        </w:rPr>
      </w:pPr>
      <w:r w:rsidRPr="006D4CB5">
        <w:rPr>
          <w:color w:val="000000" w:themeColor="text1"/>
        </w:rPr>
        <w:lastRenderedPageBreak/>
        <w:t xml:space="preserve">We extended the Genomic SEM analysis to conduct multivariate GWAS using both the confirmatory five factor model with simple structure (depicted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A</w:t>
      </w:r>
      <w:r w:rsidRPr="006D4CB5">
        <w:rPr>
          <w:color w:val="000000" w:themeColor="text1"/>
        </w:rPr>
        <w:t xml:space="preserve">) and the final factor model with cross-loadings (depicted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C</w:t>
      </w:r>
      <w:r w:rsidRPr="006D4CB5">
        <w:rPr>
          <w:color w:val="000000" w:themeColor="text1"/>
        </w:rPr>
        <w:t xml:space="preserve">). </w:t>
      </w:r>
      <w:r w:rsidR="00E62264" w:rsidRPr="006D4CB5">
        <w:rPr>
          <w:color w:val="000000" w:themeColor="text1"/>
        </w:rPr>
        <w:t>These multivariate GWAS differ from the primary GWAS reported in the main text in three important respects. First, these models specify effects of SNPs to simultaneously predict each of the Big Five personality trait factors rather than one trait at a time. Second, in these models, each of the Big Five are modeled as latent variables composed of the common variance across instrument-stratified GWAS meta-analyses</w:t>
      </w:r>
      <w:r w:rsidR="00E62264" w:rsidRPr="006D4CB5" w:rsidDel="00E62264">
        <w:rPr>
          <w:color w:val="000000" w:themeColor="text1"/>
        </w:rPr>
        <w:t xml:space="preserve"> </w:t>
      </w:r>
      <w:r w:rsidRPr="006D4CB5">
        <w:rPr>
          <w:color w:val="000000" w:themeColor="text1"/>
        </w:rPr>
        <w:t>(</w:t>
      </w:r>
      <w:r w:rsidR="0052029E" w:rsidRPr="006D4CB5">
        <w:rPr>
          <w:b/>
          <w:bCs/>
          <w:color w:val="000000" w:themeColor="text1"/>
        </w:rPr>
        <w:t xml:space="preserve">Extended Data Figure </w:t>
      </w:r>
      <w:r w:rsidR="001F35EA" w:rsidRPr="006D4CB5">
        <w:rPr>
          <w:b/>
          <w:bCs/>
          <w:color w:val="000000" w:themeColor="text1"/>
        </w:rPr>
        <w:t>3</w:t>
      </w:r>
      <w:r w:rsidR="0052029E" w:rsidRPr="006D4CB5">
        <w:rPr>
          <w:b/>
          <w:bCs/>
          <w:color w:val="000000" w:themeColor="text1"/>
        </w:rPr>
        <w:t xml:space="preserve"> panel E</w:t>
      </w:r>
      <w:r w:rsidRPr="006D4CB5">
        <w:rPr>
          <w:color w:val="000000" w:themeColor="text1"/>
        </w:rPr>
        <w:t xml:space="preserve">), </w:t>
      </w:r>
      <w:r w:rsidR="00E62264" w:rsidRPr="006D4CB5">
        <w:rPr>
          <w:color w:val="000000" w:themeColor="text1"/>
        </w:rPr>
        <w:t xml:space="preserve">rather than as observed variables across the full GWAS meta-analytic sample. </w:t>
      </w:r>
      <w:r w:rsidR="005A3110" w:rsidRPr="006D4CB5">
        <w:rPr>
          <w:color w:val="000000" w:themeColor="text1"/>
        </w:rPr>
        <w:t xml:space="preserve">Third, omission </w:t>
      </w:r>
      <w:r w:rsidR="00E62264" w:rsidRPr="006D4CB5">
        <w:rPr>
          <w:color w:val="000000" w:themeColor="text1"/>
        </w:rPr>
        <w:t xml:space="preserve">of cohorts that did not employ the major measurement instruments for which we conducted instrument-stratified GWAS reduces power for these analyses. </w:t>
      </w:r>
      <w:r w:rsidR="005A3110" w:rsidRPr="006D4CB5">
        <w:rPr>
          <w:color w:val="000000" w:themeColor="text1"/>
        </w:rPr>
        <w:t>Fourth</w:t>
      </w:r>
      <w:r w:rsidR="00E62264" w:rsidRPr="006D4CB5">
        <w:rPr>
          <w:color w:val="000000" w:themeColor="text1"/>
        </w:rPr>
        <w:t>, estimation of effects in the context of multivariate GWAS model allows us to compute an omnibus Q</w:t>
      </w:r>
      <w:r w:rsidR="00E62264" w:rsidRPr="006D4CB5">
        <w:rPr>
          <w:color w:val="000000" w:themeColor="text1"/>
          <w:vertAlign w:val="subscript"/>
        </w:rPr>
        <w:t>SNP</w:t>
      </w:r>
      <w:r w:rsidR="00E62264" w:rsidRPr="006D4CB5">
        <w:rPr>
          <w:color w:val="000000" w:themeColor="text1"/>
        </w:rPr>
        <w:t xml:space="preserve"> statistic for each SNP in each of the two multivariate GWAS (degrees of freedom = 22 possible SNP-phenotype path regressions minus 5 SNP-factor regressions = 17) converted to a 1df χ</w:t>
      </w:r>
      <w:r w:rsidR="00E62264" w:rsidRPr="006D4CB5">
        <w:rPr>
          <w:color w:val="000000" w:themeColor="text1"/>
          <w:vertAlign w:val="superscript"/>
        </w:rPr>
        <w:t>2</w:t>
      </w:r>
      <w:r w:rsidR="00E62264" w:rsidRPr="006D4CB5">
        <w:rPr>
          <w:color w:val="000000" w:themeColor="text1"/>
        </w:rPr>
        <w:t xml:space="preserve"> statistic. Q</w:t>
      </w:r>
      <w:r w:rsidR="00E62264" w:rsidRPr="006D4CB5">
        <w:rPr>
          <w:color w:val="000000" w:themeColor="text1"/>
          <w:vertAlign w:val="subscript"/>
        </w:rPr>
        <w:t>SNP</w:t>
      </w:r>
      <w:r w:rsidR="00E62264" w:rsidRPr="006D4CB5">
        <w:rPr>
          <w:color w:val="000000" w:themeColor="text1"/>
        </w:rPr>
        <w:t xml:space="preserve"> is an index of heterogeneity in SNP-phenotype relations beyond what we would expect under the factor model (Grotzinger et al., 2019; Clapp Sullivan et al., 202</w:t>
      </w:r>
      <w:r w:rsidR="008013EB" w:rsidRPr="006D4CB5">
        <w:rPr>
          <w:color w:val="000000" w:themeColor="text1"/>
        </w:rPr>
        <w:t>4</w:t>
      </w:r>
      <w:r w:rsidR="00E62264" w:rsidRPr="006D4CB5">
        <w:rPr>
          <w:color w:val="000000" w:themeColor="text1"/>
        </w:rPr>
        <w:t>). When this Q</w:t>
      </w:r>
      <w:r w:rsidR="00E62264" w:rsidRPr="006D4CB5">
        <w:rPr>
          <w:color w:val="000000" w:themeColor="text1"/>
          <w:vertAlign w:val="subscript"/>
        </w:rPr>
        <w:t>SNP</w:t>
      </w:r>
      <w:r w:rsidR="00E62264" w:rsidRPr="006D4CB5">
        <w:rPr>
          <w:color w:val="000000" w:themeColor="text1"/>
        </w:rPr>
        <w:t xml:space="preserve"> statistic is high, the expectation that the genetic variant operates on the individual GWAS phenotypes exclusively via the factors is violated.</w:t>
      </w:r>
    </w:p>
    <w:p w14:paraId="76D72BDD" w14:textId="11D8EFAC" w:rsidR="00076353" w:rsidRPr="006D4CB5" w:rsidRDefault="00076353" w:rsidP="00E30AAF">
      <w:pPr>
        <w:ind w:firstLine="720"/>
        <w:rPr>
          <w:color w:val="000000" w:themeColor="text1"/>
          <w:u w:val="single"/>
        </w:rPr>
      </w:pPr>
      <w:r w:rsidRPr="006D4CB5">
        <w:rPr>
          <w:color w:val="000000" w:themeColor="text1"/>
        </w:rPr>
        <w:t xml:space="preserve">Results from both multivariate GWAS are summarized in </w:t>
      </w:r>
      <w:r w:rsidRPr="006D4CB5">
        <w:rPr>
          <w:b/>
          <w:bCs/>
          <w:color w:val="000000" w:themeColor="text1"/>
        </w:rPr>
        <w:t>Supplementary Table S2</w:t>
      </w:r>
      <w:r w:rsidR="00723032" w:rsidRPr="006D4CB5">
        <w:rPr>
          <w:b/>
          <w:bCs/>
          <w:color w:val="000000" w:themeColor="text1"/>
        </w:rPr>
        <w:t>3</w:t>
      </w:r>
      <w:r w:rsidRPr="006D4CB5">
        <w:rPr>
          <w:color w:val="000000" w:themeColor="text1"/>
        </w:rPr>
        <w:t xml:space="preserve"> and Manhattan plots for each Big Five personality trait and for Q</w:t>
      </w:r>
      <w:r w:rsidRPr="006D4CB5">
        <w:rPr>
          <w:color w:val="000000" w:themeColor="text1"/>
          <w:vertAlign w:val="subscript"/>
        </w:rPr>
        <w:t>SNP</w:t>
      </w:r>
      <w:r w:rsidRPr="006D4CB5">
        <w:rPr>
          <w:color w:val="000000" w:themeColor="text1"/>
        </w:rPr>
        <w:t xml:space="preserve"> from a multivariate GWAS using the final factor model with cross-loadings are displayed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panels E-J </w:t>
      </w:r>
      <w:r w:rsidRPr="006D4CB5">
        <w:rPr>
          <w:color w:val="000000" w:themeColor="text1"/>
        </w:rPr>
        <w:t>Results were similar for both models. Both in terms of number of lead SNPs and in terms of the mean association χ</w:t>
      </w:r>
      <w:r w:rsidRPr="006D4CB5">
        <w:rPr>
          <w:color w:val="000000" w:themeColor="text1"/>
          <w:vertAlign w:val="superscript"/>
        </w:rPr>
        <w:t>2</w:t>
      </w:r>
      <w:r w:rsidRPr="006D4CB5">
        <w:rPr>
          <w:color w:val="000000" w:themeColor="text1"/>
        </w:rPr>
        <w:t xml:space="preserve"> (1) compared to Q</w:t>
      </w:r>
      <w:r w:rsidRPr="006D4CB5">
        <w:rPr>
          <w:color w:val="000000" w:themeColor="text1"/>
          <w:vertAlign w:val="subscript"/>
        </w:rPr>
        <w:t>SNP</w:t>
      </w:r>
      <w:r w:rsidRPr="006D4CB5">
        <w:rPr>
          <w:color w:val="000000" w:themeColor="text1"/>
        </w:rPr>
        <w:t xml:space="preserve"> χ</w:t>
      </w:r>
      <w:r w:rsidRPr="006D4CB5">
        <w:rPr>
          <w:color w:val="000000" w:themeColor="text1"/>
          <w:vertAlign w:val="superscript"/>
        </w:rPr>
        <w:t>2</w:t>
      </w:r>
      <w:r w:rsidRPr="006D4CB5">
        <w:rPr>
          <w:color w:val="000000" w:themeColor="text1"/>
        </w:rPr>
        <w:t xml:space="preserve"> (1), there was overall a great deal more association signal than Q</w:t>
      </w:r>
      <w:r w:rsidRPr="006D4CB5">
        <w:rPr>
          <w:color w:val="000000" w:themeColor="text1"/>
          <w:vertAlign w:val="subscript"/>
        </w:rPr>
        <w:t>SNP</w:t>
      </w:r>
      <w:r w:rsidRPr="006D4CB5">
        <w:rPr>
          <w:color w:val="000000" w:themeColor="text1"/>
        </w:rPr>
        <w:t xml:space="preserve"> signal, indicating that the SNP effects on the individual measures largely plausibly act via the factors. </w:t>
      </w:r>
    </w:p>
    <w:p w14:paraId="5411E41A" w14:textId="050E1E94" w:rsidR="00E30AAF" w:rsidRPr="006D4CB5" w:rsidRDefault="00076353" w:rsidP="00EC2D1E">
      <w:pPr>
        <w:pStyle w:val="NormalWeb"/>
        <w:spacing w:before="0" w:beforeAutospacing="0" w:after="0" w:afterAutospacing="0"/>
        <w:ind w:firstLine="720"/>
        <w:rPr>
          <w:color w:val="000000" w:themeColor="text1"/>
        </w:rPr>
      </w:pPr>
      <w:r w:rsidRPr="006D4CB5">
        <w:rPr>
          <w:color w:val="000000" w:themeColor="text1"/>
        </w:rPr>
        <w:t xml:space="preserve">As depicted in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 J</w:t>
      </w:r>
      <w:r w:rsidRPr="006D4CB5">
        <w:rPr>
          <w:color w:val="000000" w:themeColor="text1"/>
        </w:rPr>
        <w:t xml:space="preserve">, </w:t>
      </w:r>
      <w:r w:rsidR="00E30AAF" w:rsidRPr="006D4CB5">
        <w:rPr>
          <w:color w:val="000000" w:themeColor="text1"/>
        </w:rPr>
        <w:t>we identified one genome-wide significant lead SNP (rs8712) for omnibus Q</w:t>
      </w:r>
      <w:r w:rsidR="00E30AAF" w:rsidRPr="006D4CB5">
        <w:rPr>
          <w:color w:val="000000" w:themeColor="text1"/>
          <w:vertAlign w:val="subscript"/>
        </w:rPr>
        <w:t>SNP</w:t>
      </w:r>
      <w:r w:rsidR="00E30AAF" w:rsidRPr="006D4CB5">
        <w:rPr>
          <w:color w:val="000000" w:themeColor="text1"/>
        </w:rPr>
        <w:t xml:space="preserve"> in the final factor with cross-loadings model. This SNP was in a locus that also contained association hits for both extraversion and neuroticism. To visualize the heterogeneity of effects within this locus, </w:t>
      </w:r>
      <w:r w:rsidR="0052029E" w:rsidRPr="006D4CB5">
        <w:rPr>
          <w:b/>
          <w:bCs/>
          <w:color w:val="000000" w:themeColor="text1"/>
        </w:rPr>
        <w:t xml:space="preserve">Extended Data Figure </w:t>
      </w:r>
      <w:r w:rsidR="001F35EA" w:rsidRPr="006D4CB5">
        <w:rPr>
          <w:b/>
          <w:bCs/>
          <w:color w:val="000000" w:themeColor="text1"/>
        </w:rPr>
        <w:t>4</w:t>
      </w:r>
      <w:r w:rsidR="0052029E" w:rsidRPr="006D4CB5">
        <w:rPr>
          <w:b/>
          <w:bCs/>
          <w:color w:val="000000" w:themeColor="text1"/>
        </w:rPr>
        <w:t xml:space="preserve"> panel</w:t>
      </w:r>
      <w:r w:rsidR="00E30AAF" w:rsidRPr="006D4CB5">
        <w:rPr>
          <w:b/>
          <w:bCs/>
          <w:color w:val="000000" w:themeColor="text1"/>
        </w:rPr>
        <w:t>s</w:t>
      </w:r>
      <w:r w:rsidR="0052029E" w:rsidRPr="006D4CB5">
        <w:rPr>
          <w:b/>
          <w:bCs/>
          <w:color w:val="000000" w:themeColor="text1"/>
        </w:rPr>
        <w:t xml:space="preserve"> </w:t>
      </w:r>
      <w:r w:rsidR="009560F5" w:rsidRPr="006D4CB5">
        <w:rPr>
          <w:b/>
          <w:bCs/>
          <w:color w:val="000000" w:themeColor="text1"/>
        </w:rPr>
        <w:t>P-R</w:t>
      </w:r>
      <w:r w:rsidR="00E30AAF" w:rsidRPr="006D4CB5">
        <w:rPr>
          <w:b/>
          <w:bCs/>
          <w:color w:val="000000" w:themeColor="text1"/>
        </w:rPr>
        <w:t xml:space="preserve"> </w:t>
      </w:r>
      <w:r w:rsidR="00E30AAF" w:rsidRPr="006D4CB5">
        <w:rPr>
          <w:color w:val="000000" w:themeColor="text1"/>
        </w:rPr>
        <w:t>plot the betas on all measures loading on extraversion and neuroticism against the corresponding factor loadings for the lead Q</w:t>
      </w:r>
      <w:r w:rsidR="00E30AAF" w:rsidRPr="006D4CB5">
        <w:rPr>
          <w:color w:val="000000" w:themeColor="text1"/>
          <w:vertAlign w:val="subscript"/>
        </w:rPr>
        <w:t>SNP</w:t>
      </w:r>
      <w:r w:rsidR="00E30AAF" w:rsidRPr="006D4CB5">
        <w:rPr>
          <w:color w:val="000000" w:themeColor="text1"/>
        </w:rPr>
        <w:t xml:space="preserve"> (rs8712) and for the lead SNPs for extraversion (rs79172804) and neuroticism (rs62062288) from this locus. For comparison purposes</w:t>
      </w:r>
      <w:r w:rsidR="009560F5" w:rsidRPr="006D4CB5">
        <w:rPr>
          <w:color w:val="000000" w:themeColor="text1"/>
        </w:rPr>
        <w:t>,</w:t>
      </w:r>
      <w:r w:rsidR="00E30AAF" w:rsidRPr="006D4CB5" w:rsidDel="00E30AAF">
        <w:rPr>
          <w:color w:val="000000" w:themeColor="text1"/>
        </w:rPr>
        <w:t xml:space="preserve"> </w:t>
      </w:r>
      <w:r w:rsidR="00D222B3" w:rsidRPr="006D4CB5">
        <w:rPr>
          <w:b/>
          <w:bCs/>
          <w:color w:val="000000" w:themeColor="text1"/>
        </w:rPr>
        <w:t xml:space="preserve">Extended Data Figure </w:t>
      </w:r>
      <w:r w:rsidR="001F35EA" w:rsidRPr="006D4CB5">
        <w:rPr>
          <w:b/>
          <w:bCs/>
          <w:color w:val="000000" w:themeColor="text1"/>
        </w:rPr>
        <w:t>4</w:t>
      </w:r>
      <w:r w:rsidR="00D222B3" w:rsidRPr="006D4CB5">
        <w:rPr>
          <w:b/>
          <w:bCs/>
          <w:color w:val="000000" w:themeColor="text1"/>
        </w:rPr>
        <w:t xml:space="preserve"> panels </w:t>
      </w:r>
      <w:r w:rsidR="009560F5" w:rsidRPr="006D4CB5">
        <w:rPr>
          <w:b/>
          <w:bCs/>
          <w:color w:val="000000" w:themeColor="text1"/>
        </w:rPr>
        <w:t>K-O</w:t>
      </w:r>
      <w:r w:rsidR="00E30AAF" w:rsidRPr="006D4CB5">
        <w:rPr>
          <w:color w:val="000000" w:themeColor="text1"/>
        </w:rPr>
        <w:t xml:space="preserve"> provide corresponding plots for representative hits for each of the Big Five traits displaying low omnibus Q</w:t>
      </w:r>
      <w:r w:rsidR="00E30AAF" w:rsidRPr="006D4CB5">
        <w:rPr>
          <w:color w:val="000000" w:themeColor="text1"/>
          <w:vertAlign w:val="subscript"/>
        </w:rPr>
        <w:t>SNP</w:t>
      </w:r>
      <w:r w:rsidR="00E30AAF" w:rsidRPr="006D4CB5">
        <w:rPr>
          <w:color w:val="000000" w:themeColor="text1"/>
        </w:rPr>
        <w:t xml:space="preserve"> values. Note that for ease of interpretation, estimates used for these plots were standardized with respect to the genetic variance of each measure, such that a loading of 1.0 corresponds to </w:t>
      </w:r>
      <w:proofErr w:type="gramStart"/>
      <w:r w:rsidR="00E30AAF" w:rsidRPr="006D4CB5">
        <w:rPr>
          <w:color w:val="000000" w:themeColor="text1"/>
        </w:rPr>
        <w:t>all of</w:t>
      </w:r>
      <w:proofErr w:type="gramEnd"/>
      <w:r w:rsidR="00E30AAF" w:rsidRPr="006D4CB5">
        <w:rPr>
          <w:color w:val="000000" w:themeColor="text1"/>
        </w:rPr>
        <w:t xml:space="preserve"> the genetic variance in the corresponding measure accounted for by the factor. Multivariate GWAS estimates for these SNPs are reported in </w:t>
      </w:r>
      <w:r w:rsidR="00E30AAF" w:rsidRPr="006D4CB5">
        <w:rPr>
          <w:b/>
          <w:bCs/>
          <w:color w:val="000000" w:themeColor="text1"/>
        </w:rPr>
        <w:t>Supplementary Table S</w:t>
      </w:r>
      <w:r w:rsidR="009101BA" w:rsidRPr="006D4CB5">
        <w:rPr>
          <w:b/>
          <w:bCs/>
          <w:color w:val="000000" w:themeColor="text1"/>
        </w:rPr>
        <w:t>2</w:t>
      </w:r>
      <w:r w:rsidR="00723032" w:rsidRPr="006D4CB5">
        <w:rPr>
          <w:b/>
          <w:bCs/>
          <w:color w:val="000000" w:themeColor="text1"/>
        </w:rPr>
        <w:t>4</w:t>
      </w:r>
      <w:r w:rsidR="00E30AAF" w:rsidRPr="006D4CB5">
        <w:rPr>
          <w:color w:val="000000" w:themeColor="text1"/>
        </w:rPr>
        <w:t>.</w:t>
      </w:r>
      <w:r w:rsidRPr="006D4CB5">
        <w:rPr>
          <w:color w:val="000000" w:themeColor="text1"/>
        </w:rPr>
        <w:t xml:space="preserve"> </w:t>
      </w:r>
    </w:p>
    <w:p w14:paraId="7412BDEA" w14:textId="77F11AC3" w:rsidR="00E30AAF" w:rsidRPr="006D4CB5" w:rsidRDefault="00E30AAF" w:rsidP="001E251E">
      <w:pPr>
        <w:pStyle w:val="NormalWeb"/>
        <w:spacing w:before="0" w:beforeAutospacing="0" w:after="0" w:afterAutospacing="0"/>
        <w:ind w:firstLine="720"/>
        <w:rPr>
          <w:color w:val="000000" w:themeColor="text1"/>
        </w:rPr>
      </w:pPr>
      <w:r w:rsidRPr="006D4CB5">
        <w:rPr>
          <w:color w:val="000000" w:themeColor="text1"/>
        </w:rPr>
        <w:t xml:space="preserve">In </w:t>
      </w:r>
      <w:r w:rsidRPr="006D4CB5">
        <w:rPr>
          <w:b/>
          <w:bCs/>
          <w:color w:val="000000" w:themeColor="text1"/>
        </w:rPr>
        <w:t>Extended Data Figure 4 panels K-R</w:t>
      </w:r>
      <w:r w:rsidRPr="006D4CB5">
        <w:rPr>
          <w:color w:val="000000" w:themeColor="text1"/>
        </w:rPr>
        <w:t>, the lines correspond to the model expectations, with the slope corresponding to the estimated SNP effect on the respective factor. The extent of scatter of the points around each line corresponds to heterogeneity in effects relative to their expectations (greater scatter corresponds to higher Q</w:t>
      </w:r>
      <w:r w:rsidRPr="006D4CB5">
        <w:rPr>
          <w:color w:val="000000" w:themeColor="text1"/>
          <w:vertAlign w:val="subscript"/>
        </w:rPr>
        <w:t>SNP</w:t>
      </w:r>
      <w:r w:rsidRPr="006D4CB5">
        <w:rPr>
          <w:color w:val="000000" w:themeColor="text1"/>
        </w:rPr>
        <w:t xml:space="preserve">). These plots can both be used to visualize the heterogeneity and identify specific indicators for which SNP betas deviate considerably from expectations. For rs8712, there is considerable scatter around the expectations. Of note is the near zero effect of the SNP on 100NP extraversion measure, despite that measure’s strong loading on extraversion, and similarly, the near zero effect of the SNP NEO neuroticism </w:t>
      </w:r>
      <w:r w:rsidRPr="006D4CB5">
        <w:rPr>
          <w:color w:val="000000" w:themeColor="text1"/>
        </w:rPr>
        <w:lastRenderedPageBreak/>
        <w:t xml:space="preserve">despite that measure’s strong loading on neuroticism. In comparison, </w:t>
      </w:r>
      <w:r w:rsidRPr="006D4CB5">
        <w:rPr>
          <w:b/>
          <w:bCs/>
          <w:color w:val="000000" w:themeColor="text1"/>
        </w:rPr>
        <w:t xml:space="preserve">Extended Data Figure 4 Panels </w:t>
      </w:r>
      <w:r w:rsidR="009560F5" w:rsidRPr="006D4CB5">
        <w:rPr>
          <w:b/>
          <w:bCs/>
          <w:color w:val="000000" w:themeColor="text1"/>
        </w:rPr>
        <w:t>K</w:t>
      </w:r>
      <w:r w:rsidRPr="006D4CB5">
        <w:rPr>
          <w:b/>
          <w:bCs/>
          <w:color w:val="000000" w:themeColor="text1"/>
        </w:rPr>
        <w:t>-</w:t>
      </w:r>
      <w:r w:rsidR="009560F5" w:rsidRPr="006D4CB5">
        <w:rPr>
          <w:b/>
          <w:bCs/>
          <w:color w:val="000000" w:themeColor="text1"/>
        </w:rPr>
        <w:t>O</w:t>
      </w:r>
      <w:r w:rsidRPr="006D4CB5">
        <w:rPr>
          <w:color w:val="000000" w:themeColor="text1"/>
        </w:rPr>
        <w:t xml:space="preserve"> illustrates the tight correspondence between SNP effects and their expectations for representative low Q</w:t>
      </w:r>
      <w:r w:rsidRPr="006D4CB5">
        <w:rPr>
          <w:color w:val="000000" w:themeColor="text1"/>
          <w:vertAlign w:val="subscript"/>
        </w:rPr>
        <w:t>SNP</w:t>
      </w:r>
      <w:r w:rsidRPr="006D4CB5">
        <w:rPr>
          <w:color w:val="000000" w:themeColor="text1"/>
        </w:rPr>
        <w:t xml:space="preserve"> genome-wide significant hits for each of the Big Five.</w:t>
      </w:r>
    </w:p>
    <w:p w14:paraId="118E5B63" w14:textId="649BB278" w:rsidR="00076353" w:rsidRPr="006D4CB5" w:rsidRDefault="00E30AAF" w:rsidP="00E30AAF">
      <w:pPr>
        <w:ind w:firstLine="720"/>
        <w:rPr>
          <w:color w:val="000000" w:themeColor="text1"/>
        </w:rPr>
      </w:pPr>
      <w:r w:rsidRPr="006D4CB5">
        <w:rPr>
          <w:color w:val="000000" w:themeColor="text1"/>
        </w:rPr>
        <w:t xml:space="preserve">Finally, when </w:t>
      </w:r>
      <w:r w:rsidR="009560F5" w:rsidRPr="006D4CB5">
        <w:rPr>
          <w:color w:val="000000" w:themeColor="text1"/>
        </w:rPr>
        <w:t>referencing</w:t>
      </w:r>
      <w:r w:rsidRPr="006D4CB5">
        <w:rPr>
          <w:color w:val="000000" w:themeColor="text1"/>
        </w:rPr>
        <w:t xml:space="preserve"> the GWAS catalog in FUMA, the locus containing the genome-wide significant omnibus Q</w:t>
      </w:r>
      <w:r w:rsidRPr="006D4CB5">
        <w:rPr>
          <w:color w:val="000000" w:themeColor="text1"/>
          <w:vertAlign w:val="subscript"/>
        </w:rPr>
        <w:t>SNP</w:t>
      </w:r>
      <w:r w:rsidRPr="006D4CB5">
        <w:rPr>
          <w:color w:val="000000" w:themeColor="text1"/>
        </w:rPr>
        <w:t xml:space="preserve"> (rs8712) was associated with a wide range of traits beyond personality, some of which include cognitive performance, lung function, Parkinson’s disease, educational attainment, alcohol consumption, snoring, and breast cancer. This locus thus appears to be especially pleiotropic, linked to multiple impactful outcomes.</w:t>
      </w:r>
    </w:p>
    <w:p w14:paraId="1C5FE058" w14:textId="77777777" w:rsidR="001F35EA" w:rsidRPr="006D4CB5" w:rsidRDefault="001F35EA" w:rsidP="00076353">
      <w:pPr>
        <w:ind w:firstLine="720"/>
        <w:rPr>
          <w:color w:val="000000" w:themeColor="text1"/>
        </w:rPr>
      </w:pPr>
    </w:p>
    <w:p w14:paraId="1A8922D8" w14:textId="5B8C4517" w:rsidR="001F35EA" w:rsidRPr="006D4CB5" w:rsidRDefault="001F35EA" w:rsidP="001F35EA">
      <w:pPr>
        <w:rPr>
          <w:color w:val="000000" w:themeColor="text1"/>
          <w:u w:val="single"/>
        </w:rPr>
      </w:pPr>
      <w:r w:rsidRPr="006D4CB5">
        <w:rPr>
          <w:color w:val="000000" w:themeColor="text1"/>
          <w:u w:val="single"/>
        </w:rPr>
        <w:t>3.6 Characterizing Enrichment of Heritable Signal</w:t>
      </w:r>
    </w:p>
    <w:p w14:paraId="1A0A6D85" w14:textId="2AC25CB9" w:rsidR="001F35EA" w:rsidRPr="006D4CB5" w:rsidRDefault="001F35EA" w:rsidP="001F35EA">
      <w:pPr>
        <w:rPr>
          <w:color w:val="000000" w:themeColor="text1"/>
        </w:rPr>
      </w:pPr>
      <w:r w:rsidRPr="006D4CB5">
        <w:rPr>
          <w:color w:val="000000" w:themeColor="text1"/>
        </w:rPr>
        <w:tab/>
        <w:t>To further characterize personality’s genetic architecture, we submitted EUR</w:t>
      </w:r>
      <w:r w:rsidR="000A1360">
        <w:rPr>
          <w:color w:val="000000" w:themeColor="text1"/>
        </w:rPr>
        <w:t>-like</w:t>
      </w:r>
      <w:r w:rsidRPr="006D4CB5">
        <w:rPr>
          <w:color w:val="000000" w:themeColor="text1"/>
        </w:rPr>
        <w:t xml:space="preserve"> GWAS summary statistics to MAGMA (de Leeuw et al., 2015) </w:t>
      </w:r>
      <w:proofErr w:type="gramStart"/>
      <w:r w:rsidRPr="006D4CB5">
        <w:rPr>
          <w:color w:val="000000" w:themeColor="text1"/>
        </w:rPr>
        <w:t>in order to</w:t>
      </w:r>
      <w:proofErr w:type="gramEnd"/>
      <w:r w:rsidRPr="006D4CB5">
        <w:rPr>
          <w:color w:val="000000" w:themeColor="text1"/>
        </w:rPr>
        <w:t xml:space="preserve"> identify annotations enriched for heritable signal, for each Big Five trait. We filtered SNPs to those with INFO ≥ .80. The gene sets included in this analysis came from </w:t>
      </w:r>
      <w:proofErr w:type="spellStart"/>
      <w:r w:rsidRPr="006D4CB5">
        <w:rPr>
          <w:color w:val="000000" w:themeColor="text1"/>
        </w:rPr>
        <w:t>Akingbuwa</w:t>
      </w:r>
      <w:proofErr w:type="spellEnd"/>
      <w:r w:rsidRPr="006D4CB5">
        <w:rPr>
          <w:color w:val="000000" w:themeColor="text1"/>
        </w:rPr>
        <w:t xml:space="preserve"> and colleagues (2022), which include 1) protein-truncating variant (PTV)-intolerant (PI) genes ascertained by selecting genes with </w:t>
      </w:r>
      <w:proofErr w:type="spellStart"/>
      <w:r w:rsidRPr="006D4CB5">
        <w:rPr>
          <w:color w:val="000000" w:themeColor="text1"/>
        </w:rPr>
        <w:t>pLI</w:t>
      </w:r>
      <w:proofErr w:type="spellEnd"/>
      <w:r w:rsidRPr="006D4CB5">
        <w:rPr>
          <w:color w:val="000000" w:themeColor="text1"/>
        </w:rPr>
        <w:t>&gt;0.9 from the Genome Aggregation Database (</w:t>
      </w:r>
      <w:proofErr w:type="spellStart"/>
      <w:r w:rsidRPr="006D4CB5">
        <w:rPr>
          <w:color w:val="000000" w:themeColor="text1"/>
        </w:rPr>
        <w:t>gnomAD</w:t>
      </w:r>
      <w:proofErr w:type="spellEnd"/>
      <w:r w:rsidRPr="006D4CB5">
        <w:rPr>
          <w:color w:val="000000" w:themeColor="text1"/>
        </w:rPr>
        <w:t xml:space="preserve">), which are under stringent selection, 2) genes expressed in brain cell types and neurons, ascertained from human and mouse brain tissue, 3) the intersection of PI genes and brain-expressed genes (i.e., PI genes expressed in the brain), and 4) gene sets defined by synaptic processes and cellular composition. Gene sets and their sources and or construction are described in full in </w:t>
      </w:r>
      <w:proofErr w:type="spellStart"/>
      <w:r w:rsidRPr="006D4CB5">
        <w:rPr>
          <w:color w:val="000000" w:themeColor="text1"/>
        </w:rPr>
        <w:t>Akingbuwa</w:t>
      </w:r>
      <w:proofErr w:type="spellEnd"/>
      <w:r w:rsidRPr="006D4CB5">
        <w:rPr>
          <w:color w:val="000000" w:themeColor="text1"/>
        </w:rPr>
        <w:t xml:space="preserve"> et al., 2022. </w:t>
      </w:r>
    </w:p>
    <w:p w14:paraId="1D1851DF" w14:textId="1EC987F5" w:rsidR="001F35EA" w:rsidRPr="006D4CB5" w:rsidRDefault="001F35EA" w:rsidP="001F35EA">
      <w:pPr>
        <w:rPr>
          <w:color w:val="000000" w:themeColor="text1"/>
        </w:rPr>
      </w:pPr>
      <w:r w:rsidRPr="006D4CB5">
        <w:rPr>
          <w:color w:val="000000" w:themeColor="text1"/>
        </w:rPr>
        <w:tab/>
        <w:t xml:space="preserve">In </w:t>
      </w:r>
      <w:r w:rsidRPr="006D4CB5">
        <w:rPr>
          <w:b/>
          <w:bCs/>
          <w:color w:val="000000" w:themeColor="text1"/>
        </w:rPr>
        <w:t>Supplementary Tables S</w:t>
      </w:r>
      <w:r w:rsidR="009560F5" w:rsidRPr="006D4CB5">
        <w:rPr>
          <w:b/>
          <w:bCs/>
          <w:color w:val="000000" w:themeColor="text1"/>
        </w:rPr>
        <w:t>2</w:t>
      </w:r>
      <w:r w:rsidR="00723032" w:rsidRPr="006D4CB5">
        <w:rPr>
          <w:b/>
          <w:bCs/>
          <w:color w:val="000000" w:themeColor="text1"/>
        </w:rPr>
        <w:t>5</w:t>
      </w:r>
      <w:r w:rsidRPr="006D4CB5">
        <w:rPr>
          <w:b/>
          <w:bCs/>
          <w:color w:val="000000" w:themeColor="text1"/>
        </w:rPr>
        <w:t>-S</w:t>
      </w:r>
      <w:r w:rsidR="009560F5" w:rsidRPr="006D4CB5">
        <w:rPr>
          <w:b/>
          <w:bCs/>
          <w:color w:val="000000" w:themeColor="text1"/>
        </w:rPr>
        <w:t>3</w:t>
      </w:r>
      <w:r w:rsidR="00723032" w:rsidRPr="006D4CB5">
        <w:rPr>
          <w:b/>
          <w:bCs/>
          <w:color w:val="000000" w:themeColor="text1"/>
        </w:rPr>
        <w:t>4</w:t>
      </w:r>
      <w:r w:rsidRPr="006D4CB5">
        <w:rPr>
          <w:color w:val="000000" w:themeColor="text1"/>
        </w:rPr>
        <w:t xml:space="preserve">, we present results of analyses for each combination of trait and gene set, and in </w:t>
      </w:r>
      <w:r w:rsidRPr="006D4CB5">
        <w:rPr>
          <w:b/>
          <w:bCs/>
          <w:color w:val="000000" w:themeColor="text1"/>
        </w:rPr>
        <w:t>Extended Data Figure 5 panel</w:t>
      </w:r>
      <w:r w:rsidR="009560F5" w:rsidRPr="006D4CB5">
        <w:rPr>
          <w:b/>
          <w:bCs/>
          <w:color w:val="000000" w:themeColor="text1"/>
        </w:rPr>
        <w:t>s</w:t>
      </w:r>
      <w:r w:rsidR="00065F92" w:rsidRPr="006D4CB5">
        <w:rPr>
          <w:b/>
          <w:bCs/>
          <w:color w:val="000000" w:themeColor="text1"/>
        </w:rPr>
        <w:t xml:space="preserve"> A</w:t>
      </w:r>
      <w:r w:rsidR="009560F5" w:rsidRPr="006D4CB5">
        <w:rPr>
          <w:b/>
          <w:bCs/>
          <w:color w:val="000000" w:themeColor="text1"/>
        </w:rPr>
        <w:t>-E</w:t>
      </w:r>
      <w:r w:rsidRPr="006D4CB5">
        <w:rPr>
          <w:color w:val="000000" w:themeColor="text1"/>
        </w:rPr>
        <w:t xml:space="preserve">, we visualize those results. In general, number of significant enrichment sets scaled with sample size and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there were more significant associations for neuroticism and fewer for agreeableness. Content-wise, the intersection of brain genes and genes intolerant to protein truncation showed stronger enrichment than just brain genes. These patterns have previously been found for psychiatric disorders, such as schizophrenia (</w:t>
      </w:r>
      <w:proofErr w:type="spellStart"/>
      <w:r w:rsidRPr="006D4CB5">
        <w:rPr>
          <w:color w:val="000000" w:themeColor="text1"/>
        </w:rPr>
        <w:t>Akingbuwa</w:t>
      </w:r>
      <w:proofErr w:type="spellEnd"/>
      <w:r w:rsidRPr="006D4CB5">
        <w:rPr>
          <w:color w:val="000000" w:themeColor="text1"/>
        </w:rPr>
        <w:t xml:space="preserve"> et al., 2022), implicating shared biological pathways in the etiology of personality and psychopathology. Additionally, these results replicate findings from previous studies which find that neuroticism heritability is enriched among excitatory and inhibitory neurons in the brain (</w:t>
      </w:r>
      <w:proofErr w:type="spellStart"/>
      <w:r w:rsidRPr="006D4CB5">
        <w:rPr>
          <w:color w:val="000000" w:themeColor="text1"/>
        </w:rPr>
        <w:t>Bryois</w:t>
      </w:r>
      <w:proofErr w:type="spellEnd"/>
      <w:r w:rsidRPr="006D4CB5">
        <w:rPr>
          <w:color w:val="000000" w:themeColor="text1"/>
        </w:rPr>
        <w:t xml:space="preserve"> et al., 2020) and extend them to the other Big Five traits. We further characterize these enrichment findings in the main text. </w:t>
      </w:r>
    </w:p>
    <w:p w14:paraId="4909A796" w14:textId="7C548C7B" w:rsidR="001F35EA" w:rsidRPr="006D4CB5" w:rsidRDefault="001F35EA" w:rsidP="001F35EA">
      <w:pPr>
        <w:rPr>
          <w:color w:val="000000" w:themeColor="text1"/>
        </w:rPr>
      </w:pPr>
      <w:r w:rsidRPr="006D4CB5">
        <w:rPr>
          <w:color w:val="000000" w:themeColor="text1"/>
        </w:rPr>
        <w:tab/>
        <w:t xml:space="preserve">We then indexed the similarity of enrichment across the Big Five, using pairwise rank correlations of enrichment betas from the analyses presented above. We visualize these correlations in </w:t>
      </w:r>
      <w:r w:rsidRPr="006D4CB5">
        <w:rPr>
          <w:b/>
          <w:bCs/>
          <w:color w:val="000000" w:themeColor="text1"/>
        </w:rPr>
        <w:t xml:space="preserve">Extended Data Figure 5 Panel </w:t>
      </w:r>
      <w:r w:rsidR="009560F5" w:rsidRPr="006D4CB5">
        <w:rPr>
          <w:b/>
          <w:bCs/>
          <w:color w:val="000000" w:themeColor="text1"/>
        </w:rPr>
        <w:t>F</w:t>
      </w:r>
      <w:r w:rsidRPr="006D4CB5">
        <w:rPr>
          <w:color w:val="000000" w:themeColor="text1"/>
        </w:rPr>
        <w:t>. In general, patterns of enrichment were similar across the Big Five, though enrichment was less similar for pairs of traits involving agreeableness and openness to experience, especially for the pairing of openness to experience and agreeableness (</w:t>
      </w:r>
      <m:oMath>
        <m:r>
          <w:rPr>
            <w:rFonts w:ascii="Cambria Math" w:hAnsi="Cambria Math"/>
            <w:color w:val="000000" w:themeColor="text1"/>
          </w:rPr>
          <m:t xml:space="preserve">ρ </m:t>
        </m:r>
      </m:oMath>
      <w:r w:rsidRPr="006D4CB5">
        <w:rPr>
          <w:color w:val="000000" w:themeColor="text1"/>
        </w:rPr>
        <w:t xml:space="preserve">= 0.48). </w:t>
      </w:r>
    </w:p>
    <w:p w14:paraId="78B84A3B" w14:textId="3A00B8B1" w:rsidR="001F35EA" w:rsidRPr="006D4CB5" w:rsidRDefault="001F35EA" w:rsidP="001F35EA">
      <w:pPr>
        <w:ind w:firstLine="720"/>
        <w:rPr>
          <w:color w:val="000000" w:themeColor="text1"/>
        </w:rPr>
      </w:pPr>
      <w:r w:rsidRPr="006D4CB5">
        <w:rPr>
          <w:color w:val="000000" w:themeColor="text1"/>
        </w:rPr>
        <w:t xml:space="preserve">We also calculated z-statistics across the 112 gene sets to test for significant differences in annotation enrichment between pairs of traits. We found that agreeableness and neuroticism had the most significantly differently enriched gene sets (46), with extraversion and openness to experience the fewest (4). Agreeableness and neuroticism generally showed the most differentiated enrichment with the other traits. In terms of most differentiated gene set pairings for each Big Five trait, agreeableness showed the most differential enrichment with neuroticism (46 gene set annotations), conscientiousness also with neuroticism (19), extraversion with agreeableness (18), neuroticism with agreeableness (46), and openness to experience with neuroticism (19). Finally, in terms of similarity, agreeableness was most </w:t>
      </w:r>
      <w:proofErr w:type="gramStart"/>
      <w:r w:rsidRPr="006D4CB5">
        <w:rPr>
          <w:color w:val="000000" w:themeColor="text1"/>
        </w:rPr>
        <w:t>similar to</w:t>
      </w:r>
      <w:proofErr w:type="gramEnd"/>
      <w:r w:rsidRPr="006D4CB5">
        <w:rPr>
          <w:color w:val="000000" w:themeColor="text1"/>
        </w:rPr>
        <w:t xml:space="preserve"> </w:t>
      </w:r>
      <w:r w:rsidRPr="006D4CB5">
        <w:rPr>
          <w:color w:val="000000" w:themeColor="text1"/>
        </w:rPr>
        <w:lastRenderedPageBreak/>
        <w:t>conscientiousness (number of differentially enriched gene sets = 13), conscientiousness to extraversion (6), extraversion to openness to experience (4), neuroticism to extraversion (9), and openness to experience to extraversion (4).</w:t>
      </w:r>
    </w:p>
    <w:p w14:paraId="174D0C27" w14:textId="3CD181C0" w:rsidR="00076353" w:rsidRPr="006D4CB5" w:rsidRDefault="00076353" w:rsidP="00076353">
      <w:pPr>
        <w:rPr>
          <w:b/>
          <w:bCs/>
          <w:color w:val="000000" w:themeColor="text1"/>
        </w:rPr>
      </w:pPr>
    </w:p>
    <w:p w14:paraId="01D7F3F0" w14:textId="682AA12E" w:rsidR="00076353" w:rsidRPr="006D4CB5" w:rsidRDefault="00FD2004" w:rsidP="00FD2004">
      <w:pPr>
        <w:jc w:val="center"/>
        <w:rPr>
          <w:b/>
          <w:bCs/>
          <w:color w:val="000000" w:themeColor="text1"/>
        </w:rPr>
      </w:pPr>
      <w:r>
        <w:rPr>
          <w:b/>
          <w:bCs/>
          <w:color w:val="000000" w:themeColor="text1"/>
        </w:rPr>
        <w:t xml:space="preserve">Supplementary Note </w:t>
      </w:r>
      <w:r w:rsidR="00076353" w:rsidRPr="006D4CB5">
        <w:rPr>
          <w:b/>
          <w:bCs/>
          <w:color w:val="000000" w:themeColor="text1"/>
        </w:rPr>
        <w:t>4. Polygenic Prediction of Personality</w:t>
      </w:r>
    </w:p>
    <w:p w14:paraId="54B5E167" w14:textId="77777777" w:rsidR="00076353" w:rsidRPr="006D4CB5" w:rsidRDefault="00076353" w:rsidP="00076353">
      <w:pPr>
        <w:rPr>
          <w:b/>
          <w:bCs/>
          <w:color w:val="000000" w:themeColor="text1"/>
        </w:rPr>
      </w:pPr>
    </w:p>
    <w:p w14:paraId="6095147E" w14:textId="77777777" w:rsidR="00076353" w:rsidRPr="006D4CB5" w:rsidRDefault="00076353" w:rsidP="00076353">
      <w:pPr>
        <w:rPr>
          <w:color w:val="000000" w:themeColor="text1"/>
          <w:u w:val="single"/>
        </w:rPr>
      </w:pPr>
      <w:r w:rsidRPr="006D4CB5">
        <w:rPr>
          <w:color w:val="000000" w:themeColor="text1"/>
          <w:u w:val="single"/>
        </w:rPr>
        <w:t>4.1 PGI Rationale and Cohorts</w:t>
      </w:r>
    </w:p>
    <w:p w14:paraId="52402214" w14:textId="77777777" w:rsidR="00076353" w:rsidRPr="006D4CB5" w:rsidRDefault="00076353" w:rsidP="00076353">
      <w:pPr>
        <w:rPr>
          <w:color w:val="000000" w:themeColor="text1"/>
        </w:rPr>
      </w:pPr>
      <w:r w:rsidRPr="006D4CB5">
        <w:rPr>
          <w:color w:val="000000" w:themeColor="text1"/>
        </w:rPr>
        <w:tab/>
        <w:t xml:space="preserve">Polygenic Indices (PGIs) are individual-level summary scores calculated as the sum of many genetic variants’ weighted associations with a given phenotype (Burt, 2024). We leveraged the marked increase in power from our discovery GWAS over past studies of personality genomics to estimate PGIs and quantify their predictive accuracy across five independent cohorts: the National Longitudinal Study of Adolescent to Adult Health (Add Health), German Socioeconomic Panel (GSOEP), Health and Retirement Study (HRS), Netherlands Twin Register (NTR), and Twins Early Development Study (TEDS). </w:t>
      </w:r>
    </w:p>
    <w:p w14:paraId="17746DDA" w14:textId="73D2249F" w:rsidR="00076353" w:rsidRPr="006D4CB5" w:rsidRDefault="00076353" w:rsidP="00B4305B">
      <w:pPr>
        <w:ind w:firstLine="720"/>
        <w:rPr>
          <w:color w:val="000000" w:themeColor="text1"/>
        </w:rPr>
      </w:pPr>
      <w:r w:rsidRPr="006D4CB5">
        <w:rPr>
          <w:color w:val="000000" w:themeColor="text1"/>
        </w:rPr>
        <w:t>Add Health is a large, representative cohort (N ~ 20,000) of young adults assessed through adolescence and early adulthood. Data on personality and outcomes related to juvenile delinquency were assessed in five waves from 1995 – 2018, with the first wave in 1995, the second wave in 1996, the third wave from 2001-2002, the fourth wave from 2008-2009, and the fifth wave from 2016-2018.  A subset of participants (N ~ 3,000) provided genetic data during the fourth wave of assessment. For three phenotypes in Add Health (Ever driven drunk, ever arrested, and ever in prison) a large proportion of participants were coded as a “legitimate skip,” meaning they were unlikely to have done the behavior based on previous survey responses. We coded skip responses as NA, resulting in a sample of participants for these three traits that had higher prevalences. Sample sizes for each trait including skips are as follows: Ever driven drunk (N = 6,312 (4,153 skips)), Ever arrested (N = 7,648 (6,103 skips)), ever in prison (N = 9,123 (6,418 skips)).</w:t>
      </w:r>
      <w:r w:rsidR="00B4305B" w:rsidRPr="006D4CB5">
        <w:rPr>
          <w:color w:val="000000" w:themeColor="text1"/>
        </w:rPr>
        <w:t xml:space="preserve"> </w:t>
      </w:r>
      <w:r w:rsidRPr="006D4CB5">
        <w:rPr>
          <w:color w:val="000000" w:themeColor="text1"/>
        </w:rPr>
        <w:t xml:space="preserve">In total, we estimated PGI associations in Add Health </w:t>
      </w:r>
      <w:r w:rsidR="000A1360">
        <w:rPr>
          <w:color w:val="000000" w:themeColor="text1"/>
        </w:rPr>
        <w:t>participants with EUR-like genomes</w:t>
      </w:r>
      <w:r w:rsidR="00D30835" w:rsidRPr="006D4CB5">
        <w:rPr>
          <w:color w:val="000000" w:themeColor="text1"/>
        </w:rPr>
        <w:t xml:space="preserve"> </w:t>
      </w:r>
      <w:r w:rsidRPr="006D4CB5">
        <w:rPr>
          <w:color w:val="000000" w:themeColor="text1"/>
        </w:rPr>
        <w:t xml:space="preserve">(N = 5,111) and </w:t>
      </w:r>
      <w:r w:rsidR="00D30835" w:rsidRPr="006D4CB5">
        <w:rPr>
          <w:color w:val="000000" w:themeColor="text1"/>
        </w:rPr>
        <w:t>AFR</w:t>
      </w:r>
      <w:r w:rsidR="000A1360">
        <w:rPr>
          <w:color w:val="000000" w:themeColor="text1"/>
        </w:rPr>
        <w:t>-like genomes</w:t>
      </w:r>
      <w:r w:rsidRPr="006D4CB5">
        <w:rPr>
          <w:color w:val="000000" w:themeColor="text1"/>
        </w:rPr>
        <w:t xml:space="preserve"> (N = 1,753) </w:t>
      </w:r>
      <w:r w:rsidR="00D30835" w:rsidRPr="006D4CB5">
        <w:rPr>
          <w:color w:val="000000" w:themeColor="text1"/>
        </w:rPr>
        <w:t>who</w:t>
      </w:r>
      <w:r w:rsidRPr="006D4CB5">
        <w:rPr>
          <w:color w:val="000000" w:themeColor="text1"/>
        </w:rPr>
        <w:t xml:space="preserve"> provided personality, genetic, and delinquency data. </w:t>
      </w:r>
    </w:p>
    <w:p w14:paraId="68A6FEF0" w14:textId="77777777" w:rsidR="00076353" w:rsidRPr="006D4CB5" w:rsidRDefault="00076353" w:rsidP="00076353">
      <w:pPr>
        <w:rPr>
          <w:color w:val="000000" w:themeColor="text1"/>
        </w:rPr>
      </w:pPr>
      <w:r w:rsidRPr="006D4CB5">
        <w:rPr>
          <w:color w:val="000000" w:themeColor="text1"/>
        </w:rPr>
        <w:tab/>
        <w:t>The German Socioeconomic Panel (GSOEP) is a representative cohort of Germans that have been assessed annually since the 1980s. GSOEP participants provided personality information every four years from 2005-2021 using an adapted German short version of the Big Five Inventory (Hahn et al., 2012). A subset of these participants also participated in the GSOEP Innovation Cohort, where they contributed genotype data (</w:t>
      </w:r>
      <w:proofErr w:type="spellStart"/>
      <w:r w:rsidRPr="006D4CB5">
        <w:rPr>
          <w:color w:val="000000" w:themeColor="text1"/>
        </w:rPr>
        <w:t>Koellinger</w:t>
      </w:r>
      <w:proofErr w:type="spellEnd"/>
      <w:r w:rsidRPr="006D4CB5">
        <w:rPr>
          <w:color w:val="000000" w:themeColor="text1"/>
        </w:rPr>
        <w:t xml:space="preserve"> et al., 2023). We estimated PGI associations among the N = 2,066 participants who contributed both personality and genomic data that passed strict quality control procedures as described by </w:t>
      </w:r>
      <w:proofErr w:type="spellStart"/>
      <w:r w:rsidRPr="006D4CB5">
        <w:rPr>
          <w:color w:val="000000" w:themeColor="text1"/>
        </w:rPr>
        <w:t>Koellinger</w:t>
      </w:r>
      <w:proofErr w:type="spellEnd"/>
      <w:r w:rsidRPr="006D4CB5">
        <w:rPr>
          <w:color w:val="000000" w:themeColor="text1"/>
        </w:rPr>
        <w:t xml:space="preserve"> and colleagues. </w:t>
      </w:r>
    </w:p>
    <w:p w14:paraId="698F321C" w14:textId="77777777" w:rsidR="00076353" w:rsidRPr="006D4CB5" w:rsidRDefault="00076353" w:rsidP="00076353">
      <w:pPr>
        <w:rPr>
          <w:color w:val="000000" w:themeColor="text1"/>
        </w:rPr>
      </w:pPr>
      <w:r w:rsidRPr="006D4CB5">
        <w:rPr>
          <w:color w:val="000000" w:themeColor="text1"/>
        </w:rPr>
        <w:tab/>
        <w:t xml:space="preserve">Finally, the HRS, NTR, and TEDS cohorts are described in the </w:t>
      </w:r>
      <w:r w:rsidRPr="006D4CB5">
        <w:rPr>
          <w:b/>
          <w:bCs/>
          <w:color w:val="000000" w:themeColor="text1"/>
        </w:rPr>
        <w:t>Contributing Cohorts</w:t>
      </w:r>
      <w:r w:rsidRPr="006D4CB5">
        <w:rPr>
          <w:color w:val="000000" w:themeColor="text1"/>
        </w:rPr>
        <w:t xml:space="preserve"> section below. These cohorts also contributed to the GWAS discovery analyses. To ensure that there was no sample overlap between discovery and prediction target, we re-estimated genome-wide associations for each of these cohorts with the target prediction cohort removed from the discovery sample, and we used these independent discovery summary statistics for PGI prediction in each cohort.</w:t>
      </w:r>
    </w:p>
    <w:p w14:paraId="35825A80" w14:textId="0E6026CD" w:rsidR="00076353" w:rsidRPr="006D4CB5" w:rsidRDefault="00076353" w:rsidP="00076353">
      <w:pPr>
        <w:rPr>
          <w:color w:val="000000" w:themeColor="text1"/>
        </w:rPr>
      </w:pPr>
      <w:r w:rsidRPr="006D4CB5">
        <w:rPr>
          <w:color w:val="000000" w:themeColor="text1"/>
        </w:rPr>
        <w:tab/>
        <w:t xml:space="preserve">Testing PGI associations across five different cohorts allowed us to quantify the robustness of these results across age, instrument, geography, and ancestry. With respect to age, Add Health, NTR, and TEDS ascertained younger participants (mean age &lt; 26), HRS ascertained older participants (ages 51+), and GSOEP ascertained a representative lifespan cohort. With </w:t>
      </w:r>
      <w:r w:rsidRPr="006D4CB5">
        <w:rPr>
          <w:color w:val="000000" w:themeColor="text1"/>
        </w:rPr>
        <w:lastRenderedPageBreak/>
        <w:t xml:space="preserve">respect to instrument, Add Health measured personality with the 20-item IPIP inventory, HRS measured personality with the 31-item MIDI inventory, NTR used the 60-item NEO-FFI 3, TEDS used the 30-item BFI-30. With respect to nationality, Add Health and HRS sampled US residents, GSOEP ascertained German residents, NTR ascertained Dutch residents, and TEDS ascertained English residents. All five cohorts ascertained participants </w:t>
      </w:r>
      <w:r w:rsidR="001C77A6" w:rsidRPr="006D4CB5">
        <w:rPr>
          <w:color w:val="000000" w:themeColor="text1"/>
        </w:rPr>
        <w:t>with</w:t>
      </w:r>
      <w:r w:rsidRPr="006D4CB5">
        <w:rPr>
          <w:color w:val="000000" w:themeColor="text1"/>
        </w:rPr>
        <w:t xml:space="preserve"> European-like </w:t>
      </w:r>
      <w:proofErr w:type="gramStart"/>
      <w:r w:rsidR="001C77A6" w:rsidRPr="006D4CB5">
        <w:rPr>
          <w:color w:val="000000" w:themeColor="text1"/>
        </w:rPr>
        <w:t>genomes</w:t>
      </w:r>
      <w:r w:rsidRPr="006D4CB5">
        <w:rPr>
          <w:color w:val="000000" w:themeColor="text1"/>
        </w:rPr>
        <w:t>, and</w:t>
      </w:r>
      <w:proofErr w:type="gramEnd"/>
      <w:r w:rsidRPr="006D4CB5">
        <w:rPr>
          <w:color w:val="000000" w:themeColor="text1"/>
        </w:rPr>
        <w:t xml:space="preserve"> Add Health and HRS additionally ascertained participants </w:t>
      </w:r>
      <w:r w:rsidR="001C77A6" w:rsidRPr="006D4CB5">
        <w:rPr>
          <w:color w:val="000000" w:themeColor="text1"/>
        </w:rPr>
        <w:t>with</w:t>
      </w:r>
      <w:r w:rsidRPr="006D4CB5">
        <w:rPr>
          <w:color w:val="000000" w:themeColor="text1"/>
        </w:rPr>
        <w:t xml:space="preserve"> </w:t>
      </w:r>
      <w:r w:rsidR="00622150">
        <w:rPr>
          <w:color w:val="000000" w:themeColor="text1"/>
        </w:rPr>
        <w:t>AFR</w:t>
      </w:r>
      <w:r w:rsidRPr="006D4CB5">
        <w:rPr>
          <w:color w:val="000000" w:themeColor="text1"/>
        </w:rPr>
        <w:t xml:space="preserve">-like </w:t>
      </w:r>
      <w:r w:rsidR="001C77A6" w:rsidRPr="006D4CB5">
        <w:rPr>
          <w:color w:val="000000" w:themeColor="text1"/>
        </w:rPr>
        <w:t>genomes</w:t>
      </w:r>
      <w:r w:rsidRPr="006D4CB5">
        <w:rPr>
          <w:color w:val="000000" w:themeColor="text1"/>
        </w:rPr>
        <w:t>, which allowed us to benchmark cis-ancestry and trans-ancestry prediction (sample sizes of the AFR</w:t>
      </w:r>
      <w:r w:rsidR="000A1360">
        <w:rPr>
          <w:color w:val="000000" w:themeColor="text1"/>
        </w:rPr>
        <w:t>-like</w:t>
      </w:r>
      <w:r w:rsidRPr="006D4CB5">
        <w:rPr>
          <w:color w:val="000000" w:themeColor="text1"/>
        </w:rPr>
        <w:t xml:space="preserve"> discovery GWAS were not large enough to use </w:t>
      </w:r>
      <w:r w:rsidR="00622150">
        <w:rPr>
          <w:color w:val="000000" w:themeColor="text1"/>
        </w:rPr>
        <w:t xml:space="preserve">it </w:t>
      </w:r>
      <w:r w:rsidRPr="006D4CB5">
        <w:rPr>
          <w:color w:val="000000" w:themeColor="text1"/>
        </w:rPr>
        <w:t>to estimate PGI weights).</w:t>
      </w:r>
    </w:p>
    <w:p w14:paraId="64D6C3C7" w14:textId="77777777" w:rsidR="00076353" w:rsidRPr="006D4CB5" w:rsidRDefault="00076353" w:rsidP="00076353">
      <w:pPr>
        <w:rPr>
          <w:color w:val="000000" w:themeColor="text1"/>
        </w:rPr>
      </w:pPr>
    </w:p>
    <w:p w14:paraId="1E219CFC" w14:textId="77777777" w:rsidR="00076353" w:rsidRPr="006D4CB5" w:rsidRDefault="00076353" w:rsidP="00076353">
      <w:pPr>
        <w:rPr>
          <w:color w:val="000000" w:themeColor="text1"/>
          <w:u w:val="single"/>
        </w:rPr>
      </w:pPr>
      <w:r w:rsidRPr="006D4CB5">
        <w:rPr>
          <w:color w:val="000000" w:themeColor="text1"/>
          <w:u w:val="single"/>
        </w:rPr>
        <w:t>4.2 Method and Population-Level PGI Model</w:t>
      </w:r>
    </w:p>
    <w:p w14:paraId="0A903469" w14:textId="50DBB53D" w:rsidR="00076353" w:rsidRPr="006D4CB5" w:rsidRDefault="00076353" w:rsidP="00076353">
      <w:pPr>
        <w:ind w:firstLine="720"/>
        <w:rPr>
          <w:color w:val="000000" w:themeColor="text1"/>
        </w:rPr>
      </w:pPr>
      <w:r w:rsidRPr="006D4CB5">
        <w:rPr>
          <w:color w:val="000000" w:themeColor="text1"/>
        </w:rPr>
        <w:t>We derived PGI weights from EUR</w:t>
      </w:r>
      <w:r w:rsidR="000A1360">
        <w:rPr>
          <w:color w:val="000000" w:themeColor="text1"/>
        </w:rPr>
        <w:t>-like</w:t>
      </w:r>
      <w:r w:rsidRPr="006D4CB5">
        <w:rPr>
          <w:color w:val="000000" w:themeColor="text1"/>
        </w:rPr>
        <w:t xml:space="preserve"> GWAS summary data using </w:t>
      </w:r>
      <w:proofErr w:type="spellStart"/>
      <w:r w:rsidRPr="006D4CB5">
        <w:rPr>
          <w:color w:val="000000" w:themeColor="text1"/>
        </w:rPr>
        <w:t>SBayesR</w:t>
      </w:r>
      <w:proofErr w:type="spellEnd"/>
      <w:r w:rsidRPr="006D4CB5">
        <w:rPr>
          <w:color w:val="000000" w:themeColor="text1"/>
        </w:rPr>
        <w:t xml:space="preserve"> (</w:t>
      </w:r>
      <w:proofErr w:type="gramStart"/>
      <w:r w:rsidRPr="006D4CB5">
        <w:rPr>
          <w:color w:val="000000" w:themeColor="text1"/>
        </w:rPr>
        <w:t>Lloyd-Jones</w:t>
      </w:r>
      <w:proofErr w:type="gramEnd"/>
      <w:r w:rsidRPr="006D4CB5">
        <w:rPr>
          <w:color w:val="000000" w:themeColor="text1"/>
        </w:rPr>
        <w:t xml:space="preserve"> et al., 2019), which has been benchmarked as the most effective method for highly polygenic traits that likely follow a mixed distribution of effect sizes across alleles. </w:t>
      </w:r>
      <w:proofErr w:type="spellStart"/>
      <w:r w:rsidRPr="006D4CB5">
        <w:rPr>
          <w:color w:val="000000" w:themeColor="text1"/>
        </w:rPr>
        <w:t>SBayesR</w:t>
      </w:r>
      <w:proofErr w:type="spellEnd"/>
      <w:r w:rsidRPr="006D4CB5">
        <w:rPr>
          <w:color w:val="000000" w:themeColor="text1"/>
        </w:rPr>
        <w:t xml:space="preserve"> is a Bayesian method that estimates PGI weights by sorting SNPs into a distribution of effect sizes. For each of the Big Five, we estimated PGI weights with HapMap3 SNPs sorted into a distribution (pi) of 95%, 2%, 2%, and 1%, with effect sizes (gamma) scaled at .00 (no effect), .01, .10, and 1.00. </w:t>
      </w:r>
      <w:r w:rsidR="00E72077" w:rsidRPr="006D4CB5">
        <w:rPr>
          <w:color w:val="000000" w:themeColor="text1"/>
        </w:rPr>
        <w:t>HapMap3 SNPs tend to be either directly measured or well-imputed (e.g., the mean INFO score among EUR</w:t>
      </w:r>
      <w:r w:rsidR="00CB7254">
        <w:rPr>
          <w:color w:val="000000" w:themeColor="text1"/>
        </w:rPr>
        <w:t>-like GWAS</w:t>
      </w:r>
      <w:r w:rsidR="00E72077" w:rsidRPr="006D4CB5">
        <w:rPr>
          <w:color w:val="000000" w:themeColor="text1"/>
        </w:rPr>
        <w:t xml:space="preserve"> neuroticism SNPs include</w:t>
      </w:r>
      <w:r w:rsidR="00D30835" w:rsidRPr="006D4CB5">
        <w:rPr>
          <w:color w:val="000000" w:themeColor="text1"/>
        </w:rPr>
        <w:t>d</w:t>
      </w:r>
      <w:r w:rsidR="00E72077" w:rsidRPr="006D4CB5">
        <w:rPr>
          <w:color w:val="000000" w:themeColor="text1"/>
        </w:rPr>
        <w:t xml:space="preserve"> in HapMap3 is .98), </w:t>
      </w:r>
      <w:r w:rsidR="00F166A3" w:rsidRPr="006D4CB5">
        <w:rPr>
          <w:color w:val="000000" w:themeColor="text1"/>
        </w:rPr>
        <w:t>indicating that</w:t>
      </w:r>
      <w:r w:rsidR="00E72077" w:rsidRPr="006D4CB5">
        <w:rPr>
          <w:color w:val="000000" w:themeColor="text1"/>
        </w:rPr>
        <w:t xml:space="preserve"> these analyses suffer minimal attenuation in prediction due to imprecise genetic measurement. </w:t>
      </w:r>
      <w:r w:rsidRPr="006D4CB5">
        <w:rPr>
          <w:color w:val="000000" w:themeColor="text1"/>
        </w:rPr>
        <w:t>The LD reference for these models was calculated for HapMap3 SNPs using 10,000 unrelated people with European</w:t>
      </w:r>
      <w:r w:rsidR="00CB7254">
        <w:rPr>
          <w:color w:val="000000" w:themeColor="text1"/>
        </w:rPr>
        <w:t>-like</w:t>
      </w:r>
      <w:r w:rsidRPr="006D4CB5">
        <w:rPr>
          <w:color w:val="000000" w:themeColor="text1"/>
        </w:rPr>
        <w:t xml:space="preserve"> </w:t>
      </w:r>
      <w:r w:rsidR="00CB7254">
        <w:rPr>
          <w:color w:val="000000" w:themeColor="text1"/>
        </w:rPr>
        <w:t>genomes</w:t>
      </w:r>
      <w:r w:rsidRPr="006D4CB5">
        <w:rPr>
          <w:color w:val="000000" w:themeColor="text1"/>
        </w:rPr>
        <w:t xml:space="preserve"> in the UK Biobank (</w:t>
      </w:r>
      <w:proofErr w:type="gramStart"/>
      <w:r w:rsidRPr="006D4CB5">
        <w:rPr>
          <w:color w:val="000000" w:themeColor="text1"/>
        </w:rPr>
        <w:t>Lloyd-Jones</w:t>
      </w:r>
      <w:proofErr w:type="gramEnd"/>
      <w:r w:rsidRPr="006D4CB5">
        <w:rPr>
          <w:color w:val="000000" w:themeColor="text1"/>
        </w:rPr>
        <w:t xml:space="preserve"> et al., 2019). We excluded the MHC region from these analyses. </w:t>
      </w:r>
      <w:proofErr w:type="spellStart"/>
      <w:r w:rsidRPr="006D4CB5">
        <w:rPr>
          <w:color w:val="000000" w:themeColor="text1"/>
        </w:rPr>
        <w:t>SBayesR</w:t>
      </w:r>
      <w:proofErr w:type="spellEnd"/>
      <w:r w:rsidRPr="006D4CB5">
        <w:rPr>
          <w:color w:val="000000" w:themeColor="text1"/>
        </w:rPr>
        <w:t xml:space="preserve"> models can fail to converge when estimating weights from summary data with varying sample sizes across SNPs; this was the case for openness to experience, extraversion, and neuroticism. To ensure model convergence, we </w:t>
      </w:r>
      <w:r w:rsidR="00CE2760" w:rsidRPr="006D4CB5">
        <w:rPr>
          <w:color w:val="000000" w:themeColor="text1"/>
        </w:rPr>
        <w:t xml:space="preserve">removed </w:t>
      </w:r>
      <w:r w:rsidRPr="006D4CB5">
        <w:rPr>
          <w:color w:val="000000" w:themeColor="text1"/>
        </w:rPr>
        <w:t>SNPs outside 1SD of the max sample size for those traits. In total, we created 5 polygenic index weights, one for each of the Big Five traits, using 712,425 (neuroticism) to 1,131,471</w:t>
      </w:r>
      <w:r w:rsidR="00D30835" w:rsidRPr="006D4CB5">
        <w:rPr>
          <w:color w:val="000000" w:themeColor="text1"/>
        </w:rPr>
        <w:t xml:space="preserve"> </w:t>
      </w:r>
      <w:r w:rsidRPr="006D4CB5">
        <w:rPr>
          <w:color w:val="000000" w:themeColor="text1"/>
        </w:rPr>
        <w:t>(conscientiousness) SNPs per trait.</w:t>
      </w:r>
    </w:p>
    <w:p w14:paraId="593750D9" w14:textId="77777777" w:rsidR="00076353" w:rsidRPr="006D4CB5" w:rsidRDefault="00076353" w:rsidP="00076353">
      <w:pPr>
        <w:rPr>
          <w:color w:val="000000" w:themeColor="text1"/>
        </w:rPr>
      </w:pPr>
      <w:r w:rsidRPr="006D4CB5">
        <w:rPr>
          <w:color w:val="000000" w:themeColor="text1"/>
        </w:rPr>
        <w:tab/>
        <w:t>Then, we applied these PGI weights to estimate a score for each participant, using PLINK2 (Chang et al., 2015). Each cohort ascertained personality at multiple occasions; to maximize trait influences and minimize state influences on personality scores for each participant, we estimated participant scores as the mean across assessment waves. We then regressed participants' standardized personality trait score (</w:t>
      </w:r>
      <w:r w:rsidRPr="006D4CB5">
        <w:rPr>
          <w:i/>
          <w:iCs/>
          <w:color w:val="000000" w:themeColor="text1"/>
        </w:rPr>
        <w:t xml:space="preserve">y) </w:t>
      </w:r>
      <w:r w:rsidRPr="006D4CB5">
        <w:rPr>
          <w:color w:val="000000" w:themeColor="text1"/>
        </w:rPr>
        <w:t>on their standardized polygenic score, controlling for their mean age across waves they contributed personality data, their biological sex, age, age</w:t>
      </w:r>
      <w:r w:rsidRPr="006D4CB5">
        <w:rPr>
          <w:color w:val="000000" w:themeColor="text1"/>
          <w:vertAlign w:val="superscript"/>
        </w:rPr>
        <w:t>2</w:t>
      </w:r>
      <w:r w:rsidRPr="006D4CB5">
        <w:rPr>
          <w:color w:val="000000" w:themeColor="text1"/>
        </w:rPr>
        <w:t>, 10 ancestral principal components (PCs), and any other necessary covariates (e.g., genotyping chip) as follows:</w:t>
      </w:r>
    </w:p>
    <w:p w14:paraId="3A257138" w14:textId="77777777" w:rsidR="00076353" w:rsidRPr="006D4CB5" w:rsidRDefault="00076353" w:rsidP="00076353">
      <w:pPr>
        <w:rPr>
          <w:color w:val="000000" w:themeColor="text1"/>
        </w:rPr>
      </w:pPr>
    </w:p>
    <w:p w14:paraId="497549C2" w14:textId="4D60DBC8" w:rsidR="00076353" w:rsidRPr="006D4CB5" w:rsidRDefault="00076353" w:rsidP="00076353">
      <w:pPr>
        <w:ind w:firstLine="720"/>
        <w:jc w:val="center"/>
        <w:rPr>
          <w:color w:val="000000" w:themeColor="text1"/>
        </w:rPr>
      </w:pPr>
      <m:oMath>
        <m:r>
          <w:rPr>
            <w:rFonts w:ascii="Cambria Math" w:hAnsi="Cambria Math"/>
            <w:color w:val="000000" w:themeColor="text1"/>
          </w:rPr>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PGI+</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+e</m:t>
        </m:r>
      </m:oMath>
      <w:r w:rsidRPr="006D4CB5">
        <w:rPr>
          <w:color w:val="000000" w:themeColor="text1"/>
        </w:rPr>
        <w:t xml:space="preserve"> ,</w:t>
      </w:r>
      <w:r w:rsidRPr="006D4CB5">
        <w:rPr>
          <w:color w:val="000000" w:themeColor="text1"/>
        </w:rPr>
        <w:tab/>
        <w:t>(Eq. 1</w:t>
      </w:r>
      <w:r w:rsidR="00566C22" w:rsidRPr="006D4CB5">
        <w:rPr>
          <w:color w:val="000000" w:themeColor="text1"/>
        </w:rPr>
        <w:t>5</w:t>
      </w:r>
      <w:r w:rsidRPr="006D4CB5">
        <w:rPr>
          <w:color w:val="000000" w:themeColor="text1"/>
        </w:rPr>
        <w:t>)</w:t>
      </w:r>
    </w:p>
    <w:p w14:paraId="339B7E34" w14:textId="77777777" w:rsidR="00076353" w:rsidRPr="006D4CB5" w:rsidRDefault="00076353" w:rsidP="00076353">
      <w:pPr>
        <w:rPr>
          <w:color w:val="000000" w:themeColor="text1"/>
        </w:rPr>
      </w:pPr>
    </w:p>
    <w:p w14:paraId="6F456BDA" w14:textId="77777777"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oMath>
      <w:r w:rsidRPr="006D4CB5">
        <w:rPr>
          <w:color w:val="000000" w:themeColor="text1"/>
        </w:rPr>
        <w:t xml:space="preserve"> is a regression intercept,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oMath>
      <w:r w:rsidRPr="006D4CB5">
        <w:rPr>
          <w:color w:val="000000" w:themeColor="text1"/>
        </w:rPr>
        <w:t xml:space="preserve"> is the standardized effect of the PGI,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oMath>
      <w:r w:rsidRPr="006D4CB5">
        <w:rPr>
          <w:color w:val="000000" w:themeColor="text1"/>
        </w:rPr>
        <w:t xml:space="preserve"> is the effect of covariate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oMath>
      <w:r w:rsidRPr="006D4CB5">
        <w:rPr>
          <w:color w:val="000000" w:themeColor="text1"/>
        </w:rPr>
        <w:t xml:space="preserve"> on the personality trait for covariates 1 through C, and </w:t>
      </w:r>
      <w:r w:rsidRPr="006D4CB5">
        <w:rPr>
          <w:i/>
          <w:iCs/>
          <w:color w:val="000000" w:themeColor="text1"/>
        </w:rPr>
        <w:t>e</w:t>
      </w:r>
      <w:r w:rsidRPr="006D4CB5">
        <w:rPr>
          <w:color w:val="000000" w:themeColor="text1"/>
        </w:rPr>
        <w:t xml:space="preserve"> is a residual. </w:t>
      </w:r>
    </w:p>
    <w:p w14:paraId="15F943E1" w14:textId="11F905A1" w:rsidR="00F6494D" w:rsidRPr="006D4CB5" w:rsidRDefault="00076353" w:rsidP="00F6494D">
      <w:pPr>
        <w:ind w:firstLine="720"/>
        <w:rPr>
          <w:b/>
          <w:bCs/>
          <w:color w:val="000000" w:themeColor="text1"/>
        </w:rPr>
      </w:pPr>
      <w:r w:rsidRPr="006D4CB5">
        <w:rPr>
          <w:color w:val="000000" w:themeColor="text1"/>
        </w:rPr>
        <w:t xml:space="preserve">We refer to this as </w:t>
      </w:r>
      <w:r w:rsidRPr="006D4CB5">
        <w:rPr>
          <w:i/>
          <w:iCs/>
          <w:color w:val="000000" w:themeColor="text1"/>
        </w:rPr>
        <w:t xml:space="preserve">population-level </w:t>
      </w:r>
      <w:r w:rsidRPr="006D4CB5">
        <w:rPr>
          <w:color w:val="000000" w:themeColor="text1"/>
        </w:rPr>
        <w:t xml:space="preserve">PGI prediction, as it predicts variation in personality from variation in genotype in the population. The focal output of this model is the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oMath>
      <w:r w:rsidRPr="006D4CB5">
        <w:rPr>
          <w:color w:val="000000" w:themeColor="text1"/>
        </w:rPr>
        <w:t xml:space="preserve"> parameter, which represents the standardized association between the PGI (genotype) and the Big Five trait score (phenotype) after controlling for covariates. In the three cohorts of unrelated participants (Add Health, GSOEP, and HRS), standard OLS standard errors were obtained. In the two cohorts with related participants (NTR and TEDS), we estimated this model with cluster-robust standard </w:t>
      </w:r>
      <w:r w:rsidRPr="006D4CB5">
        <w:rPr>
          <w:color w:val="000000" w:themeColor="text1"/>
        </w:rPr>
        <w:lastRenderedPageBreak/>
        <w:t xml:space="preserve">errors, with family ID serving as the cluster, to account for non-independence of data across family members. Results of these analyses are described in the </w:t>
      </w:r>
      <w:r w:rsidRPr="006D4CB5">
        <w:rPr>
          <w:b/>
          <w:bCs/>
          <w:color w:val="000000" w:themeColor="text1"/>
        </w:rPr>
        <w:t>Main Text</w:t>
      </w:r>
      <w:r w:rsidR="009101BA" w:rsidRPr="006D4CB5">
        <w:rPr>
          <w:b/>
          <w:bCs/>
          <w:color w:val="000000" w:themeColor="text1"/>
        </w:rPr>
        <w:t xml:space="preserve"> </w:t>
      </w:r>
      <w:r w:rsidR="009101BA" w:rsidRPr="006D4CB5">
        <w:rPr>
          <w:color w:val="000000" w:themeColor="text1"/>
        </w:rPr>
        <w:t xml:space="preserve">and </w:t>
      </w:r>
      <w:r w:rsidR="009101BA" w:rsidRPr="006D4CB5">
        <w:rPr>
          <w:b/>
          <w:bCs/>
          <w:color w:val="000000" w:themeColor="text1"/>
        </w:rPr>
        <w:t>Supplementary Table</w:t>
      </w:r>
      <w:r w:rsidR="00723032" w:rsidRPr="006D4CB5">
        <w:rPr>
          <w:b/>
          <w:bCs/>
          <w:color w:val="000000" w:themeColor="text1"/>
        </w:rPr>
        <w:t>s</w:t>
      </w:r>
      <w:r w:rsidR="009101BA" w:rsidRPr="006D4CB5">
        <w:rPr>
          <w:b/>
          <w:bCs/>
          <w:color w:val="000000" w:themeColor="text1"/>
        </w:rPr>
        <w:t xml:space="preserve"> S3</w:t>
      </w:r>
      <w:r w:rsidR="00723032" w:rsidRPr="006D4CB5">
        <w:rPr>
          <w:b/>
          <w:bCs/>
          <w:color w:val="000000" w:themeColor="text1"/>
        </w:rPr>
        <w:t>5 and S36</w:t>
      </w:r>
      <w:r w:rsidRPr="006D4CB5">
        <w:rPr>
          <w:b/>
          <w:bCs/>
          <w:color w:val="000000" w:themeColor="text1"/>
        </w:rPr>
        <w:t>.</w:t>
      </w:r>
      <w:r w:rsidR="00F6494D" w:rsidRPr="006D4CB5">
        <w:rPr>
          <w:b/>
          <w:bCs/>
          <w:color w:val="000000" w:themeColor="text1"/>
        </w:rPr>
        <w:t xml:space="preserve"> </w:t>
      </w:r>
    </w:p>
    <w:p w14:paraId="3ED3CF73" w14:textId="79B02494" w:rsidR="00081EF8" w:rsidRPr="006D4CB5" w:rsidRDefault="005B3A3F" w:rsidP="002E2414">
      <w:pPr>
        <w:ind w:firstLine="720"/>
        <w:rPr>
          <w:color w:val="000000" w:themeColor="text1"/>
        </w:rPr>
      </w:pPr>
      <w:r w:rsidRPr="006D4CB5">
        <w:rPr>
          <w:color w:val="000000" w:themeColor="text1"/>
        </w:rPr>
        <w:t>We</w:t>
      </w:r>
      <w:r w:rsidR="00076AAC" w:rsidRPr="006D4CB5">
        <w:rPr>
          <w:color w:val="000000" w:themeColor="text1"/>
        </w:rPr>
        <w:t xml:space="preserve"> re-estimated PGI weights in </w:t>
      </w:r>
      <w:proofErr w:type="spellStart"/>
      <w:r w:rsidR="00076AAC" w:rsidRPr="006D4CB5">
        <w:rPr>
          <w:color w:val="000000" w:themeColor="text1"/>
        </w:rPr>
        <w:t>S</w:t>
      </w:r>
      <w:r w:rsidR="00F269A2" w:rsidRPr="006D4CB5">
        <w:rPr>
          <w:color w:val="000000" w:themeColor="text1"/>
        </w:rPr>
        <w:t>B</w:t>
      </w:r>
      <w:r w:rsidR="00076AAC" w:rsidRPr="006D4CB5">
        <w:rPr>
          <w:color w:val="000000" w:themeColor="text1"/>
        </w:rPr>
        <w:t>ayesR</w:t>
      </w:r>
      <w:proofErr w:type="spellEnd"/>
      <w:r w:rsidR="00076AAC" w:rsidRPr="006D4CB5">
        <w:rPr>
          <w:color w:val="000000" w:themeColor="text1"/>
        </w:rPr>
        <w:t xml:space="preserve"> with a larger set of 2.9 million SNPs pr</w:t>
      </w:r>
      <w:r w:rsidR="0048240E" w:rsidRPr="006D4CB5">
        <w:rPr>
          <w:color w:val="000000" w:themeColor="text1"/>
        </w:rPr>
        <w:t>ovided</w:t>
      </w:r>
      <w:r w:rsidR="00076AAC" w:rsidRPr="006D4CB5">
        <w:rPr>
          <w:color w:val="000000" w:themeColor="text1"/>
        </w:rPr>
        <w:t xml:space="preserve"> by </w:t>
      </w:r>
      <w:proofErr w:type="gramStart"/>
      <w:r w:rsidR="00076AAC" w:rsidRPr="006D4CB5">
        <w:rPr>
          <w:color w:val="000000" w:themeColor="text1"/>
        </w:rPr>
        <w:t>Lloyd-Jones</w:t>
      </w:r>
      <w:proofErr w:type="gramEnd"/>
      <w:r w:rsidR="00076AAC" w:rsidRPr="006D4CB5">
        <w:rPr>
          <w:color w:val="000000" w:themeColor="text1"/>
        </w:rPr>
        <w:t xml:space="preserve"> and colleagues (2019). To ensure convergence for these models, we </w:t>
      </w:r>
      <w:r w:rsidR="00CE2760" w:rsidRPr="006D4CB5">
        <w:rPr>
          <w:color w:val="000000" w:themeColor="text1"/>
        </w:rPr>
        <w:t xml:space="preserve">removed </w:t>
      </w:r>
      <w:r w:rsidR="00076AAC" w:rsidRPr="006D4CB5">
        <w:rPr>
          <w:color w:val="000000" w:themeColor="text1"/>
        </w:rPr>
        <w:t xml:space="preserve">SNPs with a </w:t>
      </w:r>
      <w:r w:rsidR="00076AAC" w:rsidRPr="006D4CB5">
        <w:rPr>
          <w:i/>
          <w:iCs/>
          <w:color w:val="000000" w:themeColor="text1"/>
        </w:rPr>
        <w:t>p</w:t>
      </w:r>
      <w:r w:rsidR="00076AAC" w:rsidRPr="006D4CB5">
        <w:rPr>
          <w:color w:val="000000" w:themeColor="text1"/>
        </w:rPr>
        <w:t xml:space="preserve">-value less than .40, as suggested by the </w:t>
      </w:r>
      <w:proofErr w:type="spellStart"/>
      <w:r w:rsidR="00076AAC" w:rsidRPr="006D4CB5">
        <w:rPr>
          <w:color w:val="000000" w:themeColor="text1"/>
        </w:rPr>
        <w:t>S</w:t>
      </w:r>
      <w:r w:rsidR="00751A6E" w:rsidRPr="006D4CB5">
        <w:rPr>
          <w:color w:val="000000" w:themeColor="text1"/>
        </w:rPr>
        <w:t>B</w:t>
      </w:r>
      <w:r w:rsidR="00076AAC" w:rsidRPr="006D4CB5">
        <w:rPr>
          <w:color w:val="000000" w:themeColor="text1"/>
        </w:rPr>
        <w:t>ayesR</w:t>
      </w:r>
      <w:proofErr w:type="spellEnd"/>
      <w:r w:rsidR="00076AAC" w:rsidRPr="006D4CB5">
        <w:rPr>
          <w:color w:val="000000" w:themeColor="text1"/>
        </w:rPr>
        <w:t xml:space="preserve"> developers. These </w:t>
      </w:r>
      <w:r w:rsidR="00B61CDF" w:rsidRPr="006D4CB5">
        <w:rPr>
          <w:color w:val="000000" w:themeColor="text1"/>
        </w:rPr>
        <w:t xml:space="preserve">expanded </w:t>
      </w:r>
      <w:r w:rsidR="00076AAC" w:rsidRPr="006D4CB5">
        <w:rPr>
          <w:color w:val="000000" w:themeColor="text1"/>
        </w:rPr>
        <w:t xml:space="preserve">weights </w:t>
      </w:r>
      <w:r w:rsidR="008C25AB" w:rsidRPr="006D4CB5">
        <w:rPr>
          <w:color w:val="000000" w:themeColor="text1"/>
        </w:rPr>
        <w:t xml:space="preserve">therefore </w:t>
      </w:r>
      <w:r w:rsidR="00076AAC" w:rsidRPr="006D4CB5">
        <w:rPr>
          <w:color w:val="000000" w:themeColor="text1"/>
        </w:rPr>
        <w:t>incorporated between 1.2 million SNPs (agreeableness) and 1.4 million SNPs (neuroticism)</w:t>
      </w:r>
      <w:r w:rsidR="008C25AB" w:rsidRPr="006D4CB5">
        <w:rPr>
          <w:color w:val="000000" w:themeColor="text1"/>
        </w:rPr>
        <w:t xml:space="preserve"> per Big Five trait.</w:t>
      </w:r>
      <w:r w:rsidR="00076AAC" w:rsidRPr="006D4CB5">
        <w:rPr>
          <w:color w:val="000000" w:themeColor="text1"/>
        </w:rPr>
        <w:t xml:space="preserve"> However, </w:t>
      </w:r>
      <w:r w:rsidR="008C25AB" w:rsidRPr="006D4CB5">
        <w:rPr>
          <w:color w:val="000000" w:themeColor="text1"/>
        </w:rPr>
        <w:t>the weights produced by these models</w:t>
      </w:r>
      <w:r w:rsidR="00076AAC" w:rsidRPr="006D4CB5">
        <w:rPr>
          <w:color w:val="000000" w:themeColor="text1"/>
        </w:rPr>
        <w:t xml:space="preserve"> did not</w:t>
      </w:r>
      <w:r w:rsidR="008C25AB" w:rsidRPr="006D4CB5">
        <w:rPr>
          <w:color w:val="000000" w:themeColor="text1"/>
        </w:rPr>
        <w:t xml:space="preserve"> significantly</w:t>
      </w:r>
      <w:r w:rsidR="00076AAC" w:rsidRPr="006D4CB5">
        <w:rPr>
          <w:color w:val="000000" w:themeColor="text1"/>
        </w:rPr>
        <w:t xml:space="preserve"> improve prediction</w:t>
      </w:r>
      <w:r w:rsidR="008C25AB" w:rsidRPr="006D4CB5">
        <w:rPr>
          <w:color w:val="000000" w:themeColor="text1"/>
        </w:rPr>
        <w:t xml:space="preserve"> over the </w:t>
      </w:r>
      <w:r w:rsidR="00982DB4" w:rsidRPr="006D4CB5">
        <w:rPr>
          <w:color w:val="000000" w:themeColor="text1"/>
        </w:rPr>
        <w:t xml:space="preserve">initial HapMap3 weights, </w:t>
      </w:r>
      <w:r w:rsidR="00076AAC" w:rsidRPr="006D4CB5">
        <w:rPr>
          <w:color w:val="000000" w:themeColor="text1"/>
        </w:rPr>
        <w:t>for any of the Big Five</w:t>
      </w:r>
      <w:r w:rsidR="00982DB4" w:rsidRPr="006D4CB5">
        <w:rPr>
          <w:color w:val="000000" w:themeColor="text1"/>
        </w:rPr>
        <w:t>,</w:t>
      </w:r>
      <w:r w:rsidR="00076AAC" w:rsidRPr="006D4CB5">
        <w:rPr>
          <w:color w:val="000000" w:themeColor="text1"/>
        </w:rPr>
        <w:t xml:space="preserve"> in </w:t>
      </w:r>
      <w:r w:rsidR="008C25AB" w:rsidRPr="006D4CB5">
        <w:rPr>
          <w:color w:val="000000" w:themeColor="text1"/>
        </w:rPr>
        <w:t xml:space="preserve">either </w:t>
      </w:r>
      <w:r w:rsidR="00076AAC" w:rsidRPr="006D4CB5">
        <w:rPr>
          <w:color w:val="000000" w:themeColor="text1"/>
        </w:rPr>
        <w:t>the GSOEP</w:t>
      </w:r>
      <w:r w:rsidR="00982DB4" w:rsidRPr="006D4CB5">
        <w:rPr>
          <w:color w:val="000000" w:themeColor="text1"/>
        </w:rPr>
        <w:t>-IS</w:t>
      </w:r>
      <w:r w:rsidR="00076AAC" w:rsidRPr="006D4CB5">
        <w:rPr>
          <w:color w:val="000000" w:themeColor="text1"/>
        </w:rPr>
        <w:t xml:space="preserve"> </w:t>
      </w:r>
      <w:r w:rsidR="008C25AB" w:rsidRPr="006D4CB5">
        <w:rPr>
          <w:color w:val="000000" w:themeColor="text1"/>
        </w:rPr>
        <w:t>cohort</w:t>
      </w:r>
      <w:r w:rsidR="00076AAC" w:rsidRPr="006D4CB5">
        <w:rPr>
          <w:color w:val="000000" w:themeColor="text1"/>
        </w:rPr>
        <w:t xml:space="preserve"> (for extraversion</w:t>
      </w:r>
      <w:r w:rsidR="00D30835" w:rsidRPr="006D4CB5">
        <w:rPr>
          <w:color w:val="000000" w:themeColor="text1"/>
        </w:rPr>
        <w:t>,</w:t>
      </w:r>
      <w:r w:rsidR="00DF1123" w:rsidRPr="006D4CB5">
        <w:rPr>
          <w:color w:val="000000" w:themeColor="text1"/>
        </w:rPr>
        <w:t xml:space="preserve"> </w:t>
      </w:r>
      <w:r w:rsidR="00B61CDF" w:rsidRPr="006D4CB5">
        <w:rPr>
          <w:color w:val="000000" w:themeColor="text1"/>
        </w:rPr>
        <w:t>expanded</w:t>
      </w:r>
      <w:r w:rsidR="00DF1123" w:rsidRPr="006D4CB5">
        <w:rPr>
          <w:color w:val="000000" w:themeColor="text1"/>
        </w:rPr>
        <w:t xml:space="preserve"> β</w:t>
      </w:r>
      <w:r w:rsidR="00076AAC" w:rsidRPr="006D4CB5">
        <w:rPr>
          <w:color w:val="000000" w:themeColor="text1"/>
        </w:rPr>
        <w:t xml:space="preserve"> =  .208 vs </w:t>
      </w:r>
      <w:r w:rsidR="00B61CDF" w:rsidRPr="006D4CB5">
        <w:rPr>
          <w:color w:val="000000" w:themeColor="text1"/>
        </w:rPr>
        <w:t>initial</w:t>
      </w:r>
      <w:r w:rsidR="00DF1123" w:rsidRPr="006D4CB5">
        <w:rPr>
          <w:color w:val="000000" w:themeColor="text1"/>
        </w:rPr>
        <w:t xml:space="preserve"> β = </w:t>
      </w:r>
      <w:r w:rsidR="00076AAC" w:rsidRPr="006D4CB5">
        <w:rPr>
          <w:color w:val="000000" w:themeColor="text1"/>
        </w:rPr>
        <w:t xml:space="preserve">.229, for agreeableness </w:t>
      </w:r>
      <w:r w:rsidR="00DF1123" w:rsidRPr="006D4CB5">
        <w:rPr>
          <w:color w:val="000000" w:themeColor="text1"/>
        </w:rPr>
        <w:t xml:space="preserve">β = </w:t>
      </w:r>
      <w:r w:rsidR="00076AAC" w:rsidRPr="006D4CB5">
        <w:rPr>
          <w:color w:val="000000" w:themeColor="text1"/>
        </w:rPr>
        <w:t xml:space="preserve">.092 vs .109, for conscientiousness </w:t>
      </w:r>
      <w:r w:rsidR="00DF1123" w:rsidRPr="006D4CB5">
        <w:rPr>
          <w:color w:val="000000" w:themeColor="text1"/>
        </w:rPr>
        <w:t xml:space="preserve">β = </w:t>
      </w:r>
      <w:r w:rsidR="008C25AB" w:rsidRPr="006D4CB5">
        <w:rPr>
          <w:color w:val="000000" w:themeColor="text1"/>
        </w:rPr>
        <w:t xml:space="preserve">.147 vs. .180, for neuroticism </w:t>
      </w:r>
      <w:r w:rsidR="00DF1123" w:rsidRPr="006D4CB5">
        <w:rPr>
          <w:color w:val="000000" w:themeColor="text1"/>
        </w:rPr>
        <w:t xml:space="preserve">β = </w:t>
      </w:r>
      <w:r w:rsidR="008C25AB" w:rsidRPr="006D4CB5">
        <w:rPr>
          <w:color w:val="000000" w:themeColor="text1"/>
        </w:rPr>
        <w:t xml:space="preserve">.179 vs. .182, for openness to experience </w:t>
      </w:r>
      <w:r w:rsidR="00DF1123" w:rsidRPr="006D4CB5">
        <w:rPr>
          <w:color w:val="000000" w:themeColor="text1"/>
        </w:rPr>
        <w:t>β =</w:t>
      </w:r>
      <w:r w:rsidR="008C25AB" w:rsidRPr="006D4CB5">
        <w:rPr>
          <w:color w:val="000000" w:themeColor="text1"/>
        </w:rPr>
        <w:t>.175 vs .170) or the HRS cohort (</w:t>
      </w:r>
      <w:r w:rsidR="00DF1123" w:rsidRPr="006D4CB5">
        <w:rPr>
          <w:color w:val="000000" w:themeColor="text1"/>
        </w:rPr>
        <w:t>f</w:t>
      </w:r>
      <w:r w:rsidR="008C25AB" w:rsidRPr="006D4CB5">
        <w:rPr>
          <w:color w:val="000000" w:themeColor="text1"/>
        </w:rPr>
        <w:t xml:space="preserve">or extraversion </w:t>
      </w:r>
      <w:r w:rsidR="00DF1123" w:rsidRPr="006D4CB5">
        <w:rPr>
          <w:color w:val="000000" w:themeColor="text1"/>
        </w:rPr>
        <w:t xml:space="preserve">β </w:t>
      </w:r>
      <w:r w:rsidR="008C25AB" w:rsidRPr="006D4CB5">
        <w:rPr>
          <w:color w:val="000000" w:themeColor="text1"/>
        </w:rPr>
        <w:t xml:space="preserve">=  .172 vs .190, for agreeableness </w:t>
      </w:r>
      <w:r w:rsidR="00DF1123" w:rsidRPr="006D4CB5">
        <w:rPr>
          <w:color w:val="000000" w:themeColor="text1"/>
        </w:rPr>
        <w:t xml:space="preserve">β = </w:t>
      </w:r>
      <w:r w:rsidR="008C25AB" w:rsidRPr="006D4CB5">
        <w:rPr>
          <w:color w:val="000000" w:themeColor="text1"/>
        </w:rPr>
        <w:t xml:space="preserve">.060 vs .070, for conscientiousness </w:t>
      </w:r>
      <w:r w:rsidR="00DF1123" w:rsidRPr="006D4CB5">
        <w:rPr>
          <w:color w:val="000000" w:themeColor="text1"/>
        </w:rPr>
        <w:t>β =</w:t>
      </w:r>
      <w:r w:rsidR="008C25AB" w:rsidRPr="006D4CB5">
        <w:rPr>
          <w:color w:val="000000" w:themeColor="text1"/>
        </w:rPr>
        <w:t xml:space="preserve">.158 vs. .151, for neuroticism </w:t>
      </w:r>
      <w:r w:rsidR="00DF1123" w:rsidRPr="006D4CB5">
        <w:rPr>
          <w:color w:val="000000" w:themeColor="text1"/>
        </w:rPr>
        <w:t xml:space="preserve">β = </w:t>
      </w:r>
      <w:r w:rsidR="008C25AB" w:rsidRPr="006D4CB5">
        <w:rPr>
          <w:color w:val="000000" w:themeColor="text1"/>
        </w:rPr>
        <w:t xml:space="preserve">.181 vs .176, for openness to experience </w:t>
      </w:r>
      <w:r w:rsidR="00DF1123" w:rsidRPr="006D4CB5">
        <w:rPr>
          <w:color w:val="000000" w:themeColor="text1"/>
        </w:rPr>
        <w:t xml:space="preserve">β = </w:t>
      </w:r>
      <w:r w:rsidR="008C25AB" w:rsidRPr="006D4CB5">
        <w:rPr>
          <w:color w:val="000000" w:themeColor="text1"/>
        </w:rPr>
        <w:t>.149 vs .139</w:t>
      </w:r>
      <w:r w:rsidR="009101BA" w:rsidRPr="006D4CB5">
        <w:rPr>
          <w:color w:val="000000" w:themeColor="text1"/>
        </w:rPr>
        <w:t xml:space="preserve">; </w:t>
      </w:r>
      <w:r w:rsidR="009101BA" w:rsidRPr="006D4CB5">
        <w:rPr>
          <w:b/>
          <w:bCs/>
          <w:color w:val="000000" w:themeColor="text1"/>
        </w:rPr>
        <w:t>Supplementary Table S3</w:t>
      </w:r>
      <w:r w:rsidR="00723032" w:rsidRPr="006D4CB5">
        <w:rPr>
          <w:b/>
          <w:bCs/>
          <w:color w:val="000000" w:themeColor="text1"/>
        </w:rPr>
        <w:t>5</w:t>
      </w:r>
      <w:r w:rsidR="008C25AB" w:rsidRPr="006D4CB5">
        <w:rPr>
          <w:color w:val="000000" w:themeColor="text1"/>
        </w:rPr>
        <w:t xml:space="preserve">). </w:t>
      </w:r>
      <w:r w:rsidR="00DF1123" w:rsidRPr="006D4CB5">
        <w:rPr>
          <w:color w:val="000000" w:themeColor="text1"/>
        </w:rPr>
        <w:t>Specifically, in</w:t>
      </w:r>
      <w:r w:rsidR="008C25AB" w:rsidRPr="006D4CB5">
        <w:rPr>
          <w:color w:val="000000" w:themeColor="text1"/>
        </w:rPr>
        <w:t xml:space="preserve"> seven out of ten </w:t>
      </w:r>
      <w:r w:rsidR="00982DB4" w:rsidRPr="006D4CB5">
        <w:rPr>
          <w:color w:val="000000" w:themeColor="text1"/>
        </w:rPr>
        <w:t>cas</w:t>
      </w:r>
      <w:r w:rsidR="00B61CDF" w:rsidRPr="006D4CB5">
        <w:rPr>
          <w:color w:val="000000" w:themeColor="text1"/>
        </w:rPr>
        <w:t>es</w:t>
      </w:r>
      <w:r w:rsidR="008C25AB" w:rsidRPr="006D4CB5">
        <w:rPr>
          <w:color w:val="000000" w:themeColor="text1"/>
        </w:rPr>
        <w:t xml:space="preserve">, </w:t>
      </w:r>
      <w:r w:rsidR="00B61CDF" w:rsidRPr="006D4CB5">
        <w:rPr>
          <w:color w:val="000000" w:themeColor="text1"/>
        </w:rPr>
        <w:t>the expanded</w:t>
      </w:r>
      <w:r w:rsidR="008C25AB" w:rsidRPr="006D4CB5">
        <w:rPr>
          <w:color w:val="000000" w:themeColor="text1"/>
        </w:rPr>
        <w:t xml:space="preserve"> PGI weights were equivalently or less predictive</w:t>
      </w:r>
      <w:r w:rsidR="00B61CDF" w:rsidRPr="006D4CB5">
        <w:rPr>
          <w:color w:val="000000" w:themeColor="text1"/>
        </w:rPr>
        <w:t xml:space="preserve"> than the initial weights</w:t>
      </w:r>
      <w:r w:rsidR="008C25AB" w:rsidRPr="006D4CB5">
        <w:rPr>
          <w:color w:val="000000" w:themeColor="text1"/>
        </w:rPr>
        <w:t xml:space="preserve">, and in the other three </w:t>
      </w:r>
      <w:r w:rsidR="00982DB4" w:rsidRPr="006D4CB5">
        <w:rPr>
          <w:color w:val="000000" w:themeColor="text1"/>
        </w:rPr>
        <w:t>cases</w:t>
      </w:r>
      <w:r w:rsidR="008C25AB" w:rsidRPr="006D4CB5">
        <w:rPr>
          <w:color w:val="000000" w:themeColor="text1"/>
        </w:rPr>
        <w:t>, these</w:t>
      </w:r>
      <w:r w:rsidR="00B61CDF" w:rsidRPr="006D4CB5">
        <w:rPr>
          <w:color w:val="000000" w:themeColor="text1"/>
        </w:rPr>
        <w:t xml:space="preserve"> expanded</w:t>
      </w:r>
      <w:r w:rsidR="008C25AB" w:rsidRPr="006D4CB5">
        <w:rPr>
          <w:color w:val="000000" w:themeColor="text1"/>
        </w:rPr>
        <w:t xml:space="preserve"> PGI weights improved prediction</w:t>
      </w:r>
      <w:r w:rsidR="00B61CDF" w:rsidRPr="006D4CB5">
        <w:rPr>
          <w:color w:val="000000" w:themeColor="text1"/>
        </w:rPr>
        <w:t xml:space="preserve"> over the initial weights</w:t>
      </w:r>
      <w:r w:rsidR="008C25AB" w:rsidRPr="006D4CB5">
        <w:rPr>
          <w:color w:val="000000" w:themeColor="text1"/>
        </w:rPr>
        <w:t xml:space="preserve"> by less than one standard error.</w:t>
      </w:r>
      <w:r w:rsidR="00081EF8" w:rsidRPr="006D4CB5">
        <w:rPr>
          <w:color w:val="000000" w:themeColor="text1"/>
        </w:rPr>
        <w:t xml:space="preserve"> </w:t>
      </w:r>
      <w:r w:rsidR="00982DB4" w:rsidRPr="006D4CB5">
        <w:rPr>
          <w:color w:val="000000" w:themeColor="text1"/>
        </w:rPr>
        <w:t xml:space="preserve">One potential explanation for the null gains in </w:t>
      </w:r>
      <w:r w:rsidR="001C3E04" w:rsidRPr="006D4CB5">
        <w:rPr>
          <w:color w:val="000000" w:themeColor="text1"/>
        </w:rPr>
        <w:t xml:space="preserve">prediction </w:t>
      </w:r>
      <w:r w:rsidR="00982DB4" w:rsidRPr="006D4CB5">
        <w:rPr>
          <w:color w:val="000000" w:themeColor="text1"/>
        </w:rPr>
        <w:t xml:space="preserve">is that the number of SNPs estimated to have effects on </w:t>
      </w:r>
      <w:r w:rsidR="00D30835" w:rsidRPr="006D4CB5">
        <w:rPr>
          <w:color w:val="000000" w:themeColor="text1"/>
        </w:rPr>
        <w:t>a</w:t>
      </w:r>
      <w:r w:rsidR="00982DB4" w:rsidRPr="006D4CB5">
        <w:rPr>
          <w:color w:val="000000" w:themeColor="text1"/>
        </w:rPr>
        <w:t xml:space="preserve"> personality trait did not </w:t>
      </w:r>
      <w:r w:rsidR="002E2414" w:rsidRPr="006D4CB5">
        <w:rPr>
          <w:color w:val="000000" w:themeColor="text1"/>
        </w:rPr>
        <w:t xml:space="preserve">increase proportionately to the number of SNPs included in the generation of PGI weights. For </w:t>
      </w:r>
      <w:r w:rsidR="00982DB4" w:rsidRPr="006D4CB5">
        <w:rPr>
          <w:color w:val="000000" w:themeColor="text1"/>
        </w:rPr>
        <w:t xml:space="preserve">example, in the GSOEP-IS cohort, 15% of SNPs were estimated to </w:t>
      </w:r>
      <w:proofErr w:type="gramStart"/>
      <w:r w:rsidR="00982DB4" w:rsidRPr="006D4CB5">
        <w:rPr>
          <w:color w:val="000000" w:themeColor="text1"/>
        </w:rPr>
        <w:t>have an effect on</w:t>
      </w:r>
      <w:proofErr w:type="gramEnd"/>
      <w:r w:rsidR="00982DB4" w:rsidRPr="006D4CB5">
        <w:rPr>
          <w:color w:val="000000" w:themeColor="text1"/>
        </w:rPr>
        <w:t xml:space="preserve"> extraversion in the </w:t>
      </w:r>
      <w:r w:rsidR="00B61CDF" w:rsidRPr="006D4CB5">
        <w:rPr>
          <w:color w:val="000000" w:themeColor="text1"/>
        </w:rPr>
        <w:t>initial</w:t>
      </w:r>
      <w:r w:rsidR="00982DB4" w:rsidRPr="006D4CB5">
        <w:rPr>
          <w:color w:val="000000" w:themeColor="text1"/>
        </w:rPr>
        <w:t xml:space="preserve"> set of </w:t>
      </w:r>
      <w:r w:rsidR="00DF1123" w:rsidRPr="006D4CB5">
        <w:rPr>
          <w:color w:val="000000" w:themeColor="text1"/>
        </w:rPr>
        <w:t xml:space="preserve">HapMap 3 </w:t>
      </w:r>
      <w:r w:rsidR="00982DB4" w:rsidRPr="006D4CB5">
        <w:rPr>
          <w:color w:val="000000" w:themeColor="text1"/>
        </w:rPr>
        <w:t>SNPs, whereas only 8% were estimated to have an effect in the expanded set.</w:t>
      </w:r>
      <w:r w:rsidR="00DF1123" w:rsidRPr="006D4CB5">
        <w:rPr>
          <w:color w:val="000000" w:themeColor="text1"/>
        </w:rPr>
        <w:t xml:space="preserve"> This </w:t>
      </w:r>
      <w:r w:rsidR="00B61CDF" w:rsidRPr="006D4CB5">
        <w:rPr>
          <w:color w:val="000000" w:themeColor="text1"/>
        </w:rPr>
        <w:t xml:space="preserve">lack of improvement </w:t>
      </w:r>
      <w:r w:rsidR="00DF1123" w:rsidRPr="006D4CB5">
        <w:rPr>
          <w:color w:val="000000" w:themeColor="text1"/>
        </w:rPr>
        <w:t xml:space="preserve">may in part be due to imputation quality; HapMap3 SNPs are typically </w:t>
      </w:r>
      <w:r w:rsidR="00D30835" w:rsidRPr="006D4CB5">
        <w:rPr>
          <w:color w:val="000000" w:themeColor="text1"/>
        </w:rPr>
        <w:t>directly measured or accurately imputed</w:t>
      </w:r>
      <w:r w:rsidR="00DF1123" w:rsidRPr="006D4CB5">
        <w:rPr>
          <w:color w:val="000000" w:themeColor="text1"/>
        </w:rPr>
        <w:t xml:space="preserve"> (mean INFO score for</w:t>
      </w:r>
      <w:r w:rsidR="00B61CDF" w:rsidRPr="006D4CB5">
        <w:rPr>
          <w:color w:val="000000" w:themeColor="text1"/>
        </w:rPr>
        <w:t xml:space="preserve"> initial</w:t>
      </w:r>
      <w:r w:rsidR="00DF1123" w:rsidRPr="006D4CB5">
        <w:rPr>
          <w:color w:val="000000" w:themeColor="text1"/>
        </w:rPr>
        <w:t xml:space="preserve"> openness </w:t>
      </w:r>
      <w:proofErr w:type="spellStart"/>
      <w:r w:rsidR="00DF1123" w:rsidRPr="006D4CB5">
        <w:rPr>
          <w:color w:val="000000" w:themeColor="text1"/>
        </w:rPr>
        <w:t>SBayesR</w:t>
      </w:r>
      <w:proofErr w:type="spellEnd"/>
      <w:r w:rsidR="00DF1123" w:rsidRPr="006D4CB5">
        <w:rPr>
          <w:color w:val="000000" w:themeColor="text1"/>
        </w:rPr>
        <w:t xml:space="preserve"> SNPs = </w:t>
      </w:r>
      <w:r w:rsidR="00B61CDF" w:rsidRPr="006D4CB5">
        <w:rPr>
          <w:color w:val="000000" w:themeColor="text1"/>
        </w:rPr>
        <w:t xml:space="preserve">.97) in comparison to the expanded reference (mean INFO score for expanded openness </w:t>
      </w:r>
      <w:proofErr w:type="spellStart"/>
      <w:r w:rsidR="00B61CDF" w:rsidRPr="006D4CB5">
        <w:rPr>
          <w:color w:val="000000" w:themeColor="text1"/>
        </w:rPr>
        <w:t>SBayesR</w:t>
      </w:r>
      <w:proofErr w:type="spellEnd"/>
      <w:r w:rsidR="00B61CDF" w:rsidRPr="006D4CB5">
        <w:rPr>
          <w:color w:val="000000" w:themeColor="text1"/>
        </w:rPr>
        <w:t xml:space="preserve"> SNPs = .92).</w:t>
      </w:r>
      <w:r w:rsidR="00081EF8" w:rsidRPr="006D4CB5">
        <w:rPr>
          <w:color w:val="000000" w:themeColor="text1"/>
        </w:rPr>
        <w:t xml:space="preserve"> </w:t>
      </w:r>
    </w:p>
    <w:p w14:paraId="682E0095" w14:textId="694E154E" w:rsidR="00D94D0F" w:rsidRPr="006D4CB5" w:rsidRDefault="00081EF8" w:rsidP="002E2414">
      <w:pPr>
        <w:ind w:firstLine="720"/>
        <w:rPr>
          <w:color w:val="000000" w:themeColor="text1"/>
        </w:rPr>
      </w:pPr>
      <w:r w:rsidRPr="006D4CB5">
        <w:rPr>
          <w:color w:val="000000" w:themeColor="text1"/>
        </w:rPr>
        <w:t xml:space="preserve">We note that prediction of neuroticism among HRS participants </w:t>
      </w:r>
      <w:r w:rsidR="00CB7254">
        <w:rPr>
          <w:color w:val="000000" w:themeColor="text1"/>
        </w:rPr>
        <w:t xml:space="preserve">with EUR-like genomes </w:t>
      </w:r>
      <w:r w:rsidRPr="006D4CB5">
        <w:rPr>
          <w:color w:val="000000" w:themeColor="text1"/>
        </w:rPr>
        <w:t xml:space="preserve">using PGI weights derived from this GWAS (β = .181, β = .179 with the 2.9 million SNP set) is nearly identical in accuracy to prediction in </w:t>
      </w:r>
      <w:r w:rsidR="00D30835" w:rsidRPr="006D4CB5">
        <w:rPr>
          <w:color w:val="000000" w:themeColor="text1"/>
        </w:rPr>
        <w:t>HRS participants</w:t>
      </w:r>
      <w:r w:rsidRPr="006D4CB5">
        <w:rPr>
          <w:color w:val="000000" w:themeColor="text1"/>
        </w:rPr>
        <w:t xml:space="preserve"> </w:t>
      </w:r>
      <w:r w:rsidR="00CB7254">
        <w:rPr>
          <w:color w:val="000000" w:themeColor="text1"/>
        </w:rPr>
        <w:t xml:space="preserve">with EUR-like genomes </w:t>
      </w:r>
      <w:r w:rsidRPr="006D4CB5">
        <w:rPr>
          <w:color w:val="000000" w:themeColor="text1"/>
        </w:rPr>
        <w:t xml:space="preserve">using PGI weights derived from the 2025 GWAS conducted by Alemu and colleagues (β = .182), despite our GWAS </w:t>
      </w:r>
      <w:r w:rsidR="00D30835" w:rsidRPr="006D4CB5">
        <w:rPr>
          <w:color w:val="000000" w:themeColor="text1"/>
        </w:rPr>
        <w:t>being estimated using a much</w:t>
      </w:r>
      <w:r w:rsidRPr="006D4CB5">
        <w:rPr>
          <w:color w:val="000000" w:themeColor="text1"/>
        </w:rPr>
        <w:t xml:space="preserve"> larger sample size</w:t>
      </w:r>
      <w:r w:rsidR="00D30835" w:rsidRPr="006D4CB5">
        <w:rPr>
          <w:color w:val="000000" w:themeColor="text1"/>
        </w:rPr>
        <w:t xml:space="preserve"> (N = 1,098,209 vs. 484,560)</w:t>
      </w:r>
      <w:r w:rsidRPr="006D4CB5">
        <w:rPr>
          <w:color w:val="000000" w:themeColor="text1"/>
        </w:rPr>
        <w:t>. Using the equations provided by Alemu and colleagues</w:t>
      </w:r>
      <w:r w:rsidR="00D30835" w:rsidRPr="006D4CB5">
        <w:rPr>
          <w:color w:val="000000" w:themeColor="text1"/>
        </w:rPr>
        <w:t xml:space="preserve"> (2025)</w:t>
      </w:r>
      <w:r w:rsidRPr="006D4CB5">
        <w:rPr>
          <w:color w:val="000000" w:themeColor="text1"/>
        </w:rPr>
        <w:t xml:space="preserve">, we estimated </w:t>
      </w:r>
      <w:r w:rsidR="001C3E04" w:rsidRPr="006D4CB5">
        <w:rPr>
          <w:color w:val="000000" w:themeColor="text1"/>
        </w:rPr>
        <w:t xml:space="preserve">the expected magnitude of prediction </w:t>
      </w:r>
      <w:r w:rsidRPr="006D4CB5">
        <w:rPr>
          <w:color w:val="000000" w:themeColor="text1"/>
        </w:rPr>
        <w:t xml:space="preserve">if the sample size in Alemu and colleagues was increased to our sample size, holding heritability constant from that study. Under those conditions, expected β = .229. Thus, the lack of additional </w:t>
      </w:r>
      <w:r w:rsidR="001C3E04" w:rsidRPr="006D4CB5">
        <w:rPr>
          <w:color w:val="000000" w:themeColor="text1"/>
        </w:rPr>
        <w:t xml:space="preserve">prediction </w:t>
      </w:r>
      <w:r w:rsidRPr="006D4CB5">
        <w:rPr>
          <w:color w:val="000000" w:themeColor="text1"/>
        </w:rPr>
        <w:t xml:space="preserve">with larger sample size, we believe, can be attributed primarily to the asymptotic gains in prediction that come with increases in sample size used to derive PGI weights, especially as the samples added in our GWAS tended to have </w:t>
      </w:r>
      <w:r w:rsidR="00F269A2" w:rsidRPr="006D4CB5">
        <w:rPr>
          <w:color w:val="000000" w:themeColor="text1"/>
        </w:rPr>
        <w:t xml:space="preserve">somewhat </w:t>
      </w:r>
      <w:r w:rsidRPr="006D4CB5">
        <w:rPr>
          <w:color w:val="000000" w:themeColor="text1"/>
        </w:rPr>
        <w:t>lower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and thus contributed less additional signal </w:t>
      </w:r>
      <w:r w:rsidR="006A4438" w:rsidRPr="006D4CB5">
        <w:rPr>
          <w:color w:val="000000" w:themeColor="text1"/>
        </w:rPr>
        <w:t xml:space="preserve">per participant </w:t>
      </w:r>
      <w:r w:rsidRPr="006D4CB5">
        <w:rPr>
          <w:color w:val="000000" w:themeColor="text1"/>
        </w:rPr>
        <w:t>than those in Alemu and colleagues (2025).</w:t>
      </w:r>
    </w:p>
    <w:p w14:paraId="7A86ECF9" w14:textId="0022D60C" w:rsidR="00A96838" w:rsidRPr="006D4CB5" w:rsidRDefault="0023678E" w:rsidP="00A96838">
      <w:pPr>
        <w:ind w:firstLine="720"/>
        <w:rPr>
          <w:color w:val="000000" w:themeColor="text1"/>
        </w:rPr>
      </w:pPr>
      <w:r w:rsidRPr="006D4CB5">
        <w:rPr>
          <w:color w:val="000000" w:themeColor="text1"/>
        </w:rPr>
        <w:t>W</w:t>
      </w:r>
      <w:r w:rsidR="00D94D0F" w:rsidRPr="006D4CB5">
        <w:rPr>
          <w:color w:val="000000" w:themeColor="text1"/>
        </w:rPr>
        <w:t xml:space="preserve">e also re-estimated PGI weights for prediction among </w:t>
      </w:r>
      <w:r w:rsidR="00F14F6F" w:rsidRPr="006D4CB5">
        <w:rPr>
          <w:color w:val="000000" w:themeColor="text1"/>
        </w:rPr>
        <w:t>HRS</w:t>
      </w:r>
      <w:r w:rsidR="00D94D0F" w:rsidRPr="006D4CB5">
        <w:rPr>
          <w:color w:val="000000" w:themeColor="text1"/>
        </w:rPr>
        <w:t xml:space="preserve"> participants </w:t>
      </w:r>
      <w:r w:rsidR="00CB7254">
        <w:rPr>
          <w:color w:val="000000" w:themeColor="text1"/>
        </w:rPr>
        <w:t xml:space="preserve">with AFR-like genomes </w:t>
      </w:r>
      <w:r w:rsidR="00D94D0F" w:rsidRPr="006D4CB5">
        <w:rPr>
          <w:color w:val="000000" w:themeColor="text1"/>
        </w:rPr>
        <w:t>using PRS-</w:t>
      </w:r>
      <w:proofErr w:type="spellStart"/>
      <w:r w:rsidR="00D94D0F" w:rsidRPr="006D4CB5">
        <w:rPr>
          <w:color w:val="000000" w:themeColor="text1"/>
        </w:rPr>
        <w:t>CSx</w:t>
      </w:r>
      <w:proofErr w:type="spellEnd"/>
      <w:r w:rsidR="00D94D0F" w:rsidRPr="006D4CB5">
        <w:rPr>
          <w:color w:val="000000" w:themeColor="text1"/>
        </w:rPr>
        <w:t xml:space="preserve"> (Ruan et al., 2022). PGIs have limited </w:t>
      </w:r>
      <w:r w:rsidRPr="006D4CB5">
        <w:rPr>
          <w:color w:val="000000" w:themeColor="text1"/>
        </w:rPr>
        <w:t xml:space="preserve">ancestral </w:t>
      </w:r>
      <w:r w:rsidR="00D94D0F" w:rsidRPr="006D4CB5">
        <w:rPr>
          <w:color w:val="000000" w:themeColor="text1"/>
        </w:rPr>
        <w:t>transferability; prediction is stronge</w:t>
      </w:r>
      <w:r w:rsidRPr="006D4CB5">
        <w:rPr>
          <w:color w:val="000000" w:themeColor="text1"/>
        </w:rPr>
        <w:t>r</w:t>
      </w:r>
      <w:r w:rsidR="00D94D0F" w:rsidRPr="006D4CB5">
        <w:rPr>
          <w:color w:val="000000" w:themeColor="text1"/>
        </w:rPr>
        <w:t xml:space="preserve"> when the participants whose data are used to construct the PGI weights </w:t>
      </w:r>
      <w:r w:rsidRPr="006D4CB5">
        <w:rPr>
          <w:color w:val="000000" w:themeColor="text1"/>
        </w:rPr>
        <w:t xml:space="preserve">are more ancestrally </w:t>
      </w:r>
      <w:proofErr w:type="gramStart"/>
      <w:r w:rsidRPr="006D4CB5">
        <w:rPr>
          <w:color w:val="000000" w:themeColor="text1"/>
        </w:rPr>
        <w:t>similar</w:t>
      </w:r>
      <w:r w:rsidR="00D94D0F" w:rsidRPr="006D4CB5">
        <w:rPr>
          <w:color w:val="000000" w:themeColor="text1"/>
        </w:rPr>
        <w:t xml:space="preserve"> to</w:t>
      </w:r>
      <w:proofErr w:type="gramEnd"/>
      <w:r w:rsidR="00D94D0F" w:rsidRPr="006D4CB5">
        <w:rPr>
          <w:color w:val="000000" w:themeColor="text1"/>
        </w:rPr>
        <w:t xml:space="preserve"> the participants whose data are used for PGI prediction (</w:t>
      </w:r>
      <w:r w:rsidRPr="006D4CB5">
        <w:rPr>
          <w:color w:val="000000" w:themeColor="text1"/>
        </w:rPr>
        <w:t>Wang et al., 202</w:t>
      </w:r>
      <w:r w:rsidR="004C3B40" w:rsidRPr="006D4CB5">
        <w:rPr>
          <w:color w:val="000000" w:themeColor="text1"/>
        </w:rPr>
        <w:t>3</w:t>
      </w:r>
      <w:r w:rsidR="00D94D0F" w:rsidRPr="006D4CB5">
        <w:rPr>
          <w:color w:val="000000" w:themeColor="text1"/>
        </w:rPr>
        <w:t>).</w:t>
      </w:r>
      <w:r w:rsidRPr="006D4CB5">
        <w:rPr>
          <w:color w:val="000000" w:themeColor="text1"/>
        </w:rPr>
        <w:t xml:space="preserve"> To account for this, we used PRS-</w:t>
      </w:r>
      <w:proofErr w:type="spellStart"/>
      <w:r w:rsidRPr="006D4CB5">
        <w:rPr>
          <w:color w:val="000000" w:themeColor="text1"/>
        </w:rPr>
        <w:t>CSx</w:t>
      </w:r>
      <w:proofErr w:type="spellEnd"/>
      <w:r w:rsidRPr="006D4CB5">
        <w:rPr>
          <w:color w:val="000000" w:themeColor="text1"/>
        </w:rPr>
        <w:t xml:space="preserve"> to estimate PGI weights that </w:t>
      </w:r>
      <w:r w:rsidR="00B61CDF" w:rsidRPr="006D4CB5">
        <w:rPr>
          <w:color w:val="000000" w:themeColor="text1"/>
        </w:rPr>
        <w:t xml:space="preserve">simultaneously </w:t>
      </w:r>
      <w:r w:rsidRPr="006D4CB5">
        <w:rPr>
          <w:color w:val="000000" w:themeColor="text1"/>
        </w:rPr>
        <w:t>incorporate information from our AFR</w:t>
      </w:r>
      <w:r w:rsidR="00CB7254">
        <w:rPr>
          <w:color w:val="000000" w:themeColor="text1"/>
        </w:rPr>
        <w:t xml:space="preserve">-like </w:t>
      </w:r>
      <w:r w:rsidRPr="006D4CB5">
        <w:rPr>
          <w:color w:val="000000" w:themeColor="text1"/>
        </w:rPr>
        <w:t>GWAS and EUR</w:t>
      </w:r>
      <w:r w:rsidR="00CB7254">
        <w:rPr>
          <w:color w:val="000000" w:themeColor="text1"/>
        </w:rPr>
        <w:t xml:space="preserve">-like </w:t>
      </w:r>
      <w:r w:rsidRPr="006D4CB5">
        <w:rPr>
          <w:color w:val="000000" w:themeColor="text1"/>
        </w:rPr>
        <w:t>GWAS. PGIs constructed using PRS-</w:t>
      </w:r>
      <w:proofErr w:type="spellStart"/>
      <w:r w:rsidRPr="006D4CB5">
        <w:rPr>
          <w:color w:val="000000" w:themeColor="text1"/>
        </w:rPr>
        <w:t>CSx</w:t>
      </w:r>
      <w:proofErr w:type="spellEnd"/>
      <w:r w:rsidRPr="006D4CB5">
        <w:rPr>
          <w:color w:val="000000" w:themeColor="text1"/>
        </w:rPr>
        <w:t xml:space="preserve"> did not improve prediction of the Big Five among participants </w:t>
      </w:r>
      <w:r w:rsidR="00CB7254">
        <w:rPr>
          <w:color w:val="000000" w:themeColor="text1"/>
        </w:rPr>
        <w:t xml:space="preserve">with AFR-like genomes </w:t>
      </w:r>
      <w:r w:rsidRPr="006D4CB5">
        <w:rPr>
          <w:color w:val="000000" w:themeColor="text1"/>
        </w:rPr>
        <w:t>in the HRS</w:t>
      </w:r>
      <w:r w:rsidR="00CB7254">
        <w:rPr>
          <w:color w:val="000000" w:themeColor="text1"/>
        </w:rPr>
        <w:t>.</w:t>
      </w:r>
      <w:r w:rsidR="00C92528" w:rsidRPr="006D4CB5">
        <w:rPr>
          <w:color w:val="000000" w:themeColor="text1"/>
        </w:rPr>
        <w:t xml:space="preserve"> </w:t>
      </w:r>
      <w:r w:rsidR="00A96838" w:rsidRPr="006D4CB5">
        <w:rPr>
          <w:color w:val="000000" w:themeColor="text1"/>
        </w:rPr>
        <w:t xml:space="preserve">The </w:t>
      </w:r>
      <w:r w:rsidRPr="006D4CB5">
        <w:rPr>
          <w:color w:val="000000" w:themeColor="text1"/>
        </w:rPr>
        <w:t xml:space="preserve">mean prediction </w:t>
      </w:r>
      <w:r w:rsidR="00B61CDF" w:rsidRPr="006D4CB5">
        <w:rPr>
          <w:color w:val="000000" w:themeColor="text1"/>
        </w:rPr>
        <w:t>β</w:t>
      </w:r>
      <w:r w:rsidRPr="006D4CB5">
        <w:rPr>
          <w:color w:val="000000" w:themeColor="text1"/>
        </w:rPr>
        <w:t xml:space="preserve"> </w:t>
      </w:r>
      <w:r w:rsidR="00A96838" w:rsidRPr="006D4CB5">
        <w:rPr>
          <w:color w:val="000000" w:themeColor="text1"/>
        </w:rPr>
        <w:t>was</w:t>
      </w:r>
      <w:r w:rsidRPr="006D4CB5">
        <w:rPr>
          <w:color w:val="000000" w:themeColor="text1"/>
        </w:rPr>
        <w:t xml:space="preserve"> .046, compared to </w:t>
      </w:r>
      <w:r w:rsidR="00B61CDF" w:rsidRPr="006D4CB5">
        <w:rPr>
          <w:color w:val="000000" w:themeColor="text1"/>
        </w:rPr>
        <w:t>β</w:t>
      </w:r>
      <w:r w:rsidRPr="006D4CB5">
        <w:rPr>
          <w:color w:val="000000" w:themeColor="text1"/>
        </w:rPr>
        <w:t xml:space="preserve"> = .051 in </w:t>
      </w:r>
      <w:r w:rsidR="00A96838" w:rsidRPr="006D4CB5">
        <w:rPr>
          <w:color w:val="000000" w:themeColor="text1"/>
        </w:rPr>
        <w:t>analyses</w:t>
      </w:r>
      <w:r w:rsidR="00B61CDF" w:rsidRPr="006D4CB5">
        <w:rPr>
          <w:color w:val="000000" w:themeColor="text1"/>
        </w:rPr>
        <w:t xml:space="preserve"> </w:t>
      </w:r>
      <w:r w:rsidR="00A96838" w:rsidRPr="006D4CB5">
        <w:rPr>
          <w:color w:val="000000" w:themeColor="text1"/>
        </w:rPr>
        <w:t>using EUR-</w:t>
      </w:r>
      <w:r w:rsidR="00CB7254">
        <w:rPr>
          <w:color w:val="000000" w:themeColor="text1"/>
        </w:rPr>
        <w:t>like-GWAS-</w:t>
      </w:r>
      <w:r w:rsidR="00A96838" w:rsidRPr="006D4CB5">
        <w:rPr>
          <w:color w:val="000000" w:themeColor="text1"/>
        </w:rPr>
        <w:t>derived PGI weights (</w:t>
      </w:r>
      <w:r w:rsidRPr="006D4CB5">
        <w:rPr>
          <w:b/>
          <w:bCs/>
          <w:color w:val="000000" w:themeColor="text1"/>
        </w:rPr>
        <w:t>Supplementa</w:t>
      </w:r>
      <w:r w:rsidR="009101BA" w:rsidRPr="006D4CB5">
        <w:rPr>
          <w:b/>
          <w:bCs/>
          <w:color w:val="000000" w:themeColor="text1"/>
        </w:rPr>
        <w:t>ry</w:t>
      </w:r>
      <w:r w:rsidRPr="006D4CB5">
        <w:rPr>
          <w:b/>
          <w:bCs/>
          <w:color w:val="000000" w:themeColor="text1"/>
        </w:rPr>
        <w:t xml:space="preserve"> Table S</w:t>
      </w:r>
      <w:r w:rsidR="00772F60" w:rsidRPr="006D4CB5">
        <w:rPr>
          <w:b/>
          <w:bCs/>
          <w:color w:val="000000" w:themeColor="text1"/>
        </w:rPr>
        <w:t>3</w:t>
      </w:r>
      <w:r w:rsidR="00723032" w:rsidRPr="006D4CB5">
        <w:rPr>
          <w:b/>
          <w:bCs/>
          <w:color w:val="000000" w:themeColor="text1"/>
        </w:rPr>
        <w:t>5</w:t>
      </w:r>
      <w:r w:rsidRPr="006D4CB5">
        <w:rPr>
          <w:color w:val="000000" w:themeColor="text1"/>
        </w:rPr>
        <w:t>)</w:t>
      </w:r>
      <w:r w:rsidR="00C92528" w:rsidRPr="006D4CB5">
        <w:rPr>
          <w:color w:val="000000" w:themeColor="text1"/>
        </w:rPr>
        <w:t xml:space="preserve"> </w:t>
      </w:r>
      <w:r w:rsidR="00D94D0F" w:rsidRPr="006D4CB5">
        <w:rPr>
          <w:color w:val="000000" w:themeColor="text1"/>
        </w:rPr>
        <w:t>Th</w:t>
      </w:r>
      <w:r w:rsidR="00B61CDF" w:rsidRPr="006D4CB5">
        <w:rPr>
          <w:color w:val="000000" w:themeColor="text1"/>
        </w:rPr>
        <w:t>is</w:t>
      </w:r>
      <w:r w:rsidR="00A96838" w:rsidRPr="006D4CB5">
        <w:rPr>
          <w:color w:val="000000" w:themeColor="text1"/>
        </w:rPr>
        <w:t xml:space="preserve"> lack of improvement </w:t>
      </w:r>
      <w:r w:rsidR="00A96838" w:rsidRPr="006D4CB5">
        <w:rPr>
          <w:color w:val="000000" w:themeColor="text1"/>
        </w:rPr>
        <w:lastRenderedPageBreak/>
        <w:t>when using PRS-</w:t>
      </w:r>
      <w:proofErr w:type="spellStart"/>
      <w:r w:rsidR="00A96838" w:rsidRPr="006D4CB5">
        <w:rPr>
          <w:color w:val="000000" w:themeColor="text1"/>
        </w:rPr>
        <w:t>CSx</w:t>
      </w:r>
      <w:proofErr w:type="spellEnd"/>
      <w:r w:rsidR="00D94D0F" w:rsidRPr="006D4CB5">
        <w:rPr>
          <w:color w:val="000000" w:themeColor="text1"/>
        </w:rPr>
        <w:t xml:space="preserve"> may be </w:t>
      </w:r>
      <w:r w:rsidR="00A96838" w:rsidRPr="006D4CB5">
        <w:rPr>
          <w:color w:val="000000" w:themeColor="text1"/>
        </w:rPr>
        <w:t xml:space="preserve">attributable to the relative ancestral composition of our GWAS sample. </w:t>
      </w:r>
      <w:r w:rsidR="00CB7254">
        <w:rPr>
          <w:color w:val="000000" w:themeColor="text1"/>
        </w:rPr>
        <w:t>P</w:t>
      </w:r>
      <w:r w:rsidR="00D30835" w:rsidRPr="006D4CB5">
        <w:rPr>
          <w:color w:val="000000" w:themeColor="text1"/>
        </w:rPr>
        <w:t>articipants</w:t>
      </w:r>
      <w:r w:rsidR="00CB7254">
        <w:rPr>
          <w:color w:val="000000" w:themeColor="text1"/>
        </w:rPr>
        <w:t xml:space="preserve"> with AFR-like genomes</w:t>
      </w:r>
      <w:r w:rsidR="00D30835" w:rsidRPr="006D4CB5">
        <w:rPr>
          <w:color w:val="000000" w:themeColor="text1"/>
        </w:rPr>
        <w:t xml:space="preserve"> composed roughly 5% of the total GWAS sample size</w:t>
      </w:r>
      <w:r w:rsidR="00A96838" w:rsidRPr="006D4CB5">
        <w:rPr>
          <w:color w:val="000000" w:themeColor="text1"/>
        </w:rPr>
        <w:t xml:space="preserve">, leading to minimal gains in PGI prediction when incorporating their data into </w:t>
      </w:r>
      <w:r w:rsidR="00D30835" w:rsidRPr="006D4CB5">
        <w:rPr>
          <w:color w:val="000000" w:themeColor="text1"/>
        </w:rPr>
        <w:t xml:space="preserve">PGI </w:t>
      </w:r>
      <w:r w:rsidR="00A96838" w:rsidRPr="006D4CB5">
        <w:rPr>
          <w:color w:val="000000" w:themeColor="text1"/>
        </w:rPr>
        <w:t xml:space="preserve">weight construction. </w:t>
      </w:r>
    </w:p>
    <w:p w14:paraId="38DC5626" w14:textId="44978E11" w:rsidR="008C25AB" w:rsidRPr="006D4CB5" w:rsidRDefault="0023678E" w:rsidP="002E2414">
      <w:pPr>
        <w:ind w:firstLine="720"/>
        <w:rPr>
          <w:color w:val="000000" w:themeColor="text1"/>
        </w:rPr>
      </w:pPr>
      <w:r w:rsidRPr="006D4CB5">
        <w:rPr>
          <w:color w:val="000000" w:themeColor="text1"/>
        </w:rPr>
        <w:t>Considering the</w:t>
      </w:r>
      <w:r w:rsidR="00A96838" w:rsidRPr="006D4CB5">
        <w:rPr>
          <w:color w:val="000000" w:themeColor="text1"/>
        </w:rPr>
        <w:t xml:space="preserve">se </w:t>
      </w:r>
      <w:r w:rsidR="00B61CDF" w:rsidRPr="006D4CB5">
        <w:rPr>
          <w:color w:val="000000" w:themeColor="text1"/>
        </w:rPr>
        <w:t>null improvements with an expanded set of SNPs and effects estimated using PRS-</w:t>
      </w:r>
      <w:proofErr w:type="spellStart"/>
      <w:r w:rsidR="00B61CDF" w:rsidRPr="006D4CB5">
        <w:rPr>
          <w:color w:val="000000" w:themeColor="text1"/>
        </w:rPr>
        <w:t>CSx</w:t>
      </w:r>
      <w:proofErr w:type="spellEnd"/>
      <w:r w:rsidR="00A96838" w:rsidRPr="006D4CB5">
        <w:rPr>
          <w:color w:val="000000" w:themeColor="text1"/>
        </w:rPr>
        <w:t>,</w:t>
      </w:r>
      <w:r w:rsidR="00D94D0F" w:rsidRPr="006D4CB5">
        <w:rPr>
          <w:color w:val="000000" w:themeColor="text1"/>
        </w:rPr>
        <w:t xml:space="preserve"> </w:t>
      </w:r>
      <w:r w:rsidR="002E2414" w:rsidRPr="006D4CB5">
        <w:rPr>
          <w:color w:val="000000" w:themeColor="text1"/>
        </w:rPr>
        <w:t>we retained the original set of PGI weights</w:t>
      </w:r>
      <w:r w:rsidR="00B61CDF" w:rsidRPr="006D4CB5">
        <w:rPr>
          <w:color w:val="000000" w:themeColor="text1"/>
        </w:rPr>
        <w:t xml:space="preserve"> generated with </w:t>
      </w:r>
      <w:proofErr w:type="spellStart"/>
      <w:r w:rsidR="00B61CDF" w:rsidRPr="006D4CB5">
        <w:rPr>
          <w:color w:val="000000" w:themeColor="text1"/>
        </w:rPr>
        <w:t>S</w:t>
      </w:r>
      <w:r w:rsidR="00F269A2" w:rsidRPr="006D4CB5">
        <w:rPr>
          <w:color w:val="000000" w:themeColor="text1"/>
        </w:rPr>
        <w:t>B</w:t>
      </w:r>
      <w:r w:rsidR="00B61CDF" w:rsidRPr="006D4CB5">
        <w:rPr>
          <w:color w:val="000000" w:themeColor="text1"/>
        </w:rPr>
        <w:t>ayesR</w:t>
      </w:r>
      <w:proofErr w:type="spellEnd"/>
      <w:r w:rsidR="00B61CDF" w:rsidRPr="006D4CB5">
        <w:rPr>
          <w:color w:val="000000" w:themeColor="text1"/>
        </w:rPr>
        <w:t xml:space="preserve"> using the 1.3 million HapMap3 SNPs</w:t>
      </w:r>
      <w:r w:rsidR="002E2414" w:rsidRPr="006D4CB5">
        <w:rPr>
          <w:color w:val="000000" w:themeColor="text1"/>
        </w:rPr>
        <w:t xml:space="preserve"> </w:t>
      </w:r>
      <w:r w:rsidR="00A96838" w:rsidRPr="006D4CB5">
        <w:rPr>
          <w:color w:val="000000" w:themeColor="text1"/>
        </w:rPr>
        <w:t xml:space="preserve">as the </w:t>
      </w:r>
      <w:r w:rsidR="00B61CDF" w:rsidRPr="006D4CB5">
        <w:rPr>
          <w:color w:val="000000" w:themeColor="text1"/>
        </w:rPr>
        <w:t>focus of PGI analyses</w:t>
      </w:r>
      <w:r w:rsidR="00A96838" w:rsidRPr="006D4CB5">
        <w:rPr>
          <w:color w:val="000000" w:themeColor="text1"/>
        </w:rPr>
        <w:t xml:space="preserve"> in this study</w:t>
      </w:r>
      <w:r w:rsidR="002E2414" w:rsidRPr="006D4CB5">
        <w:rPr>
          <w:color w:val="000000" w:themeColor="text1"/>
        </w:rPr>
        <w:t>. Future research is needed to better understand the conditions that affect the performance of personality</w:t>
      </w:r>
      <w:r w:rsidR="00B61CDF" w:rsidRPr="006D4CB5">
        <w:rPr>
          <w:color w:val="000000" w:themeColor="text1"/>
        </w:rPr>
        <w:t xml:space="preserve"> trait</w:t>
      </w:r>
      <w:r w:rsidR="002E2414" w:rsidRPr="006D4CB5">
        <w:rPr>
          <w:color w:val="000000" w:themeColor="text1"/>
        </w:rPr>
        <w:t xml:space="preserve"> PGIs</w:t>
      </w:r>
      <w:r w:rsidR="00B61CDF" w:rsidRPr="006D4CB5">
        <w:rPr>
          <w:color w:val="000000" w:themeColor="text1"/>
        </w:rPr>
        <w:t xml:space="preserve">, </w:t>
      </w:r>
      <w:r w:rsidR="002E2414" w:rsidRPr="006D4CB5">
        <w:rPr>
          <w:color w:val="000000" w:themeColor="text1"/>
        </w:rPr>
        <w:t xml:space="preserve">by varying </w:t>
      </w:r>
      <w:r w:rsidR="00A96838" w:rsidRPr="006D4CB5">
        <w:rPr>
          <w:color w:val="000000" w:themeColor="text1"/>
        </w:rPr>
        <w:t>the</w:t>
      </w:r>
      <w:r w:rsidR="002E2414" w:rsidRPr="006D4CB5">
        <w:rPr>
          <w:color w:val="000000" w:themeColor="text1"/>
        </w:rPr>
        <w:t xml:space="preserve"> software use</w:t>
      </w:r>
      <w:r w:rsidR="00455464" w:rsidRPr="006D4CB5">
        <w:rPr>
          <w:color w:val="000000" w:themeColor="text1"/>
        </w:rPr>
        <w:t>d</w:t>
      </w:r>
      <w:r w:rsidR="002E2414" w:rsidRPr="006D4CB5">
        <w:rPr>
          <w:color w:val="000000" w:themeColor="text1"/>
        </w:rPr>
        <w:t xml:space="preserve"> to generate weights, </w:t>
      </w:r>
      <w:r w:rsidR="00A96838" w:rsidRPr="006D4CB5">
        <w:rPr>
          <w:color w:val="000000" w:themeColor="text1"/>
        </w:rPr>
        <w:t xml:space="preserve">the SNPs included in weight generation, and the methods used to account for </w:t>
      </w:r>
      <w:r w:rsidR="00455464" w:rsidRPr="006D4CB5">
        <w:rPr>
          <w:color w:val="000000" w:themeColor="text1"/>
        </w:rPr>
        <w:t>ancestral diversity</w:t>
      </w:r>
      <w:r w:rsidR="00A96838" w:rsidRPr="006D4CB5">
        <w:rPr>
          <w:color w:val="000000" w:themeColor="text1"/>
        </w:rPr>
        <w:t>.</w:t>
      </w:r>
    </w:p>
    <w:p w14:paraId="31C69D22" w14:textId="77777777" w:rsidR="00076353" w:rsidRPr="006D4CB5" w:rsidRDefault="00076353" w:rsidP="00076353">
      <w:pPr>
        <w:rPr>
          <w:color w:val="000000" w:themeColor="text1"/>
        </w:rPr>
      </w:pPr>
    </w:p>
    <w:p w14:paraId="2B86FC2B" w14:textId="4EA6D511" w:rsidR="00076353" w:rsidRPr="006D4CB5" w:rsidRDefault="00FD2004" w:rsidP="00FD2004">
      <w:pPr>
        <w:jc w:val="center"/>
        <w:rPr>
          <w:b/>
          <w:bCs/>
          <w:color w:val="000000" w:themeColor="text1"/>
        </w:rPr>
      </w:pPr>
      <w:r>
        <w:rPr>
          <w:b/>
          <w:bCs/>
          <w:color w:val="000000" w:themeColor="text1"/>
        </w:rPr>
        <w:t xml:space="preserve">Supplementary Note </w:t>
      </w:r>
      <w:r w:rsidR="00076353" w:rsidRPr="006D4CB5">
        <w:rPr>
          <w:b/>
          <w:bCs/>
          <w:color w:val="000000" w:themeColor="text1"/>
        </w:rPr>
        <w:t xml:space="preserve">5. Associations with </w:t>
      </w:r>
      <w:r w:rsidR="00E44E1C">
        <w:rPr>
          <w:b/>
          <w:bCs/>
          <w:color w:val="000000" w:themeColor="text1"/>
        </w:rPr>
        <w:t>B</w:t>
      </w:r>
      <w:r w:rsidR="00AA5A43" w:rsidRPr="006D4CB5">
        <w:rPr>
          <w:b/>
          <w:bCs/>
          <w:color w:val="000000" w:themeColor="text1"/>
        </w:rPr>
        <w:t xml:space="preserve">ehaviors and </w:t>
      </w:r>
      <w:r w:rsidR="00E44E1C">
        <w:rPr>
          <w:b/>
          <w:bCs/>
          <w:color w:val="000000" w:themeColor="text1"/>
        </w:rPr>
        <w:t>O</w:t>
      </w:r>
      <w:r w:rsidR="00AA5A43" w:rsidRPr="006D4CB5">
        <w:rPr>
          <w:b/>
          <w:bCs/>
          <w:color w:val="000000" w:themeColor="text1"/>
        </w:rPr>
        <w:t>utcomes</w:t>
      </w:r>
    </w:p>
    <w:p w14:paraId="7484B6CA" w14:textId="77777777" w:rsidR="00076353" w:rsidRPr="006D4CB5" w:rsidRDefault="00076353" w:rsidP="00076353">
      <w:pPr>
        <w:jc w:val="both"/>
        <w:rPr>
          <w:b/>
          <w:bCs/>
          <w:color w:val="000000" w:themeColor="text1"/>
        </w:rPr>
      </w:pPr>
    </w:p>
    <w:p w14:paraId="226553ED" w14:textId="5DC67AF6" w:rsidR="00076353" w:rsidRPr="006D4CB5" w:rsidRDefault="00076353" w:rsidP="00076353">
      <w:pPr>
        <w:jc w:val="both"/>
        <w:rPr>
          <w:color w:val="000000" w:themeColor="text1"/>
          <w:u w:val="single"/>
        </w:rPr>
      </w:pPr>
      <w:r w:rsidRPr="006D4CB5">
        <w:rPr>
          <w:color w:val="000000" w:themeColor="text1"/>
          <w:u w:val="single"/>
        </w:rPr>
        <w:t xml:space="preserve">5.1 </w:t>
      </w:r>
      <w:r w:rsidR="00C13A6D" w:rsidRPr="006D4CB5">
        <w:rPr>
          <w:color w:val="000000" w:themeColor="text1"/>
          <w:u w:val="single"/>
        </w:rPr>
        <w:t xml:space="preserve">Genetic </w:t>
      </w:r>
      <w:r w:rsidRPr="006D4CB5">
        <w:rPr>
          <w:color w:val="000000" w:themeColor="text1"/>
          <w:u w:val="single"/>
        </w:rPr>
        <w:t>Correlations with External Phenotypes</w:t>
      </w:r>
    </w:p>
    <w:p w14:paraId="24517E32" w14:textId="25B822F5" w:rsidR="00076353" w:rsidRPr="006D4CB5" w:rsidRDefault="00076353" w:rsidP="00076353">
      <w:pPr>
        <w:rPr>
          <w:color w:val="000000" w:themeColor="text1"/>
        </w:rPr>
      </w:pPr>
      <w:r w:rsidRPr="006D4CB5">
        <w:rPr>
          <w:color w:val="000000" w:themeColor="text1"/>
        </w:rPr>
        <w:tab/>
        <w:t xml:space="preserve">To quantify the widespread relevance of personality genetics, we identified </w:t>
      </w:r>
      <w:r w:rsidR="00AA5A43" w:rsidRPr="006D4CB5">
        <w:rPr>
          <w:color w:val="000000" w:themeColor="text1"/>
        </w:rPr>
        <w:t xml:space="preserve">85 </w:t>
      </w:r>
      <w:r w:rsidRPr="006D4CB5">
        <w:rPr>
          <w:color w:val="000000" w:themeColor="text1"/>
        </w:rPr>
        <w:t xml:space="preserve">external phenotypes that had previously been </w:t>
      </w:r>
      <w:r w:rsidR="006E165C" w:rsidRPr="006D4CB5">
        <w:rPr>
          <w:color w:val="000000" w:themeColor="text1"/>
        </w:rPr>
        <w:t xml:space="preserve">submitted to </w:t>
      </w:r>
      <w:r w:rsidRPr="006D4CB5">
        <w:rPr>
          <w:color w:val="000000" w:themeColor="text1"/>
        </w:rPr>
        <w:t>GWAS in participants with E</w:t>
      </w:r>
      <w:r w:rsidR="00CB7254">
        <w:rPr>
          <w:color w:val="000000" w:themeColor="text1"/>
        </w:rPr>
        <w:t>UR</w:t>
      </w:r>
      <w:r w:rsidRPr="006D4CB5">
        <w:rPr>
          <w:color w:val="000000" w:themeColor="text1"/>
        </w:rPr>
        <w:t xml:space="preserve">-like </w:t>
      </w:r>
      <w:r w:rsidR="001C77A6" w:rsidRPr="006D4CB5">
        <w:rPr>
          <w:color w:val="000000" w:themeColor="text1"/>
        </w:rPr>
        <w:t xml:space="preserve">genomes </w:t>
      </w:r>
      <w:r w:rsidRPr="006D4CB5">
        <w:rPr>
          <w:color w:val="000000" w:themeColor="text1"/>
        </w:rPr>
        <w:t xml:space="preserve">with publicly available summary statistics. We consider these phenotypes in terms of nine clusters: Diet, education and employment, general health, participation, personality, physical health, psychopathology, reproductive health, and substance use. Full information on each external phenotype, including reference and sample size, is presented in </w:t>
      </w:r>
      <w:r w:rsidRPr="006D4CB5">
        <w:rPr>
          <w:b/>
          <w:bCs/>
          <w:color w:val="000000" w:themeColor="text1"/>
        </w:rPr>
        <w:t>Supplementary Table S3</w:t>
      </w:r>
      <w:r w:rsidR="00723032" w:rsidRPr="006D4CB5">
        <w:rPr>
          <w:b/>
          <w:bCs/>
          <w:color w:val="000000" w:themeColor="text1"/>
        </w:rPr>
        <w:t>7</w:t>
      </w:r>
      <w:r w:rsidRPr="006D4CB5">
        <w:rPr>
          <w:color w:val="000000" w:themeColor="text1"/>
        </w:rPr>
        <w:t>.</w:t>
      </w:r>
    </w:p>
    <w:p w14:paraId="62437F4E" w14:textId="37AA70F8" w:rsidR="00C01152" w:rsidRPr="006D4CB5" w:rsidRDefault="00076353" w:rsidP="001E251E">
      <w:pPr>
        <w:jc w:val="both"/>
        <w:rPr>
          <w:color w:val="000000" w:themeColor="text1"/>
        </w:rPr>
      </w:pPr>
      <w:r w:rsidRPr="006D4CB5">
        <w:rPr>
          <w:b/>
          <w:bCs/>
          <w:color w:val="000000" w:themeColor="text1"/>
        </w:rPr>
        <w:tab/>
      </w:r>
      <w:r w:rsidRPr="006D4CB5">
        <w:rPr>
          <w:color w:val="000000" w:themeColor="text1"/>
        </w:rPr>
        <w:t>For each phenotype, we estimated genetic correlations with the EUR</w:t>
      </w:r>
      <w:r w:rsidR="00CB7254">
        <w:rPr>
          <w:color w:val="000000" w:themeColor="text1"/>
        </w:rPr>
        <w:t>-like</w:t>
      </w:r>
      <w:r w:rsidRPr="006D4CB5">
        <w:rPr>
          <w:color w:val="000000" w:themeColor="text1"/>
        </w:rPr>
        <w:t xml:space="preserve"> Big Five </w:t>
      </w:r>
      <w:r w:rsidR="00CB7254">
        <w:rPr>
          <w:color w:val="000000" w:themeColor="text1"/>
        </w:rPr>
        <w:t xml:space="preserve">GWAS </w:t>
      </w:r>
      <w:r w:rsidRPr="006D4CB5">
        <w:rPr>
          <w:color w:val="000000" w:themeColor="text1"/>
        </w:rPr>
        <w:t>summary statistics</w:t>
      </w:r>
      <w:r w:rsidR="00C13A6D" w:rsidRPr="006D4CB5">
        <w:rPr>
          <w:color w:val="000000" w:themeColor="text1"/>
        </w:rPr>
        <w:t xml:space="preserve"> using LDSC</w:t>
      </w:r>
      <w:r w:rsidR="00C01152" w:rsidRPr="006D4CB5">
        <w:rPr>
          <w:color w:val="000000" w:themeColor="text1"/>
        </w:rPr>
        <w:t>; this method is</w:t>
      </w:r>
      <w:r w:rsidRPr="006D4CB5">
        <w:rPr>
          <w:color w:val="000000" w:themeColor="text1"/>
        </w:rPr>
        <w:t xml:space="preserve"> described in section 3.3 above. </w:t>
      </w:r>
      <w:r w:rsidR="00C01152" w:rsidRPr="006D4CB5">
        <w:rPr>
          <w:color w:val="000000" w:themeColor="text1"/>
        </w:rPr>
        <w:t xml:space="preserve">Full results from these tests are presented in </w:t>
      </w:r>
      <w:r w:rsidR="00C01152" w:rsidRPr="006D4CB5">
        <w:rPr>
          <w:b/>
          <w:bCs/>
          <w:color w:val="000000" w:themeColor="text1"/>
        </w:rPr>
        <w:t>Supplementary Table S3</w:t>
      </w:r>
      <w:r w:rsidR="00723032" w:rsidRPr="006D4CB5">
        <w:rPr>
          <w:b/>
          <w:bCs/>
          <w:color w:val="000000" w:themeColor="text1"/>
        </w:rPr>
        <w:t>8</w:t>
      </w:r>
      <w:r w:rsidR="00C01152" w:rsidRPr="006D4CB5">
        <w:rPr>
          <w:color w:val="000000" w:themeColor="text1"/>
        </w:rPr>
        <w:t xml:space="preserve">. In the main text, we highlight findings that link conscientiousness to health, each of the Big Five to psychiatric risk, and each of the Big Five to survey behavior. </w:t>
      </w:r>
      <w:r w:rsidR="00230168" w:rsidRPr="006D4CB5">
        <w:rPr>
          <w:color w:val="000000" w:themeColor="text1"/>
        </w:rPr>
        <w:t>Below</w:t>
      </w:r>
      <w:r w:rsidR="00C01152" w:rsidRPr="006D4CB5">
        <w:rPr>
          <w:color w:val="000000" w:themeColor="text1"/>
        </w:rPr>
        <w:t>, we discuss</w:t>
      </w:r>
      <w:r w:rsidR="003E7F61" w:rsidRPr="006D4CB5">
        <w:rPr>
          <w:color w:val="000000" w:themeColor="text1"/>
        </w:rPr>
        <w:t xml:space="preserve"> and contextualize</w:t>
      </w:r>
      <w:r w:rsidR="00C01152" w:rsidRPr="006D4CB5">
        <w:rPr>
          <w:color w:val="000000" w:themeColor="text1"/>
        </w:rPr>
        <w:t xml:space="preserve"> additional notable results of these tests, organized in terms of outcome cluster</w:t>
      </w:r>
      <w:r w:rsidR="003E7F61" w:rsidRPr="006D4CB5">
        <w:rPr>
          <w:color w:val="000000" w:themeColor="text1"/>
        </w:rPr>
        <w:t xml:space="preserve">s in </w:t>
      </w:r>
      <w:r w:rsidR="003E7F61" w:rsidRPr="006D4CB5">
        <w:rPr>
          <w:b/>
          <w:bCs/>
          <w:color w:val="000000" w:themeColor="text1"/>
        </w:rPr>
        <w:t>Figure 3</w:t>
      </w:r>
      <w:r w:rsidR="00C01152" w:rsidRPr="006D4CB5">
        <w:rPr>
          <w:color w:val="000000" w:themeColor="text1"/>
        </w:rPr>
        <w:t xml:space="preserve">. </w:t>
      </w:r>
      <w:r w:rsidR="008D311D" w:rsidRPr="006D4CB5">
        <w:rPr>
          <w:color w:val="000000" w:themeColor="text1"/>
        </w:rPr>
        <w:t>In general, these correlations provide strong evidence for the phenotypic null hypothesis (</w:t>
      </w:r>
      <w:proofErr w:type="spellStart"/>
      <w:r w:rsidR="008D311D" w:rsidRPr="006D4CB5">
        <w:rPr>
          <w:color w:val="000000" w:themeColor="text1"/>
        </w:rPr>
        <w:t>Cheverud</w:t>
      </w:r>
      <w:proofErr w:type="spellEnd"/>
      <w:r w:rsidR="008D311D" w:rsidRPr="006D4CB5">
        <w:rPr>
          <w:color w:val="000000" w:themeColor="text1"/>
        </w:rPr>
        <w:t xml:space="preserve">, 1988; </w:t>
      </w:r>
      <w:proofErr w:type="spellStart"/>
      <w:r w:rsidR="008D311D" w:rsidRPr="006D4CB5">
        <w:rPr>
          <w:color w:val="000000" w:themeColor="text1"/>
        </w:rPr>
        <w:t>Turkheimer</w:t>
      </w:r>
      <w:proofErr w:type="spellEnd"/>
      <w:r w:rsidR="008D311D" w:rsidRPr="006D4CB5">
        <w:rPr>
          <w:color w:val="000000" w:themeColor="text1"/>
        </w:rPr>
        <w:t xml:space="preserve"> et al., 2014) that genetic and phenotypic correlations tend to be similar, with some notable exceptions. </w:t>
      </w:r>
    </w:p>
    <w:p w14:paraId="3F75553C" w14:textId="561D552B" w:rsidR="00C01152" w:rsidRPr="006D4CB5" w:rsidRDefault="00C01152" w:rsidP="00230168">
      <w:pPr>
        <w:rPr>
          <w:color w:val="000000" w:themeColor="text1"/>
        </w:rPr>
      </w:pPr>
      <w:r w:rsidRPr="006D4CB5">
        <w:rPr>
          <w:color w:val="000000" w:themeColor="text1"/>
        </w:rPr>
        <w:tab/>
      </w:r>
      <w:r w:rsidR="00FD625B" w:rsidRPr="006D4CB5">
        <w:rPr>
          <w:color w:val="000000" w:themeColor="text1"/>
        </w:rPr>
        <w:t>Correlations between personality and diet underscore the motivations people have when constructing their diets.</w:t>
      </w:r>
      <w:r w:rsidRPr="006D4CB5">
        <w:rPr>
          <w:color w:val="000000" w:themeColor="text1"/>
        </w:rPr>
        <w:t xml:space="preserve"> The strongest correlation between the Big Five and the three </w:t>
      </w:r>
      <w:r w:rsidR="00FD625B" w:rsidRPr="006D4CB5">
        <w:rPr>
          <w:color w:val="000000" w:themeColor="text1"/>
        </w:rPr>
        <w:t>broad</w:t>
      </w:r>
      <w:r w:rsidRPr="006D4CB5">
        <w:rPr>
          <w:color w:val="000000" w:themeColor="text1"/>
        </w:rPr>
        <w:t xml:space="preserve"> diet</w:t>
      </w:r>
      <w:r w:rsidR="00FD625B" w:rsidRPr="006D4CB5">
        <w:rPr>
          <w:color w:val="000000" w:themeColor="text1"/>
        </w:rPr>
        <w:t>ary</w:t>
      </w:r>
      <w:r w:rsidRPr="006D4CB5">
        <w:rPr>
          <w:color w:val="000000" w:themeColor="text1"/>
        </w:rPr>
        <w:t xml:space="preserve"> clusters was that linking openness to experience to</w:t>
      </w:r>
      <w:r w:rsidR="00FD625B" w:rsidRPr="006D4CB5">
        <w:rPr>
          <w:color w:val="000000" w:themeColor="text1"/>
        </w:rPr>
        <w:t xml:space="preserve"> liking foods high in the dimension of acquired taste, such as coffee, wine, sharp cheeses, and pickles.</w:t>
      </w:r>
      <w:r w:rsidRPr="006D4CB5">
        <w:rPr>
          <w:color w:val="000000" w:themeColor="text1"/>
        </w:rPr>
        <w:t xml:space="preserve"> </w:t>
      </w:r>
      <w:r w:rsidR="00FD625B" w:rsidRPr="006D4CB5">
        <w:rPr>
          <w:color w:val="000000" w:themeColor="text1"/>
        </w:rPr>
        <w:t>T</w:t>
      </w:r>
      <w:r w:rsidRPr="006D4CB5">
        <w:rPr>
          <w:color w:val="000000" w:themeColor="text1"/>
        </w:rPr>
        <w:t xml:space="preserve">his </w:t>
      </w:r>
      <w:r w:rsidR="00FD625B" w:rsidRPr="006D4CB5">
        <w:rPr>
          <w:color w:val="000000" w:themeColor="text1"/>
        </w:rPr>
        <w:t>finding</w:t>
      </w:r>
      <w:r w:rsidR="00903E03" w:rsidRPr="006D4CB5">
        <w:rPr>
          <w:color w:val="000000" w:themeColor="text1"/>
        </w:rPr>
        <w:t xml:space="preserve"> </w:t>
      </w:r>
      <w:r w:rsidR="00FD625B" w:rsidRPr="006D4CB5">
        <w:rPr>
          <w:color w:val="000000" w:themeColor="text1"/>
        </w:rPr>
        <w:t xml:space="preserve">exemplifies the </w:t>
      </w:r>
      <w:r w:rsidR="00903E03" w:rsidRPr="006D4CB5">
        <w:rPr>
          <w:color w:val="000000" w:themeColor="text1"/>
        </w:rPr>
        <w:t xml:space="preserve">tendency </w:t>
      </w:r>
      <w:r w:rsidR="00FD625B" w:rsidRPr="006D4CB5">
        <w:rPr>
          <w:color w:val="000000" w:themeColor="text1"/>
        </w:rPr>
        <w:t xml:space="preserve">by people high in openness to consume new and novel foods, and by people </w:t>
      </w:r>
      <w:r w:rsidR="00230168" w:rsidRPr="006D4CB5">
        <w:rPr>
          <w:color w:val="000000" w:themeColor="text1"/>
        </w:rPr>
        <w:t>low in openness</w:t>
      </w:r>
      <w:r w:rsidR="00FD625B" w:rsidRPr="006D4CB5">
        <w:rPr>
          <w:color w:val="000000" w:themeColor="text1"/>
        </w:rPr>
        <w:t xml:space="preserve"> to avoid these foods</w:t>
      </w:r>
      <w:r w:rsidR="003E7F61" w:rsidRPr="006D4CB5">
        <w:rPr>
          <w:color w:val="000000" w:themeColor="text1"/>
        </w:rPr>
        <w:t>. Indeed, being an adventurous eater is an item on the NEO-PI-R openness to experience scale (Costa &amp; McCrae, 1992). L</w:t>
      </w:r>
      <w:r w:rsidR="00FD625B" w:rsidRPr="006D4CB5">
        <w:rPr>
          <w:color w:val="000000" w:themeColor="text1"/>
        </w:rPr>
        <w:t xml:space="preserve">ow openness to experience was instead correlated with liking foods high in the </w:t>
      </w:r>
      <w:r w:rsidR="003E7F61" w:rsidRPr="006D4CB5">
        <w:rPr>
          <w:color w:val="000000" w:themeColor="text1"/>
        </w:rPr>
        <w:t>dimension</w:t>
      </w:r>
      <w:r w:rsidR="00FD625B" w:rsidRPr="006D4CB5">
        <w:rPr>
          <w:color w:val="000000" w:themeColor="text1"/>
        </w:rPr>
        <w:t xml:space="preserve"> of palatability, with a simpler taste profile, such as </w:t>
      </w:r>
      <w:r w:rsidR="00230168" w:rsidRPr="006D4CB5">
        <w:rPr>
          <w:color w:val="000000" w:themeColor="text1"/>
        </w:rPr>
        <w:t>deep-fried</w:t>
      </w:r>
      <w:r w:rsidR="00FD625B" w:rsidRPr="006D4CB5">
        <w:rPr>
          <w:color w:val="000000" w:themeColor="text1"/>
        </w:rPr>
        <w:t xml:space="preserve"> food, meat, and sodas. We found a similar pattern </w:t>
      </w:r>
      <w:r w:rsidR="00B61CDF" w:rsidRPr="006D4CB5">
        <w:rPr>
          <w:color w:val="000000" w:themeColor="text1"/>
        </w:rPr>
        <w:t xml:space="preserve">of food liking </w:t>
      </w:r>
      <w:r w:rsidR="00FD625B" w:rsidRPr="006D4CB5">
        <w:rPr>
          <w:color w:val="000000" w:themeColor="text1"/>
        </w:rPr>
        <w:t>for neuroticism, which was correlated positively with liking highly palatable foods and negatively with acquired tastes. Neuroticism may predispose a person to avoid these challenging foods and stick to familiar</w:t>
      </w:r>
      <w:r w:rsidR="00B61CDF" w:rsidRPr="006D4CB5">
        <w:rPr>
          <w:color w:val="000000" w:themeColor="text1"/>
        </w:rPr>
        <w:t>, less threatening</w:t>
      </w:r>
      <w:r w:rsidR="00FD625B" w:rsidRPr="006D4CB5">
        <w:rPr>
          <w:color w:val="000000" w:themeColor="text1"/>
        </w:rPr>
        <w:t xml:space="preserve"> flavors</w:t>
      </w:r>
      <w:r w:rsidR="00B61CDF" w:rsidRPr="006D4CB5">
        <w:rPr>
          <w:color w:val="000000" w:themeColor="text1"/>
        </w:rPr>
        <w:t xml:space="preserve"> and textures</w:t>
      </w:r>
      <w:r w:rsidR="00FD625B" w:rsidRPr="006D4CB5">
        <w:rPr>
          <w:color w:val="000000" w:themeColor="text1"/>
        </w:rPr>
        <w:t xml:space="preserve">. </w:t>
      </w:r>
      <w:r w:rsidR="003E7F61" w:rsidRPr="006D4CB5">
        <w:rPr>
          <w:color w:val="000000" w:themeColor="text1"/>
        </w:rPr>
        <w:t>E</w:t>
      </w:r>
      <w:r w:rsidR="00FD625B" w:rsidRPr="006D4CB5">
        <w:rPr>
          <w:color w:val="000000" w:themeColor="text1"/>
        </w:rPr>
        <w:t>ach of extraversion, agreeableness, conscientiousness, openness to experience, and (low) neuroticism were correlated with liking low calorie food</w:t>
      </w:r>
      <w:r w:rsidR="003E7F61" w:rsidRPr="006D4CB5">
        <w:rPr>
          <w:color w:val="000000" w:themeColor="text1"/>
        </w:rPr>
        <w:t>, such as fruits, salads, and healthy breakfast foods. This outcome, along with spells in hospital from the general health factor, was the only outcome positively related to the socially desirable pole</w:t>
      </w:r>
      <w:r w:rsidR="006B6ACD" w:rsidRPr="006D4CB5">
        <w:rPr>
          <w:color w:val="000000" w:themeColor="text1"/>
        </w:rPr>
        <w:t xml:space="preserve"> (</w:t>
      </w:r>
      <w:proofErr w:type="spellStart"/>
      <w:r w:rsidR="006B6ACD" w:rsidRPr="006D4CB5">
        <w:rPr>
          <w:color w:val="000000" w:themeColor="text1"/>
        </w:rPr>
        <w:t>Bleidorn</w:t>
      </w:r>
      <w:proofErr w:type="spellEnd"/>
      <w:r w:rsidR="006B6ACD" w:rsidRPr="006D4CB5">
        <w:rPr>
          <w:color w:val="000000" w:themeColor="text1"/>
        </w:rPr>
        <w:t xml:space="preserve"> et al., 202</w:t>
      </w:r>
      <w:r w:rsidR="001E0D1C" w:rsidRPr="006D4CB5">
        <w:rPr>
          <w:color w:val="000000" w:themeColor="text1"/>
        </w:rPr>
        <w:t>0</w:t>
      </w:r>
      <w:r w:rsidR="006B6ACD" w:rsidRPr="006D4CB5">
        <w:rPr>
          <w:color w:val="000000" w:themeColor="text1"/>
        </w:rPr>
        <w:t>)</w:t>
      </w:r>
      <w:r w:rsidR="003E7F61" w:rsidRPr="006D4CB5">
        <w:rPr>
          <w:color w:val="000000" w:themeColor="text1"/>
        </w:rPr>
        <w:t xml:space="preserve"> of all</w:t>
      </w:r>
      <w:r w:rsidR="00A23B39" w:rsidRPr="006D4CB5">
        <w:rPr>
          <w:color w:val="000000" w:themeColor="text1"/>
        </w:rPr>
        <w:t xml:space="preserve"> five</w:t>
      </w:r>
      <w:r w:rsidR="003E7F61" w:rsidRPr="006D4CB5">
        <w:rPr>
          <w:color w:val="000000" w:themeColor="text1"/>
        </w:rPr>
        <w:t xml:space="preserve"> Big Five traits</w:t>
      </w:r>
      <w:r w:rsidR="006B6ACD" w:rsidRPr="006D4CB5">
        <w:rPr>
          <w:color w:val="000000" w:themeColor="text1"/>
        </w:rPr>
        <w:t xml:space="preserve">, illustrating a broad link between healthy eating and </w:t>
      </w:r>
      <w:r w:rsidR="00B61CDF" w:rsidRPr="006D4CB5">
        <w:rPr>
          <w:color w:val="000000" w:themeColor="text1"/>
        </w:rPr>
        <w:t>what is typically considered a healthy personality</w:t>
      </w:r>
      <w:r w:rsidR="003E7F61" w:rsidRPr="006D4CB5">
        <w:rPr>
          <w:color w:val="000000" w:themeColor="text1"/>
        </w:rPr>
        <w:t>.</w:t>
      </w:r>
    </w:p>
    <w:p w14:paraId="4DDAB562" w14:textId="3428AE1E" w:rsidR="00C26299" w:rsidRPr="006D4CB5" w:rsidRDefault="003E7F61" w:rsidP="00230168">
      <w:pPr>
        <w:rPr>
          <w:color w:val="000000" w:themeColor="text1"/>
        </w:rPr>
      </w:pPr>
      <w:r w:rsidRPr="006D4CB5">
        <w:rPr>
          <w:color w:val="000000" w:themeColor="text1"/>
        </w:rPr>
        <w:lastRenderedPageBreak/>
        <w:tab/>
        <w:t>Correlations between personality and general health illustrate the putative long-term consequences of personality traits</w:t>
      </w:r>
      <w:r w:rsidR="00B61CDF" w:rsidRPr="006D4CB5">
        <w:rPr>
          <w:color w:val="000000" w:themeColor="text1"/>
        </w:rPr>
        <w:t xml:space="preserve"> on health,</w:t>
      </w:r>
      <w:r w:rsidRPr="006D4CB5">
        <w:rPr>
          <w:color w:val="000000" w:themeColor="text1"/>
        </w:rPr>
        <w:t xml:space="preserve"> as well as </w:t>
      </w:r>
      <w:r w:rsidR="00B61CDF" w:rsidRPr="006D4CB5">
        <w:rPr>
          <w:color w:val="000000" w:themeColor="text1"/>
        </w:rPr>
        <w:t xml:space="preserve">the differentiated effects that personality traits have </w:t>
      </w:r>
      <w:r w:rsidR="00230168" w:rsidRPr="006D4CB5">
        <w:rPr>
          <w:color w:val="000000" w:themeColor="text1"/>
        </w:rPr>
        <w:t xml:space="preserve">across </w:t>
      </w:r>
      <w:r w:rsidRPr="006D4CB5">
        <w:rPr>
          <w:color w:val="000000" w:themeColor="text1"/>
        </w:rPr>
        <w:t>outcomes. At a general level, conscientiousness was associated with positive health outcomes (4 of 7 outcomes</w:t>
      </w:r>
      <w:r w:rsidR="00C26299" w:rsidRPr="006D4CB5">
        <w:rPr>
          <w:color w:val="000000" w:themeColor="text1"/>
        </w:rPr>
        <w:t xml:space="preserve"> in this cluster</w:t>
      </w:r>
      <w:r w:rsidRPr="006D4CB5">
        <w:rPr>
          <w:color w:val="000000" w:themeColor="text1"/>
        </w:rPr>
        <w:t xml:space="preserve">) and neuroticism was associated negatively with these outcomes (all 7 outcomes); </w:t>
      </w:r>
      <w:r w:rsidR="006B6ACD" w:rsidRPr="006D4CB5">
        <w:rPr>
          <w:color w:val="000000" w:themeColor="text1"/>
        </w:rPr>
        <w:t>these</w:t>
      </w:r>
      <w:r w:rsidR="00B61CDF" w:rsidRPr="006D4CB5">
        <w:rPr>
          <w:color w:val="000000" w:themeColor="text1"/>
        </w:rPr>
        <w:t xml:space="preserve"> two</w:t>
      </w:r>
      <w:r w:rsidR="006B6ACD" w:rsidRPr="006D4CB5">
        <w:rPr>
          <w:color w:val="000000" w:themeColor="text1"/>
        </w:rPr>
        <w:t xml:space="preserve"> traits have been extensively linked to health outcomes in past research (Bogg &amp; Roberts, 2007; </w:t>
      </w:r>
      <w:r w:rsidR="00B0071D" w:rsidRPr="006D4CB5">
        <w:rPr>
          <w:color w:val="000000" w:themeColor="text1"/>
        </w:rPr>
        <w:t>Smith &amp; MacKenzie, 2006)</w:t>
      </w:r>
      <w:r w:rsidR="00A23B39" w:rsidRPr="006D4CB5">
        <w:rPr>
          <w:color w:val="000000" w:themeColor="text1"/>
        </w:rPr>
        <w:t>.</w:t>
      </w:r>
      <w:r w:rsidR="00C26299" w:rsidRPr="006D4CB5">
        <w:rPr>
          <w:color w:val="000000" w:themeColor="text1"/>
        </w:rPr>
        <w:t xml:space="preserve"> </w:t>
      </w:r>
      <w:r w:rsidR="00A23B39" w:rsidRPr="006D4CB5">
        <w:rPr>
          <w:color w:val="000000" w:themeColor="text1"/>
        </w:rPr>
        <w:t xml:space="preserve">Mechanistically, this </w:t>
      </w:r>
      <w:r w:rsidR="006548CA" w:rsidRPr="006D4CB5">
        <w:rPr>
          <w:color w:val="000000" w:themeColor="text1"/>
        </w:rPr>
        <w:t>may</w:t>
      </w:r>
      <w:r w:rsidR="00A23B39" w:rsidRPr="006D4CB5">
        <w:rPr>
          <w:color w:val="000000" w:themeColor="text1"/>
        </w:rPr>
        <w:t xml:space="preserve"> arise because h</w:t>
      </w:r>
      <w:r w:rsidR="00C26299" w:rsidRPr="006D4CB5">
        <w:rPr>
          <w:color w:val="000000" w:themeColor="text1"/>
        </w:rPr>
        <w:t>ighly conscientious people are more likely to engage in responsible, health-goal directed behavior, whereas highly neurotic people are less likely to engage in these behaviors and are</w:t>
      </w:r>
      <w:r w:rsidR="00230168" w:rsidRPr="006D4CB5">
        <w:rPr>
          <w:color w:val="000000" w:themeColor="text1"/>
        </w:rPr>
        <w:t xml:space="preserve"> also</w:t>
      </w:r>
      <w:r w:rsidR="00C26299" w:rsidRPr="006D4CB5">
        <w:rPr>
          <w:color w:val="000000" w:themeColor="text1"/>
        </w:rPr>
        <w:t xml:space="preserve"> more prone to globally negative effects of stress</w:t>
      </w:r>
      <w:r w:rsidR="00A23B39" w:rsidRPr="006D4CB5">
        <w:rPr>
          <w:color w:val="000000" w:themeColor="text1"/>
        </w:rPr>
        <w:t xml:space="preserve"> on health</w:t>
      </w:r>
      <w:r w:rsidR="00C26299" w:rsidRPr="006D4CB5">
        <w:rPr>
          <w:color w:val="000000" w:themeColor="text1"/>
        </w:rPr>
        <w:t xml:space="preserve">. </w:t>
      </w:r>
      <w:r w:rsidR="006B6ACD" w:rsidRPr="006D4CB5">
        <w:rPr>
          <w:color w:val="000000" w:themeColor="text1"/>
        </w:rPr>
        <w:t>Associations between the Big Five and COVID</w:t>
      </w:r>
      <w:r w:rsidR="00A23B39" w:rsidRPr="006D4CB5">
        <w:rPr>
          <w:color w:val="000000" w:themeColor="text1"/>
        </w:rPr>
        <w:t>-19</w:t>
      </w:r>
      <w:r w:rsidR="006B6ACD" w:rsidRPr="006D4CB5">
        <w:rPr>
          <w:color w:val="000000" w:themeColor="text1"/>
        </w:rPr>
        <w:t xml:space="preserve"> infection in the early stages of the 2020 global pandemic provide a window into how personality-linked behavioral patterns can affect health through modifying </w:t>
      </w:r>
      <w:r w:rsidR="00A23B39" w:rsidRPr="006D4CB5">
        <w:rPr>
          <w:color w:val="000000" w:themeColor="text1"/>
        </w:rPr>
        <w:t xml:space="preserve">disease </w:t>
      </w:r>
      <w:r w:rsidR="006B6ACD" w:rsidRPr="006D4CB5">
        <w:rPr>
          <w:color w:val="000000" w:themeColor="text1"/>
        </w:rPr>
        <w:t xml:space="preserve">exposure. </w:t>
      </w:r>
      <w:r w:rsidR="00C26299" w:rsidRPr="006D4CB5">
        <w:rPr>
          <w:color w:val="000000" w:themeColor="text1"/>
        </w:rPr>
        <w:t>Here, we find a positive association between extraversion and infection, which we speculate</w:t>
      </w:r>
      <w:r w:rsidR="006B6ACD" w:rsidRPr="006D4CB5">
        <w:rPr>
          <w:color w:val="000000" w:themeColor="text1"/>
        </w:rPr>
        <w:t xml:space="preserve"> is driven by </w:t>
      </w:r>
      <w:r w:rsidR="00056A98" w:rsidRPr="006D4CB5">
        <w:rPr>
          <w:color w:val="000000" w:themeColor="text1"/>
        </w:rPr>
        <w:t xml:space="preserve">less </w:t>
      </w:r>
      <w:r w:rsidR="006B6ACD" w:rsidRPr="006D4CB5">
        <w:rPr>
          <w:color w:val="000000" w:themeColor="text1"/>
        </w:rPr>
        <w:t>adherence to social distancing</w:t>
      </w:r>
      <w:r w:rsidR="00C26299" w:rsidRPr="006D4CB5">
        <w:rPr>
          <w:color w:val="000000" w:themeColor="text1"/>
        </w:rPr>
        <w:t xml:space="preserve">: </w:t>
      </w:r>
      <w:r w:rsidR="00A23B39" w:rsidRPr="006D4CB5">
        <w:rPr>
          <w:color w:val="000000" w:themeColor="text1"/>
        </w:rPr>
        <w:t xml:space="preserve">research has found that </w:t>
      </w:r>
      <w:r w:rsidR="006B6ACD" w:rsidRPr="006D4CB5">
        <w:rPr>
          <w:color w:val="000000" w:themeColor="text1"/>
        </w:rPr>
        <w:t>introverted people were more able to avoid</w:t>
      </w:r>
      <w:r w:rsidR="00A23B39" w:rsidRPr="006D4CB5">
        <w:rPr>
          <w:color w:val="000000" w:themeColor="text1"/>
        </w:rPr>
        <w:t xml:space="preserve"> COVID-19</w:t>
      </w:r>
      <w:r w:rsidR="006B6ACD" w:rsidRPr="006D4CB5">
        <w:rPr>
          <w:color w:val="000000" w:themeColor="text1"/>
        </w:rPr>
        <w:t xml:space="preserve"> infection through </w:t>
      </w:r>
      <w:r w:rsidR="005F0902" w:rsidRPr="006D4CB5">
        <w:rPr>
          <w:color w:val="000000" w:themeColor="text1"/>
        </w:rPr>
        <w:t xml:space="preserve">lack of </w:t>
      </w:r>
      <w:r w:rsidR="006B6ACD" w:rsidRPr="006D4CB5">
        <w:rPr>
          <w:color w:val="000000" w:themeColor="text1"/>
        </w:rPr>
        <w:t>social contact (Ludeke et al., 2021; but see Kroencke et al., 2023). Openness to experience was</w:t>
      </w:r>
      <w:r w:rsidR="00C26299" w:rsidRPr="006D4CB5">
        <w:rPr>
          <w:color w:val="000000" w:themeColor="text1"/>
        </w:rPr>
        <w:t xml:space="preserve"> also</w:t>
      </w:r>
      <w:r w:rsidR="006B6ACD" w:rsidRPr="006D4CB5">
        <w:rPr>
          <w:color w:val="000000" w:themeColor="text1"/>
        </w:rPr>
        <w:t xml:space="preserve"> associated with lower </w:t>
      </w:r>
      <w:r w:rsidR="00FF270D" w:rsidRPr="006D4CB5">
        <w:rPr>
          <w:color w:val="000000" w:themeColor="text1"/>
        </w:rPr>
        <w:t>COVID</w:t>
      </w:r>
      <w:r w:rsidR="00A23B39" w:rsidRPr="006D4CB5">
        <w:rPr>
          <w:color w:val="000000" w:themeColor="text1"/>
        </w:rPr>
        <w:t>-19</w:t>
      </w:r>
      <w:r w:rsidR="00FF270D" w:rsidRPr="006D4CB5">
        <w:rPr>
          <w:color w:val="000000" w:themeColor="text1"/>
        </w:rPr>
        <w:t xml:space="preserve"> </w:t>
      </w:r>
      <w:r w:rsidR="006B6ACD" w:rsidRPr="006D4CB5">
        <w:rPr>
          <w:color w:val="000000" w:themeColor="text1"/>
        </w:rPr>
        <w:t xml:space="preserve">infection </w:t>
      </w:r>
      <w:r w:rsidR="00FF270D" w:rsidRPr="006D4CB5">
        <w:rPr>
          <w:color w:val="000000" w:themeColor="text1"/>
        </w:rPr>
        <w:t>risk</w:t>
      </w:r>
      <w:r w:rsidR="006B6ACD" w:rsidRPr="006D4CB5">
        <w:rPr>
          <w:color w:val="000000" w:themeColor="text1"/>
        </w:rPr>
        <w:t>. Given positive correlations between openness</w:t>
      </w:r>
      <w:r w:rsidR="00A23B39" w:rsidRPr="006D4CB5">
        <w:rPr>
          <w:color w:val="000000" w:themeColor="text1"/>
        </w:rPr>
        <w:t xml:space="preserve"> to experience</w:t>
      </w:r>
      <w:r w:rsidR="006B6ACD" w:rsidRPr="006D4CB5">
        <w:rPr>
          <w:color w:val="000000" w:themeColor="text1"/>
        </w:rPr>
        <w:t xml:space="preserve"> and educational attainment, as well as openness </w:t>
      </w:r>
      <w:r w:rsidR="00A23B39" w:rsidRPr="006D4CB5">
        <w:rPr>
          <w:color w:val="000000" w:themeColor="text1"/>
        </w:rPr>
        <w:t xml:space="preserve">to experience </w:t>
      </w:r>
      <w:r w:rsidR="006B6ACD" w:rsidRPr="006D4CB5">
        <w:rPr>
          <w:color w:val="000000" w:themeColor="text1"/>
        </w:rPr>
        <w:t>and liberal political attitudes (</w:t>
      </w:r>
      <w:r w:rsidR="00D5741E" w:rsidRPr="006D4CB5">
        <w:rPr>
          <w:color w:val="000000" w:themeColor="text1"/>
        </w:rPr>
        <w:t>Osborne &amp; Sibley, 2020)</w:t>
      </w:r>
      <w:r w:rsidR="006B6ACD" w:rsidRPr="006D4CB5">
        <w:rPr>
          <w:color w:val="000000" w:themeColor="text1"/>
        </w:rPr>
        <w:t xml:space="preserve">, people with higher scores on this trait may have been more likely to heed guidance of health experts in the context of a politically polarized response to the </w:t>
      </w:r>
      <w:r w:rsidR="00B0071D" w:rsidRPr="006D4CB5">
        <w:rPr>
          <w:color w:val="000000" w:themeColor="text1"/>
        </w:rPr>
        <w:t>COVID</w:t>
      </w:r>
      <w:r w:rsidR="00A23B39" w:rsidRPr="006D4CB5">
        <w:rPr>
          <w:color w:val="000000" w:themeColor="text1"/>
        </w:rPr>
        <w:t>-19</w:t>
      </w:r>
      <w:r w:rsidR="00B0071D" w:rsidRPr="006D4CB5">
        <w:rPr>
          <w:color w:val="000000" w:themeColor="text1"/>
        </w:rPr>
        <w:t xml:space="preserve"> </w:t>
      </w:r>
      <w:r w:rsidR="006B6ACD" w:rsidRPr="006D4CB5">
        <w:rPr>
          <w:color w:val="000000" w:themeColor="text1"/>
        </w:rPr>
        <w:t>pandemic.</w:t>
      </w:r>
      <w:r w:rsidR="00A833DC" w:rsidRPr="006D4CB5">
        <w:rPr>
          <w:color w:val="000000" w:themeColor="text1"/>
        </w:rPr>
        <w:t xml:space="preserve"> Somewhat unexpectedly, agreeableness was associated with </w:t>
      </w:r>
      <w:r w:rsidR="00C26299" w:rsidRPr="006D4CB5">
        <w:rPr>
          <w:color w:val="000000" w:themeColor="text1"/>
        </w:rPr>
        <w:t xml:space="preserve">many </w:t>
      </w:r>
      <w:r w:rsidR="00A833DC" w:rsidRPr="006D4CB5">
        <w:rPr>
          <w:color w:val="000000" w:themeColor="text1"/>
        </w:rPr>
        <w:t xml:space="preserve">positive health outcomes (5 of 7 outcomes). </w:t>
      </w:r>
      <w:r w:rsidR="00A23B39" w:rsidRPr="006D4CB5">
        <w:rPr>
          <w:color w:val="000000" w:themeColor="text1"/>
        </w:rPr>
        <w:t>We note as an exemplar that</w:t>
      </w:r>
      <w:r w:rsidR="00A833DC" w:rsidRPr="006D4CB5">
        <w:rPr>
          <w:color w:val="000000" w:themeColor="text1"/>
        </w:rPr>
        <w:t xml:space="preserve"> the trait was linked to higher use of UV protection, which </w:t>
      </w:r>
      <w:r w:rsidR="00A23B39" w:rsidRPr="006D4CB5">
        <w:rPr>
          <w:color w:val="000000" w:themeColor="text1"/>
        </w:rPr>
        <w:t>may be</w:t>
      </w:r>
      <w:r w:rsidR="00A833DC" w:rsidRPr="006D4CB5">
        <w:rPr>
          <w:color w:val="000000" w:themeColor="text1"/>
        </w:rPr>
        <w:t xml:space="preserve"> caused by compliance-related components of agreeableness that promote adherence to preventative health behaviors. </w:t>
      </w:r>
      <w:r w:rsidR="00C26299" w:rsidRPr="006D4CB5">
        <w:rPr>
          <w:color w:val="000000" w:themeColor="text1"/>
        </w:rPr>
        <w:t xml:space="preserve">Finally, we </w:t>
      </w:r>
      <w:r w:rsidR="00FF270D" w:rsidRPr="006D4CB5">
        <w:rPr>
          <w:color w:val="000000" w:themeColor="text1"/>
        </w:rPr>
        <w:t>found</w:t>
      </w:r>
      <w:r w:rsidR="00C26299" w:rsidRPr="006D4CB5">
        <w:rPr>
          <w:color w:val="000000" w:themeColor="text1"/>
        </w:rPr>
        <w:t xml:space="preserve"> that Alzheimer’s Disease (AD) risk was positively genetically correlated with conscientiousness and neuroticism, and negatively genetically correlated with openness to experience.</w:t>
      </w:r>
      <w:r w:rsidR="00FF270D" w:rsidRPr="006D4CB5">
        <w:rPr>
          <w:color w:val="000000" w:themeColor="text1"/>
        </w:rPr>
        <w:t xml:space="preserve"> </w:t>
      </w:r>
      <w:r w:rsidR="00C26299" w:rsidRPr="006D4CB5">
        <w:rPr>
          <w:color w:val="000000" w:themeColor="text1"/>
        </w:rPr>
        <w:t xml:space="preserve">Past phenotypic research has found a </w:t>
      </w:r>
      <w:proofErr w:type="gramStart"/>
      <w:r w:rsidR="00C26299" w:rsidRPr="006D4CB5">
        <w:rPr>
          <w:color w:val="000000" w:themeColor="text1"/>
        </w:rPr>
        <w:t>temporally-qualified</w:t>
      </w:r>
      <w:proofErr w:type="gramEnd"/>
      <w:r w:rsidR="00C26299" w:rsidRPr="006D4CB5">
        <w:rPr>
          <w:color w:val="000000" w:themeColor="text1"/>
        </w:rPr>
        <w:t xml:space="preserve"> association between personality and AD, such that stable levels of neuroticism and (low) conscientiousness have been found to increase AD risk, whereas each of the Big Five have been found to change following diagnosis (Terracciano et al., 2019). Indeed, one of the symptoms of AD is personality change. The positive genetic correlation</w:t>
      </w:r>
      <w:r w:rsidR="00A23B39" w:rsidRPr="006D4CB5">
        <w:rPr>
          <w:color w:val="000000" w:themeColor="text1"/>
        </w:rPr>
        <w:t xml:space="preserve"> we found</w:t>
      </w:r>
      <w:r w:rsidR="00C26299" w:rsidRPr="006D4CB5">
        <w:rPr>
          <w:color w:val="000000" w:themeColor="text1"/>
        </w:rPr>
        <w:t xml:space="preserve"> between conscientiousness and AD thus </w:t>
      </w:r>
      <w:r w:rsidR="007F0D11" w:rsidRPr="006D4CB5">
        <w:rPr>
          <w:color w:val="000000" w:themeColor="text1"/>
        </w:rPr>
        <w:t xml:space="preserve">contrasts with </w:t>
      </w:r>
      <w:r w:rsidR="00C26299" w:rsidRPr="006D4CB5">
        <w:rPr>
          <w:color w:val="000000" w:themeColor="text1"/>
        </w:rPr>
        <w:t>phenotypic findings, and the negative genetic correlation between openness to experience and AD departs from the phenotypic norm of null correlations</w:t>
      </w:r>
      <w:r w:rsidR="00A23B39" w:rsidRPr="006D4CB5">
        <w:rPr>
          <w:color w:val="000000" w:themeColor="text1"/>
        </w:rPr>
        <w:t xml:space="preserve"> between openness to experience and AD</w:t>
      </w:r>
      <w:r w:rsidR="00C26299" w:rsidRPr="006D4CB5">
        <w:rPr>
          <w:color w:val="000000" w:themeColor="text1"/>
        </w:rPr>
        <w:t xml:space="preserve">. Both these associations </w:t>
      </w:r>
      <w:r w:rsidR="008D311D" w:rsidRPr="006D4CB5">
        <w:rPr>
          <w:color w:val="000000" w:themeColor="text1"/>
        </w:rPr>
        <w:t xml:space="preserve">thus </w:t>
      </w:r>
      <w:r w:rsidR="00C26299" w:rsidRPr="006D4CB5">
        <w:rPr>
          <w:color w:val="000000" w:themeColor="text1"/>
        </w:rPr>
        <w:t xml:space="preserve">present intriguing </w:t>
      </w:r>
      <w:r w:rsidR="00381BC9" w:rsidRPr="006D4CB5">
        <w:rPr>
          <w:color w:val="000000" w:themeColor="text1"/>
        </w:rPr>
        <w:t xml:space="preserve">avenues </w:t>
      </w:r>
      <w:r w:rsidR="00C26299" w:rsidRPr="006D4CB5">
        <w:rPr>
          <w:color w:val="000000" w:themeColor="text1"/>
        </w:rPr>
        <w:t>for follow-up investigation</w:t>
      </w:r>
      <w:r w:rsidR="00A23B39" w:rsidRPr="006D4CB5">
        <w:rPr>
          <w:color w:val="000000" w:themeColor="text1"/>
        </w:rPr>
        <w:t xml:space="preserve"> into AD etiology</w:t>
      </w:r>
      <w:r w:rsidR="00C26299" w:rsidRPr="006D4CB5">
        <w:rPr>
          <w:color w:val="000000" w:themeColor="text1"/>
        </w:rPr>
        <w:t xml:space="preserve">. </w:t>
      </w:r>
    </w:p>
    <w:p w14:paraId="060BA375" w14:textId="3C66EF87" w:rsidR="006B6ACD" w:rsidRPr="006D4CB5" w:rsidRDefault="00A833DC" w:rsidP="00230168">
      <w:pPr>
        <w:rPr>
          <w:color w:val="000000" w:themeColor="text1"/>
        </w:rPr>
      </w:pPr>
      <w:r w:rsidRPr="006D4CB5">
        <w:rPr>
          <w:color w:val="000000" w:themeColor="text1"/>
        </w:rPr>
        <w:tab/>
        <w:t>On average, personality was less strongly associated with markers of physical health than with other outcome clusters</w:t>
      </w:r>
      <w:r w:rsidR="00FD101B" w:rsidRPr="006D4CB5">
        <w:rPr>
          <w:color w:val="000000" w:themeColor="text1"/>
        </w:rPr>
        <w:t xml:space="preserve"> (mean absolute </w:t>
      </w:r>
      <w:r w:rsidR="00FD101B" w:rsidRPr="006D4CB5">
        <w:rPr>
          <w:i/>
          <w:iCs/>
          <w:color w:val="000000" w:themeColor="text1"/>
        </w:rPr>
        <w:t>r</w:t>
      </w:r>
      <w:r w:rsidR="00FD101B" w:rsidRPr="006D4CB5">
        <w:rPr>
          <w:color w:val="000000" w:themeColor="text1"/>
          <w:vertAlign w:val="subscript"/>
        </w:rPr>
        <w:t xml:space="preserve">g </w:t>
      </w:r>
      <w:r w:rsidR="00FD101B" w:rsidRPr="006D4CB5">
        <w:rPr>
          <w:color w:val="000000" w:themeColor="text1"/>
        </w:rPr>
        <w:t xml:space="preserve">= .09). Nevertheless, some robust associations emerged. As with general health, conscientiousness was associated with generally positive outcomes (e.g., higher HDL cholesterol, lower LDL cholesterol, and greater sports participation), and neuroticism was associated with generally negative outcomes (e.g., risk for </w:t>
      </w:r>
      <w:r w:rsidR="00A23B39" w:rsidRPr="006D4CB5">
        <w:rPr>
          <w:color w:val="000000" w:themeColor="text1"/>
        </w:rPr>
        <w:t>coronary</w:t>
      </w:r>
      <w:r w:rsidR="00FD101B" w:rsidRPr="006D4CB5">
        <w:rPr>
          <w:color w:val="000000" w:themeColor="text1"/>
        </w:rPr>
        <w:t xml:space="preserve"> artery disease and type-II diabetes, as well as higher waist-hip ratio). Across the full suite of genetic correlation test</w:t>
      </w:r>
      <w:r w:rsidR="00C26299" w:rsidRPr="006D4CB5">
        <w:rPr>
          <w:color w:val="000000" w:themeColor="text1"/>
        </w:rPr>
        <w:t xml:space="preserve"> clusters</w:t>
      </w:r>
      <w:r w:rsidR="00FD101B" w:rsidRPr="006D4CB5">
        <w:rPr>
          <w:color w:val="000000" w:themeColor="text1"/>
        </w:rPr>
        <w:t xml:space="preserve">, extraversion was correlated </w:t>
      </w:r>
      <w:r w:rsidR="00C26299" w:rsidRPr="006D4CB5">
        <w:rPr>
          <w:color w:val="000000" w:themeColor="text1"/>
        </w:rPr>
        <w:t>with many</w:t>
      </w:r>
      <w:r w:rsidR="00FD101B" w:rsidRPr="006D4CB5">
        <w:rPr>
          <w:color w:val="000000" w:themeColor="text1"/>
        </w:rPr>
        <w:t xml:space="preserve"> </w:t>
      </w:r>
      <w:r w:rsidR="00C26299" w:rsidRPr="006D4CB5">
        <w:rPr>
          <w:color w:val="000000" w:themeColor="text1"/>
        </w:rPr>
        <w:t xml:space="preserve">outcomes considered both healthy and unhealthy, </w:t>
      </w:r>
      <w:r w:rsidR="00FD101B" w:rsidRPr="006D4CB5">
        <w:rPr>
          <w:color w:val="000000" w:themeColor="text1"/>
        </w:rPr>
        <w:t xml:space="preserve">which we speculate is a product of the trait’s multifaceted relationship with </w:t>
      </w:r>
      <w:r w:rsidR="00B0071D" w:rsidRPr="006D4CB5">
        <w:rPr>
          <w:color w:val="000000" w:themeColor="text1"/>
        </w:rPr>
        <w:t xml:space="preserve">health </w:t>
      </w:r>
      <w:r w:rsidR="00FD101B" w:rsidRPr="006D4CB5">
        <w:rPr>
          <w:color w:val="000000" w:themeColor="text1"/>
        </w:rPr>
        <w:t xml:space="preserve">behavior – </w:t>
      </w:r>
      <w:r w:rsidR="00A23B39" w:rsidRPr="006D4CB5">
        <w:rPr>
          <w:color w:val="000000" w:themeColor="text1"/>
        </w:rPr>
        <w:t xml:space="preserve">for example, </w:t>
      </w:r>
      <w:r w:rsidR="00C26299" w:rsidRPr="006D4CB5">
        <w:rPr>
          <w:color w:val="000000" w:themeColor="text1"/>
        </w:rPr>
        <w:t>in the physical health cluster</w:t>
      </w:r>
      <w:r w:rsidR="00FD101B" w:rsidRPr="006D4CB5">
        <w:rPr>
          <w:color w:val="000000" w:themeColor="text1"/>
        </w:rPr>
        <w:t xml:space="preserve">, </w:t>
      </w:r>
      <w:r w:rsidR="00B0071D" w:rsidRPr="006D4CB5">
        <w:rPr>
          <w:color w:val="000000" w:themeColor="text1"/>
        </w:rPr>
        <w:t>facets of extraversion like</w:t>
      </w:r>
      <w:r w:rsidR="00FD101B" w:rsidRPr="006D4CB5">
        <w:rPr>
          <w:color w:val="000000" w:themeColor="text1"/>
        </w:rPr>
        <w:t xml:space="preserve"> sociability</w:t>
      </w:r>
      <w:r w:rsidR="00B0071D" w:rsidRPr="006D4CB5">
        <w:rPr>
          <w:color w:val="000000" w:themeColor="text1"/>
        </w:rPr>
        <w:t xml:space="preserve"> and activity may explain links</w:t>
      </w:r>
      <w:r w:rsidR="00FD101B" w:rsidRPr="006D4CB5">
        <w:rPr>
          <w:color w:val="000000" w:themeColor="text1"/>
        </w:rPr>
        <w:t xml:space="preserve"> to </w:t>
      </w:r>
      <w:r w:rsidR="00C26299" w:rsidRPr="006D4CB5">
        <w:rPr>
          <w:color w:val="000000" w:themeColor="text1"/>
        </w:rPr>
        <w:t xml:space="preserve">greater </w:t>
      </w:r>
      <w:r w:rsidR="00FD101B" w:rsidRPr="006D4CB5">
        <w:rPr>
          <w:color w:val="000000" w:themeColor="text1"/>
        </w:rPr>
        <w:t xml:space="preserve">sports club participation, whereas </w:t>
      </w:r>
      <w:r w:rsidR="00B0071D" w:rsidRPr="006D4CB5">
        <w:rPr>
          <w:color w:val="000000" w:themeColor="text1"/>
        </w:rPr>
        <w:t>facets like risk-taking and</w:t>
      </w:r>
      <w:r w:rsidR="00FD101B" w:rsidRPr="006D4CB5">
        <w:rPr>
          <w:color w:val="000000" w:themeColor="text1"/>
        </w:rPr>
        <w:t xml:space="preserve"> </w:t>
      </w:r>
      <w:r w:rsidR="00B0071D" w:rsidRPr="006D4CB5">
        <w:rPr>
          <w:color w:val="000000" w:themeColor="text1"/>
        </w:rPr>
        <w:t xml:space="preserve">overlap with </w:t>
      </w:r>
      <w:r w:rsidR="00FD101B" w:rsidRPr="006D4CB5">
        <w:rPr>
          <w:color w:val="000000" w:themeColor="text1"/>
        </w:rPr>
        <w:t>externalizing behaviors (see below</w:t>
      </w:r>
      <w:r w:rsidR="00B0071D" w:rsidRPr="006D4CB5">
        <w:rPr>
          <w:color w:val="000000" w:themeColor="text1"/>
        </w:rPr>
        <w:t>) may explain the trait’s links to</w:t>
      </w:r>
      <w:r w:rsidR="00FD101B" w:rsidRPr="006D4CB5">
        <w:rPr>
          <w:color w:val="000000" w:themeColor="text1"/>
        </w:rPr>
        <w:t xml:space="preserve"> </w:t>
      </w:r>
      <w:r w:rsidR="00C26299" w:rsidRPr="006D4CB5">
        <w:rPr>
          <w:color w:val="000000" w:themeColor="text1"/>
        </w:rPr>
        <w:t xml:space="preserve">increased </w:t>
      </w:r>
      <w:r w:rsidR="00B0071D" w:rsidRPr="006D4CB5">
        <w:rPr>
          <w:color w:val="000000" w:themeColor="text1"/>
        </w:rPr>
        <w:t>coronary artery disease risk</w:t>
      </w:r>
      <w:r w:rsidR="00FD101B" w:rsidRPr="006D4CB5">
        <w:rPr>
          <w:color w:val="000000" w:themeColor="text1"/>
        </w:rPr>
        <w:t xml:space="preserve"> and higher BMI. </w:t>
      </w:r>
    </w:p>
    <w:p w14:paraId="769BA7C7" w14:textId="0C6CE33D" w:rsidR="00A03E85" w:rsidRPr="006D4CB5" w:rsidRDefault="00A03E85" w:rsidP="00230168">
      <w:pPr>
        <w:rPr>
          <w:color w:val="000000" w:themeColor="text1"/>
        </w:rPr>
      </w:pPr>
      <w:r w:rsidRPr="006D4CB5">
        <w:rPr>
          <w:color w:val="000000" w:themeColor="text1"/>
        </w:rPr>
        <w:lastRenderedPageBreak/>
        <w:tab/>
        <w:t xml:space="preserve">Genetic associations between personality traits and reproduction-related outcomes highlight intriguing future directions for studying the evolution of </w:t>
      </w:r>
      <w:r w:rsidR="00E53374" w:rsidRPr="006D4CB5">
        <w:rPr>
          <w:color w:val="000000" w:themeColor="text1"/>
        </w:rPr>
        <w:t>human personality</w:t>
      </w:r>
      <w:r w:rsidRPr="006D4CB5">
        <w:rPr>
          <w:color w:val="000000" w:themeColor="text1"/>
        </w:rPr>
        <w:t xml:space="preserve">. </w:t>
      </w:r>
      <w:r w:rsidR="004C3B40" w:rsidRPr="006D4CB5">
        <w:rPr>
          <w:color w:val="000000" w:themeColor="text1"/>
        </w:rPr>
        <w:t xml:space="preserve">Both </w:t>
      </w:r>
      <w:r w:rsidR="00230168" w:rsidRPr="006D4CB5">
        <w:rPr>
          <w:color w:val="000000" w:themeColor="text1"/>
        </w:rPr>
        <w:t>e</w:t>
      </w:r>
      <w:r w:rsidRPr="006D4CB5">
        <w:rPr>
          <w:color w:val="000000" w:themeColor="text1"/>
        </w:rPr>
        <w:t xml:space="preserve">xtraversion </w:t>
      </w:r>
      <w:r w:rsidR="006C0133" w:rsidRPr="006D4CB5">
        <w:rPr>
          <w:color w:val="000000" w:themeColor="text1"/>
        </w:rPr>
        <w:t xml:space="preserve">and </w:t>
      </w:r>
      <w:r w:rsidR="00230168" w:rsidRPr="006D4CB5">
        <w:rPr>
          <w:color w:val="000000" w:themeColor="text1"/>
        </w:rPr>
        <w:t>n</w:t>
      </w:r>
      <w:r w:rsidR="006C0133" w:rsidRPr="006D4CB5">
        <w:rPr>
          <w:color w:val="000000" w:themeColor="text1"/>
        </w:rPr>
        <w:t xml:space="preserve">euroticism </w:t>
      </w:r>
      <w:r w:rsidRPr="006D4CB5">
        <w:rPr>
          <w:color w:val="000000" w:themeColor="text1"/>
        </w:rPr>
        <w:t>w</w:t>
      </w:r>
      <w:r w:rsidR="006C0133" w:rsidRPr="006D4CB5">
        <w:rPr>
          <w:color w:val="000000" w:themeColor="text1"/>
        </w:rPr>
        <w:t>ere</w:t>
      </w:r>
      <w:r w:rsidRPr="006D4CB5">
        <w:rPr>
          <w:color w:val="000000" w:themeColor="text1"/>
        </w:rPr>
        <w:t xml:space="preserve"> related to younger age at first sex and more children ever bor</w:t>
      </w:r>
      <w:r w:rsidR="004C3B40" w:rsidRPr="006D4CB5">
        <w:rPr>
          <w:color w:val="000000" w:themeColor="text1"/>
        </w:rPr>
        <w:t>n, illustrating how both positive</w:t>
      </w:r>
      <w:r w:rsidR="00A23B39" w:rsidRPr="006D4CB5">
        <w:rPr>
          <w:color w:val="000000" w:themeColor="text1"/>
        </w:rPr>
        <w:t xml:space="preserve"> emotional tendencies</w:t>
      </w:r>
      <w:r w:rsidR="004C3B40" w:rsidRPr="006D4CB5">
        <w:rPr>
          <w:color w:val="000000" w:themeColor="text1"/>
        </w:rPr>
        <w:t xml:space="preserve"> (extraversion) and negative </w:t>
      </w:r>
      <w:r w:rsidR="00A23B39" w:rsidRPr="006D4CB5">
        <w:rPr>
          <w:color w:val="000000" w:themeColor="text1"/>
        </w:rPr>
        <w:t xml:space="preserve">ones </w:t>
      </w:r>
      <w:r w:rsidR="004C3B40" w:rsidRPr="006D4CB5">
        <w:rPr>
          <w:color w:val="000000" w:themeColor="text1"/>
        </w:rPr>
        <w:t>(neuroticism)</w:t>
      </w:r>
      <w:r w:rsidR="00A23B39" w:rsidRPr="006D4CB5">
        <w:rPr>
          <w:color w:val="000000" w:themeColor="text1"/>
        </w:rPr>
        <w:t xml:space="preserve"> are associated with increased</w:t>
      </w:r>
      <w:r w:rsidR="004C3B40" w:rsidRPr="006D4CB5">
        <w:rPr>
          <w:color w:val="000000" w:themeColor="text1"/>
        </w:rPr>
        <w:t xml:space="preserve"> human reproduction</w:t>
      </w:r>
      <w:r w:rsidR="006C0133" w:rsidRPr="006D4CB5">
        <w:rPr>
          <w:color w:val="000000" w:themeColor="text1"/>
        </w:rPr>
        <w:t xml:space="preserve">. Agreeableness was </w:t>
      </w:r>
      <w:r w:rsidR="00A23B39" w:rsidRPr="006D4CB5">
        <w:rPr>
          <w:color w:val="000000" w:themeColor="text1"/>
        </w:rPr>
        <w:t>genetically correlated with both</w:t>
      </w:r>
      <w:r w:rsidR="006C0133" w:rsidRPr="006D4CB5">
        <w:rPr>
          <w:color w:val="000000" w:themeColor="text1"/>
        </w:rPr>
        <w:t xml:space="preserve"> older age at first sex and age at first birth; our speculation is that these associations may operate through the trait’s link to greater religiosity</w:t>
      </w:r>
      <w:r w:rsidR="00E53374" w:rsidRPr="006D4CB5">
        <w:rPr>
          <w:color w:val="000000" w:themeColor="text1"/>
        </w:rPr>
        <w:t>, which o</w:t>
      </w:r>
      <w:r w:rsidR="00A23B39" w:rsidRPr="006D4CB5">
        <w:rPr>
          <w:color w:val="000000" w:themeColor="text1"/>
        </w:rPr>
        <w:t>n average</w:t>
      </w:r>
      <w:r w:rsidR="00E53374" w:rsidRPr="006D4CB5">
        <w:rPr>
          <w:color w:val="000000" w:themeColor="text1"/>
        </w:rPr>
        <w:t xml:space="preserve"> delays a person’s sexual debut</w:t>
      </w:r>
      <w:r w:rsidR="006C0133" w:rsidRPr="006D4CB5">
        <w:rPr>
          <w:color w:val="000000" w:themeColor="text1"/>
        </w:rPr>
        <w:t xml:space="preserve"> (Ashton &amp; Lee, 2021; </w:t>
      </w:r>
      <w:proofErr w:type="spellStart"/>
      <w:r w:rsidR="006C0133" w:rsidRPr="006D4CB5">
        <w:rPr>
          <w:color w:val="000000" w:themeColor="text1"/>
        </w:rPr>
        <w:t>Koletic</w:t>
      </w:r>
      <w:proofErr w:type="spellEnd"/>
      <w:r w:rsidR="006C0133" w:rsidRPr="006D4CB5">
        <w:rPr>
          <w:color w:val="000000" w:themeColor="text1"/>
        </w:rPr>
        <w:t xml:space="preserve"> et al., 2021).</w:t>
      </w:r>
    </w:p>
    <w:p w14:paraId="7A7BA949" w14:textId="6D820AE6" w:rsidR="00EF10BC" w:rsidRPr="006D4CB5" w:rsidRDefault="006C0133" w:rsidP="00EF10BC">
      <w:pPr>
        <w:rPr>
          <w:color w:val="000000" w:themeColor="text1"/>
        </w:rPr>
      </w:pPr>
      <w:r w:rsidRPr="006D4CB5">
        <w:rPr>
          <w:color w:val="000000" w:themeColor="text1"/>
        </w:rPr>
        <w:tab/>
        <w:t xml:space="preserve">Associations between personality and education/employment </w:t>
      </w:r>
      <w:r w:rsidR="00EB5E37" w:rsidRPr="006D4CB5">
        <w:rPr>
          <w:color w:val="000000" w:themeColor="text1"/>
        </w:rPr>
        <w:t>highlight effects of</w:t>
      </w:r>
      <w:r w:rsidRPr="006D4CB5">
        <w:rPr>
          <w:color w:val="000000" w:themeColor="text1"/>
        </w:rPr>
        <w:t xml:space="preserve"> </w:t>
      </w:r>
      <w:r w:rsidR="00EB5E37" w:rsidRPr="006D4CB5">
        <w:rPr>
          <w:color w:val="000000" w:themeColor="text1"/>
        </w:rPr>
        <w:t xml:space="preserve">openness </w:t>
      </w:r>
      <w:r w:rsidRPr="006D4CB5">
        <w:rPr>
          <w:color w:val="000000" w:themeColor="text1"/>
        </w:rPr>
        <w:t>to experience. This trait shows strong associations with degree attainment, continuing education, and choosing an arts/humanities educational track, exemplifying how people who score high in openness to experience are curious, intellectual, and interested in art and poetry. This trait’s associations also play out in the workforce, both in terms of higher income and a greater number of jobs held (Schwaba et al., 2019), characteriz</w:t>
      </w:r>
      <w:r w:rsidR="00A23B39" w:rsidRPr="006D4CB5">
        <w:rPr>
          <w:color w:val="000000" w:themeColor="text1"/>
        </w:rPr>
        <w:t>ing</w:t>
      </w:r>
      <w:r w:rsidRPr="006D4CB5">
        <w:rPr>
          <w:color w:val="000000" w:themeColor="text1"/>
        </w:rPr>
        <w:t xml:space="preserve"> the trait as related to exploration and novelty-seeking. </w:t>
      </w:r>
      <w:r w:rsidR="00EF10BC" w:rsidRPr="006D4CB5">
        <w:rPr>
          <w:color w:val="000000" w:themeColor="text1"/>
        </w:rPr>
        <w:t xml:space="preserve">Genetic correlations between personality traits and educational field illustrate corresponsive transactions between the two, where personality traits may influence a person’s education and workforce decisions, and educational and workforce experiences may in turn shape personality development over time (Le et al., 2014; Roberts et al., 2003). For example, we found that extraversion was positively linked to service educational fields, which tend to be more interpersonally oriented, and negatively linked to engineering educational fields, which are less </w:t>
      </w:r>
      <w:proofErr w:type="gramStart"/>
      <w:r w:rsidR="00EF10BC" w:rsidRPr="006D4CB5">
        <w:rPr>
          <w:color w:val="000000" w:themeColor="text1"/>
        </w:rPr>
        <w:t>people-focused</w:t>
      </w:r>
      <w:proofErr w:type="gramEnd"/>
      <w:r w:rsidR="00EF10BC" w:rsidRPr="006D4CB5">
        <w:rPr>
          <w:color w:val="000000" w:themeColor="text1"/>
        </w:rPr>
        <w:t xml:space="preserve">. </w:t>
      </w:r>
    </w:p>
    <w:p w14:paraId="66D98236" w14:textId="0E28E006" w:rsidR="00DF7308" w:rsidRPr="006D4CB5" w:rsidRDefault="00A23B39" w:rsidP="003065B3">
      <w:pPr>
        <w:ind w:firstLine="720"/>
        <w:rPr>
          <w:color w:val="000000" w:themeColor="text1"/>
        </w:rPr>
      </w:pPr>
      <w:r w:rsidRPr="006D4CB5">
        <w:rPr>
          <w:color w:val="000000" w:themeColor="text1"/>
        </w:rPr>
        <w:t>In contrast to our expectations,</w:t>
      </w:r>
      <w:r w:rsidR="006C0133" w:rsidRPr="006D4CB5">
        <w:rPr>
          <w:color w:val="000000" w:themeColor="text1"/>
        </w:rPr>
        <w:t xml:space="preserve"> conscientiousness was </w:t>
      </w:r>
      <w:r w:rsidR="00DB748E" w:rsidRPr="006D4CB5">
        <w:rPr>
          <w:color w:val="000000" w:themeColor="text1"/>
        </w:rPr>
        <w:t xml:space="preserve">negatively associated with educational attainment. </w:t>
      </w:r>
      <w:r w:rsidR="00EF10BC" w:rsidRPr="006D4CB5">
        <w:rPr>
          <w:color w:val="000000" w:themeColor="text1"/>
        </w:rPr>
        <w:t>One possible explanation for</w:t>
      </w:r>
      <w:r w:rsidR="00E53374" w:rsidRPr="006D4CB5">
        <w:rPr>
          <w:color w:val="000000" w:themeColor="text1"/>
        </w:rPr>
        <w:t xml:space="preserve"> t</w:t>
      </w:r>
      <w:r w:rsidR="00DB748E" w:rsidRPr="006D4CB5">
        <w:rPr>
          <w:color w:val="000000" w:themeColor="text1"/>
        </w:rPr>
        <w:t xml:space="preserve">his </w:t>
      </w:r>
      <w:r w:rsidR="00913A95" w:rsidRPr="006D4CB5">
        <w:rPr>
          <w:color w:val="000000" w:themeColor="text1"/>
        </w:rPr>
        <w:t>negative genetic correlation</w:t>
      </w:r>
      <w:r w:rsidR="003065B3" w:rsidRPr="006D4CB5">
        <w:rPr>
          <w:color w:val="000000" w:themeColor="text1"/>
        </w:rPr>
        <w:t xml:space="preserve"> is that it</w:t>
      </w:r>
      <w:r w:rsidR="00913A95" w:rsidRPr="006D4CB5">
        <w:rPr>
          <w:color w:val="000000" w:themeColor="text1"/>
        </w:rPr>
        <w:t xml:space="preserve"> may</w:t>
      </w:r>
      <w:r w:rsidR="00DB748E" w:rsidRPr="006D4CB5">
        <w:rPr>
          <w:color w:val="000000" w:themeColor="text1"/>
        </w:rPr>
        <w:t xml:space="preserve"> be </w:t>
      </w:r>
      <w:r w:rsidR="00913A95" w:rsidRPr="006D4CB5">
        <w:rPr>
          <w:color w:val="000000" w:themeColor="text1"/>
        </w:rPr>
        <w:t>partially induced</w:t>
      </w:r>
      <w:r w:rsidR="00BB1000" w:rsidRPr="006D4CB5">
        <w:rPr>
          <w:color w:val="000000" w:themeColor="text1"/>
        </w:rPr>
        <w:t xml:space="preserve"> by</w:t>
      </w:r>
      <w:r w:rsidR="00DB748E" w:rsidRPr="006D4CB5">
        <w:rPr>
          <w:color w:val="000000" w:themeColor="text1"/>
        </w:rPr>
        <w:t xml:space="preserve"> ascertainment bias, where people are likely to participate in surveys because they are highly educated, highly conscientious, or both, but not neither</w:t>
      </w:r>
      <w:r w:rsidR="00913A95" w:rsidRPr="006D4CB5">
        <w:rPr>
          <w:color w:val="000000" w:themeColor="text1"/>
        </w:rPr>
        <w:t xml:space="preserve">. </w:t>
      </w:r>
      <w:r w:rsidR="000B251D" w:rsidRPr="006D4CB5">
        <w:rPr>
          <w:color w:val="000000" w:themeColor="text1"/>
        </w:rPr>
        <w:t xml:space="preserve">Simulations have found that ascertainment bias can be especially large in research on associations between conscientiousness and achievement-related traits </w:t>
      </w:r>
      <w:r w:rsidR="00DB748E" w:rsidRPr="006D4CB5">
        <w:rPr>
          <w:color w:val="000000" w:themeColor="text1"/>
        </w:rPr>
        <w:t xml:space="preserve">(e.g., </w:t>
      </w:r>
      <w:r w:rsidR="00BB1000" w:rsidRPr="006D4CB5">
        <w:rPr>
          <w:color w:val="000000" w:themeColor="text1"/>
        </w:rPr>
        <w:t>Lamp &amp; MacKinnon, 2025</w:t>
      </w:r>
      <w:r w:rsidR="00C161CD" w:rsidRPr="006D4CB5">
        <w:rPr>
          <w:color w:val="000000" w:themeColor="text1"/>
        </w:rPr>
        <w:t>; Murray et al., 2014</w:t>
      </w:r>
      <w:r w:rsidR="00DB748E" w:rsidRPr="006D4CB5">
        <w:rPr>
          <w:color w:val="000000" w:themeColor="text1"/>
        </w:rPr>
        <w:t>)</w:t>
      </w:r>
      <w:r w:rsidR="00EF10BC" w:rsidRPr="006D4CB5">
        <w:rPr>
          <w:color w:val="000000" w:themeColor="text1"/>
        </w:rPr>
        <w:t xml:space="preserve">. </w:t>
      </w:r>
      <w:r w:rsidR="00DB748E" w:rsidRPr="006D4CB5">
        <w:rPr>
          <w:color w:val="000000" w:themeColor="text1"/>
        </w:rPr>
        <w:t xml:space="preserve">However, </w:t>
      </w:r>
      <w:r w:rsidR="00E53374" w:rsidRPr="006D4CB5">
        <w:rPr>
          <w:color w:val="000000" w:themeColor="text1"/>
        </w:rPr>
        <w:t xml:space="preserve">genetic correlations between conscientiousness and education </w:t>
      </w:r>
      <w:r w:rsidRPr="006D4CB5">
        <w:rPr>
          <w:color w:val="000000" w:themeColor="text1"/>
        </w:rPr>
        <w:t>were</w:t>
      </w:r>
      <w:r w:rsidR="00DB748E" w:rsidRPr="006D4CB5">
        <w:rPr>
          <w:color w:val="000000" w:themeColor="text1"/>
        </w:rPr>
        <w:t xml:space="preserve"> also negative in sign in fully within-family genetic correlations (see section 6.7 below)</w:t>
      </w:r>
      <w:r w:rsidR="006916A2" w:rsidRPr="006D4CB5">
        <w:rPr>
          <w:color w:val="000000" w:themeColor="text1"/>
        </w:rPr>
        <w:t xml:space="preserve">, </w:t>
      </w:r>
      <w:r w:rsidRPr="006D4CB5">
        <w:rPr>
          <w:color w:val="000000" w:themeColor="text1"/>
        </w:rPr>
        <w:t>a methodology that may</w:t>
      </w:r>
      <w:r w:rsidR="00DB748E" w:rsidRPr="006D4CB5">
        <w:rPr>
          <w:color w:val="000000" w:themeColor="text1"/>
        </w:rPr>
        <w:t xml:space="preserve"> partially </w:t>
      </w:r>
      <w:r w:rsidR="00E53374" w:rsidRPr="006D4CB5">
        <w:rPr>
          <w:color w:val="000000" w:themeColor="text1"/>
        </w:rPr>
        <w:t>alleviate</w:t>
      </w:r>
      <w:r w:rsidR="00DB748E" w:rsidRPr="006D4CB5">
        <w:rPr>
          <w:color w:val="000000" w:themeColor="text1"/>
        </w:rPr>
        <w:t xml:space="preserve"> ascertainment bias by restricting comparisons to sibling dyads who both participate in data collection. </w:t>
      </w:r>
      <w:r w:rsidR="00143385" w:rsidRPr="006D4CB5">
        <w:rPr>
          <w:color w:val="000000" w:themeColor="text1"/>
        </w:rPr>
        <w:t>A second</w:t>
      </w:r>
      <w:r w:rsidR="00EF10BC" w:rsidRPr="006D4CB5">
        <w:rPr>
          <w:color w:val="000000" w:themeColor="text1"/>
        </w:rPr>
        <w:t xml:space="preserve"> possible explanation for th</w:t>
      </w:r>
      <w:r w:rsidR="00143385" w:rsidRPr="006D4CB5">
        <w:rPr>
          <w:color w:val="000000" w:themeColor="text1"/>
        </w:rPr>
        <w:t>e</w:t>
      </w:r>
      <w:r w:rsidR="00EF10BC" w:rsidRPr="006D4CB5">
        <w:rPr>
          <w:color w:val="000000" w:themeColor="text1"/>
        </w:rPr>
        <w:t xml:space="preserve"> unexpected negative association between conscientiousness and educational attainment </w:t>
      </w:r>
      <w:r w:rsidR="00D5038C" w:rsidRPr="006D4CB5">
        <w:rPr>
          <w:color w:val="000000" w:themeColor="text1"/>
        </w:rPr>
        <w:t>may relate to how</w:t>
      </w:r>
      <w:r w:rsidR="00EF10BC" w:rsidRPr="006D4CB5">
        <w:rPr>
          <w:color w:val="000000" w:themeColor="text1"/>
        </w:rPr>
        <w:t xml:space="preserve"> educational attainment is </w:t>
      </w:r>
      <w:r w:rsidR="00D5038C" w:rsidRPr="006D4CB5">
        <w:rPr>
          <w:color w:val="000000" w:themeColor="text1"/>
        </w:rPr>
        <w:t>associated</w:t>
      </w:r>
      <w:r w:rsidR="00EF10BC" w:rsidRPr="006D4CB5">
        <w:rPr>
          <w:color w:val="000000" w:themeColor="text1"/>
        </w:rPr>
        <w:t xml:space="preserve"> </w:t>
      </w:r>
      <w:r w:rsidR="00D5038C" w:rsidRPr="006D4CB5">
        <w:rPr>
          <w:color w:val="000000" w:themeColor="text1"/>
        </w:rPr>
        <w:t>with</w:t>
      </w:r>
      <w:r w:rsidR="00EF10BC" w:rsidRPr="006D4CB5">
        <w:rPr>
          <w:color w:val="000000" w:themeColor="text1"/>
        </w:rPr>
        <w:t xml:space="preserve"> both cognitive and noncognitive factors, each of which may be differentially related to conscientiousness. In line with this explanation, Demange et al. (2021) found that conscientiousness was negatively associated with the cognitive component of educational </w:t>
      </w:r>
      <w:r w:rsidR="006915D9" w:rsidRPr="006D4CB5">
        <w:rPr>
          <w:color w:val="000000" w:themeColor="text1"/>
        </w:rPr>
        <w:t>attainment and</w:t>
      </w:r>
      <w:r w:rsidR="00EF10BC" w:rsidRPr="006D4CB5">
        <w:rPr>
          <w:color w:val="000000" w:themeColor="text1"/>
        </w:rPr>
        <w:t xml:space="preserve"> positively associated with the noncognitive component of educational attainment. </w:t>
      </w:r>
    </w:p>
    <w:p w14:paraId="708FA5C3" w14:textId="5BBEC2FF" w:rsidR="00D91F6F" w:rsidRPr="006D4CB5" w:rsidRDefault="00DF7308" w:rsidP="00BB1000">
      <w:pPr>
        <w:rPr>
          <w:color w:val="000000" w:themeColor="text1"/>
        </w:rPr>
      </w:pPr>
      <w:r w:rsidRPr="006D4CB5">
        <w:rPr>
          <w:color w:val="000000" w:themeColor="text1"/>
        </w:rPr>
        <w:tab/>
        <w:t xml:space="preserve">Associations between the Big Five and other personality traits </w:t>
      </w:r>
      <w:r w:rsidR="00A23B39" w:rsidRPr="006D4CB5">
        <w:rPr>
          <w:color w:val="000000" w:themeColor="text1"/>
        </w:rPr>
        <w:t>that have been</w:t>
      </w:r>
      <w:r w:rsidR="006E165C" w:rsidRPr="006D4CB5">
        <w:rPr>
          <w:color w:val="000000" w:themeColor="text1"/>
        </w:rPr>
        <w:t xml:space="preserve"> submitted to</w:t>
      </w:r>
      <w:r w:rsidR="00A23B39" w:rsidRPr="006D4CB5">
        <w:rPr>
          <w:color w:val="000000" w:themeColor="text1"/>
        </w:rPr>
        <w:t xml:space="preserve"> GWAS in past research </w:t>
      </w:r>
      <w:r w:rsidRPr="006D4CB5">
        <w:rPr>
          <w:color w:val="000000" w:themeColor="text1"/>
        </w:rPr>
        <w:t xml:space="preserve">were </w:t>
      </w:r>
      <w:r w:rsidR="006A38D4" w:rsidRPr="006D4CB5">
        <w:rPr>
          <w:color w:val="000000" w:themeColor="text1"/>
        </w:rPr>
        <w:t>appreciable</w:t>
      </w:r>
      <w:r w:rsidR="005E403E" w:rsidRPr="006D4CB5">
        <w:rPr>
          <w:color w:val="000000" w:themeColor="text1"/>
        </w:rPr>
        <w:t xml:space="preserve"> (mean absolute </w:t>
      </w:r>
      <w:r w:rsidR="005E403E" w:rsidRPr="006D4CB5">
        <w:rPr>
          <w:i/>
          <w:iCs/>
          <w:color w:val="000000" w:themeColor="text1"/>
        </w:rPr>
        <w:t>r</w:t>
      </w:r>
      <w:r w:rsidR="005E403E" w:rsidRPr="006D4CB5">
        <w:rPr>
          <w:color w:val="000000" w:themeColor="text1"/>
          <w:vertAlign w:val="subscript"/>
        </w:rPr>
        <w:t>g</w:t>
      </w:r>
      <w:r w:rsidR="005E403E" w:rsidRPr="006D4CB5">
        <w:rPr>
          <w:color w:val="000000" w:themeColor="text1"/>
        </w:rPr>
        <w:t xml:space="preserve"> = .23)</w:t>
      </w:r>
      <w:r w:rsidRPr="006D4CB5">
        <w:rPr>
          <w:color w:val="000000" w:themeColor="text1"/>
        </w:rPr>
        <w:t xml:space="preserve"> illustrating how the Big Five serve as an integrative framework for personality traits (John et al., 2008)</w:t>
      </w:r>
      <w:r w:rsidR="004A7B65" w:rsidRPr="006D4CB5">
        <w:rPr>
          <w:color w:val="000000" w:themeColor="text1"/>
        </w:rPr>
        <w:t xml:space="preserve"> that summarize</w:t>
      </w:r>
      <w:r w:rsidR="008D311D" w:rsidRPr="006D4CB5">
        <w:rPr>
          <w:color w:val="000000" w:themeColor="text1"/>
        </w:rPr>
        <w:t xml:space="preserve"> many thousands of traits into five parsimonious ones</w:t>
      </w:r>
      <w:r w:rsidRPr="006D4CB5">
        <w:rPr>
          <w:color w:val="000000" w:themeColor="text1"/>
        </w:rPr>
        <w:t xml:space="preserve">. </w:t>
      </w:r>
      <w:r w:rsidR="005E403E" w:rsidRPr="006D4CB5">
        <w:rPr>
          <w:color w:val="000000" w:themeColor="text1"/>
        </w:rPr>
        <w:t>These correlations</w:t>
      </w:r>
      <w:r w:rsidR="004A7B65" w:rsidRPr="006D4CB5">
        <w:rPr>
          <w:color w:val="000000" w:themeColor="text1"/>
        </w:rPr>
        <w:t xml:space="preserve"> with other personality traits</w:t>
      </w:r>
      <w:r w:rsidR="005E403E" w:rsidRPr="006D4CB5">
        <w:rPr>
          <w:color w:val="000000" w:themeColor="text1"/>
        </w:rPr>
        <w:t xml:space="preserve"> help to characterize the genetic architecture </w:t>
      </w:r>
      <w:r w:rsidR="006916A2" w:rsidRPr="006D4CB5">
        <w:rPr>
          <w:color w:val="000000" w:themeColor="text1"/>
        </w:rPr>
        <w:t xml:space="preserve">of </w:t>
      </w:r>
      <w:r w:rsidR="005E403E" w:rsidRPr="006D4CB5">
        <w:rPr>
          <w:color w:val="000000" w:themeColor="text1"/>
        </w:rPr>
        <w:t>extraversion as containing components of risk-taking (</w:t>
      </w:r>
      <w:r w:rsidR="005606F3" w:rsidRPr="006D4CB5">
        <w:rPr>
          <w:color w:val="000000" w:themeColor="text1"/>
        </w:rPr>
        <w:t>more so</w:t>
      </w:r>
      <w:r w:rsidR="005E403E" w:rsidRPr="006D4CB5">
        <w:rPr>
          <w:color w:val="000000" w:themeColor="text1"/>
        </w:rPr>
        <w:t xml:space="preserve"> than phenotypic extraversion; Poore &amp; Waldman, 2025) as well as positive emotionality, and agreeableness as being a </w:t>
      </w:r>
      <w:r w:rsidR="004A7B65" w:rsidRPr="006D4CB5">
        <w:rPr>
          <w:color w:val="000000" w:themeColor="text1"/>
        </w:rPr>
        <w:t xml:space="preserve">broadly </w:t>
      </w:r>
      <w:r w:rsidR="005E403E" w:rsidRPr="006D4CB5">
        <w:rPr>
          <w:color w:val="000000" w:themeColor="text1"/>
        </w:rPr>
        <w:t>prosocial personality trait. Phenotypically, subjective well-being is characterized by low neuroticism, and high extraversio</w:t>
      </w:r>
      <w:r w:rsidR="006916A2" w:rsidRPr="006D4CB5">
        <w:rPr>
          <w:color w:val="000000" w:themeColor="text1"/>
        </w:rPr>
        <w:t xml:space="preserve">n </w:t>
      </w:r>
      <w:r w:rsidR="005E403E" w:rsidRPr="006D4CB5">
        <w:rPr>
          <w:color w:val="000000" w:themeColor="text1"/>
        </w:rPr>
        <w:t xml:space="preserve">and conscientiousness, with </w:t>
      </w:r>
      <w:r w:rsidR="00D91F6F" w:rsidRPr="006D4CB5">
        <w:rPr>
          <w:color w:val="000000" w:themeColor="text1"/>
        </w:rPr>
        <w:t>smaller</w:t>
      </w:r>
      <w:r w:rsidR="005E403E" w:rsidRPr="006D4CB5">
        <w:rPr>
          <w:color w:val="000000" w:themeColor="text1"/>
        </w:rPr>
        <w:t xml:space="preserve"> associations with openness to experience (</w:t>
      </w:r>
      <w:r w:rsidR="00D91F6F" w:rsidRPr="006D4CB5">
        <w:rPr>
          <w:color w:val="000000" w:themeColor="text1"/>
        </w:rPr>
        <w:t xml:space="preserve">Anglim et al., 2020), </w:t>
      </w:r>
      <w:r w:rsidR="00D91F6F" w:rsidRPr="006D4CB5">
        <w:rPr>
          <w:color w:val="000000" w:themeColor="text1"/>
        </w:rPr>
        <w:lastRenderedPageBreak/>
        <w:t xml:space="preserve">these correlations were strongly replicated in these genetic data, </w:t>
      </w:r>
      <w:r w:rsidR="004A7B65" w:rsidRPr="006D4CB5">
        <w:rPr>
          <w:color w:val="000000" w:themeColor="text1"/>
        </w:rPr>
        <w:t>which is notable in the context of</w:t>
      </w:r>
      <w:r w:rsidR="00D91F6F" w:rsidRPr="006D4CB5">
        <w:rPr>
          <w:color w:val="000000" w:themeColor="text1"/>
        </w:rPr>
        <w:t xml:space="preserve"> discrepancies between phenotypic and genetic</w:t>
      </w:r>
      <w:r w:rsidR="004A7B65" w:rsidRPr="006D4CB5">
        <w:rPr>
          <w:color w:val="000000" w:themeColor="text1"/>
        </w:rPr>
        <w:t xml:space="preserve"> associations for</w:t>
      </w:r>
      <w:r w:rsidR="00D91F6F" w:rsidRPr="006D4CB5">
        <w:rPr>
          <w:color w:val="000000" w:themeColor="text1"/>
        </w:rPr>
        <w:t xml:space="preserve"> personality</w:t>
      </w:r>
      <w:r w:rsidR="004A7B65" w:rsidRPr="006D4CB5">
        <w:rPr>
          <w:color w:val="000000" w:themeColor="text1"/>
        </w:rPr>
        <w:t xml:space="preserve"> and </w:t>
      </w:r>
      <w:r w:rsidR="00D91F6F" w:rsidRPr="006D4CB5">
        <w:rPr>
          <w:color w:val="000000" w:themeColor="text1"/>
        </w:rPr>
        <w:t xml:space="preserve">psychopathology </w:t>
      </w:r>
      <w:r w:rsidR="004A7B65" w:rsidRPr="006D4CB5">
        <w:rPr>
          <w:color w:val="000000" w:themeColor="text1"/>
        </w:rPr>
        <w:t>that we report</w:t>
      </w:r>
      <w:r w:rsidR="00D91F6F" w:rsidRPr="006D4CB5">
        <w:rPr>
          <w:color w:val="000000" w:themeColor="text1"/>
        </w:rPr>
        <w:t xml:space="preserve"> in the main text.</w:t>
      </w:r>
    </w:p>
    <w:p w14:paraId="1C5854B3" w14:textId="1D423673" w:rsidR="00C01152" w:rsidRPr="006D4CB5" w:rsidRDefault="00D91F6F" w:rsidP="00BB1000">
      <w:pPr>
        <w:rPr>
          <w:color w:val="000000" w:themeColor="text1"/>
        </w:rPr>
      </w:pPr>
      <w:r w:rsidRPr="006D4CB5">
        <w:rPr>
          <w:color w:val="000000" w:themeColor="text1"/>
        </w:rPr>
        <w:tab/>
        <w:t>Finally, each of the Big Five were genetically correlated with substance use outcomes, demonstrating how</w:t>
      </w:r>
      <w:r w:rsidR="00593D12" w:rsidRPr="006D4CB5">
        <w:rPr>
          <w:color w:val="000000" w:themeColor="text1"/>
        </w:rPr>
        <w:t xml:space="preserve"> substance use is associated with both clinical personality traits (Karlsson</w:t>
      </w:r>
      <w:r w:rsidR="00F236B5" w:rsidRPr="006D4CB5">
        <w:rPr>
          <w:color w:val="000000" w:themeColor="text1"/>
        </w:rPr>
        <w:t>-</w:t>
      </w:r>
      <w:r w:rsidR="00593D12" w:rsidRPr="006D4CB5">
        <w:rPr>
          <w:color w:val="000000" w:themeColor="text1"/>
        </w:rPr>
        <w:t xml:space="preserve"> </w:t>
      </w:r>
      <w:proofErr w:type="spellStart"/>
      <w:r w:rsidR="00593D12" w:rsidRPr="006D4CB5">
        <w:rPr>
          <w:color w:val="000000" w:themeColor="text1"/>
        </w:rPr>
        <w:t>Linn</w:t>
      </w:r>
      <w:r w:rsidR="00BB1000" w:rsidRPr="006D4CB5">
        <w:rPr>
          <w:color w:val="000000" w:themeColor="text1"/>
        </w:rPr>
        <w:t>é</w:t>
      </w:r>
      <w:r w:rsidR="00593D12" w:rsidRPr="006D4CB5">
        <w:rPr>
          <w:color w:val="000000" w:themeColor="text1"/>
        </w:rPr>
        <w:t>r</w:t>
      </w:r>
      <w:proofErr w:type="spellEnd"/>
      <w:r w:rsidR="00593D12" w:rsidRPr="006D4CB5">
        <w:rPr>
          <w:color w:val="000000" w:themeColor="text1"/>
        </w:rPr>
        <w:t xml:space="preserve"> et al., 2021) and nonclinical personality</w:t>
      </w:r>
      <w:r w:rsidRPr="006D4CB5">
        <w:rPr>
          <w:color w:val="000000" w:themeColor="text1"/>
        </w:rPr>
        <w:t xml:space="preserve"> variation. Extraversion was especially related to social drug use, including alcoholic drinks per week and drug experimentation, whereas neuroticism was more relevant to drug dependence and addiction. Conscientiousness and agreeableness were predictive of lower substance use</w:t>
      </w:r>
      <w:r w:rsidR="004A7B65" w:rsidRPr="006D4CB5">
        <w:rPr>
          <w:color w:val="000000" w:themeColor="text1"/>
        </w:rPr>
        <w:t xml:space="preserve"> overall, consistent with health-protective effects of these traits (e.g., Bogg &amp; Roberts, 2004)</w:t>
      </w:r>
      <w:r w:rsidR="006916A2" w:rsidRPr="006D4CB5">
        <w:rPr>
          <w:color w:val="000000" w:themeColor="text1"/>
        </w:rPr>
        <w:t>.</w:t>
      </w:r>
      <w:r w:rsidRPr="006D4CB5">
        <w:rPr>
          <w:color w:val="000000" w:themeColor="text1"/>
        </w:rPr>
        <w:t xml:space="preserve"> </w:t>
      </w:r>
    </w:p>
    <w:p w14:paraId="01235A05" w14:textId="5C5C13EA" w:rsidR="00076353" w:rsidRPr="006D4CB5" w:rsidRDefault="00076353" w:rsidP="00005B7A">
      <w:pPr>
        <w:rPr>
          <w:color w:val="000000" w:themeColor="text1"/>
        </w:rPr>
      </w:pPr>
      <w:r w:rsidRPr="006D4CB5">
        <w:rPr>
          <w:color w:val="000000" w:themeColor="text1"/>
        </w:rPr>
        <w:tab/>
        <w:t xml:space="preserve">For 13 of these phenotypes, we were also able to estimate bivariate genetic correlations among </w:t>
      </w:r>
      <w:r w:rsidR="00BB1000" w:rsidRPr="006D4CB5">
        <w:rPr>
          <w:color w:val="000000" w:themeColor="text1"/>
        </w:rPr>
        <w:t>participants</w:t>
      </w:r>
      <w:r w:rsidR="00CB7254">
        <w:rPr>
          <w:color w:val="000000" w:themeColor="text1"/>
        </w:rPr>
        <w:t xml:space="preserve"> with AFR-like genomes</w:t>
      </w:r>
      <w:r w:rsidR="00BB1000" w:rsidRPr="006D4CB5">
        <w:rPr>
          <w:color w:val="000000" w:themeColor="text1"/>
        </w:rPr>
        <w:t>,</w:t>
      </w:r>
      <w:r w:rsidRPr="006D4CB5">
        <w:rPr>
          <w:color w:val="000000" w:themeColor="text1"/>
        </w:rPr>
        <w:t xml:space="preserve"> with both Big Five and external phenotype summary statistics estimated using AFR</w:t>
      </w:r>
      <w:r w:rsidR="00CB7254">
        <w:rPr>
          <w:color w:val="000000" w:themeColor="text1"/>
        </w:rPr>
        <w:t>-like GWAS</w:t>
      </w:r>
      <w:r w:rsidRPr="006D4CB5">
        <w:rPr>
          <w:color w:val="000000" w:themeColor="text1"/>
        </w:rPr>
        <w:t xml:space="preserve"> data, using LD scores estimated from the 1000 genomes 3v5 AFR data. We visualize these associations in </w:t>
      </w:r>
      <w:r w:rsidR="00D222B3" w:rsidRPr="006D4CB5">
        <w:rPr>
          <w:b/>
          <w:bCs/>
          <w:color w:val="000000" w:themeColor="text1"/>
        </w:rPr>
        <w:t>Extended Data Figure 6</w:t>
      </w:r>
      <w:r w:rsidRPr="006D4CB5">
        <w:rPr>
          <w:color w:val="000000" w:themeColor="text1"/>
        </w:rPr>
        <w:t>.</w:t>
      </w:r>
    </w:p>
    <w:p w14:paraId="2C63C511" w14:textId="7A7ADEDA" w:rsidR="00E72077" w:rsidRPr="006D4CB5" w:rsidRDefault="00076353" w:rsidP="00005B7A">
      <w:pPr>
        <w:rPr>
          <w:color w:val="000000" w:themeColor="text1"/>
        </w:rPr>
      </w:pPr>
      <w:r w:rsidRPr="006D4CB5">
        <w:rPr>
          <w:color w:val="000000" w:themeColor="text1"/>
        </w:rPr>
        <w:tab/>
        <w:t>Overall, results of genetic correlations among</w:t>
      </w:r>
      <w:r w:rsidR="00BB1000" w:rsidRPr="006D4CB5">
        <w:rPr>
          <w:color w:val="000000" w:themeColor="text1"/>
        </w:rPr>
        <w:t xml:space="preserve"> participants</w:t>
      </w:r>
      <w:r w:rsidR="00CB7254">
        <w:rPr>
          <w:color w:val="000000" w:themeColor="text1"/>
        </w:rPr>
        <w:t xml:space="preserve"> with AFR-like genomes</w:t>
      </w:r>
      <w:r w:rsidR="001C77A6" w:rsidRPr="006D4CB5">
        <w:rPr>
          <w:color w:val="000000" w:themeColor="text1"/>
        </w:rPr>
        <w:t xml:space="preserve"> </w:t>
      </w:r>
      <w:r w:rsidRPr="006D4CB5">
        <w:rPr>
          <w:color w:val="000000" w:themeColor="text1"/>
        </w:rPr>
        <w:t>had substantially wider confidence intervals than in EUR</w:t>
      </w:r>
      <w:r w:rsidR="00CB7254">
        <w:rPr>
          <w:color w:val="000000" w:themeColor="text1"/>
        </w:rPr>
        <w:t>-like</w:t>
      </w:r>
      <w:r w:rsidRPr="006D4CB5">
        <w:rPr>
          <w:color w:val="000000" w:themeColor="text1"/>
        </w:rPr>
        <w:t xml:space="preserve"> analyses, which is attributable to smaller GWAS sample sizes in these analyses and lower </w:t>
      </w:r>
      <w:r w:rsidR="00065F92" w:rsidRPr="006D4CB5">
        <w:rPr>
          <w:color w:val="000000" w:themeColor="text1"/>
        </w:rPr>
        <w:t>h</w:t>
      </w:r>
      <w:r w:rsidR="00065F92" w:rsidRPr="006D4CB5">
        <w:rPr>
          <w:color w:val="000000" w:themeColor="text1"/>
          <w:vertAlign w:val="superscript"/>
        </w:rPr>
        <w:t>2</w:t>
      </w:r>
      <w:r w:rsidR="00065F92" w:rsidRPr="006D4CB5">
        <w:rPr>
          <w:color w:val="000000" w:themeColor="text1"/>
          <w:vertAlign w:val="subscript"/>
        </w:rPr>
        <w:t xml:space="preserve">SNP </w:t>
      </w:r>
      <w:r w:rsidR="00065F92" w:rsidRPr="006D4CB5">
        <w:rPr>
          <w:color w:val="000000" w:themeColor="text1"/>
        </w:rPr>
        <w:t>estimates</w:t>
      </w:r>
      <w:r w:rsidRPr="006D4CB5">
        <w:rPr>
          <w:color w:val="000000" w:themeColor="text1"/>
        </w:rPr>
        <w:t xml:space="preserve"> of phenotypes in participants</w:t>
      </w:r>
      <w:r w:rsidR="00CB7254">
        <w:rPr>
          <w:color w:val="000000" w:themeColor="text1"/>
        </w:rPr>
        <w:t xml:space="preserve"> with AFR-like ancestry</w:t>
      </w:r>
      <w:r w:rsidRPr="006D4CB5">
        <w:rPr>
          <w:color w:val="000000" w:themeColor="text1"/>
        </w:rPr>
        <w:t xml:space="preserve"> (see section 3.1 above). When considering the 95% confidence intervals of these analyses alongside those from EUR</w:t>
      </w:r>
      <w:r w:rsidR="00CB7254">
        <w:rPr>
          <w:color w:val="000000" w:themeColor="text1"/>
        </w:rPr>
        <w:t>-like</w:t>
      </w:r>
      <w:r w:rsidRPr="006D4CB5">
        <w:rPr>
          <w:color w:val="000000" w:themeColor="text1"/>
        </w:rPr>
        <w:t xml:space="preserve"> analyses, we observed strong compatibility with results across ancestry. In both sets of results, neuroticism was positively correlated with liability for all psychopathology outcomes at </w:t>
      </w:r>
      <w:r w:rsidRPr="006D4CB5">
        <w:rPr>
          <w:i/>
          <w:iCs/>
          <w:color w:val="000000" w:themeColor="text1"/>
        </w:rPr>
        <w:t>p</w:t>
      </w:r>
      <w:r w:rsidRPr="006D4CB5">
        <w:rPr>
          <w:color w:val="000000" w:themeColor="text1"/>
        </w:rPr>
        <w:t xml:space="preserve"> &lt; .05, extraversion was negatively correlated with PTSD and depression liability, and conscientiousness was negatively correlated with alcohol dependence and cannabis use disorder liability. We observed one phenotype where significant results differed in sign across ancestr</w:t>
      </w:r>
      <w:r w:rsidR="00BB1000" w:rsidRPr="006D4CB5">
        <w:rPr>
          <w:color w:val="000000" w:themeColor="text1"/>
        </w:rPr>
        <w:t>al groupings</w:t>
      </w:r>
      <w:r w:rsidRPr="006D4CB5">
        <w:rPr>
          <w:color w:val="000000" w:themeColor="text1"/>
        </w:rPr>
        <w:t xml:space="preserve">: </w:t>
      </w:r>
      <w:r w:rsidR="00CB7254">
        <w:rPr>
          <w:color w:val="000000" w:themeColor="text1"/>
        </w:rPr>
        <w:t>among participants with EUR-like genomes</w:t>
      </w:r>
      <w:r w:rsidRPr="006D4CB5">
        <w:rPr>
          <w:color w:val="000000" w:themeColor="text1"/>
        </w:rPr>
        <w:t xml:space="preserve">, Type-II Diabetes was positively associated with neuroticism, but in </w:t>
      </w:r>
      <w:r w:rsidR="00CB7254">
        <w:rPr>
          <w:color w:val="000000" w:themeColor="text1"/>
        </w:rPr>
        <w:t>participants with AFR-like genomes</w:t>
      </w:r>
      <w:r w:rsidRPr="006D4CB5">
        <w:rPr>
          <w:color w:val="000000" w:themeColor="text1"/>
        </w:rPr>
        <w:t>, it was negatively associated with neuroticism. This difference was trait-specific, as Type-II Diabetes had a negative genetic correlation with openness to experience and a positive genetic correlation with extraversion in both groups.</w:t>
      </w:r>
      <w:r w:rsidR="00DA4F8D" w:rsidRPr="006D4CB5">
        <w:rPr>
          <w:color w:val="000000" w:themeColor="text1"/>
        </w:rPr>
        <w:tab/>
        <w:t xml:space="preserve"> </w:t>
      </w:r>
    </w:p>
    <w:p w14:paraId="0FE4DB15" w14:textId="77777777" w:rsidR="00076353" w:rsidRPr="006D4CB5" w:rsidRDefault="00076353" w:rsidP="00076353">
      <w:pPr>
        <w:jc w:val="both"/>
        <w:rPr>
          <w:color w:val="000000" w:themeColor="text1"/>
        </w:rPr>
      </w:pPr>
    </w:p>
    <w:p w14:paraId="59B5622F" w14:textId="77777777" w:rsidR="00076353" w:rsidRPr="006D4CB5" w:rsidRDefault="00076353" w:rsidP="00076353">
      <w:pPr>
        <w:jc w:val="both"/>
        <w:rPr>
          <w:color w:val="000000" w:themeColor="text1"/>
          <w:u w:val="single"/>
        </w:rPr>
      </w:pPr>
      <w:r w:rsidRPr="006D4CB5">
        <w:rPr>
          <w:color w:val="000000" w:themeColor="text1"/>
          <w:u w:val="single"/>
        </w:rPr>
        <w:t>5.2 Polygenic Prediction of External Outcomes in Add Health</w:t>
      </w:r>
    </w:p>
    <w:p w14:paraId="1E848FB3" w14:textId="36C3762B" w:rsidR="00076353" w:rsidRPr="006D4CB5" w:rsidRDefault="00076353" w:rsidP="00076353">
      <w:pPr>
        <w:rPr>
          <w:color w:val="000000" w:themeColor="text1"/>
        </w:rPr>
      </w:pPr>
      <w:r w:rsidRPr="006D4CB5">
        <w:rPr>
          <w:color w:val="000000" w:themeColor="text1"/>
        </w:rPr>
        <w:tab/>
        <w:t xml:space="preserve">When possible, it is ideal to index genetic sharing between two phenotypes using bivariate LDSC, as estimates of genetic correlations using this method are unbiased by measurement error. However, this requires GWAS summary data, which may not be available for a certain phenotype. </w:t>
      </w:r>
      <w:r w:rsidR="00EC7765" w:rsidRPr="006D4CB5">
        <w:rPr>
          <w:color w:val="000000" w:themeColor="text1"/>
        </w:rPr>
        <w:t xml:space="preserve">The </w:t>
      </w:r>
      <w:r w:rsidRPr="006D4CB5">
        <w:rPr>
          <w:color w:val="000000" w:themeColor="text1"/>
        </w:rPr>
        <w:t xml:space="preserve">Add Health </w:t>
      </w:r>
      <w:r w:rsidR="00EC7765" w:rsidRPr="006D4CB5">
        <w:rPr>
          <w:color w:val="000000" w:themeColor="text1"/>
        </w:rPr>
        <w:t xml:space="preserve">cohort </w:t>
      </w:r>
      <w:proofErr w:type="gramStart"/>
      <w:r w:rsidRPr="006D4CB5">
        <w:rPr>
          <w:color w:val="000000" w:themeColor="text1"/>
        </w:rPr>
        <w:t>in particular has</w:t>
      </w:r>
      <w:proofErr w:type="gramEnd"/>
      <w:r w:rsidRPr="006D4CB5">
        <w:rPr>
          <w:color w:val="000000" w:themeColor="text1"/>
        </w:rPr>
        <w:t xml:space="preserve"> measured external outcomes spanning delinquency, interviewer-rated behavior, and contact with the criminal justice system, which are germane to personality yet have not been </w:t>
      </w:r>
      <w:r w:rsidR="006E165C" w:rsidRPr="006D4CB5">
        <w:rPr>
          <w:color w:val="000000" w:themeColor="text1"/>
        </w:rPr>
        <w:t xml:space="preserve">submitted to </w:t>
      </w:r>
      <w:r w:rsidRPr="006D4CB5">
        <w:rPr>
          <w:color w:val="000000" w:themeColor="text1"/>
        </w:rPr>
        <w:t xml:space="preserve">GWAS. Thus, we supplemented bivariate LDSC associations with PGI analyses in the Add Health dataset, among </w:t>
      </w:r>
      <w:r w:rsidR="00CB7254">
        <w:rPr>
          <w:color w:val="000000" w:themeColor="text1"/>
        </w:rPr>
        <w:t>participants with EUR-like genomes</w:t>
      </w:r>
      <w:r w:rsidRPr="006D4CB5">
        <w:rPr>
          <w:color w:val="000000" w:themeColor="text1"/>
        </w:rPr>
        <w:t xml:space="preserve"> (max N = 5,111) and AFR</w:t>
      </w:r>
      <w:r w:rsidR="00CB7254">
        <w:rPr>
          <w:color w:val="000000" w:themeColor="text1"/>
        </w:rPr>
        <w:t>-like genomes</w:t>
      </w:r>
      <w:r w:rsidRPr="006D4CB5">
        <w:rPr>
          <w:color w:val="000000" w:themeColor="text1"/>
        </w:rPr>
        <w:t xml:space="preserve"> (max N = 1,753).</w:t>
      </w:r>
    </w:p>
    <w:p w14:paraId="678EB397" w14:textId="2FEC13D7" w:rsidR="00076353" w:rsidRPr="006D4CB5" w:rsidRDefault="00076353" w:rsidP="00076353">
      <w:pPr>
        <w:rPr>
          <w:color w:val="000000" w:themeColor="text1"/>
        </w:rPr>
      </w:pPr>
      <w:r w:rsidRPr="006D4CB5">
        <w:rPr>
          <w:color w:val="000000" w:themeColor="text1"/>
        </w:rPr>
        <w:tab/>
        <w:t>Participants in Add Health were interviewed in-person by a trained interviewer, who then was asked to rate the participant they interviewed</w:t>
      </w:r>
      <w:r w:rsidR="00EC7765" w:rsidRPr="006D4CB5">
        <w:rPr>
          <w:color w:val="000000" w:themeColor="text1"/>
        </w:rPr>
        <w:t xml:space="preserve"> on</w:t>
      </w:r>
      <w:r w:rsidRPr="006D4CB5">
        <w:rPr>
          <w:color w:val="000000" w:themeColor="text1"/>
        </w:rPr>
        <w:t xml:space="preserve"> physical attractiveness and the attractiveness of their personality on a scale from 1 (very unattractive) to 5 (very attractive), as well as how well-groomed the interviewee was. Interviewers also rated how candid the respondent seemed in the interview from 1 (very candid) to 4 (not candid), indicated whether the respondent ever seemed bored or embarrassed during the interview, and recorded the number of times the interviewee interrupted the interviewer.</w:t>
      </w:r>
      <w:r w:rsidR="00EC7765" w:rsidRPr="006D4CB5">
        <w:rPr>
          <w:color w:val="000000" w:themeColor="text1"/>
        </w:rPr>
        <w:t xml:space="preserve"> </w:t>
      </w:r>
      <w:r w:rsidRPr="006D4CB5">
        <w:rPr>
          <w:color w:val="000000" w:themeColor="text1"/>
        </w:rPr>
        <w:t xml:space="preserve">We also incorporated 8 measures of juvenile </w:t>
      </w:r>
      <w:r w:rsidRPr="006D4CB5">
        <w:rPr>
          <w:color w:val="000000" w:themeColor="text1"/>
        </w:rPr>
        <w:lastRenderedPageBreak/>
        <w:t>delinquency measured in Add Health. A subset of at-risk Add Health participants were asked whether they had ever been expelled from school, received an out-of-school suspension, driven while drunk, run away from home, been initiated into a named gang, or had ever been arrested or taken into custody by police. Participants were also asked how often they had lied to their parents or guardians in the past 12 months.</w:t>
      </w:r>
      <w:r w:rsidR="00EC7765" w:rsidRPr="006D4CB5">
        <w:rPr>
          <w:color w:val="000000" w:themeColor="text1"/>
        </w:rPr>
        <w:t xml:space="preserve"> </w:t>
      </w:r>
      <w:r w:rsidRPr="006D4CB5">
        <w:rPr>
          <w:color w:val="000000" w:themeColor="text1"/>
        </w:rPr>
        <w:t>Finally, Add Health participants provided data on contact with the prison system: whether they had ever served time in a jail, prison, juvenile detention center, or other correctional facility, and whether their biological mother or biological father had ever spent time in jail or prison.</w:t>
      </w:r>
    </w:p>
    <w:p w14:paraId="688C8464" w14:textId="0EC1DF06" w:rsidR="00076353" w:rsidRPr="006D4CB5" w:rsidRDefault="00076353" w:rsidP="00076353">
      <w:pPr>
        <w:rPr>
          <w:color w:val="000000" w:themeColor="text1"/>
        </w:rPr>
      </w:pPr>
      <w:r w:rsidRPr="006D4CB5">
        <w:rPr>
          <w:color w:val="000000" w:themeColor="text1"/>
        </w:rPr>
        <w:tab/>
        <w:t>To predict each variable from personality PGI, we estimated an extension of Equation 1</w:t>
      </w:r>
      <w:r w:rsidR="004E4F12" w:rsidRPr="006D4CB5">
        <w:rPr>
          <w:color w:val="000000" w:themeColor="text1"/>
        </w:rPr>
        <w:t>2</w:t>
      </w:r>
      <w:r w:rsidRPr="006D4CB5">
        <w:rPr>
          <w:color w:val="000000" w:themeColor="text1"/>
        </w:rPr>
        <w:t>. In this model, the right-hand side of the model was identical, and, on the left-hand-side, the predictor was each external outcome rather than personality PGI. For continuous outcomes, we report the beta coefficient of a model in which both the PGI and outcome were standardized. For binary outcomes, we report the beta coefficient of a logistic regression model. Certain variables were measured at multiple occasions: how often participants lied to their parents and interviewer-rated grooming, candidness, physical attractiveness, personality attractiveness, and number of interruptions. In these cases, the outcome variable was calculated as the mean score on this variable across all waves that a participant provided data. Other variables represent cumulative outcomes (e.g., “</w:t>
      </w:r>
      <w:r w:rsidRPr="006D4CB5">
        <w:rPr>
          <w:i/>
          <w:iCs/>
          <w:color w:val="000000" w:themeColor="text1"/>
        </w:rPr>
        <w:t>Have you ever…</w:t>
      </w:r>
      <w:r w:rsidRPr="006D4CB5">
        <w:rPr>
          <w:color w:val="000000" w:themeColor="text1"/>
        </w:rPr>
        <w:t xml:space="preserve">”). For these outcomes, we predicted participant scores at their most recent measurement occasion. </w:t>
      </w:r>
    </w:p>
    <w:p w14:paraId="4C529151" w14:textId="7D6B8B3E" w:rsidR="00076353" w:rsidRPr="006D4CB5" w:rsidRDefault="00076353" w:rsidP="00076353">
      <w:pPr>
        <w:rPr>
          <w:b/>
          <w:bCs/>
          <w:color w:val="000000" w:themeColor="text1"/>
        </w:rPr>
      </w:pPr>
      <w:r w:rsidRPr="006D4CB5">
        <w:rPr>
          <w:color w:val="000000" w:themeColor="text1"/>
        </w:rPr>
        <w:tab/>
        <w:t>We present results of prediction in</w:t>
      </w:r>
      <w:r w:rsidR="00D222B3" w:rsidRPr="006D4CB5">
        <w:rPr>
          <w:color w:val="000000" w:themeColor="text1"/>
        </w:rPr>
        <w:t xml:space="preserve"> participants</w:t>
      </w:r>
      <w:r w:rsidRPr="006D4CB5">
        <w:rPr>
          <w:color w:val="000000" w:themeColor="text1"/>
        </w:rPr>
        <w:t xml:space="preserve"> </w:t>
      </w:r>
      <w:r w:rsidR="00CB7254">
        <w:rPr>
          <w:color w:val="000000" w:themeColor="text1"/>
        </w:rPr>
        <w:t xml:space="preserve">with EUR-like genomes </w:t>
      </w:r>
      <w:r w:rsidRPr="006D4CB5">
        <w:rPr>
          <w:color w:val="000000" w:themeColor="text1"/>
        </w:rPr>
        <w:t xml:space="preserve">in the </w:t>
      </w:r>
      <w:r w:rsidRPr="006D4CB5">
        <w:rPr>
          <w:b/>
          <w:bCs/>
          <w:color w:val="000000" w:themeColor="text1"/>
        </w:rPr>
        <w:t>Main Text</w:t>
      </w:r>
      <w:r w:rsidRPr="006D4CB5">
        <w:rPr>
          <w:color w:val="000000" w:themeColor="text1"/>
        </w:rPr>
        <w:t xml:space="preserve">. </w:t>
      </w:r>
      <w:r w:rsidR="00D222B3" w:rsidRPr="006D4CB5">
        <w:rPr>
          <w:color w:val="000000" w:themeColor="text1"/>
        </w:rPr>
        <w:t xml:space="preserve">In </w:t>
      </w:r>
      <w:r w:rsidR="00D222B3" w:rsidRPr="006D4CB5">
        <w:rPr>
          <w:b/>
          <w:bCs/>
          <w:color w:val="000000" w:themeColor="text1"/>
        </w:rPr>
        <w:t>Extended Data Figure 6</w:t>
      </w:r>
      <w:r w:rsidRPr="006D4CB5">
        <w:rPr>
          <w:b/>
          <w:bCs/>
          <w:color w:val="000000" w:themeColor="text1"/>
        </w:rPr>
        <w:t>,</w:t>
      </w:r>
      <w:r w:rsidRPr="006D4CB5">
        <w:rPr>
          <w:color w:val="000000" w:themeColor="text1"/>
        </w:rPr>
        <w:t xml:space="preserve"> we present results of prediction in </w:t>
      </w:r>
      <w:r w:rsidR="00D222B3" w:rsidRPr="006D4CB5">
        <w:rPr>
          <w:color w:val="000000" w:themeColor="text1"/>
        </w:rPr>
        <w:t>participants</w:t>
      </w:r>
      <w:r w:rsidR="00CB7254" w:rsidRPr="00CB7254">
        <w:rPr>
          <w:color w:val="000000" w:themeColor="text1"/>
        </w:rPr>
        <w:t xml:space="preserve"> </w:t>
      </w:r>
      <w:r w:rsidR="00CB7254">
        <w:rPr>
          <w:color w:val="000000" w:themeColor="text1"/>
        </w:rPr>
        <w:t xml:space="preserve">with </w:t>
      </w:r>
      <w:r w:rsidR="00CB7254">
        <w:rPr>
          <w:color w:val="000000" w:themeColor="text1"/>
        </w:rPr>
        <w:t>AFR</w:t>
      </w:r>
      <w:r w:rsidR="00CB7254">
        <w:rPr>
          <w:color w:val="000000" w:themeColor="text1"/>
        </w:rPr>
        <w:t>-like genomes</w:t>
      </w:r>
      <w:r w:rsidRPr="006D4CB5">
        <w:rPr>
          <w:color w:val="000000" w:themeColor="text1"/>
        </w:rPr>
        <w:t>. In general, analyses had much lower power in AFR</w:t>
      </w:r>
      <w:r w:rsidR="00CB7254">
        <w:rPr>
          <w:color w:val="000000" w:themeColor="text1"/>
        </w:rPr>
        <w:t>-like</w:t>
      </w:r>
      <w:r w:rsidRPr="006D4CB5">
        <w:rPr>
          <w:color w:val="000000" w:themeColor="text1"/>
        </w:rPr>
        <w:t xml:space="preserve"> than EU</w:t>
      </w:r>
      <w:r w:rsidR="00CB7254">
        <w:rPr>
          <w:color w:val="000000" w:themeColor="text1"/>
        </w:rPr>
        <w:t>R-like</w:t>
      </w:r>
      <w:r w:rsidRPr="006D4CB5">
        <w:rPr>
          <w:color w:val="000000" w:themeColor="text1"/>
        </w:rPr>
        <w:t xml:space="preserve"> analyses, due to the smaller prediction sample and discrepant ancestry between the EUR</w:t>
      </w:r>
      <w:r w:rsidR="00CB7254">
        <w:rPr>
          <w:color w:val="000000" w:themeColor="text1"/>
        </w:rPr>
        <w:t>-like</w:t>
      </w:r>
      <w:r w:rsidRPr="006D4CB5">
        <w:rPr>
          <w:color w:val="000000" w:themeColor="text1"/>
        </w:rPr>
        <w:t xml:space="preserve"> GWAS discovery sample and the AFR</w:t>
      </w:r>
      <w:r w:rsidR="00CB7254">
        <w:rPr>
          <w:color w:val="000000" w:themeColor="text1"/>
        </w:rPr>
        <w:t>-like</w:t>
      </w:r>
      <w:r w:rsidRPr="006D4CB5">
        <w:rPr>
          <w:color w:val="000000" w:themeColor="text1"/>
        </w:rPr>
        <w:t xml:space="preserve"> prediction target sample. As a result, no associations between the personality PGIs and outcomes in</w:t>
      </w:r>
      <w:r w:rsidR="00EC7765" w:rsidRPr="006D4CB5">
        <w:rPr>
          <w:color w:val="000000" w:themeColor="text1"/>
        </w:rPr>
        <w:t xml:space="preserve"> </w:t>
      </w:r>
      <w:r w:rsidR="00CB7254">
        <w:rPr>
          <w:color w:val="000000" w:themeColor="text1"/>
        </w:rPr>
        <w:t xml:space="preserve">participants </w:t>
      </w:r>
      <w:r w:rsidR="00CB7254">
        <w:rPr>
          <w:color w:val="000000" w:themeColor="text1"/>
        </w:rPr>
        <w:t xml:space="preserve">with </w:t>
      </w:r>
      <w:r w:rsidR="00CB7254">
        <w:rPr>
          <w:color w:val="000000" w:themeColor="text1"/>
        </w:rPr>
        <w:t>AFR</w:t>
      </w:r>
      <w:r w:rsidR="00CB7254">
        <w:rPr>
          <w:color w:val="000000" w:themeColor="text1"/>
        </w:rPr>
        <w:t>-like genomes</w:t>
      </w:r>
      <w:r w:rsidR="00EC7765" w:rsidRPr="006D4CB5">
        <w:rPr>
          <w:color w:val="000000" w:themeColor="text1"/>
        </w:rPr>
        <w:t xml:space="preserve"> from</w:t>
      </w:r>
      <w:r w:rsidRPr="006D4CB5">
        <w:rPr>
          <w:color w:val="000000" w:themeColor="text1"/>
        </w:rPr>
        <w:t xml:space="preserve"> Add Health were significant. All point estimates of PGI associations in the Add Health dataset can be found in </w:t>
      </w:r>
      <w:r w:rsidRPr="006D4CB5">
        <w:rPr>
          <w:b/>
          <w:bCs/>
          <w:color w:val="000000" w:themeColor="text1"/>
        </w:rPr>
        <w:t>Supplementary Table S3</w:t>
      </w:r>
      <w:r w:rsidR="00723032" w:rsidRPr="006D4CB5">
        <w:rPr>
          <w:b/>
          <w:bCs/>
          <w:color w:val="000000" w:themeColor="text1"/>
        </w:rPr>
        <w:t>9</w:t>
      </w:r>
      <w:r w:rsidRPr="006D4CB5">
        <w:rPr>
          <w:b/>
          <w:bCs/>
          <w:color w:val="000000" w:themeColor="text1"/>
        </w:rPr>
        <w:t>.</w:t>
      </w:r>
    </w:p>
    <w:p w14:paraId="169DA865" w14:textId="77777777" w:rsidR="00076353" w:rsidRPr="006D4CB5" w:rsidRDefault="00076353" w:rsidP="00076353">
      <w:pPr>
        <w:rPr>
          <w:color w:val="000000" w:themeColor="text1"/>
        </w:rPr>
      </w:pPr>
    </w:p>
    <w:p w14:paraId="3951E79C" w14:textId="77777777" w:rsidR="00076353" w:rsidRPr="006D4CB5" w:rsidRDefault="00076353" w:rsidP="00076353">
      <w:pPr>
        <w:rPr>
          <w:color w:val="000000" w:themeColor="text1"/>
        </w:rPr>
      </w:pPr>
      <w:r w:rsidRPr="006D4CB5">
        <w:rPr>
          <w:color w:val="000000" w:themeColor="text1"/>
          <w:u w:val="single"/>
        </w:rPr>
        <w:t>5.3 Residential Analyses</w:t>
      </w:r>
    </w:p>
    <w:p w14:paraId="162F1900" w14:textId="77777777" w:rsidR="00076353" w:rsidRPr="006D4CB5" w:rsidRDefault="00076353" w:rsidP="00076353">
      <w:pPr>
        <w:ind w:firstLine="720"/>
        <w:rPr>
          <w:color w:val="000000" w:themeColor="text1"/>
        </w:rPr>
      </w:pPr>
      <w:r w:rsidRPr="006D4CB5">
        <w:rPr>
          <w:color w:val="000000" w:themeColor="text1"/>
        </w:rPr>
        <w:t xml:space="preserve">People make choices regarding their socio-demographic residential environment throughout their lives. These choices involve both economic trade-offs (i.e., </w:t>
      </w:r>
      <w:r w:rsidRPr="006D4CB5">
        <w:rPr>
          <w:i/>
          <w:iCs/>
          <w:color w:val="000000" w:themeColor="text1"/>
        </w:rPr>
        <w:t xml:space="preserve">"Where can I afford to live?") </w:t>
      </w:r>
      <w:r w:rsidRPr="006D4CB5">
        <w:rPr>
          <w:color w:val="000000" w:themeColor="text1"/>
        </w:rPr>
        <w:t xml:space="preserve">and preferences (i.e., </w:t>
      </w:r>
      <w:r w:rsidRPr="006D4CB5">
        <w:rPr>
          <w:i/>
          <w:iCs/>
          <w:color w:val="000000" w:themeColor="text1"/>
        </w:rPr>
        <w:t>"With which geo-social environment do I have an affinity?"</w:t>
      </w:r>
      <w:r w:rsidRPr="006D4CB5">
        <w:rPr>
          <w:color w:val="000000" w:themeColor="text1"/>
        </w:rPr>
        <w:t xml:space="preserve">). Such decisions have implications for both health and wealth, as the chosen environment affects exposure to environmental risks and social/educational opportunities. Personality may influence both the ability to afford specific socio-demographic environments and one’s affinity towards them. </w:t>
      </w:r>
    </w:p>
    <w:p w14:paraId="27DED9DC" w14:textId="080256E5" w:rsidR="00076353" w:rsidRPr="006D4CB5" w:rsidRDefault="00076353" w:rsidP="00076353">
      <w:pPr>
        <w:ind w:firstLine="720"/>
        <w:rPr>
          <w:color w:val="000000" w:themeColor="text1"/>
        </w:rPr>
      </w:pPr>
      <w:r w:rsidRPr="006D4CB5">
        <w:rPr>
          <w:color w:val="000000" w:themeColor="text1"/>
        </w:rPr>
        <w:t xml:space="preserve">To test associations between personality genomics and residential environment, we analyzed data from 419,261 UK Biobank participants </w:t>
      </w:r>
      <w:r w:rsidR="00CB7254">
        <w:rPr>
          <w:color w:val="000000" w:themeColor="text1"/>
        </w:rPr>
        <w:t>with EUR-like genomes</w:t>
      </w:r>
      <w:r w:rsidRPr="006D4CB5">
        <w:rPr>
          <w:color w:val="000000" w:themeColor="text1"/>
        </w:rPr>
        <w:t xml:space="preserve">, born in the UK, and aged 39-70 at the time of enrollment. For each participant, we computed PGIs for all five personality traits (see section 4.2 above for PGI estimation). For the Neuroticism PGI, we held out participants from the UK Biobank, as well as Generation Scotland and the Lothian Birth Cohorts 1921 and 1936, to conservatively account for an unknown degree of participant overlap among these cohorts. </w:t>
      </w:r>
    </w:p>
    <w:p w14:paraId="2B58A3FD" w14:textId="77777777" w:rsidR="00076353" w:rsidRPr="006D4CB5" w:rsidRDefault="00076353" w:rsidP="00076353">
      <w:pPr>
        <w:ind w:firstLine="720"/>
        <w:rPr>
          <w:color w:val="000000" w:themeColor="text1"/>
        </w:rPr>
      </w:pPr>
      <w:r w:rsidRPr="006D4CB5">
        <w:rPr>
          <w:color w:val="000000" w:themeColor="text1"/>
        </w:rPr>
        <w:t xml:space="preserve">For our dependent variables, we obtained the approximate Lower Layer Super Output Areas (LSOA) of participants' current addresses (smaller geographic regions containing approximately 400-1,200 households) </w:t>
      </w:r>
      <w:r w:rsidRPr="006D4CB5">
        <w:rPr>
          <w:color w:val="000000" w:themeColor="text1"/>
        </w:rPr>
        <w:lastRenderedPageBreak/>
        <w:t>(</w:t>
      </w:r>
      <w:hyperlink r:id="rId8" w:history="1">
        <w:r w:rsidRPr="006D4CB5">
          <w:rPr>
            <w:color w:val="000000" w:themeColor="text1"/>
            <w:u w:val="single"/>
          </w:rPr>
          <w:t>https://www.ons.gov.uk/methodology/geography/geographicalproducts/areaclassifications</w:t>
        </w:r>
      </w:hyperlink>
      <w:r w:rsidRPr="006D4CB5">
        <w:rPr>
          <w:color w:val="000000" w:themeColor="text1"/>
        </w:rPr>
        <w:t>). Based on these LSOAs, we derived local urbanicity and UK Census-based residential area classifications. These classifications are categorical groupings of British neighborhoods derived by clustering based on 60 census variables, covering demographics, household composition, housing nature, socioeconomic composition, and employment. The resulting clusters include descriptive labels, such as “Comfortable Suburbia” or “Cosmopolitan Student Neighborhoods.” Where needed, we redrafted the category labels to enhance transparency for those unfamiliar with UK demographics.</w:t>
      </w:r>
    </w:p>
    <w:p w14:paraId="0297FD4D" w14:textId="77777777" w:rsidR="00076353" w:rsidRPr="006D4CB5" w:rsidRDefault="00076353" w:rsidP="00076353">
      <w:pPr>
        <w:ind w:firstLine="720"/>
        <w:rPr>
          <w:color w:val="000000" w:themeColor="text1"/>
        </w:rPr>
      </w:pPr>
      <w:r w:rsidRPr="006D4CB5">
        <w:rPr>
          <w:color w:val="000000" w:themeColor="text1"/>
        </w:rPr>
        <w:t xml:space="preserve">For our first analysis, we regressed area classification on personality PGI, controlling for five principal components, age, sex, genotyping array, and including Middle Layer Super Output Areas (MSOAs) at birth as a fixed effect. MSOAs are geographic regions of approximately 2,000-6,000 households with 5,000-15,000 individuals; adding them as control variables therefore tests whether personality PGI is related to residential affordability and preferences later in life, comparing individuals to their childhood neighbors to ensure the association reflects affordances and preferences from birth (i.e., not confounded by childhood socioeconomic status or environment). We applied a false-discovery rate correction to </w:t>
      </w:r>
      <w:r w:rsidRPr="006D4CB5">
        <w:rPr>
          <w:i/>
          <w:iCs/>
          <w:color w:val="000000" w:themeColor="text1"/>
        </w:rPr>
        <w:t>p</w:t>
      </w:r>
      <w:r w:rsidRPr="006D4CB5">
        <w:rPr>
          <w:color w:val="000000" w:themeColor="text1"/>
        </w:rPr>
        <w:t xml:space="preserve">-values of these tests and considered adjusted </w:t>
      </w:r>
      <w:r w:rsidRPr="006D4CB5">
        <w:rPr>
          <w:i/>
          <w:iCs/>
          <w:color w:val="000000" w:themeColor="text1"/>
        </w:rPr>
        <w:t>p</w:t>
      </w:r>
      <w:r w:rsidRPr="006D4CB5">
        <w:rPr>
          <w:color w:val="000000" w:themeColor="text1"/>
        </w:rPr>
        <w:t>-values &lt; 0.01 as statistically significant.</w:t>
      </w:r>
    </w:p>
    <w:p w14:paraId="6AB9F801" w14:textId="6C7F0CF2" w:rsidR="00076353" w:rsidRPr="006D4CB5" w:rsidRDefault="00076353" w:rsidP="00076353">
      <w:pPr>
        <w:rPr>
          <w:color w:val="000000" w:themeColor="text1"/>
        </w:rPr>
      </w:pPr>
      <w:r w:rsidRPr="006D4CB5">
        <w:rPr>
          <w:color w:val="000000" w:themeColor="text1"/>
        </w:rPr>
        <w:tab/>
        <w:t xml:space="preserve">As we show in </w:t>
      </w:r>
      <w:r w:rsidR="00D222B3" w:rsidRPr="006D4CB5">
        <w:rPr>
          <w:b/>
          <w:bCs/>
          <w:color w:val="000000" w:themeColor="text1"/>
        </w:rPr>
        <w:t>Extended Data Figure 7</w:t>
      </w:r>
      <w:r w:rsidRPr="006D4CB5">
        <w:rPr>
          <w:b/>
          <w:bCs/>
          <w:color w:val="000000" w:themeColor="text1"/>
        </w:rPr>
        <w:t xml:space="preserve">, </w:t>
      </w:r>
      <w:r w:rsidRPr="006D4CB5">
        <w:rPr>
          <w:color w:val="000000" w:themeColor="text1"/>
        </w:rPr>
        <w:t>we found widespread associations between openness to experience, neuroticism, and conscientiousness PGIs and residential area classification in late adulthood. Openness to experience PGI was positively associated with residing in “Cosmopolitan Student Neighborhoods,” “Inner City Cosmopolitan” areas, and “Highly Qualified Professionals’” areas, and negatively associated with various constrained and suburban residential areas. Neuroticism PGIs displayed mostly inverse associations relative to openness to experience, with low neuroticism (but not high openness to experience) associated with living in areas classified as “Prosperous Countryside Life” and “Affluent Communities.” Conscientiousness PGIs were negatively related to cosmopolitan neighborhoods and positively related to suburban living.</w:t>
      </w:r>
    </w:p>
    <w:p w14:paraId="7B6C387F" w14:textId="77777777" w:rsidR="00076353" w:rsidRPr="006D4CB5" w:rsidRDefault="00076353" w:rsidP="00076353">
      <w:pPr>
        <w:ind w:firstLine="720"/>
        <w:rPr>
          <w:color w:val="000000" w:themeColor="text1"/>
        </w:rPr>
      </w:pPr>
      <w:r w:rsidRPr="006D4CB5">
        <w:rPr>
          <w:color w:val="000000" w:themeColor="text1"/>
        </w:rPr>
        <w:t>We then repeated Analysis 1 within 20,517 sibling pairs, where the power for within-sibling analysis of a binary outcomes (e.g., residence in a certain area) was determined solely by discordant pairs. For individual area classifications, we identified between 100 and 3,602 discordant pairs (median 1,280 pairs), meaning these analyses were underpowered. We then filtered the results from Analysis 1 based on effect sign concordance in the within-sibling analysis and a within-sibling Z-statistic above 1. This filtering provides stricter control for childhood SES and other confounders, as families share potential socioeconomic confounders more intimately than individuals born in the same MSOA-level neighborhood.</w:t>
      </w:r>
    </w:p>
    <w:p w14:paraId="01C0484B" w14:textId="77777777" w:rsidR="00076353" w:rsidRPr="006D4CB5" w:rsidRDefault="00076353" w:rsidP="00076353">
      <w:pPr>
        <w:ind w:firstLine="720"/>
        <w:rPr>
          <w:color w:val="000000" w:themeColor="text1"/>
        </w:rPr>
      </w:pPr>
      <w:r w:rsidRPr="006D4CB5">
        <w:rPr>
          <w:color w:val="000000" w:themeColor="text1"/>
        </w:rPr>
        <w:t xml:space="preserve">When applying this filtering, most associations between neuroticism PGIs and area classifications were pruned (See </w:t>
      </w:r>
      <w:r w:rsidRPr="006D4CB5">
        <w:rPr>
          <w:b/>
          <w:bCs/>
          <w:color w:val="000000" w:themeColor="text1"/>
        </w:rPr>
        <w:t>Figure 4 panel E in the</w:t>
      </w:r>
      <w:r w:rsidRPr="006D4CB5">
        <w:rPr>
          <w:color w:val="000000" w:themeColor="text1"/>
        </w:rPr>
        <w:t xml:space="preserve"> </w:t>
      </w:r>
      <w:r w:rsidRPr="006D4CB5">
        <w:rPr>
          <w:b/>
          <w:bCs/>
          <w:color w:val="000000" w:themeColor="text1"/>
        </w:rPr>
        <w:t>Main Text</w:t>
      </w:r>
      <w:r w:rsidRPr="006D4CB5">
        <w:rPr>
          <w:color w:val="000000" w:themeColor="text1"/>
        </w:rPr>
        <w:t xml:space="preserve">), suggesting that they may be the result of environmental confounding, but other associations persisted, especially for openness to experience and conscientiousness. </w:t>
      </w:r>
    </w:p>
    <w:p w14:paraId="4B8E2104" w14:textId="05909E8A" w:rsidR="00076353" w:rsidRPr="006D4CB5" w:rsidRDefault="00076353" w:rsidP="00CB3B6D">
      <w:pPr>
        <w:ind w:firstLine="720"/>
        <w:rPr>
          <w:color w:val="000000" w:themeColor="text1"/>
        </w:rPr>
      </w:pPr>
      <w:r w:rsidRPr="006D4CB5">
        <w:rPr>
          <w:color w:val="000000" w:themeColor="text1"/>
        </w:rPr>
        <w:t xml:space="preserve">Finally, we repeated Analysis 1, now including median home prices at the MSOA level in 1995, 2000, 2005, and 2010 to control for the effects of personality on an individual’s ability to afford specific socio-demographic neighborhoods. The remaining effect plausibly reflects socio-cultural preference, rather than affordability. Controlling for local housing costs in the 1995-2010 timeframe attenuated the association between are-classification and personality PGI relative to analysis 1, and this attenuation was not specific to any one personality domain. We present this correlation heatmap in </w:t>
      </w:r>
      <w:r w:rsidR="00D222B3" w:rsidRPr="006D4CB5">
        <w:rPr>
          <w:b/>
          <w:bCs/>
          <w:color w:val="000000" w:themeColor="text1"/>
        </w:rPr>
        <w:t>Extended Data Figure 7</w:t>
      </w:r>
    </w:p>
    <w:p w14:paraId="26957468" w14:textId="77777777" w:rsidR="00076353" w:rsidRPr="006D4CB5" w:rsidRDefault="00076353" w:rsidP="00076353">
      <w:pPr>
        <w:rPr>
          <w:color w:val="000000" w:themeColor="text1"/>
        </w:rPr>
      </w:pPr>
    </w:p>
    <w:p w14:paraId="4E9F7BCB" w14:textId="77777777" w:rsidR="00076353" w:rsidRPr="006D4CB5" w:rsidRDefault="00076353" w:rsidP="00076353">
      <w:pPr>
        <w:rPr>
          <w:color w:val="000000" w:themeColor="text1"/>
          <w:u w:val="single"/>
        </w:rPr>
      </w:pPr>
      <w:r w:rsidRPr="006D4CB5">
        <w:rPr>
          <w:color w:val="000000" w:themeColor="text1"/>
          <w:u w:val="single"/>
        </w:rPr>
        <w:t>5.3.1 Urban/Rural Migration</w:t>
      </w:r>
    </w:p>
    <w:p w14:paraId="575CF58F" w14:textId="212074AC" w:rsidR="00076353" w:rsidRPr="006D4CB5" w:rsidRDefault="00076353" w:rsidP="00076353">
      <w:pPr>
        <w:ind w:firstLine="720"/>
        <w:rPr>
          <w:color w:val="000000" w:themeColor="text1"/>
        </w:rPr>
      </w:pPr>
      <w:r w:rsidRPr="006D4CB5">
        <w:rPr>
          <w:color w:val="000000" w:themeColor="text1"/>
        </w:rPr>
        <w:t>We also explored the extent to which personality PGIs predicted movement out of rural and urban areas, or continued residence in them, among 265,410 UK Biobank participants. Location was classified as urban or rural using the 2011 Rural-Urban Classification for Local Enterprise Partnership Areas based on Census Output Areas (</w:t>
      </w:r>
      <w:hyperlink r:id="rId9" w:history="1">
        <w:r w:rsidRPr="006D4CB5">
          <w:rPr>
            <w:color w:val="000000" w:themeColor="text1"/>
            <w:u w:val="single"/>
          </w:rPr>
          <w:t>https://www.gov.uk/government/statistical-data-sets/local-enterprise-partnerships-leps-rural-urban-gis-shapefiles</w:t>
        </w:r>
      </w:hyperlink>
      <w:r w:rsidRPr="006D4CB5">
        <w:rPr>
          <w:color w:val="000000" w:themeColor="text1"/>
        </w:rPr>
        <w:t>). We categorized participants into four bins according to whether they were born in a rural or urban area and whether they currently reside in a rural or urban area, and we predicted category membership from population-level EUR</w:t>
      </w:r>
      <w:r w:rsidR="00CB7254">
        <w:rPr>
          <w:color w:val="000000" w:themeColor="text1"/>
        </w:rPr>
        <w:t>-like</w:t>
      </w:r>
      <w:r w:rsidRPr="006D4CB5">
        <w:rPr>
          <w:color w:val="000000" w:themeColor="text1"/>
        </w:rPr>
        <w:t xml:space="preserve"> personality PGI, controlling for age and ancestral principal components. </w:t>
      </w:r>
    </w:p>
    <w:p w14:paraId="149C8CE8" w14:textId="71375CB1" w:rsidR="00076353" w:rsidRPr="006D4CB5" w:rsidRDefault="00076353" w:rsidP="00CB3B6D">
      <w:pPr>
        <w:ind w:firstLine="720"/>
        <w:rPr>
          <w:color w:val="000000" w:themeColor="text1"/>
        </w:rPr>
      </w:pPr>
      <w:r w:rsidRPr="006D4CB5">
        <w:rPr>
          <w:color w:val="000000" w:themeColor="text1"/>
        </w:rPr>
        <w:t xml:space="preserve">As we visualize in </w:t>
      </w:r>
      <w:r w:rsidR="00D222B3" w:rsidRPr="006D4CB5">
        <w:rPr>
          <w:b/>
          <w:bCs/>
          <w:color w:val="000000" w:themeColor="text1"/>
        </w:rPr>
        <w:t>Extended Data Figure 7</w:t>
      </w:r>
      <w:r w:rsidR="007D0BF5" w:rsidRPr="006D4CB5">
        <w:rPr>
          <w:b/>
          <w:bCs/>
          <w:color w:val="000000" w:themeColor="text1"/>
        </w:rPr>
        <w:t xml:space="preserve"> panel C</w:t>
      </w:r>
      <w:r w:rsidRPr="006D4CB5">
        <w:rPr>
          <w:color w:val="000000" w:themeColor="text1"/>
        </w:rPr>
        <w:t xml:space="preserve">, PGIs for each of the Big Five predicted residential movement across the lifespan. </w:t>
      </w:r>
      <w:proofErr w:type="gramStart"/>
      <w:r w:rsidRPr="006D4CB5">
        <w:rPr>
          <w:color w:val="000000" w:themeColor="text1"/>
        </w:rPr>
        <w:t>Similar to</w:t>
      </w:r>
      <w:proofErr w:type="gramEnd"/>
      <w:r w:rsidRPr="006D4CB5">
        <w:rPr>
          <w:color w:val="000000" w:themeColor="text1"/>
        </w:rPr>
        <w:t xml:space="preserve"> the residential preference PGI analyses above, participants who inherited genetic profiles associated with higher openness to experience were more likely to move to urban areas from rural birthplaces, and genetic profiles associated with conscientiousness and agreeableness predicted movement to rural areas from urban birthplaces. Complementing above residential preference results, participants who inherited genetic profiles associated with higher conscientiousness were also more likely to remain in rural areas (current residence and place of birth in rural areas), whereas openness to experience PGI was associated with lower likelihood of remaining in rural areas but not associated with remaining in urban areas. This helps further contextualize the genetics of openness to experience as especially related to residential niche-picking via leaving rural areas. These associations were highly similar, albeit with wider confidence intervals, across males and females.</w:t>
      </w:r>
    </w:p>
    <w:p w14:paraId="54D64FB6" w14:textId="77777777" w:rsidR="00076353" w:rsidRPr="006D4CB5" w:rsidRDefault="00076353" w:rsidP="00076353">
      <w:pPr>
        <w:rPr>
          <w:color w:val="000000" w:themeColor="text1"/>
        </w:rPr>
      </w:pPr>
    </w:p>
    <w:p w14:paraId="3CBCE923" w14:textId="77777777" w:rsidR="00076353" w:rsidRPr="006D4CB5" w:rsidRDefault="00076353" w:rsidP="00076353">
      <w:pPr>
        <w:rPr>
          <w:color w:val="000000" w:themeColor="text1"/>
          <w:u w:val="single"/>
        </w:rPr>
      </w:pPr>
      <w:r w:rsidRPr="006D4CB5">
        <w:rPr>
          <w:color w:val="000000" w:themeColor="text1"/>
          <w:u w:val="single"/>
        </w:rPr>
        <w:t>5.4 Assortative Mating</w:t>
      </w:r>
    </w:p>
    <w:p w14:paraId="2AF1DFE4" w14:textId="0C4E8EB7" w:rsidR="00076353" w:rsidRPr="006D4CB5" w:rsidRDefault="00076353" w:rsidP="00076353">
      <w:pPr>
        <w:rPr>
          <w:color w:val="000000" w:themeColor="text1"/>
        </w:rPr>
      </w:pPr>
      <w:r w:rsidRPr="006D4CB5">
        <w:rPr>
          <w:color w:val="000000" w:themeColor="text1"/>
        </w:rPr>
        <w:tab/>
        <w:t xml:space="preserve">Assortative mating (AM), the tendency of parents to resemble each other on a given trait, is a widespread human phenomenon (Horwitz et al., 2023). For personality traits, however, there is evidence for very little assortative mating: parents tend not to resemble each other in their phenotypic personality. In </w:t>
      </w:r>
      <w:r w:rsidR="00D222B3" w:rsidRPr="006D4CB5">
        <w:rPr>
          <w:b/>
          <w:bCs/>
          <w:color w:val="000000" w:themeColor="text1"/>
        </w:rPr>
        <w:t>Extended Data Figure 8</w:t>
      </w:r>
      <w:r w:rsidR="007D0BF5" w:rsidRPr="006D4CB5">
        <w:rPr>
          <w:b/>
          <w:bCs/>
          <w:color w:val="000000" w:themeColor="text1"/>
        </w:rPr>
        <w:t xml:space="preserve"> panel A</w:t>
      </w:r>
      <w:r w:rsidRPr="006D4CB5">
        <w:rPr>
          <w:color w:val="000000" w:themeColor="text1"/>
        </w:rPr>
        <w:t xml:space="preserve">, we visualize this phenomenon in the </w:t>
      </w:r>
      <w:proofErr w:type="spellStart"/>
      <w:r w:rsidRPr="006D4CB5">
        <w:rPr>
          <w:color w:val="000000" w:themeColor="text1"/>
        </w:rPr>
        <w:t>deCODE</w:t>
      </w:r>
      <w:proofErr w:type="spellEnd"/>
      <w:r w:rsidRPr="006D4CB5">
        <w:rPr>
          <w:color w:val="000000" w:themeColor="text1"/>
        </w:rPr>
        <w:t xml:space="preserve"> cohort (N = 5,317 mate-pairs). In this cohort, AM was greater for openness to experience than other traits, replicating past research (Horwitz et al., 2023; McCrae et al., 2008).</w:t>
      </w:r>
    </w:p>
    <w:p w14:paraId="1C2707BF" w14:textId="3CC5C22C" w:rsidR="00076353" w:rsidRPr="006D4CB5" w:rsidRDefault="00076353" w:rsidP="00076353">
      <w:pPr>
        <w:ind w:firstLine="720"/>
        <w:rPr>
          <w:color w:val="000000" w:themeColor="text1"/>
        </w:rPr>
      </w:pPr>
      <w:r w:rsidRPr="006D4CB5">
        <w:rPr>
          <w:color w:val="000000" w:themeColor="text1"/>
        </w:rPr>
        <w:t>AM can also confound genetic inference. It induces genetic correlations across the genome that affect estimates of heritability and genetic correlations with other traits (Border et al., 202</w:t>
      </w:r>
      <w:r w:rsidR="001E0D1C" w:rsidRPr="006D4CB5">
        <w:rPr>
          <w:color w:val="000000" w:themeColor="text1"/>
        </w:rPr>
        <w:t>2</w:t>
      </w:r>
      <w:r w:rsidRPr="006D4CB5">
        <w:rPr>
          <w:color w:val="000000" w:themeColor="text1"/>
        </w:rPr>
        <w:t xml:space="preserve">). Recent research has quantified AM using molecular genetic data, which tests the extent to which AM has existed over generational time (Torvik et al., 2022). </w:t>
      </w:r>
    </w:p>
    <w:p w14:paraId="5CC97819" w14:textId="5ABFBEB9" w:rsidR="00076353" w:rsidRPr="006D4CB5" w:rsidRDefault="00076353" w:rsidP="00076353">
      <w:pPr>
        <w:rPr>
          <w:color w:val="000000" w:themeColor="text1"/>
        </w:rPr>
      </w:pPr>
      <w:r w:rsidRPr="006D4CB5">
        <w:rPr>
          <w:color w:val="000000" w:themeColor="text1"/>
        </w:rPr>
        <w:tab/>
        <w:t xml:space="preserve">We developed a novel model to quantify historical AM using genomic data. The closest antecedent to the latent PGI model proposed here is Tucker-Drob (2017), which outlines error correction in PGI analysis as a latent variable model. In this model, two PGI estimates for the same trait are derived from disjoint discovery GWAS (with no sample overlap and approximately the same sample size). Here, we expand this framework to include two PGI estimates for a single trait in a pair of individuals, who may be siblings, cousins, spouses, etc. Utilizing pairs simplifies identification, which is advantageous. Notably, using PGIs, it is unnecessary to measure the trait in the target cohort, a feature that is both powerful and essential for datasets that have not measured a focal phenotype, such as the Big Five personality traits. We </w:t>
      </w:r>
      <w:r w:rsidRPr="006D4CB5">
        <w:rPr>
          <w:color w:val="000000" w:themeColor="text1"/>
        </w:rPr>
        <w:lastRenderedPageBreak/>
        <w:t xml:space="preserve">depict the structural equation model path diagram for this method in </w:t>
      </w:r>
      <w:r w:rsidR="00D222B3" w:rsidRPr="006D4CB5">
        <w:rPr>
          <w:b/>
          <w:bCs/>
          <w:color w:val="000000" w:themeColor="text1"/>
        </w:rPr>
        <w:t>Extended Data Figure 8</w:t>
      </w:r>
      <w:r w:rsidR="007D0BF5" w:rsidRPr="006D4CB5">
        <w:rPr>
          <w:b/>
          <w:bCs/>
          <w:color w:val="000000" w:themeColor="text1"/>
        </w:rPr>
        <w:t xml:space="preserve"> panel B</w:t>
      </w:r>
      <w:r w:rsidR="00D222B3" w:rsidRPr="006D4CB5">
        <w:rPr>
          <w:b/>
          <w:bCs/>
          <w:color w:val="000000" w:themeColor="text1"/>
        </w:rPr>
        <w:t>.</w:t>
      </w:r>
    </w:p>
    <w:p w14:paraId="3811405C" w14:textId="77777777" w:rsidR="00076353" w:rsidRPr="006D4CB5" w:rsidRDefault="00076353" w:rsidP="00076353">
      <w:pPr>
        <w:ind w:firstLine="720"/>
        <w:rPr>
          <w:color w:val="000000" w:themeColor="text1"/>
        </w:rPr>
      </w:pPr>
      <w:r w:rsidRPr="006D4CB5">
        <w:rPr>
          <w:color w:val="000000" w:themeColor="text1"/>
        </w:rPr>
        <w:t>The expected genetic correlation (</w:t>
      </w:r>
      <w:r w:rsidRPr="006D4CB5">
        <w:rPr>
          <w:i/>
          <w:iCs/>
          <w:color w:val="000000" w:themeColor="text1"/>
        </w:rPr>
        <w:t>r</w:t>
      </w:r>
      <w:r w:rsidRPr="006D4CB5">
        <w:rPr>
          <w:i/>
          <w:iCs/>
          <w:color w:val="000000" w:themeColor="text1"/>
          <w:vertAlign w:val="subscript"/>
        </w:rPr>
        <w:t>g</w:t>
      </w:r>
      <w:r w:rsidRPr="006D4CB5">
        <w:rPr>
          <w:color w:val="000000" w:themeColor="text1"/>
        </w:rPr>
        <w:t>) for siblings is 0.5, and for cousins, it is 0.125. Under assortative mating equilibrium (i.e., when assortative mating has been consistent over multiple generations, resulting in stable genetic correlations), these parameters increase as a function of the genetic correlation between parents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oMath>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r>
          <w:rPr>
            <w:rFonts w:ascii="Cambria Math" w:hAnsi="Cambria Math"/>
            <w:color w:val="000000" w:themeColor="text1"/>
          </w:rPr>
          <m:t xml:space="preserve"> </m:t>
        </m:r>
      </m:oMath>
      <w:r w:rsidRPr="006D4CB5">
        <w:rPr>
          <w:color w:val="000000" w:themeColor="text1"/>
        </w:rPr>
        <w:t>is the genetic correlation between parents for a given trait due to assortative mating. The functional relationships are as follows:</w:t>
      </w:r>
    </w:p>
    <w:p w14:paraId="08DED03C" w14:textId="77777777" w:rsidR="00076353" w:rsidRPr="006D4CB5" w:rsidRDefault="00076353" w:rsidP="00076353">
      <w:pPr>
        <w:rPr>
          <w:color w:val="000000" w:themeColor="text1"/>
        </w:rPr>
      </w:pPr>
    </w:p>
    <w:p w14:paraId="66E733DC" w14:textId="09B6D499"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sib</m:t>
            </m:r>
          </m:sub>
        </m:sSub>
        <m:r>
          <w:rPr>
            <w:rFonts w:ascii="Cambria Math" w:hAnsi="Cambria Math"/>
            <w:color w:val="000000" w:themeColor="text1"/>
          </w:rPr>
          <m:t xml:space="preserve">= </m:t>
        </m:r>
        <m:f>
          <m:fPr>
            <m:ctrlPr>
              <w:rPr>
                <w:rFonts w:ascii="Cambria Math" w:hAnsi="Cambria Math"/>
                <w:i/>
                <w:color w:val="000000" w:themeColor="text1"/>
              </w:rPr>
            </m:ctrlPr>
          </m:fPr>
          <m:num>
            <m:r>
              <w:rPr>
                <w:rFonts w:ascii="Cambria Math" w:hAnsi="Cambria Math"/>
                <w:color w:val="000000" w:themeColor="text1"/>
              </w:rPr>
              <m:t xml:space="preserve">(1+ </m:t>
            </m:r>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r>
              <w:rPr>
                <w:rFonts w:ascii="Cambria Math" w:hAnsi="Cambria Math"/>
                <w:color w:val="000000" w:themeColor="text1"/>
              </w:rPr>
              <m:t>)</m:t>
            </m:r>
          </m:num>
          <m:den>
            <m:r>
              <w:rPr>
                <w:rFonts w:ascii="Cambria Math" w:hAnsi="Cambria Math"/>
                <w:color w:val="000000" w:themeColor="text1"/>
              </w:rPr>
              <m:t>2</m:t>
            </m:r>
          </m:den>
        </m:f>
        <m:r>
          <w:rPr>
            <w:rFonts w:ascii="Cambria Math" w:hAnsi="Cambria Math"/>
            <w:color w:val="000000" w:themeColor="text1"/>
          </w:rPr>
          <m:t xml:space="preserve"> </m:t>
        </m:r>
      </m:oMath>
      <w:r w:rsidR="00076353" w:rsidRPr="006D4CB5">
        <w:rPr>
          <w:color w:val="000000" w:themeColor="text1"/>
        </w:rPr>
        <w:tab/>
      </w:r>
      <w:r w:rsidR="00076353" w:rsidRPr="006D4CB5">
        <w:rPr>
          <w:color w:val="000000" w:themeColor="text1"/>
        </w:rPr>
        <w:tab/>
        <w:t>(Eq. 1</w:t>
      </w:r>
      <w:r w:rsidR="00566C22" w:rsidRPr="006D4CB5">
        <w:rPr>
          <w:color w:val="000000" w:themeColor="text1"/>
        </w:rPr>
        <w:t>6</w:t>
      </w:r>
      <w:r w:rsidR="0032425E" w:rsidRPr="006D4CB5">
        <w:rPr>
          <w:color w:val="000000" w:themeColor="text1"/>
        </w:rPr>
        <w:t>a</w:t>
      </w:r>
      <w:r w:rsidR="00076353" w:rsidRPr="006D4CB5">
        <w:rPr>
          <w:color w:val="000000" w:themeColor="text1"/>
        </w:rPr>
        <w:t>)</w:t>
      </w:r>
    </w:p>
    <w:p w14:paraId="4EBD6340" w14:textId="77777777" w:rsidR="00076353" w:rsidRPr="006D4CB5" w:rsidRDefault="00076353" w:rsidP="00076353">
      <w:pPr>
        <w:jc w:val="center"/>
        <w:rPr>
          <w:color w:val="000000" w:themeColor="text1"/>
        </w:rPr>
      </w:pPr>
    </w:p>
    <w:p w14:paraId="52957068" w14:textId="77777777" w:rsidR="00076353" w:rsidRPr="006D4CB5" w:rsidRDefault="00076353" w:rsidP="00076353">
      <w:pPr>
        <w:jc w:val="center"/>
        <w:rPr>
          <w:color w:val="000000" w:themeColor="text1"/>
        </w:rPr>
      </w:pPr>
      <w:r w:rsidRPr="006D4CB5">
        <w:rPr>
          <w:color w:val="000000" w:themeColor="text1"/>
        </w:rPr>
        <w:t>and</w:t>
      </w:r>
    </w:p>
    <w:p w14:paraId="4A061DAC" w14:textId="77777777" w:rsidR="00076353" w:rsidRPr="006D4CB5" w:rsidRDefault="00076353" w:rsidP="00076353">
      <w:pPr>
        <w:jc w:val="center"/>
        <w:rPr>
          <w:color w:val="000000" w:themeColor="text1"/>
        </w:rPr>
      </w:pPr>
    </w:p>
    <w:p w14:paraId="67AD2BCB" w14:textId="0AB74271"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cousins</m:t>
            </m:r>
          </m:sub>
        </m:sSub>
        <m:r>
          <w:rPr>
            <w:rFonts w:ascii="Cambria Math" w:hAnsi="Cambria Math"/>
            <w:color w:val="000000" w:themeColor="text1"/>
          </w:rPr>
          <m:t xml:space="preserve">= </m:t>
        </m:r>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 xml:space="preserve">(1+ </m:t>
                    </m:r>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r>
                      <w:rPr>
                        <w:rFonts w:ascii="Cambria Math" w:hAnsi="Cambria Math"/>
                        <w:color w:val="000000" w:themeColor="text1"/>
                      </w:rPr>
                      <m:t>)</m:t>
                    </m:r>
                  </m:num>
                  <m:den>
                    <m:r>
                      <w:rPr>
                        <w:rFonts w:ascii="Cambria Math" w:hAnsi="Cambria Math"/>
                        <w:color w:val="000000" w:themeColor="text1"/>
                      </w:rPr>
                      <m:t>2</m:t>
                    </m:r>
                  </m:den>
                </m:f>
                <m:r>
                  <w:rPr>
                    <w:rFonts w:ascii="Cambria Math" w:hAnsi="Cambria Math"/>
                    <w:color w:val="000000" w:themeColor="text1"/>
                  </w:rPr>
                  <m:t xml:space="preserve"> </m:t>
                </m:r>
              </m:e>
            </m:d>
          </m:e>
          <m:sup>
            <m:r>
              <w:rPr>
                <w:rFonts w:ascii="Cambria Math" w:hAnsi="Cambria Math"/>
                <w:color w:val="000000" w:themeColor="text1"/>
              </w:rPr>
              <m:t>3</m:t>
            </m:r>
          </m:sup>
        </m:sSup>
      </m:oMath>
      <w:r w:rsidR="00076353" w:rsidRPr="006D4CB5">
        <w:rPr>
          <w:color w:val="000000" w:themeColor="text1"/>
        </w:rPr>
        <w:t xml:space="preserve"> .</w:t>
      </w:r>
      <w:r w:rsidR="00076353" w:rsidRPr="006D4CB5">
        <w:rPr>
          <w:color w:val="000000" w:themeColor="text1"/>
        </w:rPr>
        <w:tab/>
        <w:t>(Eq. 1</w:t>
      </w:r>
      <w:r w:rsidR="00566C22" w:rsidRPr="006D4CB5">
        <w:rPr>
          <w:color w:val="000000" w:themeColor="text1"/>
        </w:rPr>
        <w:t>6</w:t>
      </w:r>
      <w:r w:rsidR="0032425E" w:rsidRPr="006D4CB5">
        <w:rPr>
          <w:color w:val="000000" w:themeColor="text1"/>
        </w:rPr>
        <w:t>b</w:t>
      </w:r>
      <w:r w:rsidR="00076353" w:rsidRPr="006D4CB5">
        <w:rPr>
          <w:color w:val="000000" w:themeColor="text1"/>
        </w:rPr>
        <w:t>)</w:t>
      </w:r>
    </w:p>
    <w:p w14:paraId="7976028E" w14:textId="77777777" w:rsidR="00076353" w:rsidRPr="006D4CB5" w:rsidRDefault="00076353" w:rsidP="00076353">
      <w:pPr>
        <w:rPr>
          <w:color w:val="000000" w:themeColor="text1"/>
        </w:rPr>
      </w:pPr>
    </w:p>
    <w:p w14:paraId="3F4CEC6F" w14:textId="77777777" w:rsidR="00076353" w:rsidRPr="006D4CB5" w:rsidRDefault="00076353" w:rsidP="00076353">
      <w:pPr>
        <w:rPr>
          <w:color w:val="000000" w:themeColor="text1"/>
        </w:rPr>
      </w:pPr>
    </w:p>
    <w:p w14:paraId="051738EB" w14:textId="77777777" w:rsidR="00076353" w:rsidRPr="006D4CB5" w:rsidRDefault="00076353" w:rsidP="00076353">
      <w:pPr>
        <w:rPr>
          <w:color w:val="000000" w:themeColor="text1"/>
        </w:rPr>
      </w:pPr>
      <w:r w:rsidRPr="006D4CB5">
        <w:rPr>
          <w:color w:val="000000" w:themeColor="text1"/>
        </w:rPr>
        <w:t>And we can express the inverse relation as:</w:t>
      </w:r>
    </w:p>
    <w:p w14:paraId="66EF33A2" w14:textId="77777777" w:rsidR="00076353" w:rsidRPr="006D4CB5" w:rsidRDefault="00076353" w:rsidP="00076353">
      <w:pPr>
        <w:rPr>
          <w:color w:val="000000" w:themeColor="text1"/>
        </w:rPr>
      </w:pPr>
    </w:p>
    <w:p w14:paraId="019CCAC3" w14:textId="337C8FDD"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r>
          <w:rPr>
            <w:rFonts w:ascii="Cambria Math" w:hAnsi="Cambria Math"/>
            <w:color w:val="000000" w:themeColor="text1"/>
          </w:rPr>
          <m:t>= 2*</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sib</m:t>
                </m:r>
              </m:sub>
            </m:sSub>
          </m:e>
        </m:d>
        <m:r>
          <w:rPr>
            <w:rFonts w:ascii="Cambria Math" w:hAnsi="Cambria Math"/>
            <w:color w:val="000000" w:themeColor="text1"/>
          </w:rPr>
          <m:t>-1</m:t>
        </m:r>
      </m:oMath>
      <w:r w:rsidR="00076353" w:rsidRPr="006D4CB5">
        <w:rPr>
          <w:color w:val="000000" w:themeColor="text1"/>
        </w:rPr>
        <w:t xml:space="preserve"> </w:t>
      </w:r>
      <w:r w:rsidR="00076353" w:rsidRPr="006D4CB5">
        <w:rPr>
          <w:color w:val="000000" w:themeColor="text1"/>
        </w:rPr>
        <w:tab/>
      </w:r>
      <w:r w:rsidR="00076353" w:rsidRPr="006D4CB5">
        <w:rPr>
          <w:color w:val="000000" w:themeColor="text1"/>
        </w:rPr>
        <w:tab/>
        <w:t>(Eq. 1</w:t>
      </w:r>
      <w:r w:rsidR="00566C22" w:rsidRPr="006D4CB5">
        <w:rPr>
          <w:color w:val="000000" w:themeColor="text1"/>
        </w:rPr>
        <w:t>7</w:t>
      </w:r>
      <w:r w:rsidR="0032425E" w:rsidRPr="006D4CB5">
        <w:rPr>
          <w:color w:val="000000" w:themeColor="text1"/>
        </w:rPr>
        <w:t>a</w:t>
      </w:r>
      <w:r w:rsidR="00076353" w:rsidRPr="006D4CB5">
        <w:rPr>
          <w:color w:val="000000" w:themeColor="text1"/>
        </w:rPr>
        <w:t>)</w:t>
      </w:r>
    </w:p>
    <w:p w14:paraId="771B4672" w14:textId="77777777" w:rsidR="00076353" w:rsidRPr="006D4CB5" w:rsidRDefault="00076353" w:rsidP="00076353">
      <w:pPr>
        <w:jc w:val="center"/>
        <w:rPr>
          <w:color w:val="000000" w:themeColor="text1"/>
        </w:rPr>
      </w:pPr>
    </w:p>
    <w:p w14:paraId="6C6A78AD" w14:textId="77777777" w:rsidR="00076353" w:rsidRPr="006D4CB5" w:rsidRDefault="00076353" w:rsidP="00076353">
      <w:pPr>
        <w:jc w:val="center"/>
        <w:rPr>
          <w:color w:val="000000" w:themeColor="text1"/>
        </w:rPr>
      </w:pPr>
      <w:r w:rsidRPr="006D4CB5">
        <w:rPr>
          <w:color w:val="000000" w:themeColor="text1"/>
        </w:rPr>
        <w:t>and</w:t>
      </w:r>
    </w:p>
    <w:p w14:paraId="4BA4746A" w14:textId="77777777" w:rsidR="00076353" w:rsidRPr="006D4CB5" w:rsidRDefault="00076353" w:rsidP="00076353">
      <w:pPr>
        <w:jc w:val="center"/>
        <w:rPr>
          <w:color w:val="000000" w:themeColor="text1"/>
        </w:rPr>
      </w:pPr>
    </w:p>
    <w:p w14:paraId="7F12F22D" w14:textId="4CA7EE92"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r>
          <w:rPr>
            <w:rFonts w:ascii="Cambria Math" w:hAnsi="Cambria Math"/>
            <w:color w:val="000000" w:themeColor="text1"/>
          </w:rPr>
          <m:t>= 2*</m:t>
        </m:r>
        <m:d>
          <m:dPr>
            <m:ctrlPr>
              <w:rPr>
                <w:rFonts w:ascii="Cambria Math" w:hAnsi="Cambria Math"/>
                <w:i/>
                <w:color w:val="000000" w:themeColor="text1"/>
              </w:rPr>
            </m:ctrlPr>
          </m:dPr>
          <m:e>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cousins</m:t>
                    </m:r>
                  </m:sub>
                </m:sSub>
              </m:e>
              <m:sup>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sup>
            </m:sSup>
          </m:e>
        </m:d>
        <m:r>
          <w:rPr>
            <w:rFonts w:ascii="Cambria Math" w:hAnsi="Cambria Math"/>
            <w:color w:val="000000" w:themeColor="text1"/>
          </w:rPr>
          <m:t>-1</m:t>
        </m:r>
      </m:oMath>
      <w:r w:rsidR="00076353" w:rsidRPr="006D4CB5">
        <w:rPr>
          <w:color w:val="000000" w:themeColor="text1"/>
        </w:rPr>
        <w:t>.</w:t>
      </w:r>
      <w:r w:rsidR="00076353" w:rsidRPr="006D4CB5">
        <w:rPr>
          <w:color w:val="000000" w:themeColor="text1"/>
        </w:rPr>
        <w:tab/>
        <w:t>(Eq. 1</w:t>
      </w:r>
      <w:r w:rsidR="00566C22" w:rsidRPr="006D4CB5">
        <w:rPr>
          <w:color w:val="000000" w:themeColor="text1"/>
        </w:rPr>
        <w:t>7</w:t>
      </w:r>
      <w:r w:rsidR="00076353" w:rsidRPr="006D4CB5">
        <w:rPr>
          <w:color w:val="000000" w:themeColor="text1"/>
        </w:rPr>
        <w:t>b)</w:t>
      </w:r>
    </w:p>
    <w:p w14:paraId="14E1A93A" w14:textId="77777777" w:rsidR="00076353" w:rsidRPr="006D4CB5" w:rsidRDefault="00076353" w:rsidP="00076353">
      <w:pPr>
        <w:rPr>
          <w:color w:val="000000" w:themeColor="text1"/>
        </w:rPr>
      </w:pPr>
    </w:p>
    <w:p w14:paraId="3025D9BB" w14:textId="77777777" w:rsidR="00076353" w:rsidRPr="006D4CB5" w:rsidRDefault="00076353" w:rsidP="00076353">
      <w:pPr>
        <w:ind w:firstLine="720"/>
        <w:rPr>
          <w:color w:val="000000" w:themeColor="text1"/>
        </w:rPr>
      </w:pPr>
      <w:r w:rsidRPr="006D4CB5">
        <w:rPr>
          <w:color w:val="000000" w:themeColor="text1"/>
        </w:rPr>
        <w:t xml:space="preserve">Based on cousin, sibling and spousal relations we generate 3 estimates of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oMath>
      <w:r w:rsidRPr="006D4CB5">
        <w:rPr>
          <w:color w:val="000000" w:themeColor="text1"/>
        </w:rPr>
        <w:t xml:space="preserve">. Estimating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oMath>
      <w:r w:rsidRPr="006D4CB5">
        <w:rPr>
          <w:color w:val="000000" w:themeColor="text1"/>
        </w:rPr>
        <w:t xml:space="preserve"> based on sibs, cousins and </w:t>
      </w:r>
      <w:proofErr w:type="gramStart"/>
      <w:r w:rsidRPr="006D4CB5">
        <w:rPr>
          <w:color w:val="000000" w:themeColor="text1"/>
        </w:rPr>
        <w:t>spouses</w:t>
      </w:r>
      <w:proofErr w:type="gramEnd"/>
      <w:r w:rsidRPr="006D4CB5">
        <w:rPr>
          <w:color w:val="000000" w:themeColor="text1"/>
        </w:rPr>
        <w:t xml:space="preserve"> gives us three independent estimates which guards against bias in either of the independent estimates.</w:t>
      </w:r>
    </w:p>
    <w:p w14:paraId="371EB599" w14:textId="709437BD" w:rsidR="00076353" w:rsidRPr="006D4CB5" w:rsidRDefault="00076353" w:rsidP="00EF2600">
      <w:pPr>
        <w:ind w:firstLine="720"/>
        <w:rPr>
          <w:color w:val="000000" w:themeColor="text1"/>
        </w:rPr>
      </w:pPr>
      <w:r w:rsidRPr="006D4CB5">
        <w:rPr>
          <w:color w:val="000000" w:themeColor="text1"/>
        </w:rPr>
        <w:t>To test for AM in personality</w:t>
      </w:r>
      <w:r w:rsidR="00110D49" w:rsidRPr="006D4CB5">
        <w:rPr>
          <w:color w:val="000000" w:themeColor="text1"/>
        </w:rPr>
        <w:t xml:space="preserve"> over recent generations</w:t>
      </w:r>
      <w:r w:rsidRPr="006D4CB5">
        <w:rPr>
          <w:color w:val="000000" w:themeColor="text1"/>
        </w:rPr>
        <w:t xml:space="preserve">, we used data from participants </w:t>
      </w:r>
      <w:r w:rsidR="001C77A6" w:rsidRPr="006D4CB5">
        <w:rPr>
          <w:color w:val="000000" w:themeColor="text1"/>
        </w:rPr>
        <w:t xml:space="preserve">with </w:t>
      </w:r>
      <w:r w:rsidRPr="006D4CB5">
        <w:rPr>
          <w:color w:val="000000" w:themeColor="text1"/>
        </w:rPr>
        <w:t xml:space="preserve">European-like </w:t>
      </w:r>
      <w:r w:rsidR="001C77A6" w:rsidRPr="006D4CB5">
        <w:rPr>
          <w:color w:val="000000" w:themeColor="text1"/>
        </w:rPr>
        <w:t xml:space="preserve">genomes </w:t>
      </w:r>
      <w:r w:rsidRPr="006D4CB5">
        <w:rPr>
          <w:color w:val="000000" w:themeColor="text1"/>
        </w:rPr>
        <w:t xml:space="preserve">in the UK Biobank and </w:t>
      </w:r>
      <w:proofErr w:type="spellStart"/>
      <w:r w:rsidRPr="006D4CB5">
        <w:rPr>
          <w:color w:val="000000" w:themeColor="text1"/>
        </w:rPr>
        <w:t>deCODE</w:t>
      </w:r>
      <w:proofErr w:type="spellEnd"/>
      <w:r w:rsidRPr="006D4CB5">
        <w:rPr>
          <w:color w:val="000000" w:themeColor="text1"/>
        </w:rPr>
        <w:t xml:space="preserve"> cohorts. </w:t>
      </w:r>
      <w:r w:rsidR="000D40E2" w:rsidRPr="006D4CB5">
        <w:rPr>
          <w:color w:val="000000" w:themeColor="text1"/>
        </w:rPr>
        <w:t xml:space="preserve">Because spouse information is not directly available in UK Biobank, spouse pairs were inferred using criteria </w:t>
      </w:r>
      <w:r w:rsidR="00EF2600" w:rsidRPr="006D4CB5">
        <w:rPr>
          <w:color w:val="000000" w:themeColor="text1"/>
        </w:rPr>
        <w:t>following Kelly and colleagues (2026).</w:t>
      </w:r>
      <w:r w:rsidR="000D40E2" w:rsidRPr="006D4CB5">
        <w:rPr>
          <w:color w:val="000000" w:themeColor="text1"/>
        </w:rPr>
        <w:t xml:space="preserve"> </w:t>
      </w:r>
      <w:r w:rsidR="00EF2600" w:rsidRPr="006D4CB5">
        <w:rPr>
          <w:color w:val="000000" w:themeColor="text1"/>
        </w:rPr>
        <w:t xml:space="preserve">Briefly, this method identifies collocated participants who are </w:t>
      </w:r>
      <w:r w:rsidR="00617830" w:rsidRPr="006D4CB5">
        <w:rPr>
          <w:color w:val="000000" w:themeColor="text1"/>
        </w:rPr>
        <w:t>collocated</w:t>
      </w:r>
      <w:r w:rsidR="00EF2600" w:rsidRPr="006D4CB5">
        <w:rPr>
          <w:color w:val="000000" w:themeColor="text1"/>
        </w:rPr>
        <w:t xml:space="preserve">, report compatible sets of household members, report living with a partner, are opposite sex, are not first-or </w:t>
      </w:r>
      <w:proofErr w:type="gramStart"/>
      <w:r w:rsidR="00EF2600" w:rsidRPr="006D4CB5">
        <w:rPr>
          <w:color w:val="000000" w:themeColor="text1"/>
        </w:rPr>
        <w:t>second degree</w:t>
      </w:r>
      <w:proofErr w:type="gramEnd"/>
      <w:r w:rsidR="00EF2600" w:rsidRPr="006D4CB5">
        <w:rPr>
          <w:color w:val="000000" w:themeColor="text1"/>
        </w:rPr>
        <w:t xml:space="preserve"> relatives, and match on objective household characteristics or assessment center visit. This resulted in 92,768 spouse pairs. </w:t>
      </w:r>
      <w:r w:rsidR="00C84075" w:rsidRPr="006D4CB5">
        <w:rPr>
          <w:color w:val="000000" w:themeColor="text1"/>
        </w:rPr>
        <w:t xml:space="preserve">We restricted </w:t>
      </w:r>
      <w:r w:rsidR="00EF2600" w:rsidRPr="006D4CB5">
        <w:rPr>
          <w:color w:val="000000" w:themeColor="text1"/>
        </w:rPr>
        <w:t xml:space="preserve">genomic analyses </w:t>
      </w:r>
      <w:r w:rsidR="00C84075" w:rsidRPr="006D4CB5">
        <w:rPr>
          <w:color w:val="000000" w:themeColor="text1"/>
        </w:rPr>
        <w:t xml:space="preserve">of assortative mating </w:t>
      </w:r>
      <w:r w:rsidR="00EF2600" w:rsidRPr="006D4CB5">
        <w:rPr>
          <w:color w:val="000000" w:themeColor="text1"/>
        </w:rPr>
        <w:t xml:space="preserve">to pairs where both members identified as White British and were genotyped, resulting in a total of 78,236 spouse pairs, in </w:t>
      </w:r>
      <w:r w:rsidR="000D40E2" w:rsidRPr="006D4CB5">
        <w:rPr>
          <w:color w:val="000000" w:themeColor="text1"/>
        </w:rPr>
        <w:t>addition to 21,361 sibling pairs and 66,745 cousin pairs</w:t>
      </w:r>
      <w:r w:rsidR="000D40E2" w:rsidRPr="006D4CB5">
        <w:rPr>
          <w:rFonts w:ascii="Arial" w:hAnsi="Arial" w:cs="Arial"/>
          <w:i/>
          <w:iCs/>
          <w:color w:val="000000" w:themeColor="text1"/>
          <w:sz w:val="22"/>
          <w:szCs w:val="22"/>
        </w:rPr>
        <w:t>.</w:t>
      </w:r>
      <w:r w:rsidRPr="006D4CB5">
        <w:rPr>
          <w:color w:val="000000" w:themeColor="text1"/>
        </w:rPr>
        <w:t xml:space="preserve"> Given the UK Biobank age range at recruitment (39-70 years), we are confident in assuming that third-degree relatives based on kinship are cousins, as opposed to grandparent-grandchild relationships. We used IBD0 to distinguish between sibling and parent-offspring pairs. In </w:t>
      </w:r>
      <w:proofErr w:type="spellStart"/>
      <w:r w:rsidRPr="006D4CB5">
        <w:rPr>
          <w:color w:val="000000" w:themeColor="text1"/>
        </w:rPr>
        <w:t>deCODE</w:t>
      </w:r>
      <w:proofErr w:type="spellEnd"/>
      <w:r w:rsidRPr="006D4CB5">
        <w:rPr>
          <w:color w:val="000000" w:themeColor="text1"/>
        </w:rPr>
        <w:t xml:space="preserve">, we identified 59,286 spousal pairs, 31,190 cousin pairs, and 42,882 sibling pairs. </w:t>
      </w:r>
    </w:p>
    <w:p w14:paraId="3029802E" w14:textId="5DF89537" w:rsidR="00076353" w:rsidRPr="006D4CB5" w:rsidRDefault="00076353" w:rsidP="00076353">
      <w:pPr>
        <w:ind w:firstLine="720"/>
        <w:rPr>
          <w:color w:val="000000" w:themeColor="text1"/>
        </w:rPr>
      </w:pPr>
      <w:r w:rsidRPr="006D4CB5">
        <w:rPr>
          <w:color w:val="000000" w:themeColor="text1"/>
        </w:rPr>
        <w:t>We computed two split-half PGIs for each of the Big Five traits</w:t>
      </w:r>
      <w:r w:rsidR="00EC7765" w:rsidRPr="006D4CB5">
        <w:rPr>
          <w:color w:val="000000" w:themeColor="text1"/>
        </w:rPr>
        <w:t xml:space="preserve">, based on the split-half GWAS we estimated to quantify replicability of genetic effects on personality (see </w:t>
      </w:r>
      <w:r w:rsidR="00EC7765" w:rsidRPr="006D4CB5">
        <w:rPr>
          <w:b/>
          <w:bCs/>
          <w:color w:val="000000" w:themeColor="text1"/>
        </w:rPr>
        <w:t>Online Supplementary Methods</w:t>
      </w:r>
      <w:r w:rsidR="00EC7765" w:rsidRPr="006D4CB5">
        <w:rPr>
          <w:color w:val="000000" w:themeColor="text1"/>
        </w:rPr>
        <w:t xml:space="preserve"> and </w:t>
      </w:r>
      <w:r w:rsidR="00EC7765" w:rsidRPr="006D4CB5">
        <w:rPr>
          <w:b/>
          <w:bCs/>
          <w:color w:val="000000" w:themeColor="text1"/>
        </w:rPr>
        <w:t>Supplementary Table S</w:t>
      </w:r>
      <w:r w:rsidR="009101BA" w:rsidRPr="006D4CB5">
        <w:rPr>
          <w:b/>
          <w:bCs/>
          <w:color w:val="000000" w:themeColor="text1"/>
        </w:rPr>
        <w:t>1</w:t>
      </w:r>
      <w:r w:rsidR="00723032" w:rsidRPr="006D4CB5">
        <w:rPr>
          <w:b/>
          <w:bCs/>
          <w:color w:val="000000" w:themeColor="text1"/>
        </w:rPr>
        <w:t>5</w:t>
      </w:r>
      <w:r w:rsidR="00EC7765" w:rsidRPr="006D4CB5">
        <w:rPr>
          <w:color w:val="000000" w:themeColor="text1"/>
        </w:rPr>
        <w:t>).</w:t>
      </w:r>
      <w:r w:rsidRPr="006D4CB5">
        <w:rPr>
          <w:color w:val="000000" w:themeColor="text1"/>
        </w:rPr>
        <w:t xml:space="preserve"> </w:t>
      </w:r>
      <w:r w:rsidR="00EC7765" w:rsidRPr="006D4CB5">
        <w:rPr>
          <w:color w:val="000000" w:themeColor="text1"/>
        </w:rPr>
        <w:t>W</w:t>
      </w:r>
      <w:r w:rsidR="00270A63" w:rsidRPr="006D4CB5">
        <w:rPr>
          <w:color w:val="000000" w:themeColor="text1"/>
        </w:rPr>
        <w:t>e</w:t>
      </w:r>
      <w:r w:rsidR="00EC7765" w:rsidRPr="006D4CB5">
        <w:rPr>
          <w:color w:val="000000" w:themeColor="text1"/>
        </w:rPr>
        <w:t xml:space="preserve"> then</w:t>
      </w:r>
      <w:r w:rsidR="00270A63" w:rsidRPr="006D4CB5">
        <w:rPr>
          <w:color w:val="000000" w:themeColor="text1"/>
        </w:rPr>
        <w:t xml:space="preserve"> estimated PGI weights </w:t>
      </w:r>
      <w:r w:rsidR="00270A63" w:rsidRPr="006D4CB5">
        <w:rPr>
          <w:color w:val="000000" w:themeColor="text1"/>
        </w:rPr>
        <w:lastRenderedPageBreak/>
        <w:t xml:space="preserve">from each split half using </w:t>
      </w:r>
      <w:proofErr w:type="spellStart"/>
      <w:r w:rsidR="00270A63" w:rsidRPr="006D4CB5">
        <w:rPr>
          <w:color w:val="000000" w:themeColor="text1"/>
        </w:rPr>
        <w:t>SBayesR</w:t>
      </w:r>
      <w:proofErr w:type="spellEnd"/>
      <w:r w:rsidR="00EC7765" w:rsidRPr="006D4CB5">
        <w:rPr>
          <w:color w:val="000000" w:themeColor="text1"/>
        </w:rPr>
        <w:t xml:space="preserve">, following the method in </w:t>
      </w:r>
      <w:r w:rsidR="009101BA" w:rsidRPr="006D4CB5">
        <w:rPr>
          <w:color w:val="000000" w:themeColor="text1"/>
        </w:rPr>
        <w:t>S</w:t>
      </w:r>
      <w:r w:rsidR="00EC7765" w:rsidRPr="006D4CB5">
        <w:rPr>
          <w:color w:val="000000" w:themeColor="text1"/>
        </w:rPr>
        <w:t xml:space="preserve">ection 4, </w:t>
      </w:r>
      <w:r w:rsidR="00270A63" w:rsidRPr="006D4CB5">
        <w:rPr>
          <w:color w:val="000000" w:themeColor="text1"/>
        </w:rPr>
        <w:t>and</w:t>
      </w:r>
      <w:r w:rsidR="00EC7765" w:rsidRPr="006D4CB5">
        <w:rPr>
          <w:color w:val="000000" w:themeColor="text1"/>
        </w:rPr>
        <w:t xml:space="preserve"> we</w:t>
      </w:r>
      <w:r w:rsidR="00270A63" w:rsidRPr="006D4CB5">
        <w:rPr>
          <w:color w:val="000000" w:themeColor="text1"/>
        </w:rPr>
        <w:t xml:space="preserve"> applied </w:t>
      </w:r>
      <w:r w:rsidR="00EC7765" w:rsidRPr="006D4CB5">
        <w:rPr>
          <w:color w:val="000000" w:themeColor="text1"/>
        </w:rPr>
        <w:t>both sets of PGI weights to</w:t>
      </w:r>
      <w:r w:rsidR="00270A63" w:rsidRPr="006D4CB5">
        <w:rPr>
          <w:color w:val="000000" w:themeColor="text1"/>
        </w:rPr>
        <w:t xml:space="preserve"> </w:t>
      </w:r>
      <w:r w:rsidR="00EC7765" w:rsidRPr="006D4CB5">
        <w:rPr>
          <w:color w:val="000000" w:themeColor="text1"/>
        </w:rPr>
        <w:t xml:space="preserve">each </w:t>
      </w:r>
      <w:r w:rsidR="00270A63" w:rsidRPr="006D4CB5">
        <w:rPr>
          <w:color w:val="000000" w:themeColor="text1"/>
        </w:rPr>
        <w:t>UK Biobank participant</w:t>
      </w:r>
      <w:r w:rsidR="00EC7765" w:rsidRPr="006D4CB5">
        <w:rPr>
          <w:color w:val="000000" w:themeColor="text1"/>
        </w:rPr>
        <w:t xml:space="preserve"> in this dyadic sample set</w:t>
      </w:r>
      <w:r w:rsidR="00270A63" w:rsidRPr="006D4CB5">
        <w:rPr>
          <w:color w:val="000000" w:themeColor="text1"/>
        </w:rPr>
        <w:t xml:space="preserve">. We note that </w:t>
      </w:r>
      <w:proofErr w:type="spellStart"/>
      <w:r w:rsidR="00270A63" w:rsidRPr="006D4CB5">
        <w:rPr>
          <w:color w:val="000000" w:themeColor="text1"/>
        </w:rPr>
        <w:t>SBayesR</w:t>
      </w:r>
      <w:proofErr w:type="spellEnd"/>
      <w:r w:rsidR="00270A63" w:rsidRPr="006D4CB5">
        <w:rPr>
          <w:color w:val="000000" w:themeColor="text1"/>
        </w:rPr>
        <w:t xml:space="preserve"> relies on a specific model of genetic architecture that is ba</w:t>
      </w:r>
      <w:r w:rsidR="00D51AE2" w:rsidRPr="006D4CB5">
        <w:rPr>
          <w:color w:val="000000" w:themeColor="text1"/>
        </w:rPr>
        <w:t>s</w:t>
      </w:r>
      <w:r w:rsidR="00270A63" w:rsidRPr="006D4CB5">
        <w:rPr>
          <w:color w:val="000000" w:themeColor="text1"/>
        </w:rPr>
        <w:t>ed on a mixture of 4 distributions of effect sizes, and that other methods for estimating PGI weights may produce somewhat different estimates of cross-spouse genetic correlations.</w:t>
      </w:r>
    </w:p>
    <w:p w14:paraId="43273722" w14:textId="4E4BA3BB" w:rsidR="00076353" w:rsidRPr="006D4CB5" w:rsidRDefault="00076353" w:rsidP="00076353">
      <w:pPr>
        <w:ind w:firstLine="720"/>
        <w:rPr>
          <w:color w:val="000000" w:themeColor="text1"/>
        </w:rPr>
      </w:pPr>
      <w:r w:rsidRPr="006D4CB5">
        <w:rPr>
          <w:color w:val="000000" w:themeColor="text1"/>
        </w:rPr>
        <w:t>Finally, we</w:t>
      </w:r>
      <w:r w:rsidR="00EC7765" w:rsidRPr="006D4CB5">
        <w:rPr>
          <w:color w:val="000000" w:themeColor="text1"/>
        </w:rPr>
        <w:t xml:space="preserve"> estimated</w:t>
      </w:r>
      <w:r w:rsidRPr="006D4CB5">
        <w:rPr>
          <w:color w:val="000000" w:themeColor="text1"/>
        </w:rPr>
        <w:t xml:space="preserve"> the model described in </w:t>
      </w:r>
      <w:r w:rsidR="007D0BF5" w:rsidRPr="006D4CB5">
        <w:rPr>
          <w:b/>
          <w:bCs/>
          <w:color w:val="000000" w:themeColor="text1"/>
        </w:rPr>
        <w:t xml:space="preserve">Extended Data Figure 8 panel B </w:t>
      </w:r>
      <w:r w:rsidRPr="006D4CB5">
        <w:rPr>
          <w:color w:val="000000" w:themeColor="text1"/>
        </w:rPr>
        <w:t xml:space="preserve">to </w:t>
      </w:r>
      <w:r w:rsidR="00EC7765" w:rsidRPr="006D4CB5">
        <w:rPr>
          <w:color w:val="000000" w:themeColor="text1"/>
        </w:rPr>
        <w:t>each dyad of participant’s four PGIs</w:t>
      </w:r>
      <w:r w:rsidRPr="006D4CB5">
        <w:rPr>
          <w:color w:val="000000" w:themeColor="text1"/>
        </w:rPr>
        <w:t xml:space="preserve">. By estimating two PGIs for each participant and then estimating a latent variable from their common variance, we obtain reliability-disattenuated estimates of genetic variance (Tucker-Drob, 2017). By scaling these estimates to 1 and then estimating their covariance across pairs of relatives, we estimate the genetic correlation between pairs of relatives for each Big Five trait. For spouses, the obtained quantities are direct estimates of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oMath>
      <w:r w:rsidRPr="006D4CB5">
        <w:rPr>
          <w:color w:val="000000" w:themeColor="text1"/>
        </w:rPr>
        <w:t>. For siblings and cousins, we compare these estimates to their expected genetic correlation based on their relatedness using Equation 1</w:t>
      </w:r>
      <w:r w:rsidR="004E4F12" w:rsidRPr="006D4CB5">
        <w:rPr>
          <w:color w:val="000000" w:themeColor="text1"/>
        </w:rPr>
        <w:t>4</w:t>
      </w:r>
      <w:r w:rsidRPr="006D4CB5">
        <w:rPr>
          <w:color w:val="000000" w:themeColor="text1"/>
        </w:rPr>
        <w:t xml:space="preserve"> to obtain estimates of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 parent</m:t>
            </m:r>
          </m:sub>
        </m:sSub>
      </m:oMath>
      <w:r w:rsidRPr="006D4CB5">
        <w:rPr>
          <w:color w:val="000000" w:themeColor="text1"/>
        </w:rPr>
        <w:t xml:space="preserve">. We present genetic correlations for each combination of trait, relationship, and cohort in </w:t>
      </w:r>
      <w:r w:rsidRPr="006D4CB5">
        <w:rPr>
          <w:b/>
          <w:bCs/>
          <w:color w:val="000000" w:themeColor="text1"/>
        </w:rPr>
        <w:t>Supplementary Table S</w:t>
      </w:r>
      <w:r w:rsidR="00723032" w:rsidRPr="006D4CB5">
        <w:rPr>
          <w:b/>
          <w:bCs/>
          <w:color w:val="000000" w:themeColor="text1"/>
        </w:rPr>
        <w:t>40</w:t>
      </w:r>
      <w:r w:rsidRPr="006D4CB5">
        <w:rPr>
          <w:b/>
          <w:bCs/>
          <w:color w:val="000000" w:themeColor="text1"/>
        </w:rPr>
        <w:t xml:space="preserve">. </w:t>
      </w:r>
      <w:r w:rsidRPr="006D4CB5">
        <w:rPr>
          <w:color w:val="000000" w:themeColor="text1"/>
        </w:rPr>
        <w:t xml:space="preserve">To obtain a single pooled estimate from these data, we estimated an inverse-variance weighted meta-analysis across all relationships and both cohort for each trait, using formulas 5a and 5b, above. </w:t>
      </w:r>
    </w:p>
    <w:p w14:paraId="06393B64" w14:textId="3823DAB6" w:rsidR="00345FD2" w:rsidRPr="006D4CB5" w:rsidRDefault="00345FD2" w:rsidP="00FD2004">
      <w:pPr>
        <w:ind w:firstLine="720"/>
        <w:rPr>
          <w:color w:val="000000" w:themeColor="text1"/>
        </w:rPr>
      </w:pPr>
      <w:r w:rsidRPr="006D4CB5">
        <w:rPr>
          <w:color w:val="000000" w:themeColor="text1"/>
        </w:rPr>
        <w:t>In addition to the results reported in the main text, we here compare expected and measured genetic resemblance. We found that expected genetic resemblance, based on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and phenotypic spousal correlation estimates (both obtained from meta-analysis and estimated specifically in </w:t>
      </w:r>
      <w:proofErr w:type="spellStart"/>
      <w:r w:rsidRPr="006D4CB5">
        <w:rPr>
          <w:color w:val="000000" w:themeColor="text1"/>
        </w:rPr>
        <w:t>deCODE</w:t>
      </w:r>
      <w:proofErr w:type="spellEnd"/>
      <w:r w:rsidRPr="006D4CB5">
        <w:rPr>
          <w:color w:val="000000" w:themeColor="text1"/>
        </w:rPr>
        <w:t>) was slightly lower than direct estimates obtained from PGI similarity (</w:t>
      </w:r>
      <w:r w:rsidRPr="006D4CB5">
        <w:rPr>
          <w:b/>
          <w:bCs/>
          <w:color w:val="000000" w:themeColor="text1"/>
        </w:rPr>
        <w:t>Supplementary Table S41)</w:t>
      </w:r>
      <w:r w:rsidRPr="006D4CB5">
        <w:rPr>
          <w:color w:val="000000" w:themeColor="text1"/>
        </w:rPr>
        <w:t xml:space="preserve">. This indicates that a portion of the (minimal) observed assortative mating on personality traits might be explained by </w:t>
      </w:r>
      <w:r w:rsidR="00700C13" w:rsidRPr="006D4CB5">
        <w:rPr>
          <w:color w:val="000000" w:themeColor="text1"/>
        </w:rPr>
        <w:t xml:space="preserve">direct </w:t>
      </w:r>
      <w:r w:rsidRPr="006D4CB5">
        <w:rPr>
          <w:color w:val="000000" w:themeColor="text1"/>
        </w:rPr>
        <w:t>assortment on other heritable phenotypes that are genetically correlated with personality (e.g., some assortment on openness may be attributable to education</w:t>
      </w:r>
      <w:r w:rsidRPr="006D4CB5">
        <w:rPr>
          <w:color w:val="000000" w:themeColor="text1"/>
          <w:vertAlign w:val="superscript"/>
        </w:rPr>
        <w:t>56</w:t>
      </w:r>
      <w:r w:rsidRPr="006D4CB5">
        <w:rPr>
          <w:color w:val="000000" w:themeColor="text1"/>
        </w:rPr>
        <w:t>). This was not the case for conscientiousness, for which expected and estimated PGI similarity among spouses were fully consistent with one another.</w:t>
      </w:r>
    </w:p>
    <w:p w14:paraId="527AE5B2" w14:textId="77777777" w:rsidR="00076353" w:rsidRPr="006D4CB5" w:rsidRDefault="00076353" w:rsidP="00076353">
      <w:pPr>
        <w:rPr>
          <w:color w:val="000000" w:themeColor="text1"/>
        </w:rPr>
      </w:pPr>
    </w:p>
    <w:p w14:paraId="4FCACF68" w14:textId="77777777" w:rsidR="00076353" w:rsidRPr="006D4CB5" w:rsidRDefault="00076353" w:rsidP="00076353">
      <w:pPr>
        <w:rPr>
          <w:color w:val="000000" w:themeColor="text1"/>
          <w:u w:val="single"/>
        </w:rPr>
      </w:pPr>
      <w:r w:rsidRPr="006D4CB5">
        <w:rPr>
          <w:color w:val="000000" w:themeColor="text1"/>
          <w:u w:val="single"/>
        </w:rPr>
        <w:t>5.5 Mendelian Randomization Analyses</w:t>
      </w:r>
    </w:p>
    <w:p w14:paraId="1ADE9F02" w14:textId="0B822E93" w:rsidR="00076353" w:rsidRPr="006D4CB5" w:rsidRDefault="00076353" w:rsidP="007D0BF5">
      <w:pPr>
        <w:ind w:firstLine="720"/>
        <w:rPr>
          <w:color w:val="000000" w:themeColor="text1"/>
        </w:rPr>
      </w:pPr>
      <w:r w:rsidRPr="006D4CB5">
        <w:rPr>
          <w:color w:val="000000" w:themeColor="text1"/>
        </w:rPr>
        <w:t xml:space="preserve">In classical applications of </w:t>
      </w:r>
      <w:r w:rsidRPr="006D4CB5">
        <w:rPr>
          <w:i/>
          <w:iCs/>
          <w:color w:val="000000" w:themeColor="text1"/>
        </w:rPr>
        <w:t>Mendelian Randomization</w:t>
      </w:r>
      <w:r w:rsidRPr="006D4CB5">
        <w:rPr>
          <w:color w:val="000000" w:themeColor="text1"/>
        </w:rPr>
        <w:t xml:space="preserve"> (MR), genetic variants with strong effects on a focal exposure are used as instrumental variables to estimate the causal effect of that exposure on a hypothesized outcome (Sanderson et al., 2022). </w:t>
      </w:r>
      <w:proofErr w:type="gramStart"/>
      <w:r w:rsidRPr="006D4CB5">
        <w:rPr>
          <w:color w:val="000000" w:themeColor="text1"/>
        </w:rPr>
        <w:t>Each individual</w:t>
      </w:r>
      <w:proofErr w:type="gramEnd"/>
      <w:r w:rsidRPr="006D4CB5">
        <w:rPr>
          <w:color w:val="000000" w:themeColor="text1"/>
        </w:rPr>
        <w:t xml:space="preserve"> randomly inherits their autosomal genetic material in equal halves from each parent. Therefore, conditional on appropriate corrections for ancestry, exposure to the genotype approximates random assignment in a natural experiment. An illustrative example of an application of MR is with respect to variants in the nicotinic acetylcholine receptor </w:t>
      </w:r>
      <w:r w:rsidRPr="006D4CB5">
        <w:rPr>
          <w:i/>
          <w:iCs/>
          <w:color w:val="000000" w:themeColor="text1"/>
          <w:shd w:val="clear" w:color="auto" w:fill="FFFFFF"/>
        </w:rPr>
        <w:t>CHRNA5–CHRNA3–CHRNB4</w:t>
      </w:r>
      <w:r w:rsidRPr="006D4CB5">
        <w:rPr>
          <w:color w:val="000000" w:themeColor="text1"/>
          <w:shd w:val="clear" w:color="auto" w:fill="FFFFFF"/>
        </w:rPr>
        <w:t xml:space="preserve"> </w:t>
      </w:r>
      <w:r w:rsidRPr="006D4CB5">
        <w:rPr>
          <w:color w:val="000000" w:themeColor="text1"/>
        </w:rPr>
        <w:t xml:space="preserve">gene cluster (as represented by the SNP in </w:t>
      </w:r>
      <w:r w:rsidR="00D62277" w:rsidRPr="006D4CB5">
        <w:rPr>
          <w:b/>
          <w:bCs/>
          <w:color w:val="000000" w:themeColor="text1"/>
        </w:rPr>
        <w:t>Extended Data Figure 9</w:t>
      </w:r>
      <w:r w:rsidRPr="006D4CB5">
        <w:rPr>
          <w:color w:val="000000" w:themeColor="text1"/>
        </w:rPr>
        <w:t>), which are mechanistically associated with biological response to nicotine and therefore with variation in cigarettes smoked per day (Exposure) among smokers (</w:t>
      </w:r>
      <w:proofErr w:type="spellStart"/>
      <w:r w:rsidRPr="006D4CB5">
        <w:rPr>
          <w:color w:val="000000" w:themeColor="text1"/>
        </w:rPr>
        <w:t>Thorgeirsson</w:t>
      </w:r>
      <w:proofErr w:type="spellEnd"/>
      <w:r w:rsidRPr="006D4CB5">
        <w:rPr>
          <w:color w:val="000000" w:themeColor="text1"/>
        </w:rPr>
        <w:t xml:space="preserve"> et al., 2008). MR using these variants ha</w:t>
      </w:r>
      <w:r w:rsidR="00110F92" w:rsidRPr="006D4CB5">
        <w:rPr>
          <w:color w:val="000000" w:themeColor="text1"/>
        </w:rPr>
        <w:t>s</w:t>
      </w:r>
      <w:r w:rsidRPr="006D4CB5">
        <w:rPr>
          <w:color w:val="000000" w:themeColor="text1"/>
        </w:rPr>
        <w:t xml:space="preserve"> been used to estimate the effect of smoking quantity during pregnancy on offspring birthweight among smokers (</w:t>
      </w:r>
      <m:oMath>
        <m:acc>
          <m:accPr>
            <m:ctrlPr>
              <w:rPr>
                <w:rFonts w:ascii="Cambria Math" w:hAnsi="Cambria Math"/>
                <w:i/>
                <w:color w:val="000000" w:themeColor="text1"/>
              </w:rPr>
            </m:ctrlPr>
          </m:accPr>
          <m:e>
            <m:r>
              <w:rPr>
                <w:rFonts w:ascii="Cambria Math" w:hAnsi="Cambria Math"/>
                <w:color w:val="000000" w:themeColor="text1"/>
              </w:rPr>
              <m:t>γ</m:t>
            </m:r>
          </m:e>
        </m:acc>
        <m:r>
          <w:rPr>
            <w:rFonts w:ascii="Cambria Math" w:hAnsi="Cambria Math"/>
            <w:color w:val="000000" w:themeColor="text1"/>
          </w:rPr>
          <m:t>)</m:t>
        </m:r>
      </m:oMath>
      <w:r w:rsidRPr="006D4CB5">
        <w:rPr>
          <w:color w:val="000000" w:themeColor="text1"/>
        </w:rPr>
        <w:t xml:space="preserve">, deconfounded from unmeasured third variables (e.g. socioeconomic variables) that may affect both smoking quantity and BMI (Lassi et al., 2016). The key identifying assumption of this approach is that the variants are only associated with offspring birthweight via their effects on smoking (and not via direct effects on offspring birthweight or associations with third variable confounds that affect both smoking and offspring birth weight). Supporting these assumptions, the variants are unrelated to offspring birthweight among women who do not </w:t>
      </w:r>
      <w:r w:rsidRPr="006D4CB5">
        <w:rPr>
          <w:color w:val="000000" w:themeColor="text1"/>
        </w:rPr>
        <w:lastRenderedPageBreak/>
        <w:t>smoke during pregnancy but are nevertheless associated with offspring birthweight (Outcome) among women who do smoke during pregnancy (Lassi et al., 2016).</w:t>
      </w:r>
    </w:p>
    <w:p w14:paraId="6986D4A9" w14:textId="1C416F3B" w:rsidR="00076353" w:rsidRPr="006D4CB5" w:rsidRDefault="00076353" w:rsidP="00076353">
      <w:pPr>
        <w:ind w:firstLine="720"/>
        <w:rPr>
          <w:color w:val="000000" w:themeColor="text1"/>
        </w:rPr>
      </w:pPr>
      <w:r w:rsidRPr="006D4CB5">
        <w:rPr>
          <w:color w:val="000000" w:themeColor="text1"/>
        </w:rPr>
        <w:t xml:space="preserve">Put generally, valid application of MR requires that three core assumptions be satisfied (Burgess et al., 2023): First, the SNP that serves as the instrumental variable must be relevant to the exposure (i.e., </w:t>
      </w:r>
      <m:oMath>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SNP,Exposure</m:t>
            </m:r>
          </m:sub>
        </m:sSub>
      </m:oMath>
      <w:r w:rsidRPr="006D4CB5">
        <w:rPr>
          <w:color w:val="000000" w:themeColor="text1"/>
        </w:rPr>
        <w:t xml:space="preserve"> in </w:t>
      </w:r>
      <w:r w:rsidR="00D62277" w:rsidRPr="006D4CB5">
        <w:rPr>
          <w:b/>
          <w:bCs/>
          <w:color w:val="000000" w:themeColor="text1"/>
        </w:rPr>
        <w:t>Extended Data Figure 9</w:t>
      </w:r>
      <w:r w:rsidR="007D0BF5" w:rsidRPr="006D4CB5">
        <w:rPr>
          <w:b/>
          <w:bCs/>
          <w:color w:val="000000" w:themeColor="text1"/>
        </w:rPr>
        <w:t xml:space="preserve"> </w:t>
      </w:r>
      <w:r w:rsidRPr="006D4CB5">
        <w:rPr>
          <w:color w:val="000000" w:themeColor="text1"/>
        </w:rPr>
        <w:t>must be nonzero). Second the variant must be independent of horizontal pleiotropy indicative of confounding effects (the path linking the confounder and the SNP must be absent, meaning there is no correlated pleiotropy). Third, the instrument must be indicative of horizontal pleiotropy that is uncorrelated with confounding effects, meaning it must only affect the outcome through the exposure (the path from SNP to the Outcome must be absent). Given these assumptions, the following equality holds:</w:t>
      </w:r>
    </w:p>
    <w:p w14:paraId="7499356D" w14:textId="77777777" w:rsidR="00076353" w:rsidRPr="006D4CB5" w:rsidRDefault="00076353" w:rsidP="00076353">
      <w:pPr>
        <w:ind w:firstLine="720"/>
        <w:rPr>
          <w:color w:val="000000" w:themeColor="text1"/>
        </w:rPr>
      </w:pPr>
    </w:p>
    <w:p w14:paraId="34A3953A" w14:textId="1554FC42" w:rsidR="00076353" w:rsidRPr="006D4CB5" w:rsidRDefault="00000000" w:rsidP="00076353">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SNP,Outcome</m:t>
            </m:r>
          </m:sub>
        </m:sSub>
        <m:r>
          <w:rPr>
            <w:rFonts w:ascii="Cambria Math" w:hAnsi="Cambria Math"/>
            <w:color w:val="000000" w:themeColor="text1"/>
          </w:rPr>
          <m:t xml:space="preserve">= </m:t>
        </m:r>
        <m:acc>
          <m:accPr>
            <m:ctrlPr>
              <w:rPr>
                <w:rFonts w:ascii="Cambria Math" w:hAnsi="Cambria Math"/>
                <w:i/>
                <w:color w:val="000000" w:themeColor="text1"/>
              </w:rPr>
            </m:ctrlPr>
          </m:accPr>
          <m:e>
            <m:r>
              <w:rPr>
                <w:rFonts w:ascii="Cambria Math" w:hAnsi="Cambria Math"/>
                <w:color w:val="000000" w:themeColor="text1"/>
              </w:rPr>
              <m:t>γ</m:t>
            </m:r>
          </m:e>
        </m:acc>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SNP,Exposure</m:t>
            </m:r>
          </m:sub>
        </m:sSub>
      </m:oMath>
      <w:r w:rsidR="00076353" w:rsidRPr="006D4CB5">
        <w:rPr>
          <w:color w:val="000000" w:themeColor="text1"/>
        </w:rPr>
        <w:t xml:space="preserve"> ,</w:t>
      </w:r>
      <w:r w:rsidR="00076353" w:rsidRPr="006D4CB5">
        <w:rPr>
          <w:color w:val="000000" w:themeColor="text1"/>
        </w:rPr>
        <w:tab/>
        <w:t>(Eq. 1</w:t>
      </w:r>
      <w:r w:rsidR="00566C22" w:rsidRPr="006D4CB5">
        <w:rPr>
          <w:color w:val="000000" w:themeColor="text1"/>
        </w:rPr>
        <w:t>8</w:t>
      </w:r>
      <w:r w:rsidR="00076353" w:rsidRPr="006D4CB5">
        <w:rPr>
          <w:color w:val="000000" w:themeColor="text1"/>
        </w:rPr>
        <w:t>a)</w:t>
      </w:r>
    </w:p>
    <w:p w14:paraId="02A0AADD" w14:textId="77777777" w:rsidR="00076353" w:rsidRPr="006D4CB5" w:rsidRDefault="00076353" w:rsidP="00076353">
      <w:pPr>
        <w:jc w:val="center"/>
        <w:rPr>
          <w:color w:val="000000" w:themeColor="text1"/>
        </w:rPr>
      </w:pPr>
    </w:p>
    <w:p w14:paraId="68C79D20" w14:textId="77777777" w:rsidR="00076353" w:rsidRPr="006D4CB5" w:rsidRDefault="00076353" w:rsidP="00D62277">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SNP,Exposure</m:t>
            </m:r>
          </m:sub>
        </m:sSub>
      </m:oMath>
      <w:r w:rsidRPr="006D4CB5">
        <w:rPr>
          <w:color w:val="000000" w:themeColor="text1"/>
        </w:rPr>
        <w:t xml:space="preserve"> is the effect of the SNP of the exposure and </w:t>
      </w:r>
      <m:oMath>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SNP,Outcome</m:t>
            </m:r>
          </m:sub>
        </m:sSub>
      </m:oMath>
      <w:r w:rsidRPr="006D4CB5">
        <w:rPr>
          <w:color w:val="000000" w:themeColor="text1"/>
        </w:rPr>
        <w:t xml:space="preserve"> is the total effect of the SNP on the outcome (not depicted in the figure). Rearranging this equation provides a simple and intuitive estimator of the causal effect:</w:t>
      </w:r>
    </w:p>
    <w:p w14:paraId="4CE3C159" w14:textId="77777777" w:rsidR="00076353" w:rsidRPr="006D4CB5" w:rsidRDefault="00076353" w:rsidP="00076353">
      <w:pPr>
        <w:rPr>
          <w:color w:val="000000" w:themeColor="text1"/>
        </w:rPr>
      </w:pPr>
    </w:p>
    <w:p w14:paraId="587D5350" w14:textId="785E30F0" w:rsidR="00076353" w:rsidRPr="006D4CB5" w:rsidRDefault="00076353" w:rsidP="00076353">
      <w:pPr>
        <w:jc w:val="center"/>
        <w:rPr>
          <w:color w:val="000000" w:themeColor="text1"/>
        </w:rPr>
      </w:pPr>
      <w:r w:rsidRPr="006D4CB5">
        <w:rPr>
          <w:color w:val="000000" w:themeColor="text1"/>
        </w:rPr>
        <w:t xml:space="preserve">  </w:t>
      </w:r>
      <m:oMath>
        <m:acc>
          <m:accPr>
            <m:ctrlPr>
              <w:rPr>
                <w:rFonts w:ascii="Cambria Math" w:hAnsi="Cambria Math"/>
                <w:i/>
                <w:color w:val="000000" w:themeColor="text1"/>
              </w:rPr>
            </m:ctrlPr>
          </m:accPr>
          <m:e>
            <m:r>
              <w:rPr>
                <w:rFonts w:ascii="Cambria Math" w:hAnsi="Cambria Math"/>
                <w:color w:val="000000" w:themeColor="text1"/>
              </w:rPr>
              <m:t>γ</m:t>
            </m:r>
          </m:e>
        </m:acc>
        <m:r>
          <w:rPr>
            <w:rFonts w:ascii="Cambria Math" w:hAnsi="Cambria Math"/>
            <w:color w:val="000000" w:themeColor="text1"/>
          </w:rPr>
          <m:t xml:space="preserve">=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SNP,Outcome</m:t>
                </m:r>
              </m:sub>
            </m:sSub>
          </m:num>
          <m:den>
            <m:sSub>
              <m:sSubPr>
                <m:ctrlPr>
                  <w:rPr>
                    <w:rFonts w:ascii="Cambria Math" w:hAnsi="Cambria Math"/>
                    <w:i/>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SNP,Exposure</m:t>
                </m:r>
              </m:sub>
            </m:sSub>
          </m:den>
        </m:f>
      </m:oMath>
      <w:r w:rsidRPr="006D4CB5">
        <w:rPr>
          <w:color w:val="000000" w:themeColor="text1"/>
        </w:rPr>
        <w:t xml:space="preserve"> . </w:t>
      </w:r>
      <w:r w:rsidRPr="006D4CB5">
        <w:rPr>
          <w:color w:val="000000" w:themeColor="text1"/>
        </w:rPr>
        <w:tab/>
        <w:t>(Eq. 1</w:t>
      </w:r>
      <w:r w:rsidR="00566C22" w:rsidRPr="006D4CB5">
        <w:rPr>
          <w:color w:val="000000" w:themeColor="text1"/>
        </w:rPr>
        <w:t>8</w:t>
      </w:r>
      <w:r w:rsidRPr="006D4CB5">
        <w:rPr>
          <w:color w:val="000000" w:themeColor="text1"/>
        </w:rPr>
        <w:t>b)</w:t>
      </w:r>
    </w:p>
    <w:p w14:paraId="5AF2180D" w14:textId="77777777" w:rsidR="00076353" w:rsidRPr="006D4CB5" w:rsidRDefault="00076353" w:rsidP="00076353">
      <w:pPr>
        <w:jc w:val="center"/>
        <w:rPr>
          <w:color w:val="000000" w:themeColor="text1"/>
        </w:rPr>
      </w:pPr>
    </w:p>
    <w:p w14:paraId="14918B75" w14:textId="77777777" w:rsidR="00076353" w:rsidRPr="006D4CB5" w:rsidRDefault="00076353" w:rsidP="00076353">
      <w:pPr>
        <w:ind w:firstLine="720"/>
        <w:rPr>
          <w:color w:val="000000" w:themeColor="text1"/>
        </w:rPr>
      </w:pPr>
      <w:r w:rsidRPr="006D4CB5">
        <w:rPr>
          <w:color w:val="000000" w:themeColor="text1"/>
        </w:rPr>
        <w:t>Ideally, MR tests are conducted using SNPs with strong effects on an outcome that operate through well-characterized biological mechanisms. For complex and highly polygenic traits like personality, where individual SNP effects are small (i.e., assumption 1 only moderately holds) and biological mechanisms are not well-explicated (i.e., assumptions 2 and 3 are untested), researchers have advocated using advanced robust estimators to test MR (Burgess et al., 2023). Such tests, three of which we implement here and describe below, aggregate inference by drawing on multiple independent SNPs.</w:t>
      </w:r>
    </w:p>
    <w:p w14:paraId="2E9FCE16" w14:textId="77777777" w:rsidR="00076353" w:rsidRPr="006D4CB5" w:rsidRDefault="00076353" w:rsidP="00076353">
      <w:pPr>
        <w:rPr>
          <w:color w:val="000000" w:themeColor="text1"/>
        </w:rPr>
      </w:pPr>
    </w:p>
    <w:p w14:paraId="43B1FFE1" w14:textId="77777777" w:rsidR="00076353" w:rsidRPr="006D4CB5" w:rsidRDefault="00076353" w:rsidP="00076353">
      <w:pPr>
        <w:rPr>
          <w:color w:val="000000" w:themeColor="text1"/>
        </w:rPr>
      </w:pPr>
      <w:r w:rsidRPr="006D4CB5">
        <w:rPr>
          <w:color w:val="000000" w:themeColor="text1"/>
          <w:u w:val="single"/>
        </w:rPr>
        <w:t>5.5.1 MR Method</w:t>
      </w:r>
    </w:p>
    <w:p w14:paraId="1EB22512" w14:textId="4D814EFC" w:rsidR="00076353" w:rsidRPr="006D4CB5" w:rsidRDefault="00076353" w:rsidP="00076353">
      <w:pPr>
        <w:ind w:firstLine="720"/>
        <w:rPr>
          <w:color w:val="000000" w:themeColor="text1"/>
        </w:rPr>
      </w:pPr>
      <w:r w:rsidRPr="006D4CB5">
        <w:rPr>
          <w:color w:val="000000" w:themeColor="text1"/>
        </w:rPr>
        <w:t>We conducted tests of two-sample bidirectional mendelian randomization (MR) to estimate the potential causal effects of Big Five personality traits on a set of biobehavioral phenotypes and of those biobehavioral phenotypes on Big Five traits. Based on results of genetic correlation tests (</w:t>
      </w:r>
      <w:r w:rsidRPr="006D4CB5">
        <w:rPr>
          <w:b/>
          <w:bCs/>
          <w:color w:val="000000" w:themeColor="text1"/>
        </w:rPr>
        <w:t>Supplementary Table S3</w:t>
      </w:r>
      <w:r w:rsidR="00723032" w:rsidRPr="006D4CB5">
        <w:rPr>
          <w:b/>
          <w:bCs/>
          <w:color w:val="000000" w:themeColor="text1"/>
        </w:rPr>
        <w:t>8</w:t>
      </w:r>
      <w:r w:rsidRPr="006D4CB5">
        <w:rPr>
          <w:color w:val="000000" w:themeColor="text1"/>
        </w:rPr>
        <w:t>), and causal reasoning advanced in the broader personality literature, we selected 13 outcomes to bring forward for MR tests</w:t>
      </w:r>
      <w:r w:rsidR="00D801BD" w:rsidRPr="006D4CB5">
        <w:rPr>
          <w:color w:val="000000" w:themeColor="text1"/>
        </w:rPr>
        <w:t xml:space="preserve">: </w:t>
      </w:r>
      <w:r w:rsidRPr="006D4CB5">
        <w:rPr>
          <w:color w:val="000000" w:themeColor="text1"/>
        </w:rPr>
        <w:t>Age at first sexual intercourse (Andrae et al., 2024), Body Mass Index (BMI) (Arumäe et al., 2021), COVID infection (Peters et al., 2023), drinks per week (Koning et al., 2011), educational attainment (Lüdtke et al., 2011), the multivariate healthy aging/longevity factor (</w:t>
      </w:r>
      <w:proofErr w:type="spellStart"/>
      <w:r w:rsidRPr="006D4CB5">
        <w:rPr>
          <w:color w:val="000000" w:themeColor="text1"/>
        </w:rPr>
        <w:t>Willroth</w:t>
      </w:r>
      <w:proofErr w:type="spellEnd"/>
      <w:r w:rsidRPr="006D4CB5">
        <w:rPr>
          <w:color w:val="000000" w:themeColor="text1"/>
        </w:rPr>
        <w:t xml:space="preserve"> et al., 2025), smoking initiation (Munafo et al., 2007), sports club participation and frequency of sports participation (Caille et al., 2024), spells in hospital (Atherton et al., 2024), and three measures of research study participation in UK Biobank</w:t>
      </w:r>
      <w:r w:rsidR="00D801BD" w:rsidRPr="006D4CB5">
        <w:rPr>
          <w:color w:val="000000" w:themeColor="text1"/>
        </w:rPr>
        <w:t xml:space="preserve"> (participation in diet/mental health/physical activity questionnaires, responding </w:t>
      </w:r>
      <w:r w:rsidR="00D801BD" w:rsidRPr="006D4CB5">
        <w:rPr>
          <w:i/>
          <w:iCs/>
          <w:color w:val="000000" w:themeColor="text1"/>
        </w:rPr>
        <w:t>I Don’t Know</w:t>
      </w:r>
      <w:r w:rsidR="00D801BD" w:rsidRPr="006D4CB5">
        <w:rPr>
          <w:color w:val="000000" w:themeColor="text1"/>
        </w:rPr>
        <w:t xml:space="preserve">, and responding </w:t>
      </w:r>
      <w:r w:rsidR="00D801BD" w:rsidRPr="006D4CB5">
        <w:rPr>
          <w:i/>
          <w:iCs/>
          <w:color w:val="000000" w:themeColor="text1"/>
        </w:rPr>
        <w:t>Prefer No Answer</w:t>
      </w:r>
      <w:r w:rsidR="00D801BD" w:rsidRPr="006D4CB5">
        <w:rPr>
          <w:color w:val="000000" w:themeColor="text1"/>
        </w:rPr>
        <w:t>)</w:t>
      </w:r>
      <w:r w:rsidRPr="006D4CB5">
        <w:rPr>
          <w:color w:val="000000" w:themeColor="text1"/>
        </w:rPr>
        <w:t xml:space="preserve">. These 13 outcomes that we take forward for MR evaluation are well suited for performing tests of presence of causation and direction of causation. Moreover, by applying MR tests to a subset of </w:t>
      </w:r>
      <w:proofErr w:type="gramStart"/>
      <w:r w:rsidRPr="006D4CB5">
        <w:rPr>
          <w:color w:val="000000" w:themeColor="text1"/>
        </w:rPr>
        <w:t>theoretically-relevant</w:t>
      </w:r>
      <w:proofErr w:type="gramEnd"/>
      <w:r w:rsidRPr="006D4CB5">
        <w:rPr>
          <w:color w:val="000000" w:themeColor="text1"/>
        </w:rPr>
        <w:t xml:space="preserve"> outcomes, rather than all potential outcomes, we substantially reduce the burden of multiple testing.</w:t>
      </w:r>
    </w:p>
    <w:p w14:paraId="3344DE36" w14:textId="77777777" w:rsidR="00076353" w:rsidRPr="006D4CB5" w:rsidRDefault="00076353" w:rsidP="00076353">
      <w:pPr>
        <w:ind w:firstLine="720"/>
        <w:rPr>
          <w:color w:val="000000" w:themeColor="text1"/>
        </w:rPr>
      </w:pPr>
      <w:r w:rsidRPr="006D4CB5">
        <w:rPr>
          <w:color w:val="000000" w:themeColor="text1"/>
        </w:rPr>
        <w:lastRenderedPageBreak/>
        <w:t>We excluded psychiatric conditions from our MR testing, as the genetic correlations between personality and psychopathology were in some cases so high that MR methods would not be able to distinguish the direction of causation (c.f., Gupta et al., 2024). For example, the very high genetic correlation between neuroticism and internalizing disorders (</w:t>
      </w:r>
      <w:r w:rsidRPr="006D4CB5">
        <w:rPr>
          <w:i/>
          <w:iCs/>
          <w:color w:val="000000" w:themeColor="text1"/>
        </w:rPr>
        <w:t>r</w:t>
      </w:r>
      <w:r w:rsidRPr="006D4CB5">
        <w:rPr>
          <w:color w:val="000000" w:themeColor="text1"/>
          <w:vertAlign w:val="subscript"/>
        </w:rPr>
        <w:t>g</w:t>
      </w:r>
      <w:r w:rsidRPr="006D4CB5">
        <w:rPr>
          <w:color w:val="000000" w:themeColor="text1"/>
        </w:rPr>
        <w:t xml:space="preserve"> = .73) could reflect a confounding structure where patterns of horizontal pleiotropy are present to a degree that the entire causal structure becomes difficult to disentangle. Indeed, associations between mental health diagnoses and personality traits may reflect lifelong co-developmental processes (Durbin &amp; Hicks, 2014; </w:t>
      </w:r>
      <w:proofErr w:type="spellStart"/>
      <w:r w:rsidRPr="006D4CB5">
        <w:rPr>
          <w:color w:val="000000" w:themeColor="text1"/>
        </w:rPr>
        <w:t>Ormel</w:t>
      </w:r>
      <w:proofErr w:type="spellEnd"/>
      <w:r w:rsidRPr="006D4CB5">
        <w:rPr>
          <w:color w:val="000000" w:themeColor="text1"/>
        </w:rPr>
        <w:t xml:space="preserve"> et al., 2013; Hopwood et al., 2022) with a wide-ranging set of intermediate confounding mechanisms, obviating simple directional examination of causality. To test this confounding structure, one could consider further multivariable MR analysis or multivariable Steiger filtering; this psychopathology-specific follow up analysis is beyond the scope of the primary GWAS, as its credible execution requires in depth case-by-case consideration.</w:t>
      </w:r>
    </w:p>
    <w:p w14:paraId="740D79B5" w14:textId="77777777" w:rsidR="00076353" w:rsidRPr="006D4CB5" w:rsidRDefault="00076353" w:rsidP="00076353">
      <w:pPr>
        <w:ind w:firstLine="720"/>
        <w:rPr>
          <w:color w:val="000000" w:themeColor="text1"/>
        </w:rPr>
      </w:pPr>
      <w:r w:rsidRPr="006D4CB5">
        <w:rPr>
          <w:color w:val="000000" w:themeColor="text1"/>
        </w:rPr>
        <w:t xml:space="preserve">We also selected three outcomes as negative controls: birthweight, number of sisters, and number of brothers. These outcomes cannot be caused by an individual’s personality, as they develop before birth or very early in life and there are no plausible mechanisms by which personality causes them. A (false) positive causal effect on any of these traits would serve as an (imperfect) indicator of the presence and potential magnitude of biases. For example, the number of brothers/sisters one has could be influenced by parental personality, and so any false positive signal could reflect indirect genetic effects, intergenerational confounding, or population stratification. While our within-family GWAS and parent-offspring PGI analyses (see </w:t>
      </w:r>
      <w:r w:rsidRPr="006D4CB5">
        <w:rPr>
          <w:b/>
          <w:bCs/>
          <w:color w:val="000000" w:themeColor="text1"/>
        </w:rPr>
        <w:t>Main Text</w:t>
      </w:r>
      <w:r w:rsidRPr="006D4CB5">
        <w:rPr>
          <w:color w:val="000000" w:themeColor="text1"/>
        </w:rPr>
        <w:t xml:space="preserve"> and </w:t>
      </w:r>
      <w:r w:rsidRPr="006D4CB5">
        <w:rPr>
          <w:b/>
          <w:bCs/>
          <w:color w:val="000000" w:themeColor="text1"/>
        </w:rPr>
        <w:t>Figure 4</w:t>
      </w:r>
      <w:r w:rsidRPr="006D4CB5">
        <w:rPr>
          <w:color w:val="000000" w:themeColor="text1"/>
        </w:rPr>
        <w:t>) suggest minimal aggregate indirect genetic effects on personality traits, individual SNPs might nonetheless operate through indirect pathways that bias MR analyses.</w:t>
      </w:r>
    </w:p>
    <w:p w14:paraId="44030885" w14:textId="5D70E44E" w:rsidR="00076353" w:rsidRPr="006D4CB5" w:rsidRDefault="00076353" w:rsidP="00076353">
      <w:pPr>
        <w:ind w:firstLine="720"/>
        <w:rPr>
          <w:color w:val="000000" w:themeColor="text1"/>
        </w:rPr>
      </w:pPr>
      <w:r w:rsidRPr="006D4CB5">
        <w:rPr>
          <w:color w:val="000000" w:themeColor="text1"/>
        </w:rPr>
        <w:t xml:space="preserve">We used the </w:t>
      </w:r>
      <w:proofErr w:type="spellStart"/>
      <w:r w:rsidRPr="006D4CB5">
        <w:rPr>
          <w:color w:val="000000" w:themeColor="text1"/>
        </w:rPr>
        <w:t>TwoSampleMR</w:t>
      </w:r>
      <w:proofErr w:type="spellEnd"/>
      <w:r w:rsidRPr="006D4CB5">
        <w:rPr>
          <w:color w:val="000000" w:themeColor="text1"/>
        </w:rPr>
        <w:t xml:space="preserve"> and </w:t>
      </w:r>
      <w:proofErr w:type="spellStart"/>
      <w:r w:rsidRPr="006D4CB5">
        <w:rPr>
          <w:color w:val="000000" w:themeColor="text1"/>
        </w:rPr>
        <w:t>ieugwasr</w:t>
      </w:r>
      <w:proofErr w:type="spellEnd"/>
      <w:r w:rsidRPr="006D4CB5">
        <w:rPr>
          <w:color w:val="000000" w:themeColor="text1"/>
        </w:rPr>
        <w:t xml:space="preserve"> R packages (Hemani et al., 2018) to align and harmonize EUR</w:t>
      </w:r>
      <w:r w:rsidR="00CB7254">
        <w:rPr>
          <w:color w:val="000000" w:themeColor="text1"/>
        </w:rPr>
        <w:t>-like</w:t>
      </w:r>
      <w:r w:rsidRPr="006D4CB5">
        <w:rPr>
          <w:color w:val="000000" w:themeColor="text1"/>
        </w:rPr>
        <w:t xml:space="preserve"> population-level GWAS summary statistics for exposures and outcomes, following the standard procedure provided by package authors. To pre-process each set of summary statistics, we filtered out rare variants by excluding SNPs with EAF &lt; .01, calculated the effective N for each SNP in summary statistics of case-control phenotypes, and selected genetic instruments for exposure by </w:t>
      </w:r>
      <w:proofErr w:type="spellStart"/>
      <w:r w:rsidRPr="006D4CB5">
        <w:rPr>
          <w:color w:val="000000" w:themeColor="text1"/>
        </w:rPr>
        <w:t>subsetting</w:t>
      </w:r>
      <w:proofErr w:type="spellEnd"/>
      <w:r w:rsidRPr="006D4CB5">
        <w:rPr>
          <w:color w:val="000000" w:themeColor="text1"/>
        </w:rPr>
        <w:t xml:space="preserve"> SNPs from each GWAS that were genome-wide significant (</w:t>
      </w:r>
      <w:r w:rsidRPr="006D4CB5">
        <w:rPr>
          <w:i/>
          <w:iCs/>
          <w:color w:val="000000" w:themeColor="text1"/>
        </w:rPr>
        <w:t>p</w:t>
      </w:r>
      <w:r w:rsidRPr="006D4CB5">
        <w:rPr>
          <w:color w:val="000000" w:themeColor="text1"/>
        </w:rPr>
        <w:t xml:space="preserve"> &lt; 5×10⁻⁸) and independent (R</w:t>
      </w:r>
      <w:r w:rsidRPr="006D4CB5">
        <w:rPr>
          <w:color w:val="000000" w:themeColor="text1"/>
          <w:vertAlign w:val="superscript"/>
        </w:rPr>
        <w:t>2</w:t>
      </w:r>
      <w:r w:rsidRPr="006D4CB5">
        <w:rPr>
          <w:color w:val="000000" w:themeColor="text1"/>
        </w:rPr>
        <w:t xml:space="preserve"> &lt; .01 within a 1Mb window). </w:t>
      </w:r>
    </w:p>
    <w:p w14:paraId="436AA238" w14:textId="77777777" w:rsidR="00076353" w:rsidRPr="006D4CB5" w:rsidRDefault="00076353" w:rsidP="00076353">
      <w:pPr>
        <w:ind w:firstLine="720"/>
        <w:rPr>
          <w:color w:val="000000" w:themeColor="text1"/>
        </w:rPr>
      </w:pPr>
      <w:r w:rsidRPr="006D4CB5">
        <w:rPr>
          <w:color w:val="000000" w:themeColor="text1"/>
        </w:rPr>
        <w:t>To implement MR tests, we selected three estimators chosen for their robustness to violations of the three assumptions above, their robustness to heritable confounding (Sanderson et al., 2024), and their complementarity, in that each estimator makes different non-overlapping assumptions about the data (Burgess et al., 2023). The first is the weighted mode estimator, which estimates a single modal </w:t>
      </w:r>
      <m:oMath>
        <m:acc>
          <m:accPr>
            <m:ctrlPr>
              <w:rPr>
                <w:rFonts w:ascii="Cambria Math" w:hAnsi="Cambria Math"/>
                <w:i/>
                <w:color w:val="000000" w:themeColor="text1"/>
              </w:rPr>
            </m:ctrlPr>
          </m:accPr>
          <m:e>
            <m:r>
              <w:rPr>
                <w:rFonts w:ascii="Cambria Math" w:hAnsi="Cambria Math"/>
                <w:color w:val="000000" w:themeColor="text1"/>
              </w:rPr>
              <m:t>γ</m:t>
            </m:r>
          </m:e>
        </m:acc>
      </m:oMath>
      <w:r w:rsidRPr="006D4CB5">
        <w:rPr>
          <w:color w:val="000000" w:themeColor="text1"/>
        </w:rPr>
        <w:t xml:space="preserve"> among genetic instruments under the assumption that their modal horizontal pleiotropic effect is zero (Hartwig et al., 2017). The weighted mode estimator is robust to effects of outlier instruments but is conservative and inefficient. The second, the weighted median estimator (Bowden et al., 2016), estimates a single median </w:t>
      </w:r>
      <m:oMath>
        <m:acc>
          <m:accPr>
            <m:ctrlPr>
              <w:rPr>
                <w:rFonts w:ascii="Cambria Math" w:hAnsi="Cambria Math"/>
                <w:i/>
                <w:color w:val="000000" w:themeColor="text1"/>
              </w:rPr>
            </m:ctrlPr>
          </m:accPr>
          <m:e>
            <m:r>
              <w:rPr>
                <w:rFonts w:ascii="Cambria Math" w:hAnsi="Cambria Math"/>
                <w:color w:val="000000" w:themeColor="text1"/>
              </w:rPr>
              <m:t>γ</m:t>
            </m:r>
          </m:e>
        </m:acc>
      </m:oMath>
      <w:r w:rsidRPr="006D4CB5">
        <w:rPr>
          <w:color w:val="000000" w:themeColor="text1"/>
        </w:rPr>
        <w:t xml:space="preserve"> among genetic instruments under the assumption that fewer than half have horizontal pleiotropic effects. The weighted median estimator is more efficient than the weighted mode but also more sensitive to false positives introduced by outlier instruments. The third is MR Causal Analysis Using Summary Effect estimates (MR-CAUSE; Morrison et al., 2020). MR-CAUSE relies on a statistical methodology orthogonal to the other two estimators. In MR-CAUSE, a joint bayesian model is fit to all SNPs, where a proportion have a causal effect on the exposure and others are associated with the exposure via correlated pleiotropy. A value of </w:t>
      </w:r>
      <m:oMath>
        <m:acc>
          <m:accPr>
            <m:ctrlPr>
              <w:rPr>
                <w:rFonts w:ascii="Cambria Math" w:hAnsi="Cambria Math"/>
                <w:i/>
                <w:color w:val="000000" w:themeColor="text1"/>
              </w:rPr>
            </m:ctrlPr>
          </m:accPr>
          <m:e>
            <m:r>
              <w:rPr>
                <w:rFonts w:ascii="Cambria Math" w:hAnsi="Cambria Math"/>
                <w:color w:val="000000" w:themeColor="text1"/>
              </w:rPr>
              <m:t>γ</m:t>
            </m:r>
          </m:e>
        </m:acc>
      </m:oMath>
      <w:r w:rsidRPr="006D4CB5">
        <w:rPr>
          <w:color w:val="000000" w:themeColor="text1"/>
        </w:rPr>
        <w:t xml:space="preserve"> is approximated using its median value in models with causal effects. All analyses were run with and without Steiger </w:t>
      </w:r>
      <w:r w:rsidRPr="006D4CB5">
        <w:rPr>
          <w:color w:val="000000" w:themeColor="text1"/>
        </w:rPr>
        <w:lastRenderedPageBreak/>
        <w:t>filtering, which removes SNPs where the variance explained in the outcome exceeds that in the exposure. </w:t>
      </w:r>
    </w:p>
    <w:p w14:paraId="6CDE1841" w14:textId="77432E23" w:rsidR="00076353" w:rsidRPr="006D4CB5" w:rsidRDefault="00076353" w:rsidP="00076353">
      <w:pPr>
        <w:ind w:firstLine="720"/>
        <w:rPr>
          <w:color w:val="000000" w:themeColor="text1"/>
        </w:rPr>
      </w:pPr>
      <w:r w:rsidRPr="006D4CB5">
        <w:rPr>
          <w:color w:val="000000" w:themeColor="text1"/>
        </w:rPr>
        <w:t>When reporting the results of these tests, we scaled effect size estimates to reflect the SD change in the exposure or outcome per effect allele. For binary outcomes, we estimated associations in terms of log odds ratios. Results of weighted median and weighted mode tests (</w:t>
      </w:r>
      <w:r w:rsidRPr="006D4CB5">
        <w:rPr>
          <w:b/>
          <w:bCs/>
          <w:color w:val="000000" w:themeColor="text1"/>
        </w:rPr>
        <w:t>Supplementary Table S</w:t>
      </w:r>
      <w:r w:rsidR="00D801BD" w:rsidRPr="006D4CB5">
        <w:rPr>
          <w:b/>
          <w:bCs/>
          <w:color w:val="000000" w:themeColor="text1"/>
        </w:rPr>
        <w:t>4</w:t>
      </w:r>
      <w:r w:rsidR="00723032" w:rsidRPr="006D4CB5">
        <w:rPr>
          <w:b/>
          <w:bCs/>
          <w:color w:val="000000" w:themeColor="text1"/>
        </w:rPr>
        <w:t>2</w:t>
      </w:r>
      <w:r w:rsidRPr="006D4CB5">
        <w:rPr>
          <w:color w:val="000000" w:themeColor="text1"/>
        </w:rPr>
        <w:t xml:space="preserve">) can be interpreted straightforwardly as estimates of the </w:t>
      </w:r>
      <m:oMath>
        <m:acc>
          <m:accPr>
            <m:ctrlPr>
              <w:rPr>
                <w:rFonts w:ascii="Cambria Math" w:hAnsi="Cambria Math"/>
                <w:i/>
                <w:color w:val="000000" w:themeColor="text1"/>
              </w:rPr>
            </m:ctrlPr>
          </m:accPr>
          <m:e>
            <m:r>
              <w:rPr>
                <w:rFonts w:ascii="Cambria Math" w:hAnsi="Cambria Math"/>
                <w:color w:val="000000" w:themeColor="text1"/>
              </w:rPr>
              <m:t>γ</m:t>
            </m:r>
          </m:e>
        </m:acc>
      </m:oMath>
      <w:r w:rsidRPr="006D4CB5">
        <w:rPr>
          <w:color w:val="000000" w:themeColor="text1"/>
        </w:rPr>
        <w:t xml:space="preserve"> parameter in </w:t>
      </w:r>
      <w:r w:rsidR="009101BA" w:rsidRPr="006D4CB5">
        <w:rPr>
          <w:b/>
          <w:bCs/>
          <w:color w:val="000000" w:themeColor="text1"/>
        </w:rPr>
        <w:t>Extended Data Figure 9</w:t>
      </w:r>
      <w:r w:rsidRPr="006D4CB5">
        <w:rPr>
          <w:color w:val="000000" w:themeColor="text1"/>
        </w:rPr>
        <w:t xml:space="preserve">. Results of MR-CAUSE analyses include the fits of models with and without causal effects, as well as posterior distributions of the estimated </w:t>
      </w:r>
      <m:oMath>
        <m:acc>
          <m:accPr>
            <m:ctrlPr>
              <w:rPr>
                <w:rFonts w:ascii="Cambria Math" w:hAnsi="Cambria Math"/>
                <w:i/>
                <w:color w:val="000000" w:themeColor="text1"/>
              </w:rPr>
            </m:ctrlPr>
          </m:accPr>
          <m:e>
            <m:r>
              <w:rPr>
                <w:rFonts w:ascii="Cambria Math" w:hAnsi="Cambria Math"/>
                <w:color w:val="000000" w:themeColor="text1"/>
              </w:rPr>
              <m:t>γ</m:t>
            </m:r>
          </m:e>
        </m:acc>
      </m:oMath>
      <w:r w:rsidRPr="006D4CB5">
        <w:rPr>
          <w:color w:val="000000" w:themeColor="text1"/>
        </w:rPr>
        <w:t xml:space="preserve"> parameter (Morrison et al., 2020) (</w:t>
      </w:r>
      <w:r w:rsidRPr="006D4CB5">
        <w:rPr>
          <w:b/>
          <w:bCs/>
          <w:color w:val="000000" w:themeColor="text1"/>
        </w:rPr>
        <w:t>Supplementary Table S</w:t>
      </w:r>
      <w:r w:rsidR="00D801BD" w:rsidRPr="006D4CB5">
        <w:rPr>
          <w:b/>
          <w:bCs/>
          <w:color w:val="000000" w:themeColor="text1"/>
        </w:rPr>
        <w:t>4</w:t>
      </w:r>
      <w:r w:rsidR="00723032" w:rsidRPr="006D4CB5">
        <w:rPr>
          <w:b/>
          <w:bCs/>
          <w:color w:val="000000" w:themeColor="text1"/>
        </w:rPr>
        <w:t>3</w:t>
      </w:r>
      <w:r w:rsidRPr="006D4CB5">
        <w:rPr>
          <w:color w:val="000000" w:themeColor="text1"/>
        </w:rPr>
        <w:t>). We considered an effect to be significant if the associated estimates were directionally consistent across all three MR methods (weighted median with Steiger filtering, weighted mode with Steiger filtering, and MR-CAUSE) and with 95% confidence/credibility intervals that excluded 0 across at least two methods. This is a stringent, conservative test that guards against the spurious identification of causal effects. </w:t>
      </w:r>
    </w:p>
    <w:p w14:paraId="1F55749E" w14:textId="77777777" w:rsidR="00076353" w:rsidRPr="006D4CB5" w:rsidRDefault="00076353" w:rsidP="00076353">
      <w:pPr>
        <w:ind w:firstLine="720"/>
        <w:rPr>
          <w:color w:val="000000" w:themeColor="text1"/>
        </w:rPr>
      </w:pPr>
    </w:p>
    <w:p w14:paraId="2C67A6BE" w14:textId="77777777" w:rsidR="00076353" w:rsidRPr="006D4CB5" w:rsidRDefault="00076353" w:rsidP="00076353">
      <w:pPr>
        <w:rPr>
          <w:color w:val="000000" w:themeColor="text1"/>
        </w:rPr>
      </w:pPr>
      <w:r w:rsidRPr="006D4CB5">
        <w:rPr>
          <w:color w:val="000000" w:themeColor="text1"/>
          <w:u w:val="single"/>
        </w:rPr>
        <w:t>5.5.2 Results and Causal Inference</w:t>
      </w:r>
    </w:p>
    <w:p w14:paraId="1F749C98" w14:textId="449AA643" w:rsidR="00076353" w:rsidRPr="006D4CB5" w:rsidRDefault="00076353" w:rsidP="00076353">
      <w:pPr>
        <w:ind w:firstLine="720"/>
        <w:rPr>
          <w:color w:val="000000" w:themeColor="text1"/>
        </w:rPr>
      </w:pPr>
      <w:r w:rsidRPr="006D4CB5">
        <w:rPr>
          <w:color w:val="000000" w:themeColor="text1"/>
        </w:rPr>
        <w:t>Using these significance/credibility thresholds, we found effects for 38 exposure-outcome pairings (</w:t>
      </w:r>
      <w:r w:rsidR="00D801BD" w:rsidRPr="006D4CB5">
        <w:rPr>
          <w:b/>
          <w:bCs/>
          <w:color w:val="000000" w:themeColor="text1"/>
        </w:rPr>
        <w:t>Supplementary Tables S4</w:t>
      </w:r>
      <w:r w:rsidR="00723032" w:rsidRPr="006D4CB5">
        <w:rPr>
          <w:b/>
          <w:bCs/>
          <w:color w:val="000000" w:themeColor="text1"/>
        </w:rPr>
        <w:t>2</w:t>
      </w:r>
      <w:r w:rsidR="00D801BD" w:rsidRPr="006D4CB5">
        <w:rPr>
          <w:b/>
          <w:bCs/>
          <w:color w:val="000000" w:themeColor="text1"/>
        </w:rPr>
        <w:t>-S4</w:t>
      </w:r>
      <w:r w:rsidR="00723032" w:rsidRPr="006D4CB5">
        <w:rPr>
          <w:b/>
          <w:bCs/>
          <w:color w:val="000000" w:themeColor="text1"/>
        </w:rPr>
        <w:t>3</w:t>
      </w:r>
      <w:r w:rsidRPr="006D4CB5">
        <w:rPr>
          <w:color w:val="000000" w:themeColor="text1"/>
        </w:rPr>
        <w:t>). Twenty-four of these pairings indicated effects of personality traits on biobehavioral outcomes, and the remaining 14 indicated effects of biobehavioral phenotype exposures on personality traits. However, MR alone is not sufficient for causal inference. Causal inference must also be guided by considerations of the nature of the exposure and its temporal occurrence. Therefore, although we report MR tests of biobehavioral outcome exposure on personality traits (in addition to tests of personality on biobehavioral outcomes), in some cases these tests should be interpreted diagnostically, rather than reflective of causal effects. For example, longevity cannot cause personality, for obvious reasons to do with the temporal ordering of events (personality formation precedes death). Had results indicated that longevity causes personality, this would likely mean that genetic variants that are heritable confounders of longevity and personality, such as smoking initiation, influenced the longevity GWAS (</w:t>
      </w:r>
      <w:proofErr w:type="spellStart"/>
      <w:r w:rsidRPr="006D4CB5">
        <w:rPr>
          <w:color w:val="000000" w:themeColor="text1"/>
        </w:rPr>
        <w:t>Rossoff</w:t>
      </w:r>
      <w:proofErr w:type="spellEnd"/>
      <w:r w:rsidRPr="006D4CB5">
        <w:rPr>
          <w:color w:val="000000" w:themeColor="text1"/>
        </w:rPr>
        <w:t xml:space="preserve"> et al., 202</w:t>
      </w:r>
      <w:r w:rsidR="001E0D1C" w:rsidRPr="006D4CB5">
        <w:rPr>
          <w:color w:val="000000" w:themeColor="text1"/>
        </w:rPr>
        <w:t>4</w:t>
      </w:r>
      <w:r w:rsidRPr="006D4CB5">
        <w:rPr>
          <w:color w:val="000000" w:themeColor="text1"/>
        </w:rPr>
        <w:t>) to such an extent that they overwhelmed the ability of the three MR estimators to guard against this confounding. Similarly, we deemed any detected effects of study follow-up participation on personality traits implausible, given that they constitute a lightweight finite set of behaviors unlikely to have lasting effects on typical patterns of thinking, feeling, and behaving. For the other biobehavioral outcomes tested, we deemed it plausible for these outcomes to have causal effects on personality. Research has demonstrated that personality traits develop across the lifespan (</w:t>
      </w:r>
      <w:proofErr w:type="spellStart"/>
      <w:r w:rsidRPr="006D4CB5">
        <w:rPr>
          <w:color w:val="000000" w:themeColor="text1"/>
        </w:rPr>
        <w:t>Bleidorn</w:t>
      </w:r>
      <w:proofErr w:type="spellEnd"/>
      <w:r w:rsidRPr="006D4CB5">
        <w:rPr>
          <w:color w:val="000000" w:themeColor="text1"/>
        </w:rPr>
        <w:t xml:space="preserve"> et al., 2022; Roberts &amp; Yoon, 2022) and in response to events and experiences (Schwaba et al., 2023; </w:t>
      </w:r>
      <w:proofErr w:type="spellStart"/>
      <w:r w:rsidR="001E0D1C" w:rsidRPr="006D4CB5">
        <w:rPr>
          <w:color w:val="000000" w:themeColor="text1"/>
        </w:rPr>
        <w:t>Haehner</w:t>
      </w:r>
      <w:proofErr w:type="spellEnd"/>
      <w:r w:rsidR="001E0D1C" w:rsidRPr="006D4CB5">
        <w:rPr>
          <w:color w:val="000000" w:themeColor="text1"/>
        </w:rPr>
        <w:t xml:space="preserve"> </w:t>
      </w:r>
      <w:r w:rsidRPr="006D4CB5">
        <w:rPr>
          <w:color w:val="000000" w:themeColor="text1"/>
        </w:rPr>
        <w:t>et al., 2024) – so, exposures such as smoking initiation and educational attainment may indeed have causal effects on personality traits through lasting social and/or biological changes to person’s affective, behavioral, and cognitive patterns. </w:t>
      </w:r>
    </w:p>
    <w:p w14:paraId="57A83754" w14:textId="6015ED2D" w:rsidR="00076353" w:rsidRPr="006D4CB5" w:rsidRDefault="00076353" w:rsidP="00076353">
      <w:pPr>
        <w:ind w:firstLine="720"/>
        <w:rPr>
          <w:color w:val="000000" w:themeColor="text1"/>
        </w:rPr>
      </w:pPr>
      <w:r w:rsidRPr="006D4CB5">
        <w:rPr>
          <w:color w:val="000000" w:themeColor="text1"/>
        </w:rPr>
        <w:t xml:space="preserve">In total, we identified 33 of 36 significant MR results as plausibly causal, of which 24 were effects of personality on outcomes and nine were effects of outcomes on personality. All five significant associations deemed implausible were effects of survey participation on personality traits. Our interpretation of MR findings linking study participation exposure to personality traits are that participation may be a marker of another unidentified exposure that does cause personality, or that survey participation is itself a behavioral index of personality. This also suggests that the (more plausible) effects detected of personality on study participation should be considered tentative. We present the results of these 33 exposure-outcome associations </w:t>
      </w:r>
      <w:r w:rsidRPr="006D4CB5">
        <w:rPr>
          <w:color w:val="000000" w:themeColor="text1"/>
        </w:rPr>
        <w:lastRenderedPageBreak/>
        <w:t xml:space="preserve">for which we do infer causal effects in </w:t>
      </w:r>
      <w:r w:rsidR="007D0BF5" w:rsidRPr="006D4CB5">
        <w:rPr>
          <w:b/>
          <w:bCs/>
          <w:color w:val="000000" w:themeColor="text1"/>
        </w:rPr>
        <w:t>Extended Data Figure 9</w:t>
      </w:r>
      <w:r w:rsidRPr="006D4CB5">
        <w:rPr>
          <w:color w:val="000000" w:themeColor="text1"/>
        </w:rPr>
        <w:t xml:space="preserve"> and describe these findings in the </w:t>
      </w:r>
      <w:r w:rsidRPr="006D4CB5">
        <w:rPr>
          <w:b/>
          <w:bCs/>
          <w:color w:val="000000" w:themeColor="text1"/>
        </w:rPr>
        <w:t>Main Text.</w:t>
      </w:r>
    </w:p>
    <w:p w14:paraId="6B5F6FA0" w14:textId="77777777" w:rsidR="00076353" w:rsidRPr="006D4CB5" w:rsidRDefault="00076353" w:rsidP="00076353">
      <w:pPr>
        <w:rPr>
          <w:color w:val="000000" w:themeColor="text1"/>
        </w:rPr>
      </w:pPr>
    </w:p>
    <w:p w14:paraId="474A2C5C" w14:textId="61828B56" w:rsidR="00076353" w:rsidRPr="006D4CB5" w:rsidRDefault="00FD2004" w:rsidP="00E44E1C">
      <w:pPr>
        <w:jc w:val="center"/>
        <w:rPr>
          <w:b/>
          <w:bCs/>
          <w:color w:val="000000" w:themeColor="text1"/>
        </w:rPr>
      </w:pPr>
      <w:r>
        <w:rPr>
          <w:b/>
          <w:bCs/>
          <w:color w:val="000000" w:themeColor="text1"/>
        </w:rPr>
        <w:t xml:space="preserve">Supplementary Note </w:t>
      </w:r>
      <w:r w:rsidR="00076353" w:rsidRPr="006D4CB5">
        <w:rPr>
          <w:b/>
          <w:bCs/>
          <w:color w:val="000000" w:themeColor="text1"/>
        </w:rPr>
        <w:t>6. Evaluating</w:t>
      </w:r>
      <w:r w:rsidR="00B4305B" w:rsidRPr="006D4CB5">
        <w:rPr>
          <w:b/>
          <w:bCs/>
          <w:color w:val="000000" w:themeColor="text1"/>
        </w:rPr>
        <w:t xml:space="preserve"> </w:t>
      </w:r>
      <w:r w:rsidR="001E251E" w:rsidRPr="006D4CB5">
        <w:rPr>
          <w:b/>
          <w:bCs/>
          <w:color w:val="000000" w:themeColor="text1"/>
        </w:rPr>
        <w:t>Familial</w:t>
      </w:r>
      <w:r w:rsidR="00076353" w:rsidRPr="006D4CB5">
        <w:rPr>
          <w:b/>
          <w:bCs/>
          <w:color w:val="000000" w:themeColor="text1"/>
        </w:rPr>
        <w:t xml:space="preserve"> Confounding</w:t>
      </w:r>
    </w:p>
    <w:p w14:paraId="03949A2B" w14:textId="77777777" w:rsidR="00076353" w:rsidRPr="006D4CB5" w:rsidRDefault="00076353" w:rsidP="00076353">
      <w:pPr>
        <w:rPr>
          <w:color w:val="000000" w:themeColor="text1"/>
          <w:u w:val="single"/>
        </w:rPr>
      </w:pPr>
    </w:p>
    <w:p w14:paraId="76EB27CE" w14:textId="77777777" w:rsidR="00076353" w:rsidRPr="006D4CB5" w:rsidRDefault="00076353" w:rsidP="00076353">
      <w:pPr>
        <w:rPr>
          <w:color w:val="000000" w:themeColor="text1"/>
          <w:u w:val="single"/>
        </w:rPr>
      </w:pPr>
      <w:r w:rsidRPr="006D4CB5">
        <w:rPr>
          <w:color w:val="000000" w:themeColor="text1"/>
          <w:u w:val="single"/>
        </w:rPr>
        <w:t>6.1 Within-family PGI Rationale and Model</w:t>
      </w:r>
    </w:p>
    <w:p w14:paraId="3662EEEA" w14:textId="5A0DB87B" w:rsidR="00076353" w:rsidRPr="006D4CB5" w:rsidRDefault="00076353" w:rsidP="00076353">
      <w:pPr>
        <w:rPr>
          <w:color w:val="000000" w:themeColor="text1"/>
        </w:rPr>
      </w:pPr>
      <w:r w:rsidRPr="006D4CB5">
        <w:rPr>
          <w:color w:val="000000" w:themeColor="text1"/>
        </w:rPr>
        <w:tab/>
        <w:t>Population-level PGIs can be biased by confounds including population stratification (e.g., a causal environmental effect is correlated with a spurious genetic effect) and indirect genetic effects (e.g., a parent’s non-transmitted genotype influences their offspring’s phenotype). Within-family PGI estimation strongly reduces this confounding by predicting trait scores from one’s genotype while controlling for the genotypes of their family members. Mendelian segregation during meiosis</w:t>
      </w:r>
      <w:r w:rsidRPr="006D4CB5" w:rsidDel="00031B5E">
        <w:rPr>
          <w:color w:val="000000" w:themeColor="text1"/>
        </w:rPr>
        <w:t xml:space="preserve"> </w:t>
      </w:r>
      <w:r w:rsidRPr="006D4CB5">
        <w:rPr>
          <w:color w:val="000000" w:themeColor="text1"/>
        </w:rPr>
        <w:t>results in the random inheritance of half of the genetic material from each parent, independent of family environment. Sibling differences in genotype therefore serve as a stringent control for environmental confounding, such as uncontrolled population stratification. Moreover, because genetic information is inherited independently across chromosomes, sibling differences in genotype additionally serve as strong control for long range correlations across variants that arise from assortative mating (Tan et al., 202</w:t>
      </w:r>
      <w:r w:rsidR="001E0D1C" w:rsidRPr="006D4CB5">
        <w:rPr>
          <w:color w:val="000000" w:themeColor="text1"/>
        </w:rPr>
        <w:t>5</w:t>
      </w:r>
      <w:r w:rsidRPr="006D4CB5">
        <w:rPr>
          <w:color w:val="000000" w:themeColor="text1"/>
        </w:rPr>
        <w:t xml:space="preserve">; Veller &amp; Coop, 2024). To test the extent of confounding in population-level PGI prediction, we compared population-level PGI prediction to within-family PGI prediction using dizygotic </w:t>
      </w:r>
      <w:r w:rsidR="00733993" w:rsidRPr="006D4CB5">
        <w:rPr>
          <w:color w:val="000000" w:themeColor="text1"/>
        </w:rPr>
        <w:t xml:space="preserve">(DZ) </w:t>
      </w:r>
      <w:r w:rsidRPr="006D4CB5">
        <w:rPr>
          <w:color w:val="000000" w:themeColor="text1"/>
        </w:rPr>
        <w:t xml:space="preserve">twins ascertained in the NTR and TEDS cohorts. </w:t>
      </w:r>
      <w:r w:rsidR="00733993" w:rsidRPr="006D4CB5">
        <w:rPr>
          <w:color w:val="000000" w:themeColor="text1"/>
        </w:rPr>
        <w:t>Specifically, in the NTR, population-level PGI prediction was estimated in the full sample of 1</w:t>
      </w:r>
      <w:r w:rsidR="00A911E9" w:rsidRPr="006D4CB5">
        <w:rPr>
          <w:color w:val="000000" w:themeColor="text1"/>
        </w:rPr>
        <w:t>3</w:t>
      </w:r>
      <w:r w:rsidR="00733993" w:rsidRPr="006D4CB5">
        <w:rPr>
          <w:color w:val="000000" w:themeColor="text1"/>
        </w:rPr>
        <w:t>,</w:t>
      </w:r>
      <w:r w:rsidR="00A911E9" w:rsidRPr="006D4CB5">
        <w:rPr>
          <w:color w:val="000000" w:themeColor="text1"/>
        </w:rPr>
        <w:t>295</w:t>
      </w:r>
      <w:r w:rsidR="00733993" w:rsidRPr="006D4CB5">
        <w:rPr>
          <w:color w:val="000000" w:themeColor="text1"/>
        </w:rPr>
        <w:t xml:space="preserve"> participants, including monozygotic (MZ) and DZ twins, as well as parents and other relatives of those twins, and the within-family PGI prediction was estimated among the 4,</w:t>
      </w:r>
      <w:r w:rsidR="00A911E9" w:rsidRPr="006D4CB5">
        <w:rPr>
          <w:color w:val="000000" w:themeColor="text1"/>
        </w:rPr>
        <w:t>941</w:t>
      </w:r>
      <w:r w:rsidR="00733993" w:rsidRPr="006D4CB5">
        <w:rPr>
          <w:color w:val="000000" w:themeColor="text1"/>
        </w:rPr>
        <w:t xml:space="preserve"> DZ twin pairs in the cohort who had provided personality data. In the TEDS, population-level PGI prediction was estimated in the full sample of 6,362 MZ and DZ twins, and the within-family PGI prediction was estimated among the 4,751 DZ twins. </w:t>
      </w:r>
    </w:p>
    <w:p w14:paraId="0C746233" w14:textId="1C479793" w:rsidR="00076353" w:rsidRPr="006D4CB5" w:rsidRDefault="00076353" w:rsidP="00076353">
      <w:pPr>
        <w:rPr>
          <w:color w:val="000000" w:themeColor="text1"/>
        </w:rPr>
      </w:pPr>
      <w:r w:rsidRPr="006D4CB5">
        <w:rPr>
          <w:color w:val="000000" w:themeColor="text1"/>
        </w:rPr>
        <w:tab/>
        <w:t>For both cohorts, we estimated within-family PGI associations among dizygotic twin pairs in the following fixed-effects regression model, which is closely related to the population-level PGI equation described in equation 1</w:t>
      </w:r>
      <w:r w:rsidR="004E4F12" w:rsidRPr="006D4CB5">
        <w:rPr>
          <w:color w:val="000000" w:themeColor="text1"/>
        </w:rPr>
        <w:t>2</w:t>
      </w:r>
      <w:r w:rsidRPr="006D4CB5">
        <w:rPr>
          <w:color w:val="000000" w:themeColor="text1"/>
        </w:rPr>
        <w:t>:</w:t>
      </w:r>
    </w:p>
    <w:p w14:paraId="67E7F42D" w14:textId="77777777" w:rsidR="00076353" w:rsidRPr="006D4CB5" w:rsidRDefault="00076353" w:rsidP="00076353">
      <w:pPr>
        <w:rPr>
          <w:color w:val="000000" w:themeColor="text1"/>
        </w:rPr>
      </w:pPr>
    </w:p>
    <w:p w14:paraId="488F3E49" w14:textId="018EA910" w:rsidR="00076353" w:rsidRPr="006D4CB5" w:rsidRDefault="00076353" w:rsidP="00076353">
      <w:pPr>
        <w:ind w:firstLine="720"/>
        <w:jc w:val="center"/>
        <w:rPr>
          <w:color w:val="000000" w:themeColor="text1"/>
        </w:rPr>
      </w:pPr>
      <m:oMath>
        <m:r>
          <w:rPr>
            <w:rFonts w:ascii="Cambria Math" w:hAnsi="Cambria Math"/>
            <w:color w:val="000000" w:themeColor="text1"/>
          </w:rPr>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PGI+</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f</m:t>
            </m:r>
          </m:sub>
        </m:sSub>
        <m:r>
          <w:rPr>
            <w:rFonts w:ascii="Cambria Math" w:hAnsi="Cambria Math"/>
            <w:color w:val="000000" w:themeColor="text1"/>
          </w:rPr>
          <m:t>+e</m:t>
        </m:r>
      </m:oMath>
      <w:r w:rsidRPr="006D4CB5">
        <w:rPr>
          <w:color w:val="000000" w:themeColor="text1"/>
        </w:rPr>
        <w:t xml:space="preserve"> ,</w:t>
      </w:r>
      <w:r w:rsidR="006B02C8" w:rsidRPr="006D4CB5">
        <w:rPr>
          <w:color w:val="000000" w:themeColor="text1"/>
        </w:rPr>
        <w:tab/>
      </w:r>
      <w:r w:rsidRPr="006D4CB5">
        <w:rPr>
          <w:color w:val="000000" w:themeColor="text1"/>
        </w:rPr>
        <w:t>(Eq. 1</w:t>
      </w:r>
      <w:r w:rsidR="00566C22" w:rsidRPr="006D4CB5">
        <w:rPr>
          <w:color w:val="000000" w:themeColor="text1"/>
        </w:rPr>
        <w:t>9</w:t>
      </w:r>
      <w:r w:rsidRPr="006D4CB5">
        <w:rPr>
          <w:color w:val="000000" w:themeColor="text1"/>
        </w:rPr>
        <w:t>)</w:t>
      </w:r>
    </w:p>
    <w:p w14:paraId="3A554B7D" w14:textId="77777777" w:rsidR="00076353" w:rsidRPr="006D4CB5" w:rsidRDefault="00076353" w:rsidP="00076353">
      <w:pPr>
        <w:jc w:val="center"/>
        <w:rPr>
          <w:rFonts w:ascii="Cambria Math" w:hAnsi="Cambria Math"/>
          <w:color w:val="000000" w:themeColor="text1"/>
        </w:rPr>
      </w:pPr>
    </w:p>
    <w:p w14:paraId="753DD37F" w14:textId="77777777"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f</m:t>
            </m:r>
          </m:sub>
        </m:sSub>
      </m:oMath>
      <w:r w:rsidRPr="006D4CB5">
        <w:rPr>
          <w:color w:val="000000" w:themeColor="text1"/>
        </w:rPr>
        <w:t xml:space="preserve"> are family-level fixed effects that are included to account for unmeasured between-family effects on the outcome,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oMath>
      <w:r w:rsidRPr="006D4CB5">
        <w:rPr>
          <w:color w:val="000000" w:themeColor="text1"/>
        </w:rPr>
        <w:t xml:space="preserve"> represents the </w:t>
      </w:r>
      <w:r w:rsidRPr="006D4CB5">
        <w:rPr>
          <w:i/>
          <w:iCs/>
          <w:color w:val="000000" w:themeColor="text1"/>
        </w:rPr>
        <w:t>within-family effect</w:t>
      </w:r>
      <w:r w:rsidRPr="006D4CB5">
        <w:rPr>
          <w:color w:val="000000" w:themeColor="text1"/>
        </w:rPr>
        <w:t xml:space="preserve"> of the PGI (i.e. the association of the PGI with the personality trait score controlling for all sources of between-family variation), and the remaining terms are defined as in Eq. 10. Note that in this model, controls for ancestral principal components are unnecessary, as population stratification is controlled for by the family-level fixed effects. Results from these tests are described in the </w:t>
      </w:r>
      <w:r w:rsidRPr="006D4CB5">
        <w:rPr>
          <w:b/>
          <w:bCs/>
          <w:color w:val="000000" w:themeColor="text1"/>
        </w:rPr>
        <w:t>Main Text</w:t>
      </w:r>
      <w:r w:rsidRPr="006D4CB5">
        <w:rPr>
          <w:color w:val="000000" w:themeColor="text1"/>
        </w:rPr>
        <w:t>.</w:t>
      </w:r>
    </w:p>
    <w:p w14:paraId="2EAD9383" w14:textId="163CB735" w:rsidR="00A911E9" w:rsidRPr="006D4CB5" w:rsidRDefault="00A911E9" w:rsidP="00076353">
      <w:pPr>
        <w:rPr>
          <w:color w:val="000000" w:themeColor="text1"/>
        </w:rPr>
      </w:pPr>
      <w:r w:rsidRPr="006D4CB5">
        <w:rPr>
          <w:color w:val="000000" w:themeColor="text1"/>
        </w:rPr>
        <w:tab/>
        <w:t xml:space="preserve">As a sensitivity test, we also </w:t>
      </w:r>
      <w:r w:rsidR="00285572" w:rsidRPr="006D4CB5">
        <w:rPr>
          <w:color w:val="000000" w:themeColor="text1"/>
        </w:rPr>
        <w:t xml:space="preserve">estimated </w:t>
      </w:r>
      <w:r w:rsidRPr="006D4CB5">
        <w:rPr>
          <w:color w:val="000000" w:themeColor="text1"/>
        </w:rPr>
        <w:t>population-level PGI prediction</w:t>
      </w:r>
      <w:r w:rsidR="00285572" w:rsidRPr="006D4CB5">
        <w:rPr>
          <w:color w:val="000000" w:themeColor="text1"/>
        </w:rPr>
        <w:t xml:space="preserve"> in NTR</w:t>
      </w:r>
      <w:r w:rsidRPr="006D4CB5">
        <w:rPr>
          <w:color w:val="000000" w:themeColor="text1"/>
        </w:rPr>
        <w:t xml:space="preserve"> </w:t>
      </w:r>
      <w:r w:rsidR="00C6581A" w:rsidRPr="006D4CB5">
        <w:rPr>
          <w:color w:val="000000" w:themeColor="text1"/>
        </w:rPr>
        <w:t xml:space="preserve">among </w:t>
      </w:r>
      <w:r w:rsidR="00285572" w:rsidRPr="006D4CB5">
        <w:rPr>
          <w:color w:val="000000" w:themeColor="text1"/>
        </w:rPr>
        <w:t>only the DZ twins who contributed to within-family PGI prediction analyses</w:t>
      </w:r>
      <w:r w:rsidR="00C6581A" w:rsidRPr="006D4CB5">
        <w:rPr>
          <w:color w:val="000000" w:themeColor="text1"/>
        </w:rPr>
        <w:t xml:space="preserve"> (i.e., we </w:t>
      </w:r>
      <w:r w:rsidRPr="006D4CB5">
        <w:rPr>
          <w:color w:val="000000" w:themeColor="text1"/>
        </w:rPr>
        <w:t>prun</w:t>
      </w:r>
      <w:r w:rsidR="00C6581A" w:rsidRPr="006D4CB5">
        <w:rPr>
          <w:color w:val="000000" w:themeColor="text1"/>
        </w:rPr>
        <w:t>ed</w:t>
      </w:r>
      <w:r w:rsidRPr="006D4CB5">
        <w:rPr>
          <w:color w:val="000000" w:themeColor="text1"/>
        </w:rPr>
        <w:t xml:space="preserve"> other NTR </w:t>
      </w:r>
      <w:r w:rsidR="00C50830" w:rsidRPr="006D4CB5">
        <w:rPr>
          <w:color w:val="000000" w:themeColor="text1"/>
        </w:rPr>
        <w:t>family members</w:t>
      </w:r>
      <w:r w:rsidR="00C6581A" w:rsidRPr="006D4CB5">
        <w:rPr>
          <w:color w:val="000000" w:themeColor="text1"/>
        </w:rPr>
        <w:t xml:space="preserve">, such as </w:t>
      </w:r>
      <w:r w:rsidRPr="006D4CB5">
        <w:rPr>
          <w:color w:val="000000" w:themeColor="text1"/>
        </w:rPr>
        <w:t>MZ twins</w:t>
      </w:r>
      <w:r w:rsidR="00C6581A" w:rsidRPr="006D4CB5">
        <w:rPr>
          <w:color w:val="000000" w:themeColor="text1"/>
        </w:rPr>
        <w:t>, from the population-level prediction sample).</w:t>
      </w:r>
      <w:r w:rsidRPr="006D4CB5">
        <w:rPr>
          <w:color w:val="000000" w:themeColor="text1"/>
        </w:rPr>
        <w:t xml:space="preserve"> </w:t>
      </w:r>
      <w:r w:rsidR="00285572" w:rsidRPr="006D4CB5">
        <w:rPr>
          <w:color w:val="000000" w:themeColor="text1"/>
        </w:rPr>
        <w:t xml:space="preserve">Population-level prediction </w:t>
      </w:r>
      <w:r w:rsidRPr="006D4CB5">
        <w:rPr>
          <w:color w:val="000000" w:themeColor="text1"/>
        </w:rPr>
        <w:t>in this restricted sample was nearly identical in magnitude</w:t>
      </w:r>
      <w:r w:rsidR="00C6581A" w:rsidRPr="006D4CB5">
        <w:rPr>
          <w:color w:val="000000" w:themeColor="text1"/>
        </w:rPr>
        <w:t xml:space="preserve"> to prediction in the full sample</w:t>
      </w:r>
      <w:r w:rsidRPr="006D4CB5">
        <w:rPr>
          <w:color w:val="000000" w:themeColor="text1"/>
        </w:rPr>
        <w:t xml:space="preserve"> (mean β = .174 versus .172 in the full sample</w:t>
      </w:r>
      <w:r w:rsidR="00285572" w:rsidRPr="006D4CB5">
        <w:rPr>
          <w:color w:val="000000" w:themeColor="text1"/>
        </w:rPr>
        <w:t xml:space="preserve">; </w:t>
      </w:r>
      <w:r w:rsidR="00285572" w:rsidRPr="006D4CB5">
        <w:rPr>
          <w:b/>
          <w:bCs/>
          <w:color w:val="000000" w:themeColor="text1"/>
        </w:rPr>
        <w:t xml:space="preserve">Supplementary </w:t>
      </w:r>
      <w:r w:rsidR="007D0E3E" w:rsidRPr="006D4CB5">
        <w:rPr>
          <w:b/>
          <w:bCs/>
          <w:color w:val="000000" w:themeColor="text1"/>
        </w:rPr>
        <w:t>Table</w:t>
      </w:r>
      <w:r w:rsidR="00285572" w:rsidRPr="006D4CB5">
        <w:rPr>
          <w:b/>
          <w:bCs/>
          <w:color w:val="000000" w:themeColor="text1"/>
        </w:rPr>
        <w:t xml:space="preserve"> S35</w:t>
      </w:r>
      <w:r w:rsidRPr="006D4CB5">
        <w:rPr>
          <w:color w:val="000000" w:themeColor="text1"/>
        </w:rPr>
        <w:t>)</w:t>
      </w:r>
      <w:r w:rsidR="00285572" w:rsidRPr="006D4CB5">
        <w:rPr>
          <w:color w:val="000000" w:themeColor="text1"/>
        </w:rPr>
        <w:t>. Thus, this analytic decision does not impact conclusions of population-level versus within-family PGI comparisons. As PGI prediction in this restricted sample had</w:t>
      </w:r>
      <w:r w:rsidRPr="006D4CB5">
        <w:rPr>
          <w:color w:val="000000" w:themeColor="text1"/>
        </w:rPr>
        <w:t xml:space="preserve"> larger standard </w:t>
      </w:r>
      <w:r w:rsidRPr="006D4CB5">
        <w:rPr>
          <w:color w:val="000000" w:themeColor="text1"/>
        </w:rPr>
        <w:lastRenderedPageBreak/>
        <w:t>errors (</w:t>
      </w:r>
      <w:r w:rsidR="00285572" w:rsidRPr="006D4CB5">
        <w:rPr>
          <w:color w:val="000000" w:themeColor="text1"/>
        </w:rPr>
        <w:t xml:space="preserve">mean of </w:t>
      </w:r>
      <w:r w:rsidRPr="006D4CB5">
        <w:rPr>
          <w:color w:val="000000" w:themeColor="text1"/>
        </w:rPr>
        <w:t>.014 versus .009</w:t>
      </w:r>
      <w:r w:rsidR="00285572" w:rsidRPr="006D4CB5">
        <w:rPr>
          <w:color w:val="000000" w:themeColor="text1"/>
        </w:rPr>
        <w:t xml:space="preserve">), </w:t>
      </w:r>
      <w:r w:rsidRPr="006D4CB5">
        <w:rPr>
          <w:color w:val="000000" w:themeColor="text1"/>
        </w:rPr>
        <w:t xml:space="preserve">we focus on population-level </w:t>
      </w:r>
      <w:r w:rsidR="00285572" w:rsidRPr="006D4CB5">
        <w:rPr>
          <w:color w:val="000000" w:themeColor="text1"/>
        </w:rPr>
        <w:t>analyses with</w:t>
      </w:r>
      <w:r w:rsidRPr="006D4CB5">
        <w:rPr>
          <w:color w:val="000000" w:themeColor="text1"/>
        </w:rPr>
        <w:t xml:space="preserve"> the full NTR sample in the main text</w:t>
      </w:r>
      <w:r w:rsidR="00285572" w:rsidRPr="006D4CB5">
        <w:rPr>
          <w:color w:val="000000" w:themeColor="text1"/>
        </w:rPr>
        <w:t>.</w:t>
      </w:r>
      <w:r w:rsidRPr="006D4CB5">
        <w:rPr>
          <w:color w:val="000000" w:themeColor="text1"/>
        </w:rPr>
        <w:t xml:space="preserve"> </w:t>
      </w:r>
    </w:p>
    <w:p w14:paraId="5FE7AE37" w14:textId="77777777" w:rsidR="00076353" w:rsidRPr="006D4CB5" w:rsidRDefault="00076353" w:rsidP="00076353">
      <w:pPr>
        <w:rPr>
          <w:color w:val="000000" w:themeColor="text1"/>
        </w:rPr>
      </w:pPr>
    </w:p>
    <w:p w14:paraId="56135037" w14:textId="77777777" w:rsidR="00076353" w:rsidRPr="006D4CB5" w:rsidRDefault="00076353" w:rsidP="00076353">
      <w:pPr>
        <w:rPr>
          <w:color w:val="000000" w:themeColor="text1"/>
        </w:rPr>
      </w:pPr>
      <w:r w:rsidRPr="006D4CB5">
        <w:rPr>
          <w:color w:val="000000" w:themeColor="text1"/>
          <w:u w:val="single"/>
        </w:rPr>
        <w:t>6.2 Parent-Offspring PGI Rationale and Model</w:t>
      </w:r>
    </w:p>
    <w:p w14:paraId="3DF93ED3" w14:textId="4D68B0D2" w:rsidR="00076353" w:rsidRPr="006D4CB5" w:rsidRDefault="00076353" w:rsidP="00076353">
      <w:pPr>
        <w:rPr>
          <w:color w:val="000000" w:themeColor="text1"/>
        </w:rPr>
      </w:pPr>
      <w:r w:rsidRPr="006D4CB5">
        <w:rPr>
          <w:color w:val="000000" w:themeColor="text1"/>
        </w:rPr>
        <w:tab/>
        <w:t xml:space="preserve">With genotype information from parents and offspring, associations between PGIs and measured traits among offspring can be decomposed into direct effects, which are those attributable to alleles transmitted from parent to offspring, and indirect effects, which are those attributable to alleles not transmitted from parent to offspring (Kong et al., 2018). Indirect genetic effects proxy factors such as the offspring’s rearing environment and multi-generational social stratification processes and have been found to account for a substantial portion of PGI </w:t>
      </w:r>
      <w:r w:rsidR="001C3E04" w:rsidRPr="006D4CB5">
        <w:rPr>
          <w:color w:val="000000" w:themeColor="text1"/>
        </w:rPr>
        <w:t xml:space="preserve">prediction </w:t>
      </w:r>
      <w:r w:rsidRPr="006D4CB5">
        <w:rPr>
          <w:color w:val="000000" w:themeColor="text1"/>
        </w:rPr>
        <w:t>for traits like educational attainment (Nivard et al., 2024).</w:t>
      </w:r>
    </w:p>
    <w:p w14:paraId="1DEBED43" w14:textId="58F8894D" w:rsidR="00076353" w:rsidRPr="006D4CB5" w:rsidRDefault="00076353" w:rsidP="00076353">
      <w:pPr>
        <w:rPr>
          <w:color w:val="000000" w:themeColor="text1"/>
        </w:rPr>
      </w:pPr>
      <w:r w:rsidRPr="006D4CB5">
        <w:rPr>
          <w:color w:val="000000" w:themeColor="text1"/>
        </w:rPr>
        <w:tab/>
        <w:t xml:space="preserve">To quantify direct and indirect effects, we applied PGI weights as estimated above to families in the </w:t>
      </w:r>
      <w:proofErr w:type="spellStart"/>
      <w:r w:rsidRPr="006D4CB5">
        <w:rPr>
          <w:color w:val="000000" w:themeColor="text1"/>
        </w:rPr>
        <w:t>deCODE</w:t>
      </w:r>
      <w:proofErr w:type="spellEnd"/>
      <w:r w:rsidRPr="006D4CB5">
        <w:rPr>
          <w:color w:val="000000" w:themeColor="text1"/>
        </w:rPr>
        <w:t xml:space="preserve"> cohort (N = 34,506 probands with at least one genotyped parent). Phased genotype data was used to determine transmitted and non-transmitted alleles, as well as the parent-of-origin. Then, polygenic indices were computed for each of these, and used to predict a personality trait in the offspring using the following expansion of equation 1</w:t>
      </w:r>
      <w:r w:rsidR="00566C22" w:rsidRPr="006D4CB5">
        <w:rPr>
          <w:color w:val="000000" w:themeColor="text1"/>
        </w:rPr>
        <w:t>5</w:t>
      </w:r>
      <w:r w:rsidRPr="006D4CB5">
        <w:rPr>
          <w:color w:val="000000" w:themeColor="text1"/>
        </w:rPr>
        <w:t xml:space="preserve"> above:</w:t>
      </w:r>
    </w:p>
    <w:p w14:paraId="7EF9D730" w14:textId="77777777" w:rsidR="00076353" w:rsidRPr="006D4CB5" w:rsidRDefault="00076353" w:rsidP="00076353">
      <w:pPr>
        <w:rPr>
          <w:color w:val="000000" w:themeColor="text1"/>
        </w:rPr>
      </w:pPr>
    </w:p>
    <w:p w14:paraId="51C140F3" w14:textId="23D1305E" w:rsidR="00076353" w:rsidRPr="006D4CB5" w:rsidRDefault="00076353" w:rsidP="00076353">
      <w:pPr>
        <w:ind w:firstLine="720"/>
        <w:jc w:val="center"/>
        <w:rPr>
          <w:color w:val="000000" w:themeColor="text1"/>
        </w:rPr>
      </w:pPr>
      <m:oMath>
        <m:r>
          <w:rPr>
            <w:rFonts w:ascii="Cambria Math" w:hAnsi="Cambria Math"/>
            <w:color w:val="000000" w:themeColor="text1"/>
          </w:rPr>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TP</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2</m:t>
            </m:r>
          </m:sub>
        </m:sSub>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TM</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3</m:t>
            </m:r>
          </m:sub>
        </m:sSub>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NTP</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4</m:t>
            </m:r>
          </m:sub>
        </m:sSub>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NTM</m:t>
            </m:r>
          </m:sub>
        </m:sSub>
        <m:r>
          <w:rPr>
            <w:rFonts w:ascii="Cambria Math" w:hAnsi="Cambria Math"/>
            <w:color w:val="000000" w:themeColor="text1"/>
          </w:rPr>
          <m:t>+</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+e</m:t>
        </m:r>
      </m:oMath>
      <w:r w:rsidRPr="006D4CB5">
        <w:rPr>
          <w:color w:val="000000" w:themeColor="text1"/>
        </w:rPr>
        <w:t xml:space="preserve"> ,</w:t>
      </w:r>
      <w:r w:rsidRPr="006D4CB5">
        <w:rPr>
          <w:color w:val="000000" w:themeColor="text1"/>
        </w:rPr>
        <w:tab/>
        <w:t xml:space="preserve">(Eq. </w:t>
      </w:r>
      <w:r w:rsidR="00566C22" w:rsidRPr="006D4CB5">
        <w:rPr>
          <w:color w:val="000000" w:themeColor="text1"/>
        </w:rPr>
        <w:t>20</w:t>
      </w:r>
      <w:r w:rsidRPr="006D4CB5">
        <w:rPr>
          <w:color w:val="000000" w:themeColor="text1"/>
        </w:rPr>
        <w:t>)</w:t>
      </w:r>
    </w:p>
    <w:p w14:paraId="7DE5957F" w14:textId="77777777" w:rsidR="00076353" w:rsidRPr="006D4CB5" w:rsidRDefault="00076353" w:rsidP="00076353">
      <w:pPr>
        <w:rPr>
          <w:color w:val="000000" w:themeColor="text1"/>
        </w:rPr>
      </w:pPr>
      <w:r w:rsidRPr="006D4CB5">
        <w:rPr>
          <w:color w:val="000000" w:themeColor="text1"/>
        </w:rPr>
        <w:t xml:space="preserve"> </w:t>
      </w:r>
    </w:p>
    <w:p w14:paraId="6BA52690" w14:textId="77777777"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TP</m:t>
            </m:r>
          </m:sub>
        </m:sSub>
      </m:oMath>
      <w:r w:rsidRPr="006D4CB5">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TM</m:t>
            </m:r>
          </m:sub>
        </m:sSub>
      </m:oMath>
      <w:r w:rsidRPr="006D4CB5">
        <w:rPr>
          <w:color w:val="000000" w:themeColor="text1"/>
        </w:rPr>
        <w:t xml:space="preserve"> are PGIs estimated from the transmitted paternal and maternal alleles, respectively, and </w:t>
      </w:r>
      <m:oMath>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NTP</m:t>
            </m:r>
          </m:sub>
        </m:sSub>
      </m:oMath>
      <w:r w:rsidRPr="006D4CB5">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PGI</m:t>
            </m:r>
          </m:e>
          <m:sub>
            <m:r>
              <w:rPr>
                <w:rFonts w:ascii="Cambria Math" w:hAnsi="Cambria Math"/>
                <w:color w:val="000000" w:themeColor="text1"/>
              </w:rPr>
              <m:t>NTM</m:t>
            </m:r>
          </m:sub>
        </m:sSub>
      </m:oMath>
      <w:r w:rsidRPr="006D4CB5">
        <w:rPr>
          <w:color w:val="000000" w:themeColor="text1"/>
        </w:rPr>
        <w:t xml:space="preserve"> are PGIs estimated from the non-transmitted paternal and maternal alleles, respectively (Kong et al., 2018). </w:t>
      </w:r>
    </w:p>
    <w:p w14:paraId="39C56510" w14:textId="5B20EE96" w:rsidR="00076353" w:rsidRPr="006D4CB5" w:rsidRDefault="00076353" w:rsidP="00076353">
      <w:pPr>
        <w:rPr>
          <w:b/>
          <w:bCs/>
          <w:color w:val="000000" w:themeColor="text1"/>
        </w:rPr>
      </w:pPr>
      <w:r w:rsidRPr="006D4CB5">
        <w:rPr>
          <w:color w:val="000000" w:themeColor="text1"/>
        </w:rPr>
        <w:tab/>
        <w:t xml:space="preserve">As a matched comparison, we also estimated direct and indirect genetic effects for educational attainment based on summary data from </w:t>
      </w:r>
      <w:proofErr w:type="spellStart"/>
      <w:r w:rsidRPr="006D4CB5">
        <w:rPr>
          <w:color w:val="000000" w:themeColor="text1"/>
        </w:rPr>
        <w:t>Okbay</w:t>
      </w:r>
      <w:proofErr w:type="spellEnd"/>
      <w:r w:rsidRPr="006D4CB5">
        <w:rPr>
          <w:color w:val="000000" w:themeColor="text1"/>
        </w:rPr>
        <w:t xml:space="preserve"> and colleagues (2022) excluding participants from the </w:t>
      </w:r>
      <w:proofErr w:type="spellStart"/>
      <w:r w:rsidRPr="006D4CB5">
        <w:rPr>
          <w:color w:val="000000" w:themeColor="text1"/>
        </w:rPr>
        <w:t>deCODE</w:t>
      </w:r>
      <w:proofErr w:type="spellEnd"/>
      <w:r w:rsidRPr="006D4CB5">
        <w:rPr>
          <w:color w:val="000000" w:themeColor="text1"/>
        </w:rPr>
        <w:t xml:space="preserve"> and 23&amp;Me cohorts (N = 718,525). We followed the same procedure for constructing PGI weights in </w:t>
      </w:r>
      <w:proofErr w:type="spellStart"/>
      <w:r w:rsidRPr="006D4CB5">
        <w:rPr>
          <w:color w:val="000000" w:themeColor="text1"/>
        </w:rPr>
        <w:t>S</w:t>
      </w:r>
      <w:r w:rsidR="00F269A2" w:rsidRPr="006D4CB5">
        <w:rPr>
          <w:color w:val="000000" w:themeColor="text1"/>
        </w:rPr>
        <w:t>B</w:t>
      </w:r>
      <w:r w:rsidRPr="006D4CB5">
        <w:rPr>
          <w:color w:val="000000" w:themeColor="text1"/>
        </w:rPr>
        <w:t>ayesR</w:t>
      </w:r>
      <w:proofErr w:type="spellEnd"/>
      <w:r w:rsidRPr="006D4CB5">
        <w:rPr>
          <w:color w:val="000000" w:themeColor="text1"/>
        </w:rPr>
        <w:t xml:space="preserve"> that we used for the Big Five personality traits to maximize comparability. Results from these comparisons are described in the Main Text and </w:t>
      </w:r>
      <w:r w:rsidRPr="006D4CB5">
        <w:rPr>
          <w:b/>
          <w:bCs/>
          <w:color w:val="000000" w:themeColor="text1"/>
        </w:rPr>
        <w:t>Supplementary Table S</w:t>
      </w:r>
      <w:r w:rsidR="00D801BD" w:rsidRPr="006D4CB5">
        <w:rPr>
          <w:b/>
          <w:bCs/>
          <w:color w:val="000000" w:themeColor="text1"/>
        </w:rPr>
        <w:t>4</w:t>
      </w:r>
      <w:r w:rsidR="00723032" w:rsidRPr="006D4CB5">
        <w:rPr>
          <w:b/>
          <w:bCs/>
          <w:color w:val="000000" w:themeColor="text1"/>
        </w:rPr>
        <w:t>4</w:t>
      </w:r>
      <w:r w:rsidRPr="006D4CB5">
        <w:rPr>
          <w:b/>
          <w:bCs/>
          <w:color w:val="000000" w:themeColor="text1"/>
        </w:rPr>
        <w:t xml:space="preserve"> </w:t>
      </w:r>
      <w:r w:rsidRPr="006D4CB5">
        <w:rPr>
          <w:color w:val="000000" w:themeColor="text1"/>
        </w:rPr>
        <w:t>and</w:t>
      </w:r>
      <w:r w:rsidRPr="006D4CB5">
        <w:rPr>
          <w:b/>
          <w:bCs/>
          <w:color w:val="000000" w:themeColor="text1"/>
        </w:rPr>
        <w:t xml:space="preserve"> S4</w:t>
      </w:r>
      <w:r w:rsidR="00723032" w:rsidRPr="006D4CB5">
        <w:rPr>
          <w:b/>
          <w:bCs/>
          <w:color w:val="000000" w:themeColor="text1"/>
        </w:rPr>
        <w:t>5</w:t>
      </w:r>
      <w:r w:rsidRPr="006D4CB5">
        <w:rPr>
          <w:b/>
          <w:bCs/>
          <w:color w:val="000000" w:themeColor="text1"/>
        </w:rPr>
        <w:t>.</w:t>
      </w:r>
      <w:r w:rsidRPr="006D4CB5">
        <w:rPr>
          <w:color w:val="000000" w:themeColor="text1"/>
        </w:rPr>
        <w:t xml:space="preserve"> </w:t>
      </w:r>
    </w:p>
    <w:p w14:paraId="64C2EF4D" w14:textId="77777777" w:rsidR="00076353" w:rsidRPr="006D4CB5" w:rsidRDefault="00076353" w:rsidP="00076353">
      <w:pPr>
        <w:rPr>
          <w:color w:val="000000" w:themeColor="text1"/>
        </w:rPr>
      </w:pPr>
    </w:p>
    <w:p w14:paraId="25634AAB" w14:textId="77777777" w:rsidR="00076353" w:rsidRPr="006D4CB5" w:rsidRDefault="00076353" w:rsidP="00076353">
      <w:pPr>
        <w:rPr>
          <w:color w:val="000000" w:themeColor="text1"/>
          <w:u w:val="single"/>
        </w:rPr>
      </w:pPr>
      <w:r w:rsidRPr="006D4CB5">
        <w:rPr>
          <w:color w:val="000000" w:themeColor="text1"/>
          <w:u w:val="single"/>
        </w:rPr>
        <w:t>6.3 Within-Family GWAS Cohorts and Methods</w:t>
      </w:r>
    </w:p>
    <w:p w14:paraId="6D3458F6" w14:textId="2AA09C4C" w:rsidR="00076353" w:rsidRPr="006D4CB5" w:rsidRDefault="00076353" w:rsidP="00076353">
      <w:pPr>
        <w:rPr>
          <w:color w:val="000000" w:themeColor="text1"/>
        </w:rPr>
      </w:pPr>
      <w:r w:rsidRPr="006D4CB5">
        <w:rPr>
          <w:color w:val="000000" w:themeColor="text1"/>
        </w:rPr>
        <w:tab/>
        <w:t>For each Big Five trait, we conducted additional GWAS analyses on a subset of EUR</w:t>
      </w:r>
      <w:r w:rsidR="00CB7254">
        <w:rPr>
          <w:color w:val="000000" w:themeColor="text1"/>
        </w:rPr>
        <w:t>-like</w:t>
      </w:r>
      <w:r w:rsidRPr="006D4CB5">
        <w:rPr>
          <w:color w:val="000000" w:themeColor="text1"/>
        </w:rPr>
        <w:t xml:space="preserve"> cohorts (k = 12) that ascertained genomic and personality data among family members. These analyses allowed us to further probe the extent of confounding in personality genomics. Complete data on contributing cohorts for these analyses can be found in</w:t>
      </w:r>
      <w:r w:rsidRPr="006D4CB5">
        <w:rPr>
          <w:b/>
          <w:bCs/>
          <w:color w:val="000000" w:themeColor="text1"/>
        </w:rPr>
        <w:t xml:space="preserve"> Supplementary Table S4</w:t>
      </w:r>
      <w:r w:rsidR="00723032" w:rsidRPr="006D4CB5">
        <w:rPr>
          <w:b/>
          <w:bCs/>
          <w:color w:val="000000" w:themeColor="text1"/>
        </w:rPr>
        <w:t>6</w:t>
      </w:r>
      <w:r w:rsidRPr="006D4CB5">
        <w:rPr>
          <w:b/>
          <w:bCs/>
          <w:color w:val="000000" w:themeColor="text1"/>
        </w:rPr>
        <w:t>.</w:t>
      </w:r>
      <w:r w:rsidRPr="006D4CB5">
        <w:rPr>
          <w:color w:val="000000" w:themeColor="text1"/>
        </w:rPr>
        <w:t xml:space="preserve"> </w:t>
      </w:r>
    </w:p>
    <w:p w14:paraId="0C45C337" w14:textId="77777777" w:rsidR="00076353" w:rsidRPr="006D4CB5" w:rsidRDefault="00076353" w:rsidP="00076353">
      <w:pPr>
        <w:ind w:firstLine="720"/>
        <w:rPr>
          <w:color w:val="000000" w:themeColor="text1"/>
        </w:rPr>
      </w:pPr>
      <w:r w:rsidRPr="006D4CB5">
        <w:rPr>
          <w:color w:val="000000" w:themeColor="text1"/>
        </w:rPr>
        <w:t xml:space="preserve">Analysts followed one of two approaches to estimate these models. For k = 2 cohorts (NTR and EBB), analysts used </w:t>
      </w:r>
      <w:proofErr w:type="spellStart"/>
      <w:r w:rsidRPr="006D4CB5">
        <w:rPr>
          <w:color w:val="000000" w:themeColor="text1"/>
        </w:rPr>
        <w:t>snipar</w:t>
      </w:r>
      <w:proofErr w:type="spellEnd"/>
      <w:r w:rsidRPr="006D4CB5">
        <w:rPr>
          <w:color w:val="000000" w:themeColor="text1"/>
        </w:rPr>
        <w:t xml:space="preserve"> (Young et al., 2022) to pool genetic information across parents and siblings (for the Netherlands Twin Register cohort) or to impute synthetic parents from sibling genetic data and then pool this genetic information (for the Estonian Biobank cohort). Complete details of this imputation procedure can be found in Young and colleagues, 2022 and Tan and colleagues, 2024. When genetic data are provided on a participant and their parents, and when trait means are standardized to a mean of 0, the GWAS equation in equation 1, above, estimates the genotype-phenotype association in the population, conditional on covariates. We refer to this the </w:t>
      </w:r>
      <w:r w:rsidRPr="006D4CB5">
        <w:rPr>
          <w:i/>
          <w:iCs/>
          <w:color w:val="000000" w:themeColor="text1"/>
        </w:rPr>
        <w:t>population-level effect</w:t>
      </w:r>
      <w:r w:rsidRPr="006D4CB5">
        <w:rPr>
          <w:color w:val="000000" w:themeColor="text1"/>
        </w:rPr>
        <w:t>. Then, incorporating parent genotype data, this model can be elaborated for each SNP:</w:t>
      </w:r>
    </w:p>
    <w:p w14:paraId="6B5ED365" w14:textId="77777777" w:rsidR="00076353" w:rsidRPr="006D4CB5" w:rsidRDefault="00076353" w:rsidP="00076353">
      <w:pPr>
        <w:rPr>
          <w:color w:val="000000" w:themeColor="text1"/>
        </w:rPr>
      </w:pPr>
    </w:p>
    <w:p w14:paraId="2FE0AF4C" w14:textId="52B423A0" w:rsidR="00076353" w:rsidRPr="006D4CB5" w:rsidRDefault="00076353" w:rsidP="00076353">
      <w:pPr>
        <w:ind w:firstLine="720"/>
        <w:jc w:val="center"/>
        <w:rPr>
          <w:color w:val="000000" w:themeColor="text1"/>
        </w:rPr>
      </w:pPr>
      <m:oMath>
        <m:r>
          <w:rPr>
            <w:rFonts w:ascii="Cambria Math" w:hAnsi="Cambria Math"/>
            <w:color w:val="000000" w:themeColor="text1"/>
          </w:rPr>
          <w:lastRenderedPageBreak/>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δ</m:t>
        </m:r>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m</m:t>
            </m:r>
          </m:sub>
        </m:sSub>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m</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f</m:t>
            </m:r>
          </m:sub>
        </m:sSub>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f</m:t>
            </m:r>
          </m:sub>
        </m:sSub>
        <m:r>
          <w:rPr>
            <w:rFonts w:ascii="Cambria Math" w:hAnsi="Cambria Math"/>
            <w:color w:val="000000" w:themeColor="text1"/>
          </w:rPr>
          <m:t xml:space="preserve">+ </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+e</m:t>
        </m:r>
      </m:oMath>
      <w:r w:rsidRPr="006D4CB5">
        <w:rPr>
          <w:color w:val="000000" w:themeColor="text1"/>
        </w:rPr>
        <w:t xml:space="preserve"> ,</w:t>
      </w:r>
      <w:r w:rsidRPr="006D4CB5">
        <w:rPr>
          <w:color w:val="000000" w:themeColor="text1"/>
        </w:rPr>
        <w:tab/>
        <w:t xml:space="preserve">(Eq. </w:t>
      </w:r>
      <w:r w:rsidR="00566C22" w:rsidRPr="006D4CB5">
        <w:rPr>
          <w:color w:val="000000" w:themeColor="text1"/>
        </w:rPr>
        <w:t>21</w:t>
      </w:r>
      <w:r w:rsidRPr="006D4CB5">
        <w:rPr>
          <w:color w:val="000000" w:themeColor="text1"/>
        </w:rPr>
        <w:t>)</w:t>
      </w:r>
    </w:p>
    <w:p w14:paraId="59B1B5C6" w14:textId="77777777" w:rsidR="00076353" w:rsidRPr="006D4CB5" w:rsidRDefault="00076353" w:rsidP="00076353">
      <w:pPr>
        <w:rPr>
          <w:color w:val="000000" w:themeColor="text1"/>
        </w:rPr>
      </w:pPr>
    </w:p>
    <w:p w14:paraId="11974B7E" w14:textId="77777777"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i</m:t>
            </m:r>
          </m:sub>
        </m:sSub>
      </m:oMath>
      <w:r w:rsidRPr="006D4CB5">
        <w:rPr>
          <w:color w:val="000000" w:themeColor="text1"/>
        </w:rPr>
        <w:t xml:space="preserve"> is the effect allele count for a given SNP for the individual offspring, SNP</w:t>
      </w:r>
      <w:r w:rsidRPr="006D4CB5">
        <w:rPr>
          <w:color w:val="000000" w:themeColor="text1"/>
          <w:vertAlign w:val="subscript"/>
        </w:rPr>
        <w:t>m</w:t>
      </w:r>
      <w:r w:rsidRPr="006D4CB5">
        <w:rPr>
          <w:color w:val="000000" w:themeColor="text1"/>
        </w:rPr>
        <w:t xml:space="preserve"> is the allele count for the same SNP for that individual’s mother, and </w:t>
      </w:r>
      <m:oMath>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f</m:t>
            </m:r>
          </m:sub>
        </m:sSub>
      </m:oMath>
      <w:r w:rsidRPr="006D4CB5">
        <w:rPr>
          <w:color w:val="000000" w:themeColor="text1"/>
        </w:rPr>
        <w:t xml:space="preserve">is the allele count for that SNP for the same SNP for that individual’s father. In this equation,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m</m:t>
            </m:r>
          </m:sub>
        </m:sSub>
      </m:oMath>
      <w:r w:rsidRPr="006D4CB5">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f</m:t>
            </m:r>
          </m:sub>
        </m:sSub>
      </m:oMath>
      <w:r w:rsidRPr="006D4CB5">
        <w:rPr>
          <w:color w:val="000000" w:themeColor="text1"/>
        </w:rPr>
        <w:t xml:space="preserve"> estimate the associations between one’s parents’ genotypes and trait scores, and </w:t>
      </w:r>
      <m:oMath>
        <m:r>
          <w:rPr>
            <w:rFonts w:ascii="Cambria Math" w:hAnsi="Cambria Math"/>
            <w:color w:val="000000" w:themeColor="text1"/>
          </w:rPr>
          <m:t>δ</m:t>
        </m:r>
      </m:oMath>
      <w:r w:rsidRPr="006D4CB5">
        <w:rPr>
          <w:color w:val="000000" w:themeColor="text1"/>
        </w:rPr>
        <w:t xml:space="preserve"> thus estimates the genotype-phenotype association for an individual conditional on covariates and one’s parents’ genotypes. We focus on the </w:t>
      </w:r>
      <m:oMath>
        <m:r>
          <w:rPr>
            <w:rFonts w:ascii="Cambria Math" w:hAnsi="Cambria Math"/>
            <w:color w:val="000000" w:themeColor="text1"/>
          </w:rPr>
          <m:t>δ</m:t>
        </m:r>
      </m:oMath>
      <w:r w:rsidRPr="006D4CB5">
        <w:rPr>
          <w:color w:val="000000" w:themeColor="text1"/>
        </w:rPr>
        <w:t xml:space="preserve"> term, which we refer to as the </w:t>
      </w:r>
      <w:r w:rsidRPr="006D4CB5">
        <w:rPr>
          <w:i/>
          <w:iCs/>
          <w:color w:val="000000" w:themeColor="text1"/>
        </w:rPr>
        <w:t>within-family</w:t>
      </w:r>
      <w:r w:rsidRPr="006D4CB5">
        <w:rPr>
          <w:color w:val="000000" w:themeColor="text1"/>
        </w:rPr>
        <w:t xml:space="preserve"> </w:t>
      </w:r>
      <w:r w:rsidRPr="006D4CB5">
        <w:rPr>
          <w:i/>
          <w:iCs/>
          <w:color w:val="000000" w:themeColor="text1"/>
        </w:rPr>
        <w:t>effect</w:t>
      </w:r>
      <w:r w:rsidRPr="006D4CB5">
        <w:rPr>
          <w:color w:val="000000" w:themeColor="text1"/>
        </w:rPr>
        <w:t xml:space="preserve">. </w:t>
      </w:r>
    </w:p>
    <w:p w14:paraId="7437DD16" w14:textId="63C791C8" w:rsidR="00076353" w:rsidRPr="006D4CB5" w:rsidRDefault="00076353" w:rsidP="00076353">
      <w:pPr>
        <w:rPr>
          <w:color w:val="000000" w:themeColor="text1"/>
        </w:rPr>
      </w:pPr>
      <w:r w:rsidRPr="006D4CB5">
        <w:rPr>
          <w:color w:val="000000" w:themeColor="text1"/>
        </w:rPr>
        <w:tab/>
        <w:t xml:space="preserve">For k = 10 cohorts, analysts implemented the pipeline developed in Howe and colleagues (2022), which uses a different, comparable method for decomposing the genotype-phenotype association into population-level and within-family effects. Rather than using information from one’s parents, it estimates effects among siblings. Specifically, the population-level estimate is obtained in the same way as </w:t>
      </w:r>
      <w:r w:rsidR="004E4F12" w:rsidRPr="006D4CB5">
        <w:rPr>
          <w:color w:val="000000" w:themeColor="text1"/>
        </w:rPr>
        <w:t>E</w:t>
      </w:r>
      <w:r w:rsidRPr="006D4CB5">
        <w:rPr>
          <w:color w:val="000000" w:themeColor="text1"/>
        </w:rPr>
        <w:t>quation 1, but with standard errors clustered by sibship to account for non-independent genotypes between siblings. The within-family estimate is obtained using the following equation:</w:t>
      </w:r>
    </w:p>
    <w:p w14:paraId="1E299DAA" w14:textId="77777777" w:rsidR="00076353" w:rsidRPr="006D4CB5" w:rsidRDefault="00076353" w:rsidP="00076353">
      <w:pPr>
        <w:rPr>
          <w:color w:val="000000" w:themeColor="text1"/>
        </w:rPr>
      </w:pPr>
    </w:p>
    <w:p w14:paraId="3D924239" w14:textId="7A308BA1" w:rsidR="00076353" w:rsidRPr="006D4CB5" w:rsidRDefault="00076353" w:rsidP="00076353">
      <w:pPr>
        <w:ind w:firstLine="720"/>
        <w:jc w:val="center"/>
        <w:rPr>
          <w:color w:val="000000" w:themeColor="text1"/>
        </w:rPr>
      </w:pPr>
      <m:oMath>
        <m:r>
          <w:rPr>
            <w:rFonts w:ascii="Cambria Math" w:hAnsi="Cambria Math"/>
            <w:color w:val="000000" w:themeColor="text1"/>
          </w:rPr>
          <m:t>y=</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r>
          <w:rPr>
            <w:rFonts w:ascii="Cambria Math" w:hAnsi="Cambria Math"/>
            <w:color w:val="000000" w:themeColor="text1"/>
          </w:rPr>
          <m:t>+ δ</m:t>
        </m:r>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i</m:t>
            </m:r>
          </m:sub>
        </m:sSub>
        <m:r>
          <w:rPr>
            <w:rFonts w:ascii="Cambria Math" w:hAnsi="Cambria Math"/>
            <w:color w:val="000000" w:themeColor="text1"/>
          </w:rPr>
          <m:t>+α</m:t>
        </m:r>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F</m:t>
            </m:r>
          </m:sub>
        </m:sSub>
        <m:r>
          <w:rPr>
            <w:rFonts w:ascii="Cambria Math" w:hAnsi="Cambria Math"/>
            <w:color w:val="000000" w:themeColor="text1"/>
          </w:rPr>
          <m:t xml:space="preserve">+ </m:t>
        </m:r>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e>
        </m:nary>
        <m:r>
          <w:rPr>
            <w:rFonts w:ascii="Cambria Math" w:hAnsi="Cambria Math"/>
            <w:color w:val="000000" w:themeColor="text1"/>
          </w:rPr>
          <m:t>+e</m:t>
        </m:r>
      </m:oMath>
      <w:r w:rsidRPr="006D4CB5">
        <w:rPr>
          <w:color w:val="000000" w:themeColor="text1"/>
        </w:rPr>
        <w:t xml:space="preserve"> ,</w:t>
      </w:r>
      <w:r w:rsidRPr="006D4CB5">
        <w:rPr>
          <w:color w:val="000000" w:themeColor="text1"/>
        </w:rPr>
        <w:tab/>
        <w:t xml:space="preserve">(Eq. </w:t>
      </w:r>
      <w:r w:rsidR="00566C22" w:rsidRPr="006D4CB5">
        <w:rPr>
          <w:color w:val="000000" w:themeColor="text1"/>
        </w:rPr>
        <w:t>22</w:t>
      </w:r>
      <w:r w:rsidRPr="006D4CB5">
        <w:rPr>
          <w:color w:val="000000" w:themeColor="text1"/>
        </w:rPr>
        <w:t>)</w:t>
      </w:r>
    </w:p>
    <w:p w14:paraId="2F0358C7" w14:textId="77777777" w:rsidR="00076353" w:rsidRPr="006D4CB5" w:rsidRDefault="00076353" w:rsidP="00076353">
      <w:pPr>
        <w:rPr>
          <w:color w:val="000000" w:themeColor="text1"/>
        </w:rPr>
      </w:pPr>
    </w:p>
    <w:p w14:paraId="2E719C7E" w14:textId="77777777" w:rsidR="00076353" w:rsidRPr="006D4CB5" w:rsidRDefault="00076353" w:rsidP="00076353">
      <w:pPr>
        <w:rPr>
          <w:color w:val="000000" w:themeColor="text1"/>
        </w:rPr>
      </w:pPr>
      <w:r w:rsidRPr="006D4CB5">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F</m:t>
            </m:r>
          </m:sub>
        </m:sSub>
      </m:oMath>
      <w:r w:rsidRPr="006D4CB5">
        <w:rPr>
          <w:color w:val="000000" w:themeColor="text1"/>
        </w:rPr>
        <w:t xml:space="preserve"> is the mean effect allele count for all siblings in the family, and </w:t>
      </w:r>
      <m:oMath>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i</m:t>
            </m:r>
          </m:sub>
        </m:sSub>
      </m:oMath>
      <w:r w:rsidRPr="006D4CB5">
        <w:rPr>
          <w:color w:val="000000" w:themeColor="text1"/>
        </w:rPr>
        <w:t xml:space="preserve"> is the allele count for that SNP for the individual sibling, centered around </w:t>
      </w:r>
      <m:oMath>
        <m:sSub>
          <m:sSubPr>
            <m:ctrlPr>
              <w:rPr>
                <w:rFonts w:ascii="Cambria Math" w:hAnsi="Cambria Math"/>
                <w:i/>
                <w:color w:val="000000" w:themeColor="text1"/>
              </w:rPr>
            </m:ctrlPr>
          </m:sSubPr>
          <m:e>
            <m:r>
              <w:rPr>
                <w:rFonts w:ascii="Cambria Math" w:hAnsi="Cambria Math"/>
                <w:color w:val="000000" w:themeColor="text1"/>
              </w:rPr>
              <m:t>SNP</m:t>
            </m:r>
          </m:e>
          <m:sub>
            <m:r>
              <w:rPr>
                <w:rFonts w:ascii="Cambria Math" w:hAnsi="Cambria Math"/>
                <w:color w:val="000000" w:themeColor="text1"/>
              </w:rPr>
              <m:t>F</m:t>
            </m:r>
          </m:sub>
        </m:sSub>
      </m:oMath>
      <w:r w:rsidRPr="006D4CB5">
        <w:rPr>
          <w:color w:val="000000" w:themeColor="text1"/>
        </w:rPr>
        <w:t xml:space="preserve"> via subtraction. Standard errors of effects are adjusted for sibling cluster. Thus </w:t>
      </w:r>
      <m:oMath>
        <m:r>
          <w:rPr>
            <w:rFonts w:ascii="Cambria Math" w:hAnsi="Cambria Math"/>
            <w:color w:val="000000" w:themeColor="text1"/>
          </w:rPr>
          <m:t>δ</m:t>
        </m:r>
      </m:oMath>
      <w:r w:rsidRPr="006D4CB5">
        <w:rPr>
          <w:color w:val="000000" w:themeColor="text1"/>
        </w:rPr>
        <w:t xml:space="preserve"> estimates the genotype-phenotype association for an individual, conditional on covariates and mean sibling genotypes.</w:t>
      </w:r>
    </w:p>
    <w:p w14:paraId="578D4B37" w14:textId="62A36DE0" w:rsidR="00076353" w:rsidRPr="006D4CB5" w:rsidRDefault="00076353" w:rsidP="00076353">
      <w:pPr>
        <w:ind w:firstLine="720"/>
        <w:rPr>
          <w:color w:val="000000" w:themeColor="text1"/>
        </w:rPr>
      </w:pPr>
      <w:r w:rsidRPr="006D4CB5">
        <w:rPr>
          <w:color w:val="000000" w:themeColor="text1"/>
        </w:rPr>
        <w:t>Within family genetic effects (</w:t>
      </w:r>
      <m:oMath>
        <m:r>
          <w:rPr>
            <w:rFonts w:ascii="Cambria Math" w:hAnsi="Cambria Math"/>
            <w:color w:val="000000" w:themeColor="text1"/>
          </w:rPr>
          <m:t>δ)</m:t>
        </m:r>
      </m:oMath>
      <w:r w:rsidRPr="006D4CB5">
        <w:rPr>
          <w:color w:val="000000" w:themeColor="text1"/>
        </w:rPr>
        <w:t xml:space="preserve"> estimated from the snipar and Howe and </w:t>
      </w:r>
      <w:proofErr w:type="gramStart"/>
      <w:r w:rsidRPr="006D4CB5">
        <w:rPr>
          <w:color w:val="000000" w:themeColor="text1"/>
        </w:rPr>
        <w:t>colleagues</w:t>
      </w:r>
      <w:proofErr w:type="gramEnd"/>
      <w:r w:rsidRPr="006D4CB5">
        <w:rPr>
          <w:color w:val="000000" w:themeColor="text1"/>
        </w:rPr>
        <w:t xml:space="preserve"> models are comparable but not equivalent. The major conceptual difference between the two models is that the snipar model estimates within-family effects by controlling for parental genotype(s), whereas the Howe and colleagues model estimates within-family effects by controlling for sibling genotype(s). </w:t>
      </w:r>
      <w:r w:rsidR="00D62277" w:rsidRPr="006D4CB5">
        <w:rPr>
          <w:color w:val="000000" w:themeColor="text1"/>
        </w:rPr>
        <w:t>These latter models may therefore be biased by indirect effects siblings have on each other</w:t>
      </w:r>
      <w:r w:rsidR="001A2A40" w:rsidRPr="006D4CB5">
        <w:rPr>
          <w:color w:val="000000" w:themeColor="text1"/>
        </w:rPr>
        <w:t>’</w:t>
      </w:r>
      <w:r w:rsidR="00D62277" w:rsidRPr="006D4CB5">
        <w:rPr>
          <w:color w:val="000000" w:themeColor="text1"/>
        </w:rPr>
        <w:t>s personality traits, should these effects exist.</w:t>
      </w:r>
    </w:p>
    <w:p w14:paraId="628B54B8" w14:textId="77777777" w:rsidR="00076353" w:rsidRPr="006D4CB5" w:rsidRDefault="00076353" w:rsidP="00076353">
      <w:pPr>
        <w:rPr>
          <w:color w:val="000000" w:themeColor="text1"/>
        </w:rPr>
      </w:pPr>
      <w:r w:rsidRPr="006D4CB5">
        <w:rPr>
          <w:color w:val="000000" w:themeColor="text1"/>
        </w:rPr>
        <w:tab/>
        <w:t xml:space="preserve">Notably, Howe and colleagues (2022) previously estimated population-level and within-family effects for neuroticism. We incorporated these data, considered as one cohort, into the present meta-analysis of neuroticism. To remove overlapping participants with the other cohorts that contributed data to this analysis, analysts from Howe and colleagues provided us with re-estimated meta-analytic neuroticism summary statistics, excluding data from the NTR cohort (for which we had a larger sample that also estimated effects using </w:t>
      </w:r>
      <w:proofErr w:type="spellStart"/>
      <w:r w:rsidRPr="006D4CB5">
        <w:rPr>
          <w:color w:val="000000" w:themeColor="text1"/>
        </w:rPr>
        <w:t>snipar</w:t>
      </w:r>
      <w:proofErr w:type="spellEnd"/>
      <w:r w:rsidRPr="006D4CB5">
        <w:rPr>
          <w:color w:val="000000" w:themeColor="text1"/>
        </w:rPr>
        <w:t xml:space="preserve">). Then, when synthesizing data, we excluded the remaining k = 7 cohorts that provided neuroticism summary statistics that overlap with the Howe results. These meta-analytically provided Howe summary statistics did not include imputation quality scores, which are necessary for stringent cohort-level QC. To estimate imputation quality for each SNP, we conducted a sample-size-weighted meta-analysis of INFO scores across the cohorts that contributed both to this study and the Howe and </w:t>
      </w:r>
      <w:proofErr w:type="gramStart"/>
      <w:r w:rsidRPr="006D4CB5">
        <w:rPr>
          <w:color w:val="000000" w:themeColor="text1"/>
        </w:rPr>
        <w:t>colleagues</w:t>
      </w:r>
      <w:proofErr w:type="gramEnd"/>
      <w:r w:rsidRPr="006D4CB5">
        <w:rPr>
          <w:color w:val="000000" w:themeColor="text1"/>
        </w:rPr>
        <w:t xml:space="preserve"> study (see Equation 6 above). As the Danish Twin Registry and HUNT studies contributed to the Howe and </w:t>
      </w:r>
      <w:proofErr w:type="gramStart"/>
      <w:r w:rsidRPr="006D4CB5">
        <w:rPr>
          <w:color w:val="000000" w:themeColor="text1"/>
        </w:rPr>
        <w:t>colleagues</w:t>
      </w:r>
      <w:proofErr w:type="gramEnd"/>
      <w:r w:rsidRPr="006D4CB5">
        <w:rPr>
          <w:color w:val="000000" w:themeColor="text1"/>
        </w:rPr>
        <w:t xml:space="preserve"> study but not to this study, we estimated INFO for SNPs in these studies using the STAGE and </w:t>
      </w:r>
      <w:proofErr w:type="spellStart"/>
      <w:r w:rsidRPr="006D4CB5">
        <w:rPr>
          <w:color w:val="000000" w:themeColor="text1"/>
        </w:rPr>
        <w:t>MoBa</w:t>
      </w:r>
      <w:proofErr w:type="spellEnd"/>
      <w:r w:rsidRPr="006D4CB5">
        <w:rPr>
          <w:color w:val="000000" w:themeColor="text1"/>
        </w:rPr>
        <w:t xml:space="preserve"> cohorts, respectively, as these matched in nationality and genotyping chip and thus provided the closest available estimate to what imputation quality would be in these missing datasets (</w:t>
      </w:r>
      <w:r w:rsidRPr="006D4CB5">
        <w:rPr>
          <w:b/>
          <w:bCs/>
          <w:color w:val="000000" w:themeColor="text1"/>
        </w:rPr>
        <w:t>Supplementary Table S1</w:t>
      </w:r>
      <w:r w:rsidRPr="006D4CB5">
        <w:rPr>
          <w:color w:val="000000" w:themeColor="text1"/>
        </w:rPr>
        <w:t xml:space="preserve">). </w:t>
      </w:r>
    </w:p>
    <w:p w14:paraId="163E0B96" w14:textId="77777777" w:rsidR="00076353" w:rsidRPr="006D4CB5" w:rsidRDefault="00076353" w:rsidP="00076353">
      <w:pPr>
        <w:rPr>
          <w:color w:val="000000" w:themeColor="text1"/>
        </w:rPr>
      </w:pPr>
    </w:p>
    <w:p w14:paraId="654F2CD1" w14:textId="77777777" w:rsidR="00076353" w:rsidRPr="006D4CB5" w:rsidRDefault="00076353" w:rsidP="00076353">
      <w:pPr>
        <w:rPr>
          <w:color w:val="000000" w:themeColor="text1"/>
          <w:u w:val="single"/>
        </w:rPr>
      </w:pPr>
      <w:r w:rsidRPr="006D4CB5">
        <w:rPr>
          <w:color w:val="000000" w:themeColor="text1"/>
          <w:u w:val="single"/>
        </w:rPr>
        <w:t xml:space="preserve">6.4 Within-Family GWAS Quality Control </w:t>
      </w:r>
    </w:p>
    <w:p w14:paraId="29773807" w14:textId="77777777" w:rsidR="00076353" w:rsidRPr="006D4CB5" w:rsidRDefault="00076353" w:rsidP="00076353">
      <w:pPr>
        <w:rPr>
          <w:color w:val="000000" w:themeColor="text1"/>
        </w:rPr>
      </w:pPr>
      <w:r w:rsidRPr="006D4CB5">
        <w:rPr>
          <w:b/>
          <w:bCs/>
          <w:color w:val="000000" w:themeColor="text1"/>
        </w:rPr>
        <w:lastRenderedPageBreak/>
        <w:tab/>
      </w:r>
      <w:r w:rsidRPr="006D4CB5">
        <w:rPr>
          <w:color w:val="000000" w:themeColor="text1"/>
        </w:rPr>
        <w:t>We then conducted stringent cohort-level QC on both population-level and within-family results. The QC procedure mirrored the full population-level analyses presented in section 1, with the following modifications.</w:t>
      </w:r>
    </w:p>
    <w:p w14:paraId="5DAD1FCF" w14:textId="26BE5491" w:rsidR="00076353" w:rsidRPr="006D4CB5" w:rsidRDefault="00076353" w:rsidP="00076353">
      <w:pPr>
        <w:rPr>
          <w:color w:val="000000" w:themeColor="text1"/>
        </w:rPr>
      </w:pPr>
      <w:r w:rsidRPr="006D4CB5">
        <w:rPr>
          <w:color w:val="000000" w:themeColor="text1"/>
        </w:rPr>
        <w:tab/>
        <w:t>First, we ensured that personality trait scores were standardized in one step, rather than separately for population-level and within-family models, so that their variances remained on the same scale. Second, we restricted imputed SNPs in each cohort to those with extremely high-quality (INFO scores ≥ .99); lower quality imputation, which introduces measurement error, has been shown to substantially deflate sibling correlations below their expected value (Tan et al., 202</w:t>
      </w:r>
      <w:r w:rsidR="001E0D1C" w:rsidRPr="006D4CB5">
        <w:rPr>
          <w:color w:val="000000" w:themeColor="text1"/>
        </w:rPr>
        <w:t>5</w:t>
      </w:r>
      <w:r w:rsidRPr="006D4CB5">
        <w:rPr>
          <w:color w:val="000000" w:themeColor="text1"/>
        </w:rPr>
        <w:t xml:space="preserve">). Third, as within-family associations are necessarily estimated with less statistical power than population-level associations, we </w:t>
      </w:r>
      <w:r w:rsidR="00CE2760" w:rsidRPr="006D4CB5">
        <w:rPr>
          <w:color w:val="000000" w:themeColor="text1"/>
        </w:rPr>
        <w:t xml:space="preserve">removed </w:t>
      </w:r>
      <w:r w:rsidRPr="006D4CB5">
        <w:rPr>
          <w:color w:val="000000" w:themeColor="text1"/>
        </w:rPr>
        <w:t xml:space="preserve">the small number of SNPs (in most cohorts, 0) for which the within-family standard error was smaller than the population-level standard error. Fourth, to check allele alignment across population-level and within-family data, we correlated the betas between these two methods and ensured </w:t>
      </w:r>
      <w:proofErr w:type="gramStart"/>
      <w:r w:rsidRPr="006D4CB5">
        <w:rPr>
          <w:color w:val="000000" w:themeColor="text1"/>
        </w:rPr>
        <w:t>that</w:t>
      </w:r>
      <w:proofErr w:type="gramEnd"/>
      <w:r w:rsidRPr="006D4CB5">
        <w:rPr>
          <w:color w:val="000000" w:themeColor="text1"/>
        </w:rPr>
        <w:t xml:space="preserve"> they were positive. </w:t>
      </w:r>
    </w:p>
    <w:p w14:paraId="55AA3C0A" w14:textId="77596CE0" w:rsidR="00076353" w:rsidRPr="006D4CB5" w:rsidRDefault="00076353" w:rsidP="00076353">
      <w:pPr>
        <w:rPr>
          <w:color w:val="000000" w:themeColor="text1"/>
        </w:rPr>
      </w:pPr>
      <w:r w:rsidRPr="006D4CB5">
        <w:rPr>
          <w:color w:val="000000" w:themeColor="text1"/>
        </w:rPr>
        <w:tab/>
        <w:t>We identified during cohort-level quality control that, especially in smaller cohorts estimated using the Howe and colleagues (2022) pipeline, there appeared to be downward bias in h</w:t>
      </w:r>
      <w:r w:rsidRPr="006D4CB5">
        <w:rPr>
          <w:color w:val="000000" w:themeColor="text1"/>
          <w:vertAlign w:val="superscript"/>
        </w:rPr>
        <w:t>2</w:t>
      </w:r>
      <w:r w:rsidRPr="006D4CB5">
        <w:rPr>
          <w:color w:val="000000" w:themeColor="text1"/>
        </w:rPr>
        <w:t>SNP estimates. This may in part be caused by small-sample deviations from the expected Z-distribution among SNPs with low MAF. For these SNPs, it may be more appropriate to estimate effects using a t-distribution. To implement this correction, we re-scaled Z-statistics of each SNP into t-</w:t>
      </w:r>
      <w:r w:rsidR="006B30CE" w:rsidRPr="006D4CB5">
        <w:rPr>
          <w:color w:val="000000" w:themeColor="text1"/>
        </w:rPr>
        <w:t xml:space="preserve">statistics </w:t>
      </w:r>
      <w:r w:rsidRPr="006D4CB5">
        <w:rPr>
          <w:color w:val="000000" w:themeColor="text1"/>
        </w:rPr>
        <w:t>with the degrees of freedom approximated from MAF-estimated variance and sample size, as follows:</w:t>
      </w:r>
    </w:p>
    <w:p w14:paraId="7ECE1E6D" w14:textId="77777777" w:rsidR="00076353" w:rsidRPr="006D4CB5" w:rsidRDefault="00076353" w:rsidP="00076353">
      <w:pPr>
        <w:jc w:val="center"/>
        <w:rPr>
          <w:color w:val="000000" w:themeColor="text1"/>
        </w:rPr>
      </w:pPr>
    </w:p>
    <w:p w14:paraId="447230C9" w14:textId="3CB2B1EE" w:rsidR="00076353" w:rsidRPr="006D4CB5" w:rsidRDefault="00000000" w:rsidP="00076353">
      <w:pPr>
        <w:jc w:val="center"/>
        <w:rPr>
          <w:color w:val="000000" w:themeColor="text1"/>
        </w:rPr>
      </w:pPr>
      <m:oMath>
        <m:acc>
          <m:accPr>
            <m:ctrlPr>
              <w:rPr>
                <w:rFonts w:ascii="Cambria Math" w:hAnsi="Cambria Math"/>
                <w:i/>
                <w:color w:val="000000" w:themeColor="text1"/>
              </w:rPr>
            </m:ctrlPr>
          </m:accPr>
          <m:e>
            <m:r>
              <w:rPr>
                <w:rFonts w:ascii="Cambria Math" w:hAnsi="Cambria Math"/>
                <w:color w:val="000000" w:themeColor="text1"/>
              </w:rPr>
              <m:t>df</m:t>
            </m:r>
          </m:e>
        </m:acc>
        <m:r>
          <w:rPr>
            <w:rFonts w:ascii="Cambria Math" w:hAnsi="Cambria Math"/>
            <w:color w:val="000000" w:themeColor="text1"/>
          </w:rPr>
          <m:t xml:space="preserve">=2MAF × </m:t>
        </m:r>
        <m:d>
          <m:dPr>
            <m:ctrlPr>
              <w:rPr>
                <w:rFonts w:ascii="Cambria Math" w:hAnsi="Cambria Math"/>
                <w:i/>
                <w:color w:val="000000" w:themeColor="text1"/>
              </w:rPr>
            </m:ctrlPr>
          </m:dPr>
          <m:e>
            <m:r>
              <w:rPr>
                <w:rFonts w:ascii="Cambria Math" w:hAnsi="Cambria Math"/>
                <w:color w:val="000000" w:themeColor="text1"/>
              </w:rPr>
              <m:t>1-MAF</m:t>
            </m:r>
          </m:e>
        </m:d>
        <m:r>
          <w:rPr>
            <w:rFonts w:ascii="Cambria Math" w:hAnsi="Cambria Math"/>
            <w:color w:val="000000" w:themeColor="text1"/>
          </w:rPr>
          <m:t>× N</m:t>
        </m:r>
      </m:oMath>
      <w:r w:rsidR="00076353" w:rsidRPr="006D4CB5">
        <w:rPr>
          <w:color w:val="000000" w:themeColor="text1"/>
        </w:rPr>
        <w:t xml:space="preserve">. </w:t>
      </w:r>
      <w:r w:rsidR="00076353" w:rsidRPr="006D4CB5">
        <w:rPr>
          <w:color w:val="000000" w:themeColor="text1"/>
        </w:rPr>
        <w:tab/>
        <w:t xml:space="preserve">(Eq. </w:t>
      </w:r>
      <w:r w:rsidR="0032425E" w:rsidRPr="006D4CB5">
        <w:rPr>
          <w:color w:val="000000" w:themeColor="text1"/>
        </w:rPr>
        <w:t>2</w:t>
      </w:r>
      <w:r w:rsidR="00566C22" w:rsidRPr="006D4CB5">
        <w:rPr>
          <w:color w:val="000000" w:themeColor="text1"/>
        </w:rPr>
        <w:t>3</w:t>
      </w:r>
      <w:r w:rsidR="00076353" w:rsidRPr="006D4CB5">
        <w:rPr>
          <w:color w:val="000000" w:themeColor="text1"/>
        </w:rPr>
        <w:t>)</w:t>
      </w:r>
    </w:p>
    <w:p w14:paraId="6BC66C27" w14:textId="77777777" w:rsidR="00076353" w:rsidRPr="006D4CB5" w:rsidRDefault="00076353" w:rsidP="00076353">
      <w:pPr>
        <w:rPr>
          <w:color w:val="000000" w:themeColor="text1"/>
        </w:rPr>
      </w:pPr>
    </w:p>
    <w:p w14:paraId="6C28188F" w14:textId="2DAFE38E" w:rsidR="00076353" w:rsidRPr="006D4CB5" w:rsidRDefault="00076353" w:rsidP="00076353">
      <w:pPr>
        <w:rPr>
          <w:color w:val="000000" w:themeColor="text1"/>
        </w:rPr>
      </w:pPr>
      <w:r w:rsidRPr="006D4CB5">
        <w:rPr>
          <w:color w:val="000000" w:themeColor="text1"/>
        </w:rPr>
        <w:tab/>
        <w:t xml:space="preserve">LDSC results of each cohort analyzed with the Howe and </w:t>
      </w:r>
      <w:proofErr w:type="gramStart"/>
      <w:r w:rsidRPr="006D4CB5">
        <w:rPr>
          <w:color w:val="000000" w:themeColor="text1"/>
        </w:rPr>
        <w:t>colleagues</w:t>
      </w:r>
      <w:proofErr w:type="gramEnd"/>
      <w:r w:rsidRPr="006D4CB5">
        <w:rPr>
          <w:color w:val="000000" w:themeColor="text1"/>
        </w:rPr>
        <w:t xml:space="preserve"> pipeline with this correction implemented are presented in </w:t>
      </w:r>
      <w:r w:rsidRPr="006D4CB5">
        <w:rPr>
          <w:b/>
          <w:bCs/>
          <w:color w:val="000000" w:themeColor="text1"/>
        </w:rPr>
        <w:t>Supplementary Table 4</w:t>
      </w:r>
      <w:r w:rsidR="00723032" w:rsidRPr="006D4CB5">
        <w:rPr>
          <w:b/>
          <w:bCs/>
          <w:color w:val="000000" w:themeColor="text1"/>
        </w:rPr>
        <w:t>6</w:t>
      </w:r>
      <w:r w:rsidRPr="006D4CB5">
        <w:rPr>
          <w:color w:val="000000" w:themeColor="text1"/>
        </w:rPr>
        <w:t>. As this correction only applies to smaller cohorts, and we excluded SNPs with estimated sample size &lt; 5,000 from meta-analyses, this correction was not necessary for meta-analytically synthesized data. Consistent with near-complete sample overlap between population-level and within-family data for each cohort, cross-</w:t>
      </w:r>
      <w:proofErr w:type="spellStart"/>
      <w:r w:rsidRPr="006D4CB5">
        <w:rPr>
          <w:color w:val="000000" w:themeColor="text1"/>
        </w:rPr>
        <w:t>trait</w:t>
      </w:r>
      <w:proofErr w:type="spellEnd"/>
      <w:r w:rsidRPr="006D4CB5">
        <w:rPr>
          <w:color w:val="000000" w:themeColor="text1"/>
        </w:rPr>
        <w:t xml:space="preserve"> intercepts were high (mean CTI = .52). Most LDSC estimated genetic covariances between population-level and within-family associations in the same cohort were negative in smaller cohorts (</w:t>
      </w:r>
      <w:r w:rsidRPr="006D4CB5">
        <w:rPr>
          <w:b/>
          <w:bCs/>
          <w:color w:val="000000" w:themeColor="text1"/>
        </w:rPr>
        <w:t>Supplementary Table 4</w:t>
      </w:r>
      <w:r w:rsidR="00723032" w:rsidRPr="006D4CB5">
        <w:rPr>
          <w:b/>
          <w:bCs/>
          <w:color w:val="000000" w:themeColor="text1"/>
        </w:rPr>
        <w:t>6</w:t>
      </w:r>
      <w:r w:rsidRPr="006D4CB5">
        <w:rPr>
          <w:color w:val="000000" w:themeColor="text1"/>
        </w:rPr>
        <w:t>).</w:t>
      </w:r>
    </w:p>
    <w:p w14:paraId="59430C86" w14:textId="77777777" w:rsidR="00076353" w:rsidRPr="006D4CB5" w:rsidRDefault="00076353" w:rsidP="00076353">
      <w:pPr>
        <w:rPr>
          <w:color w:val="000000" w:themeColor="text1"/>
        </w:rPr>
      </w:pPr>
    </w:p>
    <w:p w14:paraId="7C446424" w14:textId="77777777" w:rsidR="00076353" w:rsidRPr="006D4CB5" w:rsidRDefault="00076353" w:rsidP="00076353">
      <w:pPr>
        <w:rPr>
          <w:color w:val="000000" w:themeColor="text1"/>
          <w:u w:val="single"/>
        </w:rPr>
      </w:pPr>
      <w:r w:rsidRPr="006D4CB5">
        <w:rPr>
          <w:color w:val="000000" w:themeColor="text1"/>
          <w:u w:val="single"/>
        </w:rPr>
        <w:t>6.5 Inverse Variance-Weighted Meta-Analysis</w:t>
      </w:r>
    </w:p>
    <w:p w14:paraId="66C2B5C2" w14:textId="689E501D" w:rsidR="00076353" w:rsidRPr="006D4CB5" w:rsidRDefault="00076353" w:rsidP="00076353">
      <w:pPr>
        <w:rPr>
          <w:color w:val="000000" w:themeColor="text1"/>
        </w:rPr>
      </w:pPr>
      <w:r w:rsidRPr="006D4CB5">
        <w:rPr>
          <w:color w:val="000000" w:themeColor="text1"/>
        </w:rPr>
        <w:tab/>
        <w:t xml:space="preserve">After, cohort-level QC, we conducted inverse variance-weighted meta-analysis for each trait on matched cohorts of population-level and within-family data, using Equation 5, above.  </w:t>
      </w:r>
    </w:p>
    <w:p w14:paraId="56C3B6E8" w14:textId="709ADDCC" w:rsidR="00076353" w:rsidRPr="006D4CB5" w:rsidRDefault="00076353" w:rsidP="001E251E">
      <w:pPr>
        <w:rPr>
          <w:color w:val="000000" w:themeColor="text1"/>
        </w:rPr>
      </w:pPr>
      <w:r w:rsidRPr="006D4CB5">
        <w:rPr>
          <w:color w:val="000000" w:themeColor="text1"/>
        </w:rPr>
        <w:t>As with the population-level GWAS in the full set of cohorts, we re-estimated sample size for each SNP using the meta-analytic beta, standard error, and minor allele frequency (see Equation 7 above). To ensure comparability between population-level and within-family results, we approximated sample size using the MAF corresponding to the 1000 genomes 3v5 EUR panel, rather than the meta-analytic MAF estimated from contributing cohorts. Population-level estimated sample sizes were capped at the summed observed sample size across contributing cohorts, and within-family sample sizes were capped at the 75</w:t>
      </w:r>
      <w:r w:rsidRPr="006D4CB5">
        <w:rPr>
          <w:color w:val="000000" w:themeColor="text1"/>
          <w:vertAlign w:val="superscript"/>
        </w:rPr>
        <w:t>th</w:t>
      </w:r>
      <w:r w:rsidRPr="006D4CB5">
        <w:rPr>
          <w:color w:val="000000" w:themeColor="text1"/>
        </w:rPr>
        <w:t xml:space="preserve"> percentile of the summed observed sample size across contributing cohorts. This threshold was chosen because, within each of the k = 12 contributing cohorts to these analyses, the maximum observed N fell between the 60</w:t>
      </w:r>
      <w:r w:rsidRPr="006D4CB5">
        <w:rPr>
          <w:color w:val="000000" w:themeColor="text1"/>
          <w:vertAlign w:val="superscript"/>
        </w:rPr>
        <w:t>th</w:t>
      </w:r>
      <w:r w:rsidRPr="006D4CB5">
        <w:rPr>
          <w:color w:val="000000" w:themeColor="text1"/>
        </w:rPr>
        <w:t xml:space="preserve"> and 75</w:t>
      </w:r>
      <w:r w:rsidRPr="006D4CB5">
        <w:rPr>
          <w:color w:val="000000" w:themeColor="text1"/>
          <w:vertAlign w:val="superscript"/>
        </w:rPr>
        <w:t>th</w:t>
      </w:r>
      <w:r w:rsidRPr="006D4CB5">
        <w:rPr>
          <w:color w:val="000000" w:themeColor="text1"/>
        </w:rPr>
        <w:t xml:space="preserve"> percentile of the estimated Nhat.</w:t>
      </w:r>
    </w:p>
    <w:p w14:paraId="2D4CBD8C" w14:textId="77777777" w:rsidR="00076353" w:rsidRPr="006D4CB5" w:rsidRDefault="00076353" w:rsidP="00076353">
      <w:pPr>
        <w:rPr>
          <w:color w:val="000000" w:themeColor="text1"/>
        </w:rPr>
      </w:pPr>
    </w:p>
    <w:p w14:paraId="74106079" w14:textId="77777777" w:rsidR="00076353" w:rsidRPr="006D4CB5" w:rsidRDefault="00076353" w:rsidP="00076353">
      <w:pPr>
        <w:rPr>
          <w:color w:val="000000" w:themeColor="text1"/>
        </w:rPr>
      </w:pPr>
      <w:r w:rsidRPr="006D4CB5">
        <w:rPr>
          <w:color w:val="000000" w:themeColor="text1"/>
          <w:u w:val="single"/>
        </w:rPr>
        <w:lastRenderedPageBreak/>
        <w:t>6.6 Within-Family GWAS Results</w:t>
      </w:r>
    </w:p>
    <w:p w14:paraId="74FA5904" w14:textId="6474251D" w:rsidR="00076353" w:rsidRPr="006D4CB5" w:rsidRDefault="00076353" w:rsidP="00496522">
      <w:pPr>
        <w:rPr>
          <w:color w:val="000000" w:themeColor="text1"/>
        </w:rPr>
      </w:pPr>
      <w:r w:rsidRPr="006D4CB5">
        <w:rPr>
          <w:color w:val="000000" w:themeColor="text1"/>
        </w:rPr>
        <w:tab/>
        <w:t xml:space="preserve">Across each of the Big Five traits, we did not identify any genome-wide significant lead SNPs from the meta-analytic within-family GWAS results (minimum </w:t>
      </w:r>
      <w:r w:rsidRPr="006D4CB5">
        <w:rPr>
          <w:i/>
          <w:iCs/>
          <w:color w:val="000000" w:themeColor="text1"/>
        </w:rPr>
        <w:t>p</w:t>
      </w:r>
      <w:r w:rsidRPr="006D4CB5">
        <w:rPr>
          <w:color w:val="000000" w:themeColor="text1"/>
        </w:rPr>
        <w:t xml:space="preserve"> = 2.26x10</w:t>
      </w:r>
      <w:r w:rsidRPr="006D4CB5">
        <w:rPr>
          <w:color w:val="000000" w:themeColor="text1"/>
          <w:vertAlign w:val="superscript"/>
        </w:rPr>
        <w:t>-7</w:t>
      </w:r>
      <w:r w:rsidRPr="006D4CB5">
        <w:rPr>
          <w:color w:val="000000" w:themeColor="text1"/>
        </w:rPr>
        <w:t xml:space="preserve">). The mean chi-squared value of associations ranged from 1.04 (for agreeableness) to 1.09 (for neuroticism). We present Manhattan plots for each of these analyses </w:t>
      </w:r>
      <w:r w:rsidR="00DE1EDE" w:rsidRPr="006D4CB5">
        <w:rPr>
          <w:color w:val="000000" w:themeColor="text1"/>
        </w:rPr>
        <w:t xml:space="preserve">in </w:t>
      </w:r>
      <w:r w:rsidR="00DE1EDE" w:rsidRPr="006D4CB5">
        <w:rPr>
          <w:b/>
          <w:bCs/>
          <w:color w:val="000000" w:themeColor="text1"/>
        </w:rPr>
        <w:t>Extended Data Figure 10</w:t>
      </w:r>
      <w:r w:rsidR="00DE1EDE" w:rsidRPr="006D4CB5">
        <w:rPr>
          <w:color w:val="000000" w:themeColor="text1"/>
        </w:rPr>
        <w:t>.</w:t>
      </w:r>
    </w:p>
    <w:p w14:paraId="4BEC8566" w14:textId="77777777" w:rsidR="00076353" w:rsidRPr="006D4CB5" w:rsidRDefault="00076353" w:rsidP="00496522">
      <w:pPr>
        <w:rPr>
          <w:color w:val="000000" w:themeColor="text1"/>
        </w:rPr>
      </w:pPr>
    </w:p>
    <w:p w14:paraId="4BC6697A" w14:textId="77777777" w:rsidR="00076353" w:rsidRPr="006D4CB5" w:rsidRDefault="00076353" w:rsidP="00496522">
      <w:pPr>
        <w:rPr>
          <w:color w:val="000000" w:themeColor="text1"/>
          <w:u w:val="single"/>
        </w:rPr>
      </w:pPr>
      <w:r w:rsidRPr="006D4CB5">
        <w:rPr>
          <w:color w:val="000000" w:themeColor="text1"/>
          <w:u w:val="single"/>
        </w:rPr>
        <w:t>6.7 Comparison of Population-Level and Within-Family Genetic Architectures</w:t>
      </w:r>
    </w:p>
    <w:p w14:paraId="68D51DDF" w14:textId="4B2823CB" w:rsidR="00076353" w:rsidRPr="006D4CB5" w:rsidRDefault="00076353" w:rsidP="008B4E9B">
      <w:pPr>
        <w:ind w:firstLine="720"/>
        <w:rPr>
          <w:color w:val="000000" w:themeColor="text1"/>
        </w:rPr>
      </w:pPr>
      <w:r w:rsidRPr="006D4CB5">
        <w:rPr>
          <w:color w:val="000000" w:themeColor="text1"/>
        </w:rPr>
        <w:t>When summary statistics from GWAS restricted to cohorts contributing within-family data were submitted to LDSC, we observed nontrivial intercept inflation for both population-level data (mean intercept = 1.06, SE = 0.01) and within-family data (mean intercept = 1.0</w:t>
      </w:r>
      <w:r w:rsidR="00AA75B9" w:rsidRPr="006D4CB5">
        <w:rPr>
          <w:color w:val="000000" w:themeColor="text1"/>
        </w:rPr>
        <w:t>4</w:t>
      </w:r>
      <w:r w:rsidRPr="006D4CB5">
        <w:rPr>
          <w:color w:val="000000" w:themeColor="text1"/>
        </w:rPr>
        <w:t xml:space="preserve">, SE = 0.01; </w:t>
      </w:r>
      <w:r w:rsidR="009101BA" w:rsidRPr="006D4CB5">
        <w:rPr>
          <w:b/>
          <w:bCs/>
          <w:color w:val="000000" w:themeColor="text1"/>
        </w:rPr>
        <w:t xml:space="preserve">Supplementary </w:t>
      </w:r>
      <w:r w:rsidRPr="006D4CB5">
        <w:rPr>
          <w:b/>
          <w:bCs/>
          <w:color w:val="000000" w:themeColor="text1"/>
        </w:rPr>
        <w:t>Table S4</w:t>
      </w:r>
      <w:r w:rsidR="00723032" w:rsidRPr="006D4CB5">
        <w:rPr>
          <w:b/>
          <w:bCs/>
          <w:color w:val="000000" w:themeColor="text1"/>
        </w:rPr>
        <w:t>7</w:t>
      </w:r>
      <w:r w:rsidRPr="006D4CB5">
        <w:rPr>
          <w:color w:val="000000" w:themeColor="text1"/>
        </w:rPr>
        <w:t>), consistent with the inflation identified in Howe and colleagues (2022).</w:t>
      </w:r>
      <w:r w:rsidR="008B4E9B" w:rsidRPr="006D4CB5">
        <w:rPr>
          <w:color w:val="000000" w:themeColor="text1"/>
        </w:rPr>
        <w:t xml:space="preserve"> For each trait, within-family intercepts were l</w:t>
      </w:r>
      <w:r w:rsidR="00D51AE2" w:rsidRPr="006D4CB5">
        <w:rPr>
          <w:color w:val="000000" w:themeColor="text1"/>
        </w:rPr>
        <w:t>ower</w:t>
      </w:r>
      <w:r w:rsidR="008B4E9B" w:rsidRPr="006D4CB5">
        <w:rPr>
          <w:color w:val="000000" w:themeColor="text1"/>
        </w:rPr>
        <w:t xml:space="preserve"> than population-level intercepts.</w:t>
      </w:r>
      <w:r w:rsidRPr="006D4CB5">
        <w:rPr>
          <w:color w:val="000000" w:themeColor="text1"/>
        </w:rPr>
        <w:t xml:space="preserve"> Note that there was </w:t>
      </w:r>
      <w:proofErr w:type="spellStart"/>
      <w:r w:rsidRPr="006D4CB5">
        <w:rPr>
          <w:color w:val="000000" w:themeColor="text1"/>
        </w:rPr>
        <w:t>not</w:t>
      </w:r>
      <w:proofErr w:type="spellEnd"/>
      <w:r w:rsidRPr="006D4CB5">
        <w:rPr>
          <w:color w:val="000000" w:themeColor="text1"/>
        </w:rPr>
        <w:t xml:space="preserve"> appreciable intercept inflation in the full population-level GWAS (</w:t>
      </w:r>
      <w:r w:rsidRPr="006D4CB5">
        <w:rPr>
          <w:b/>
          <w:bCs/>
          <w:color w:val="000000" w:themeColor="text1"/>
        </w:rPr>
        <w:t>Table 1</w:t>
      </w:r>
      <w:r w:rsidRPr="006D4CB5">
        <w:rPr>
          <w:color w:val="000000" w:themeColor="text1"/>
        </w:rPr>
        <w:t>). For each trait, population-level and within-family h</w:t>
      </w:r>
      <w:r w:rsidRPr="006D4CB5">
        <w:rPr>
          <w:color w:val="000000" w:themeColor="text1"/>
          <w:vertAlign w:val="superscript"/>
        </w:rPr>
        <w:t>2</w:t>
      </w:r>
      <w:r w:rsidRPr="006D4CB5">
        <w:rPr>
          <w:color w:val="000000" w:themeColor="text1"/>
          <w:vertAlign w:val="subscript"/>
        </w:rPr>
        <w:t>SNP</w:t>
      </w:r>
      <w:r w:rsidRPr="006D4CB5">
        <w:rPr>
          <w:color w:val="000000" w:themeColor="text1"/>
        </w:rPr>
        <w:t xml:space="preserve"> was significant and substantial. We estimated genetic correlations between population-level and within-family associations</w:t>
      </w:r>
      <w:r w:rsidR="007E7F7F" w:rsidRPr="006D4CB5">
        <w:rPr>
          <w:color w:val="000000" w:themeColor="text1"/>
        </w:rPr>
        <w:t xml:space="preserve"> </w:t>
      </w:r>
      <w:r w:rsidRPr="006D4CB5">
        <w:rPr>
          <w:color w:val="000000" w:themeColor="text1"/>
        </w:rPr>
        <w:t xml:space="preserve">using the </w:t>
      </w:r>
      <w:proofErr w:type="spellStart"/>
      <w:proofErr w:type="gramStart"/>
      <w:r w:rsidRPr="006D4CB5">
        <w:rPr>
          <w:color w:val="000000" w:themeColor="text1"/>
        </w:rPr>
        <w:t>rgmodel</w:t>
      </w:r>
      <w:proofErr w:type="spellEnd"/>
      <w:r w:rsidRPr="006D4CB5">
        <w:rPr>
          <w:color w:val="000000" w:themeColor="text1"/>
        </w:rPr>
        <w:t>(</w:t>
      </w:r>
      <w:proofErr w:type="gramEnd"/>
      <w:r w:rsidRPr="006D4CB5">
        <w:rPr>
          <w:color w:val="000000" w:themeColor="text1"/>
        </w:rPr>
        <w:t xml:space="preserve">) function in the </w:t>
      </w:r>
      <w:proofErr w:type="spellStart"/>
      <w:r w:rsidRPr="006D4CB5">
        <w:rPr>
          <w:color w:val="000000" w:themeColor="text1"/>
        </w:rPr>
        <w:t>GenomicSEM</w:t>
      </w:r>
      <w:proofErr w:type="spellEnd"/>
      <w:r w:rsidRPr="006D4CB5">
        <w:rPr>
          <w:color w:val="000000" w:themeColor="text1"/>
        </w:rPr>
        <w:t xml:space="preserve"> R package (Ennis et al., 2025).</w:t>
      </w:r>
      <w:r w:rsidR="00AD2DF1" w:rsidRPr="006D4CB5">
        <w:rPr>
          <w:color w:val="000000" w:themeColor="text1"/>
        </w:rPr>
        <w:t xml:space="preserve"> </w:t>
      </w:r>
      <w:r w:rsidRPr="006D4CB5">
        <w:rPr>
          <w:color w:val="000000" w:themeColor="text1"/>
        </w:rPr>
        <w:t xml:space="preserve">We tested equivalence of population-level and within-family </w:t>
      </w:r>
      <w:r w:rsidR="001C5988" w:rsidRPr="006D4CB5">
        <w:rPr>
          <w:color w:val="000000" w:themeColor="text1"/>
        </w:rPr>
        <w:t>h</w:t>
      </w:r>
      <w:r w:rsidR="001C5988" w:rsidRPr="006D4CB5">
        <w:rPr>
          <w:color w:val="000000" w:themeColor="text1"/>
          <w:vertAlign w:val="superscript"/>
        </w:rPr>
        <w:t>2</w:t>
      </w:r>
      <w:r w:rsidR="001C5988" w:rsidRPr="006D4CB5">
        <w:rPr>
          <w:color w:val="000000" w:themeColor="text1"/>
          <w:vertAlign w:val="subscript"/>
        </w:rPr>
        <w:t>SNP</w:t>
      </w:r>
      <w:r w:rsidRPr="006D4CB5">
        <w:rPr>
          <w:color w:val="000000" w:themeColor="text1"/>
        </w:rPr>
        <w:t xml:space="preserve"> for each trait using Genomic SEM</w:t>
      </w:r>
      <w:r w:rsidR="00496522" w:rsidRPr="006D4CB5">
        <w:rPr>
          <w:color w:val="000000" w:themeColor="text1"/>
        </w:rPr>
        <w:t xml:space="preserve">. </w:t>
      </w:r>
      <w:r w:rsidRPr="006D4CB5">
        <w:rPr>
          <w:color w:val="000000" w:themeColor="text1"/>
        </w:rPr>
        <w:t xml:space="preserve">To test equivalence of heritability, we compared the fit of two bivariate models to the data: a fully saturated model with 0 degrees of freedom, in which population-level and within-family heritability are freely estimated and their covariance is freely estimated, with a heritability-constrained model in which population-level and within-family heritability are constrained to be equal and their covariance is freely estimated. The chi-square nested model comparison between these two models, which differ in 1 degree of freedom, tests the hypothesis that heritability is equivalent across the two methods. </w:t>
      </w:r>
      <w:r w:rsidR="00496522" w:rsidRPr="006D4CB5">
        <w:rPr>
          <w:color w:val="000000" w:themeColor="text1"/>
        </w:rPr>
        <w:t xml:space="preserve">Then, we estimated a similar pair of nested models in which </w:t>
      </w:r>
      <w:r w:rsidR="00496522" w:rsidRPr="006D4CB5">
        <w:rPr>
          <w:i/>
          <w:iCs/>
          <w:color w:val="000000" w:themeColor="text1"/>
        </w:rPr>
        <w:t>r</w:t>
      </w:r>
      <w:r w:rsidR="00496522" w:rsidRPr="006D4CB5">
        <w:rPr>
          <w:color w:val="000000" w:themeColor="text1"/>
          <w:vertAlign w:val="subscript"/>
        </w:rPr>
        <w:t>g</w:t>
      </w:r>
      <w:r w:rsidR="00496522" w:rsidRPr="006D4CB5">
        <w:rPr>
          <w:color w:val="000000" w:themeColor="text1"/>
        </w:rPr>
        <w:t xml:space="preserve"> across the two estimates was fixed at 1.0, or allowed to be less than unity; a chi-square value favoring the latter indicates </w:t>
      </w:r>
      <w:proofErr w:type="gramStart"/>
      <w:r w:rsidR="00496522" w:rsidRPr="006D4CB5">
        <w:rPr>
          <w:color w:val="000000" w:themeColor="text1"/>
        </w:rPr>
        <w:t>an</w:t>
      </w:r>
      <w:proofErr w:type="gramEnd"/>
      <w:r w:rsidR="00496522" w:rsidRPr="006D4CB5">
        <w:rPr>
          <w:color w:val="000000" w:themeColor="text1"/>
        </w:rPr>
        <w:t xml:space="preserve"> </w:t>
      </w:r>
      <w:r w:rsidR="00496522" w:rsidRPr="006D4CB5">
        <w:rPr>
          <w:i/>
          <w:iCs/>
          <w:color w:val="000000" w:themeColor="text1"/>
        </w:rPr>
        <w:t>r</w:t>
      </w:r>
      <w:r w:rsidR="00496522" w:rsidRPr="006D4CB5">
        <w:rPr>
          <w:color w:val="000000" w:themeColor="text1"/>
          <w:vertAlign w:val="subscript"/>
        </w:rPr>
        <w:t xml:space="preserve">g </w:t>
      </w:r>
      <w:r w:rsidR="00496522" w:rsidRPr="006D4CB5">
        <w:rPr>
          <w:color w:val="000000" w:themeColor="text1"/>
        </w:rPr>
        <w:t xml:space="preserve">&lt; 1.0. In these tests, statistical significance was set at </w:t>
      </w:r>
      <w:r w:rsidR="00496522" w:rsidRPr="006D4CB5">
        <w:rPr>
          <w:i/>
          <w:iCs/>
          <w:color w:val="000000" w:themeColor="text1"/>
        </w:rPr>
        <w:t>p</w:t>
      </w:r>
      <w:r w:rsidR="00496522" w:rsidRPr="006D4CB5">
        <w:rPr>
          <w:color w:val="000000" w:themeColor="text1"/>
        </w:rPr>
        <w:t xml:space="preserve"> &lt; .05 to maximize the ability to identify potential differences between population-level and within-family results. </w:t>
      </w:r>
    </w:p>
    <w:p w14:paraId="52E7DAE3" w14:textId="691C0EB3" w:rsidR="00076353" w:rsidRPr="006D4CB5" w:rsidRDefault="00AD2DF1" w:rsidP="009101BA">
      <w:pPr>
        <w:ind w:firstLine="720"/>
        <w:rPr>
          <w:color w:val="000000" w:themeColor="text1"/>
        </w:rPr>
      </w:pPr>
      <w:r w:rsidRPr="006D4CB5">
        <w:rPr>
          <w:color w:val="000000" w:themeColor="text1"/>
        </w:rPr>
        <w:t>W</w:t>
      </w:r>
      <w:r w:rsidR="00D26CFA" w:rsidRPr="006D4CB5">
        <w:rPr>
          <w:color w:val="000000" w:themeColor="text1"/>
        </w:rPr>
        <w:t xml:space="preserve">e re-estimated </w:t>
      </w:r>
      <w:r w:rsidR="00C13A6D" w:rsidRPr="006D4CB5">
        <w:rPr>
          <w:color w:val="000000" w:themeColor="text1"/>
        </w:rPr>
        <w:t xml:space="preserve">genetic </w:t>
      </w:r>
      <w:r w:rsidR="00D26CFA" w:rsidRPr="006D4CB5">
        <w:rPr>
          <w:color w:val="000000" w:themeColor="text1"/>
        </w:rPr>
        <w:t xml:space="preserve">correlations with the 85 external variables (section 5.1) using within-family Big Five GWAS data, rather than population-level GWAS data as above. </w:t>
      </w:r>
      <w:r w:rsidR="00157F73" w:rsidRPr="006D4CB5">
        <w:rPr>
          <w:color w:val="000000" w:themeColor="text1"/>
        </w:rPr>
        <w:t xml:space="preserve">Overall, these estimates corresponded closely but imperfectly with population-level GWAS correlations (mean </w:t>
      </w:r>
      <w:r w:rsidR="00157F73" w:rsidRPr="006D4CB5">
        <w:rPr>
          <w:i/>
          <w:iCs/>
          <w:color w:val="000000" w:themeColor="text1"/>
        </w:rPr>
        <w:t>r</w:t>
      </w:r>
      <w:r w:rsidR="00157F73" w:rsidRPr="006D4CB5">
        <w:rPr>
          <w:color w:val="000000" w:themeColor="text1"/>
        </w:rPr>
        <w:t xml:space="preserve"> = .83 between the two sets of </w:t>
      </w:r>
      <w:proofErr w:type="spellStart"/>
      <w:r w:rsidR="00157F73" w:rsidRPr="006D4CB5">
        <w:rPr>
          <w:i/>
          <w:iCs/>
          <w:color w:val="000000" w:themeColor="text1"/>
        </w:rPr>
        <w:t>r</w:t>
      </w:r>
      <w:r w:rsidR="00157F73" w:rsidRPr="006D4CB5">
        <w:rPr>
          <w:color w:val="000000" w:themeColor="text1"/>
          <w:vertAlign w:val="subscript"/>
        </w:rPr>
        <w:t>g</w:t>
      </w:r>
      <w:r w:rsidR="00157F73" w:rsidRPr="006D4CB5">
        <w:rPr>
          <w:color w:val="000000" w:themeColor="text1"/>
        </w:rPr>
        <w:t>s</w:t>
      </w:r>
      <w:proofErr w:type="spellEnd"/>
      <w:r w:rsidR="00A1072A" w:rsidRPr="006D4CB5">
        <w:rPr>
          <w:color w:val="000000" w:themeColor="text1"/>
        </w:rPr>
        <w:t xml:space="preserve">, with scatter </w:t>
      </w:r>
      <w:r w:rsidR="00D12626" w:rsidRPr="006D4CB5">
        <w:rPr>
          <w:color w:val="000000" w:themeColor="text1"/>
        </w:rPr>
        <w:t>closely surrounding</w:t>
      </w:r>
      <w:r w:rsidR="00A1072A" w:rsidRPr="006D4CB5">
        <w:rPr>
          <w:color w:val="000000" w:themeColor="text1"/>
        </w:rPr>
        <w:t xml:space="preserve"> the line of equivalence [y</w:t>
      </w:r>
      <w:r w:rsidR="00D51AE2" w:rsidRPr="006D4CB5">
        <w:rPr>
          <w:color w:val="000000" w:themeColor="text1"/>
        </w:rPr>
        <w:t xml:space="preserve"> </w:t>
      </w:r>
      <w:r w:rsidR="00A1072A" w:rsidRPr="006D4CB5">
        <w:rPr>
          <w:color w:val="000000" w:themeColor="text1"/>
        </w:rPr>
        <w:t>=</w:t>
      </w:r>
      <w:r w:rsidR="00D51AE2" w:rsidRPr="006D4CB5">
        <w:rPr>
          <w:color w:val="000000" w:themeColor="text1"/>
        </w:rPr>
        <w:t xml:space="preserve"> </w:t>
      </w:r>
      <w:r w:rsidR="00A1072A" w:rsidRPr="006D4CB5">
        <w:rPr>
          <w:color w:val="000000" w:themeColor="text1"/>
        </w:rPr>
        <w:t>x]</w:t>
      </w:r>
      <w:r w:rsidR="00157F73" w:rsidRPr="006D4CB5">
        <w:rPr>
          <w:color w:val="000000" w:themeColor="text1"/>
        </w:rPr>
        <w:t>). This was true even for agreeableness (</w:t>
      </w:r>
      <w:r w:rsidR="00157F73" w:rsidRPr="006D4CB5">
        <w:rPr>
          <w:i/>
          <w:iCs/>
          <w:color w:val="000000" w:themeColor="text1"/>
        </w:rPr>
        <w:t>r</w:t>
      </w:r>
      <w:r w:rsidR="00157F73" w:rsidRPr="006D4CB5">
        <w:rPr>
          <w:color w:val="000000" w:themeColor="text1"/>
        </w:rPr>
        <w:t xml:space="preserve"> = .75) and neuroticism (</w:t>
      </w:r>
      <w:r w:rsidR="00157F73" w:rsidRPr="006D4CB5">
        <w:rPr>
          <w:i/>
          <w:iCs/>
          <w:color w:val="000000" w:themeColor="text1"/>
        </w:rPr>
        <w:t>r</w:t>
      </w:r>
      <w:r w:rsidR="00157F73" w:rsidRPr="006D4CB5">
        <w:rPr>
          <w:color w:val="000000" w:themeColor="text1"/>
        </w:rPr>
        <w:t xml:space="preserve"> = .91), the two specific traits with significant shifts in genetic architecture (</w:t>
      </w:r>
      <w:r w:rsidR="00157F73" w:rsidRPr="006D4CB5">
        <w:rPr>
          <w:i/>
          <w:iCs/>
          <w:color w:val="000000" w:themeColor="text1"/>
        </w:rPr>
        <w:t>r</w:t>
      </w:r>
      <w:r w:rsidR="00157F73" w:rsidRPr="006D4CB5">
        <w:rPr>
          <w:color w:val="000000" w:themeColor="text1"/>
          <w:vertAlign w:val="subscript"/>
        </w:rPr>
        <w:t>g</w:t>
      </w:r>
      <w:r w:rsidR="00157F73" w:rsidRPr="006D4CB5">
        <w:rPr>
          <w:color w:val="000000" w:themeColor="text1"/>
        </w:rPr>
        <w:t xml:space="preserve"> &lt; 1.0) between the population-level and within-family GWAS.</w:t>
      </w:r>
      <w:r w:rsidR="00A1072A" w:rsidRPr="006D4CB5">
        <w:rPr>
          <w:color w:val="000000" w:themeColor="text1"/>
        </w:rPr>
        <w:t xml:space="preserve"> </w:t>
      </w:r>
      <w:r w:rsidR="00D26CFA" w:rsidRPr="006D4CB5">
        <w:rPr>
          <w:color w:val="000000" w:themeColor="text1"/>
        </w:rPr>
        <w:t>We also compared fully population-level genetic correlations to fully within-family genetic correlations using summary data from within-family GWAS of 18 outcomes in Howe and colleagues (2022). We visualize the similarity</w:t>
      </w:r>
      <w:r w:rsidR="00D51AE2" w:rsidRPr="006D4CB5">
        <w:rPr>
          <w:color w:val="000000" w:themeColor="text1"/>
        </w:rPr>
        <w:t xml:space="preserve"> in correlations</w:t>
      </w:r>
      <w:r w:rsidR="00D26CFA" w:rsidRPr="006D4CB5">
        <w:rPr>
          <w:color w:val="000000" w:themeColor="text1"/>
        </w:rPr>
        <w:t xml:space="preserve"> across methods in </w:t>
      </w:r>
      <w:r w:rsidR="00D26CFA" w:rsidRPr="006D4CB5">
        <w:rPr>
          <w:b/>
          <w:bCs/>
          <w:color w:val="000000" w:themeColor="text1"/>
        </w:rPr>
        <w:t>Extended Data Figure 10</w:t>
      </w:r>
      <w:r w:rsidR="00D26CFA" w:rsidRPr="006D4CB5">
        <w:rPr>
          <w:color w:val="000000" w:themeColor="text1"/>
        </w:rPr>
        <w:t xml:space="preserve">, where correlations </w:t>
      </w:r>
      <w:r w:rsidR="00FD62B8" w:rsidRPr="006D4CB5">
        <w:rPr>
          <w:color w:val="000000" w:themeColor="text1"/>
        </w:rPr>
        <w:t>deviating furthest from</w:t>
      </w:r>
      <w:r w:rsidR="00D26CFA" w:rsidRPr="006D4CB5">
        <w:rPr>
          <w:color w:val="000000" w:themeColor="text1"/>
        </w:rPr>
        <w:t xml:space="preserve"> the diagonal line </w:t>
      </w:r>
      <w:r w:rsidR="00FD62B8" w:rsidRPr="006D4CB5">
        <w:rPr>
          <w:color w:val="000000" w:themeColor="text1"/>
        </w:rPr>
        <w:t>of equivalence (y</w:t>
      </w:r>
      <w:r w:rsidR="00D51AE2" w:rsidRPr="006D4CB5">
        <w:rPr>
          <w:color w:val="000000" w:themeColor="text1"/>
        </w:rPr>
        <w:t xml:space="preserve"> </w:t>
      </w:r>
      <w:r w:rsidR="00FD62B8" w:rsidRPr="006D4CB5">
        <w:rPr>
          <w:color w:val="000000" w:themeColor="text1"/>
        </w:rPr>
        <w:t>=</w:t>
      </w:r>
      <w:r w:rsidR="00D51AE2" w:rsidRPr="006D4CB5">
        <w:rPr>
          <w:color w:val="000000" w:themeColor="text1"/>
        </w:rPr>
        <w:t xml:space="preserve"> </w:t>
      </w:r>
      <w:r w:rsidR="00FD62B8" w:rsidRPr="006D4CB5">
        <w:rPr>
          <w:color w:val="000000" w:themeColor="text1"/>
        </w:rPr>
        <w:t>x)</w:t>
      </w:r>
      <w:r w:rsidR="00D26CFA" w:rsidRPr="006D4CB5">
        <w:rPr>
          <w:color w:val="000000" w:themeColor="text1"/>
        </w:rPr>
        <w:t xml:space="preserve"> </w:t>
      </w:r>
      <w:r w:rsidR="00D51AE2" w:rsidRPr="006D4CB5">
        <w:rPr>
          <w:color w:val="000000" w:themeColor="text1"/>
        </w:rPr>
        <w:t>had</w:t>
      </w:r>
      <w:r w:rsidR="00FD62B8" w:rsidRPr="006D4CB5">
        <w:rPr>
          <w:color w:val="000000" w:themeColor="text1"/>
        </w:rPr>
        <w:t xml:space="preserve"> the</w:t>
      </w:r>
      <w:r w:rsidR="00D26CFA" w:rsidRPr="006D4CB5">
        <w:rPr>
          <w:color w:val="000000" w:themeColor="text1"/>
        </w:rPr>
        <w:t xml:space="preserve"> greatest differences in magnitude across methods. </w:t>
      </w:r>
      <w:r w:rsidR="00D51AE2" w:rsidRPr="006D4CB5">
        <w:rPr>
          <w:color w:val="000000" w:themeColor="text1"/>
        </w:rPr>
        <w:t>Correlations</w:t>
      </w:r>
      <w:r w:rsidR="00D26CFA" w:rsidRPr="006D4CB5">
        <w:rPr>
          <w:color w:val="000000" w:themeColor="text1"/>
        </w:rPr>
        <w:t xml:space="preserve"> with the largest discrepancies</w:t>
      </w:r>
      <w:r w:rsidR="00D51AE2" w:rsidRPr="006D4CB5">
        <w:rPr>
          <w:color w:val="000000" w:themeColor="text1"/>
        </w:rPr>
        <w:t xml:space="preserve"> between methods</w:t>
      </w:r>
      <w:r w:rsidR="00D26CFA" w:rsidRPr="006D4CB5">
        <w:rPr>
          <w:color w:val="000000" w:themeColor="text1"/>
        </w:rPr>
        <w:t>, indicating the greatest residual confounding in population-level analyses, involved educational attainment (which</w:t>
      </w:r>
      <w:r w:rsidR="00D51AE2" w:rsidRPr="006D4CB5">
        <w:rPr>
          <w:color w:val="000000" w:themeColor="text1"/>
        </w:rPr>
        <w:t xml:space="preserve">, </w:t>
      </w:r>
      <w:r w:rsidR="00EC2D1E" w:rsidRPr="006D4CB5">
        <w:rPr>
          <w:color w:val="000000" w:themeColor="text1"/>
        </w:rPr>
        <w:t xml:space="preserve">in analyses </w:t>
      </w:r>
      <w:r w:rsidR="00D51AE2" w:rsidRPr="006D4CB5">
        <w:rPr>
          <w:color w:val="000000" w:themeColor="text1"/>
        </w:rPr>
        <w:t>using within-family personality data,</w:t>
      </w:r>
      <w:r w:rsidR="00D26CFA" w:rsidRPr="006D4CB5">
        <w:rPr>
          <w:color w:val="000000" w:themeColor="text1"/>
        </w:rPr>
        <w:t xml:space="preserve"> was correlated more </w:t>
      </w:r>
      <w:r w:rsidR="00D51AE2" w:rsidRPr="006D4CB5">
        <w:rPr>
          <w:color w:val="000000" w:themeColor="text1"/>
        </w:rPr>
        <w:t>negatively with</w:t>
      </w:r>
      <w:r w:rsidR="00D26CFA" w:rsidRPr="006D4CB5">
        <w:rPr>
          <w:color w:val="000000" w:themeColor="text1"/>
        </w:rPr>
        <w:t xml:space="preserve"> extraversion and </w:t>
      </w:r>
      <w:r w:rsidR="00EC2D1E" w:rsidRPr="006D4CB5">
        <w:rPr>
          <w:color w:val="000000" w:themeColor="text1"/>
        </w:rPr>
        <w:t xml:space="preserve">more </w:t>
      </w:r>
      <w:r w:rsidR="00D51AE2" w:rsidRPr="006D4CB5">
        <w:rPr>
          <w:color w:val="000000" w:themeColor="text1"/>
        </w:rPr>
        <w:t xml:space="preserve">positively with </w:t>
      </w:r>
      <w:r w:rsidR="00D26CFA" w:rsidRPr="006D4CB5">
        <w:rPr>
          <w:color w:val="000000" w:themeColor="text1"/>
        </w:rPr>
        <w:t>openness to experience) and depression (which</w:t>
      </w:r>
      <w:r w:rsidR="00D51AE2" w:rsidRPr="006D4CB5">
        <w:rPr>
          <w:color w:val="000000" w:themeColor="text1"/>
        </w:rPr>
        <w:t>, using within-family personality data,</w:t>
      </w:r>
      <w:r w:rsidR="00D26CFA" w:rsidRPr="006D4CB5">
        <w:rPr>
          <w:color w:val="000000" w:themeColor="text1"/>
        </w:rPr>
        <w:t xml:space="preserve"> was correlated more </w:t>
      </w:r>
      <w:r w:rsidR="00D51AE2" w:rsidRPr="006D4CB5">
        <w:rPr>
          <w:color w:val="000000" w:themeColor="text1"/>
        </w:rPr>
        <w:t>positively with</w:t>
      </w:r>
      <w:r w:rsidR="0019197D" w:rsidRPr="006D4CB5">
        <w:rPr>
          <w:color w:val="000000" w:themeColor="text1"/>
        </w:rPr>
        <w:t xml:space="preserve"> </w:t>
      </w:r>
      <w:r w:rsidR="00D26CFA" w:rsidRPr="006D4CB5">
        <w:rPr>
          <w:color w:val="000000" w:themeColor="text1"/>
        </w:rPr>
        <w:t xml:space="preserve">neuroticism </w:t>
      </w:r>
      <w:r w:rsidR="00D51AE2" w:rsidRPr="006D4CB5">
        <w:rPr>
          <w:color w:val="000000" w:themeColor="text1"/>
        </w:rPr>
        <w:t xml:space="preserve">and </w:t>
      </w:r>
      <w:r w:rsidR="00D26CFA" w:rsidRPr="006D4CB5">
        <w:rPr>
          <w:color w:val="000000" w:themeColor="text1"/>
        </w:rPr>
        <w:t xml:space="preserve">openness to experience, and </w:t>
      </w:r>
      <w:r w:rsidR="00D51AE2" w:rsidRPr="006D4CB5">
        <w:rPr>
          <w:color w:val="000000" w:themeColor="text1"/>
        </w:rPr>
        <w:t>more negatively with</w:t>
      </w:r>
      <w:r w:rsidR="00D26CFA" w:rsidRPr="006D4CB5">
        <w:rPr>
          <w:color w:val="000000" w:themeColor="text1"/>
        </w:rPr>
        <w:t xml:space="preserve"> agreeableness). Both educational attainment and depression have been shown to be strongly influenced by shared environmental effects (</w:t>
      </w:r>
      <w:proofErr w:type="spellStart"/>
      <w:r w:rsidR="00D26CFA" w:rsidRPr="006D4CB5">
        <w:rPr>
          <w:color w:val="000000" w:themeColor="text1"/>
        </w:rPr>
        <w:t>Polderman</w:t>
      </w:r>
      <w:proofErr w:type="spellEnd"/>
      <w:r w:rsidR="00D26CFA" w:rsidRPr="006D4CB5">
        <w:rPr>
          <w:color w:val="000000" w:themeColor="text1"/>
        </w:rPr>
        <w:t xml:space="preserve"> et al., 2015; Tan et </w:t>
      </w:r>
      <w:r w:rsidR="00D26CFA" w:rsidRPr="006D4CB5">
        <w:rPr>
          <w:color w:val="000000" w:themeColor="text1"/>
        </w:rPr>
        <w:lastRenderedPageBreak/>
        <w:t xml:space="preserve">al., 2025) and thus it is unsurprising their </w:t>
      </w:r>
      <w:r w:rsidR="00D51AE2" w:rsidRPr="006D4CB5">
        <w:rPr>
          <w:color w:val="000000" w:themeColor="text1"/>
        </w:rPr>
        <w:t xml:space="preserve">genetic correlations differ most between </w:t>
      </w:r>
      <w:r w:rsidR="00D26CFA" w:rsidRPr="006D4CB5">
        <w:rPr>
          <w:color w:val="000000" w:themeColor="text1"/>
        </w:rPr>
        <w:t xml:space="preserve">population-level </w:t>
      </w:r>
      <w:r w:rsidR="00D51AE2" w:rsidRPr="006D4CB5">
        <w:rPr>
          <w:color w:val="000000" w:themeColor="text1"/>
        </w:rPr>
        <w:t>and within-family analyses.</w:t>
      </w:r>
      <w:r w:rsidR="00D26CFA" w:rsidRPr="006D4CB5">
        <w:rPr>
          <w:color w:val="000000" w:themeColor="text1"/>
        </w:rPr>
        <w:t xml:space="preserve"> In general, these tests reveal that for the Big Five, population-level </w:t>
      </w:r>
      <w:r w:rsidR="00C13A6D" w:rsidRPr="006D4CB5">
        <w:rPr>
          <w:color w:val="000000" w:themeColor="text1"/>
        </w:rPr>
        <w:t xml:space="preserve">genetic </w:t>
      </w:r>
      <w:r w:rsidR="00D26CFA" w:rsidRPr="006D4CB5">
        <w:rPr>
          <w:color w:val="000000" w:themeColor="text1"/>
        </w:rPr>
        <w:t xml:space="preserve">correlations </w:t>
      </w:r>
      <w:r w:rsidR="00C13A6D" w:rsidRPr="006D4CB5">
        <w:rPr>
          <w:color w:val="000000" w:themeColor="text1"/>
        </w:rPr>
        <w:t xml:space="preserve">estimated with LDSC </w:t>
      </w:r>
      <w:r w:rsidR="00D26CFA" w:rsidRPr="006D4CB5">
        <w:rPr>
          <w:color w:val="000000" w:themeColor="text1"/>
        </w:rPr>
        <w:t xml:space="preserve">serve as a useful and </w:t>
      </w:r>
      <w:r w:rsidR="00C13A6D" w:rsidRPr="006D4CB5">
        <w:rPr>
          <w:color w:val="000000" w:themeColor="text1"/>
        </w:rPr>
        <w:t xml:space="preserve">largely </w:t>
      </w:r>
      <w:r w:rsidR="00D26CFA" w:rsidRPr="006D4CB5">
        <w:rPr>
          <w:color w:val="000000" w:themeColor="text1"/>
        </w:rPr>
        <w:t>accurate proxy of the unconfounded genetic correlation produced by within-family GWAS.</w:t>
      </w:r>
    </w:p>
    <w:p w14:paraId="23C51F5E" w14:textId="00A11869" w:rsidR="00076353" w:rsidRPr="006D4CB5" w:rsidRDefault="004C3F47" w:rsidP="00076353">
      <w:pPr>
        <w:ind w:firstLine="720"/>
        <w:rPr>
          <w:color w:val="000000" w:themeColor="text1"/>
        </w:rPr>
      </w:pPr>
      <w:r w:rsidRPr="006D4CB5">
        <w:rPr>
          <w:color w:val="000000" w:themeColor="text1"/>
        </w:rPr>
        <w:t>For significantly and suggestively associated SNPs</w:t>
      </w:r>
      <w:r w:rsidR="00617830" w:rsidRPr="006D4CB5">
        <w:rPr>
          <w:color w:val="000000" w:themeColor="text1"/>
        </w:rPr>
        <w:t xml:space="preserve"> (</w:t>
      </w:r>
      <w:r w:rsidR="00617830" w:rsidRPr="006D4CB5">
        <w:rPr>
          <w:i/>
          <w:iCs/>
          <w:color w:val="000000" w:themeColor="text1"/>
        </w:rPr>
        <w:t xml:space="preserve">p &lt; </w:t>
      </w:r>
      <w:r w:rsidR="00617830" w:rsidRPr="006D4CB5">
        <w:rPr>
          <w:color w:val="000000" w:themeColor="text1"/>
        </w:rPr>
        <w:t>1x10</w:t>
      </w:r>
      <w:r w:rsidR="00617830" w:rsidRPr="006D4CB5">
        <w:rPr>
          <w:color w:val="000000" w:themeColor="text1"/>
          <w:vertAlign w:val="superscript"/>
        </w:rPr>
        <w:t>-5</w:t>
      </w:r>
      <w:r w:rsidR="00617830" w:rsidRPr="006D4CB5">
        <w:rPr>
          <w:color w:val="000000" w:themeColor="text1"/>
        </w:rPr>
        <w:t>)</w:t>
      </w:r>
      <w:r w:rsidRPr="006D4CB5">
        <w:rPr>
          <w:color w:val="000000" w:themeColor="text1"/>
        </w:rPr>
        <w:t xml:space="preserve">, we </w:t>
      </w:r>
      <w:r w:rsidR="00076353" w:rsidRPr="006D4CB5">
        <w:rPr>
          <w:color w:val="000000" w:themeColor="text1"/>
        </w:rPr>
        <w:t xml:space="preserve">then compared the average effect sizes between population-level and within-family data. A regression model comparison of raw SNP-trait associations between the two sets of data is uninformative: this regression is downwardly biased by error in both the population-level and within-family effect estimates as these GWAS are relatively small and there is dependency in these errors due to sample overlap. To account for this and enable appropriate comparison, we took two steps. </w:t>
      </w:r>
    </w:p>
    <w:p w14:paraId="5C511803" w14:textId="27BAE92B" w:rsidR="00076353" w:rsidRPr="006D4CB5" w:rsidRDefault="00076353" w:rsidP="00076353">
      <w:pPr>
        <w:ind w:firstLine="720"/>
        <w:rPr>
          <w:color w:val="000000" w:themeColor="text1"/>
        </w:rPr>
      </w:pPr>
      <w:r w:rsidRPr="006D4CB5">
        <w:rPr>
          <w:color w:val="000000" w:themeColor="text1"/>
        </w:rPr>
        <w:t>First, we restricted effect size comparisons to the set of SNPs for each trait that have maximal statistical signal. We identified the set SNPs in the full EUR</w:t>
      </w:r>
      <w:r w:rsidR="00CB7254">
        <w:rPr>
          <w:color w:val="000000" w:themeColor="text1"/>
        </w:rPr>
        <w:t>-like</w:t>
      </w:r>
      <w:r w:rsidRPr="006D4CB5">
        <w:rPr>
          <w:color w:val="000000" w:themeColor="text1"/>
        </w:rPr>
        <w:t xml:space="preserve"> GWAS meta-analysis with </w:t>
      </w:r>
      <w:r w:rsidRPr="006D4CB5">
        <w:rPr>
          <w:i/>
          <w:iCs/>
          <w:color w:val="000000" w:themeColor="text1"/>
        </w:rPr>
        <w:t>p</w:t>
      </w:r>
      <w:r w:rsidRPr="006D4CB5">
        <w:rPr>
          <w:color w:val="000000" w:themeColor="text1"/>
        </w:rPr>
        <w:t xml:space="preserve"> &lt; 1x10</w:t>
      </w:r>
      <w:r w:rsidRPr="006D4CB5">
        <w:rPr>
          <w:color w:val="000000" w:themeColor="text1"/>
          <w:vertAlign w:val="superscript"/>
        </w:rPr>
        <w:t xml:space="preserve">-5 </w:t>
      </w:r>
      <w:r w:rsidRPr="006D4CB5">
        <w:rPr>
          <w:color w:val="000000" w:themeColor="text1"/>
        </w:rPr>
        <w:t xml:space="preserve">and sequentially pruned SNPs within +/- 250kb of each other (from most strongly associated to least strongly associated). </w:t>
      </w:r>
    </w:p>
    <w:p w14:paraId="2E131424" w14:textId="791010A5" w:rsidR="00076353" w:rsidRPr="006D4CB5" w:rsidRDefault="00076353" w:rsidP="00076353">
      <w:pPr>
        <w:ind w:firstLine="720"/>
        <w:rPr>
          <w:color w:val="000000" w:themeColor="text1"/>
        </w:rPr>
      </w:pPr>
      <w:r w:rsidRPr="006D4CB5">
        <w:rPr>
          <w:color w:val="000000" w:themeColor="text1"/>
        </w:rPr>
        <w:t xml:space="preserve">Second, among these SNPs, we compared effect sizes in terms of a ratio. In the numerator was the </w:t>
      </w:r>
      <w:r w:rsidR="00DA6B17" w:rsidRPr="006D4CB5">
        <w:rPr>
          <w:color w:val="000000" w:themeColor="text1"/>
        </w:rPr>
        <w:t xml:space="preserve">unstandardized </w:t>
      </w:r>
      <w:r w:rsidRPr="006D4CB5">
        <w:rPr>
          <w:color w:val="000000" w:themeColor="text1"/>
        </w:rPr>
        <w:t>regression slope of within-family SNP-trait effect sizes (from the within-family GWAS) on the population-level GWAS SNP-trait effect sizes (among EUR</w:t>
      </w:r>
      <w:r w:rsidR="00CB7254">
        <w:rPr>
          <w:color w:val="000000" w:themeColor="text1"/>
        </w:rPr>
        <w:t>-like</w:t>
      </w:r>
      <w:r w:rsidRPr="006D4CB5">
        <w:rPr>
          <w:color w:val="000000" w:themeColor="text1"/>
        </w:rPr>
        <w:t xml:space="preserve"> cohorts that did not contribute to the within-family GWAS). In the denominator was the </w:t>
      </w:r>
      <w:r w:rsidR="00DA6B17" w:rsidRPr="006D4CB5">
        <w:rPr>
          <w:color w:val="000000" w:themeColor="text1"/>
        </w:rPr>
        <w:t xml:space="preserve">unstandardized </w:t>
      </w:r>
      <w:r w:rsidRPr="006D4CB5">
        <w:rPr>
          <w:color w:val="000000" w:themeColor="text1"/>
        </w:rPr>
        <w:t>regression slope of population-level SNP-trait effect sizes (from the within-family GWAS</w:t>
      </w:r>
      <w:r w:rsidR="00943BEB" w:rsidRPr="006D4CB5">
        <w:rPr>
          <w:color w:val="000000" w:themeColor="text1"/>
        </w:rPr>
        <w:t xml:space="preserve"> cohorts</w:t>
      </w:r>
      <w:r w:rsidRPr="006D4CB5">
        <w:rPr>
          <w:color w:val="000000" w:themeColor="text1"/>
        </w:rPr>
        <w:t>) on the full EUR</w:t>
      </w:r>
      <w:r w:rsidR="00CB7254">
        <w:rPr>
          <w:color w:val="000000" w:themeColor="text1"/>
        </w:rPr>
        <w:t>-like</w:t>
      </w:r>
      <w:r w:rsidRPr="006D4CB5">
        <w:rPr>
          <w:color w:val="000000" w:themeColor="text1"/>
        </w:rPr>
        <w:t xml:space="preserve"> population-level GWAS SNP-trait effect sizes (among cohorts that did not contribute to the within-family GWAS). By regressing </w:t>
      </w:r>
      <w:r w:rsidR="00327EF7" w:rsidRPr="006D4CB5">
        <w:rPr>
          <w:color w:val="000000" w:themeColor="text1"/>
        </w:rPr>
        <w:t xml:space="preserve">the population and </w:t>
      </w:r>
      <w:r w:rsidRPr="006D4CB5">
        <w:rPr>
          <w:color w:val="000000" w:themeColor="text1"/>
        </w:rPr>
        <w:t>within-family GWAS estimates on population-level GWAS estimates</w:t>
      </w:r>
      <w:r w:rsidR="00327EF7" w:rsidRPr="006D4CB5">
        <w:rPr>
          <w:color w:val="000000" w:themeColor="text1"/>
        </w:rPr>
        <w:t xml:space="preserve"> from a</w:t>
      </w:r>
      <w:r w:rsidR="005E707D" w:rsidRPr="006D4CB5">
        <w:rPr>
          <w:color w:val="000000" w:themeColor="text1"/>
        </w:rPr>
        <w:t xml:space="preserve">n independent </w:t>
      </w:r>
      <w:r w:rsidR="00327EF7" w:rsidRPr="006D4CB5">
        <w:rPr>
          <w:color w:val="000000" w:themeColor="text1"/>
        </w:rPr>
        <w:t>sample</w:t>
      </w:r>
      <w:r w:rsidRPr="006D4CB5">
        <w:rPr>
          <w:color w:val="000000" w:themeColor="text1"/>
        </w:rPr>
        <w:t xml:space="preserve">, we reduce </w:t>
      </w:r>
      <w:r w:rsidR="00E03570" w:rsidRPr="006D4CB5">
        <w:rPr>
          <w:color w:val="000000" w:themeColor="text1"/>
        </w:rPr>
        <w:t xml:space="preserve">bias </w:t>
      </w:r>
      <w:r w:rsidR="00DF2630" w:rsidRPr="006D4CB5">
        <w:rPr>
          <w:color w:val="000000" w:themeColor="text1"/>
        </w:rPr>
        <w:t xml:space="preserve">that would otherwise arise </w:t>
      </w:r>
      <w:r w:rsidR="00E03570" w:rsidRPr="006D4CB5">
        <w:rPr>
          <w:color w:val="000000" w:themeColor="text1"/>
        </w:rPr>
        <w:t xml:space="preserve">from </w:t>
      </w:r>
      <w:r w:rsidRPr="006D4CB5">
        <w:rPr>
          <w:color w:val="000000" w:themeColor="text1"/>
        </w:rPr>
        <w:t xml:space="preserve">correlated error. </w:t>
      </w:r>
    </w:p>
    <w:p w14:paraId="0837DDF2" w14:textId="5A4245F2" w:rsidR="00554BAD" w:rsidRPr="006D4CB5" w:rsidRDefault="00076353" w:rsidP="00554BAD">
      <w:pPr>
        <w:ind w:firstLine="720"/>
        <w:rPr>
          <w:color w:val="000000" w:themeColor="text1"/>
        </w:rPr>
      </w:pPr>
      <w:r w:rsidRPr="006D4CB5">
        <w:rPr>
          <w:color w:val="000000" w:themeColor="text1"/>
        </w:rPr>
        <w:t xml:space="preserve">This ratio can be interpreted as the relative strength of replication of estimates across within- and population- levels of analysis: how strongly do within-family and population-level effects from the within-family </w:t>
      </w:r>
      <w:r w:rsidR="007208F8" w:rsidRPr="006D4CB5">
        <w:rPr>
          <w:color w:val="000000" w:themeColor="text1"/>
        </w:rPr>
        <w:t>cohorts</w:t>
      </w:r>
      <w:r w:rsidRPr="006D4CB5">
        <w:rPr>
          <w:color w:val="000000" w:themeColor="text1"/>
        </w:rPr>
        <w:t xml:space="preserve"> replicate population-level effects in the full EUR</w:t>
      </w:r>
      <w:r w:rsidR="00CB7254">
        <w:rPr>
          <w:color w:val="000000" w:themeColor="text1"/>
        </w:rPr>
        <w:t>-like</w:t>
      </w:r>
      <w:r w:rsidRPr="006D4CB5">
        <w:rPr>
          <w:color w:val="000000" w:themeColor="text1"/>
        </w:rPr>
        <w:t xml:space="preserve"> GWAS</w:t>
      </w:r>
      <w:r w:rsidR="007208F8" w:rsidRPr="006D4CB5">
        <w:rPr>
          <w:color w:val="000000" w:themeColor="text1"/>
        </w:rPr>
        <w:t xml:space="preserve"> (holding out within-family cohorts)</w:t>
      </w:r>
      <w:r w:rsidRPr="006D4CB5">
        <w:rPr>
          <w:color w:val="000000" w:themeColor="text1"/>
        </w:rPr>
        <w:t xml:space="preserve">? The slope of each regression in the numerator and denominator is expected to be 1 in the absence of biasing factors with differential effects, such as effect size shrinkage due to winners’ curse, measurement differences, and peculiarities of individual cohorts. As shown in </w:t>
      </w:r>
      <w:r w:rsidRPr="006D4CB5">
        <w:rPr>
          <w:b/>
          <w:bCs/>
          <w:color w:val="000000" w:themeColor="text1"/>
        </w:rPr>
        <w:t>Supplementary Table S4</w:t>
      </w:r>
      <w:r w:rsidR="00723032" w:rsidRPr="006D4CB5">
        <w:rPr>
          <w:b/>
          <w:bCs/>
          <w:color w:val="000000" w:themeColor="text1"/>
        </w:rPr>
        <w:t>7</w:t>
      </w:r>
      <w:r w:rsidRPr="006D4CB5">
        <w:rPr>
          <w:color w:val="000000" w:themeColor="text1"/>
        </w:rPr>
        <w:t xml:space="preserve">, the average strength of replication of within-family data is .90, and the average strength of replication of population-level data is .94. However, these biasing factors are expected to affect the two regression </w:t>
      </w:r>
      <w:proofErr w:type="gramStart"/>
      <w:r w:rsidRPr="006D4CB5">
        <w:rPr>
          <w:color w:val="000000" w:themeColor="text1"/>
        </w:rPr>
        <w:t>betas</w:t>
      </w:r>
      <w:proofErr w:type="gramEnd"/>
      <w:r w:rsidRPr="006D4CB5">
        <w:rPr>
          <w:color w:val="000000" w:themeColor="text1"/>
        </w:rPr>
        <w:t xml:space="preserve"> </w:t>
      </w:r>
      <w:r w:rsidR="00CA1CBD" w:rsidRPr="006D4CB5">
        <w:rPr>
          <w:color w:val="000000" w:themeColor="text1"/>
        </w:rPr>
        <w:t>similarly</w:t>
      </w:r>
      <w:r w:rsidRPr="006D4CB5">
        <w:rPr>
          <w:color w:val="000000" w:themeColor="text1"/>
        </w:rPr>
        <w:t xml:space="preserve">, meaning the ratio of the two regression slopes is expected to be below 1 only in the presence of </w:t>
      </w:r>
      <w:r w:rsidR="005D024E" w:rsidRPr="006D4CB5">
        <w:rPr>
          <w:color w:val="000000" w:themeColor="text1"/>
        </w:rPr>
        <w:t xml:space="preserve">biases specific to population </w:t>
      </w:r>
      <w:proofErr w:type="gramStart"/>
      <w:r w:rsidR="005D024E" w:rsidRPr="006D4CB5">
        <w:rPr>
          <w:color w:val="000000" w:themeColor="text1"/>
        </w:rPr>
        <w:t xml:space="preserve">GWAS, </w:t>
      </w:r>
      <w:r w:rsidRPr="006D4CB5">
        <w:rPr>
          <w:color w:val="000000" w:themeColor="text1"/>
        </w:rPr>
        <w:t xml:space="preserve"> </w:t>
      </w:r>
      <w:r w:rsidR="005D024E" w:rsidRPr="006D4CB5">
        <w:rPr>
          <w:color w:val="000000" w:themeColor="text1"/>
        </w:rPr>
        <w:t>i.e.</w:t>
      </w:r>
      <w:proofErr w:type="gramEnd"/>
      <w:r w:rsidR="005D024E" w:rsidRPr="006D4CB5">
        <w:rPr>
          <w:color w:val="000000" w:themeColor="text1"/>
        </w:rPr>
        <w:t xml:space="preserve"> </w:t>
      </w:r>
      <w:r w:rsidR="00617830" w:rsidRPr="006D4CB5">
        <w:rPr>
          <w:color w:val="000000" w:themeColor="text1"/>
        </w:rPr>
        <w:t xml:space="preserve">those </w:t>
      </w:r>
      <w:r w:rsidR="005D024E" w:rsidRPr="006D4CB5">
        <w:rPr>
          <w:color w:val="000000" w:themeColor="text1"/>
        </w:rPr>
        <w:t>thought attributable to</w:t>
      </w:r>
      <w:r w:rsidRPr="006D4CB5">
        <w:rPr>
          <w:color w:val="000000" w:themeColor="text1"/>
        </w:rPr>
        <w:t xml:space="preserve"> </w:t>
      </w:r>
      <w:r w:rsidR="007208F8" w:rsidRPr="006D4CB5">
        <w:rPr>
          <w:color w:val="000000" w:themeColor="text1"/>
        </w:rPr>
        <w:t xml:space="preserve">factors such as </w:t>
      </w:r>
      <w:r w:rsidRPr="006D4CB5">
        <w:rPr>
          <w:color w:val="000000" w:themeColor="text1"/>
        </w:rPr>
        <w:t xml:space="preserve">assortment, dynastic </w:t>
      </w:r>
      <w:r w:rsidR="007208F8" w:rsidRPr="006D4CB5">
        <w:rPr>
          <w:color w:val="000000" w:themeColor="text1"/>
        </w:rPr>
        <w:t xml:space="preserve">and </w:t>
      </w:r>
      <w:r w:rsidRPr="006D4CB5">
        <w:rPr>
          <w:color w:val="000000" w:themeColor="text1"/>
        </w:rPr>
        <w:t xml:space="preserve">genetic nurture effects. Indeed, the average ratio between the two replication effect sizes is .95 (ranging from .86 for conscientiousness to 1.06 for agreeableness), indicating very little confounding due to these factors. </w:t>
      </w:r>
    </w:p>
    <w:p w14:paraId="52CF198B" w14:textId="1F8D75F0" w:rsidR="00076353" w:rsidRPr="006D4CB5" w:rsidRDefault="00076353" w:rsidP="00076353">
      <w:pPr>
        <w:ind w:firstLine="720"/>
        <w:rPr>
          <w:color w:val="000000" w:themeColor="text1"/>
        </w:rPr>
      </w:pPr>
      <w:r w:rsidRPr="006D4CB5">
        <w:rPr>
          <w:color w:val="000000" w:themeColor="text1"/>
        </w:rPr>
        <w:t>Finally, we compared genetic correlations across the Big Five traits between EUR</w:t>
      </w:r>
      <w:r w:rsidR="00CB7254">
        <w:rPr>
          <w:color w:val="000000" w:themeColor="text1"/>
        </w:rPr>
        <w:t>-like</w:t>
      </w:r>
      <w:r w:rsidRPr="006D4CB5">
        <w:rPr>
          <w:color w:val="000000" w:themeColor="text1"/>
        </w:rPr>
        <w:t xml:space="preserve"> population-level data, EUR</w:t>
      </w:r>
      <w:r w:rsidR="00CB7254">
        <w:rPr>
          <w:color w:val="000000" w:themeColor="text1"/>
        </w:rPr>
        <w:t>-like</w:t>
      </w:r>
      <w:r w:rsidRPr="006D4CB5">
        <w:rPr>
          <w:color w:val="000000" w:themeColor="text1"/>
        </w:rPr>
        <w:t xml:space="preserve"> within-family data, and AFR</w:t>
      </w:r>
      <w:r w:rsidR="00CB7254">
        <w:rPr>
          <w:color w:val="000000" w:themeColor="text1"/>
        </w:rPr>
        <w:t>-like</w:t>
      </w:r>
      <w:r w:rsidRPr="006D4CB5">
        <w:rPr>
          <w:color w:val="000000" w:themeColor="text1"/>
        </w:rPr>
        <w:t xml:space="preserve"> population-level data, using bivariate LDSC. These associations revealed similarity in personality’s cross-</w:t>
      </w:r>
      <w:proofErr w:type="spellStart"/>
      <w:r w:rsidRPr="006D4CB5">
        <w:rPr>
          <w:color w:val="000000" w:themeColor="text1"/>
        </w:rPr>
        <w:t>trait</w:t>
      </w:r>
      <w:proofErr w:type="spellEnd"/>
      <w:r w:rsidRPr="006D4CB5">
        <w:rPr>
          <w:color w:val="000000" w:themeColor="text1"/>
        </w:rPr>
        <w:t xml:space="preserve"> pleiotropy across these sources</w:t>
      </w:r>
      <w:r w:rsidR="00EB3E5B" w:rsidRPr="006D4CB5">
        <w:rPr>
          <w:color w:val="000000" w:themeColor="text1"/>
        </w:rPr>
        <w:t xml:space="preserve"> </w:t>
      </w:r>
      <w:r w:rsidRPr="006D4CB5">
        <w:rPr>
          <w:color w:val="000000" w:themeColor="text1"/>
        </w:rPr>
        <w:t>(</w:t>
      </w:r>
      <w:r w:rsidR="00DE1EDE" w:rsidRPr="006D4CB5">
        <w:rPr>
          <w:b/>
          <w:bCs/>
          <w:color w:val="000000" w:themeColor="text1"/>
        </w:rPr>
        <w:t>Extended Data Figure 10 panel</w:t>
      </w:r>
      <w:r w:rsidR="003A5F1F" w:rsidRPr="006D4CB5">
        <w:rPr>
          <w:b/>
          <w:bCs/>
          <w:color w:val="000000" w:themeColor="text1"/>
        </w:rPr>
        <w:t>s P and Q</w:t>
      </w:r>
      <w:r w:rsidR="00DE1EDE" w:rsidRPr="006D4CB5">
        <w:rPr>
          <w:b/>
          <w:bCs/>
          <w:color w:val="000000" w:themeColor="text1"/>
        </w:rPr>
        <w:t xml:space="preserve">, Extended Data Figure 6 Panel </w:t>
      </w:r>
      <w:r w:rsidR="003A5F1F" w:rsidRPr="006D4CB5">
        <w:rPr>
          <w:b/>
          <w:bCs/>
          <w:color w:val="000000" w:themeColor="text1"/>
        </w:rPr>
        <w:t>B</w:t>
      </w:r>
      <w:r w:rsidRPr="006D4CB5">
        <w:rPr>
          <w:color w:val="000000" w:themeColor="text1"/>
        </w:rPr>
        <w:t>). Specifically, correlations were sign-concordant across the three methods and were highly similar between population-level and within-family EUR</w:t>
      </w:r>
      <w:r w:rsidR="00CB7254">
        <w:rPr>
          <w:color w:val="000000" w:themeColor="text1"/>
        </w:rPr>
        <w:t>-like</w:t>
      </w:r>
      <w:r w:rsidRPr="006D4CB5">
        <w:rPr>
          <w:color w:val="000000" w:themeColor="text1"/>
        </w:rPr>
        <w:t xml:space="preserve"> data. Associations among the traits in AFR</w:t>
      </w:r>
      <w:r w:rsidR="00CB7254">
        <w:rPr>
          <w:color w:val="000000" w:themeColor="text1"/>
        </w:rPr>
        <w:t>-like</w:t>
      </w:r>
      <w:r w:rsidRPr="006D4CB5">
        <w:rPr>
          <w:color w:val="000000" w:themeColor="text1"/>
        </w:rPr>
        <w:t xml:space="preserve"> population-level data were stronger in magnitude than in EUR</w:t>
      </w:r>
      <w:r w:rsidR="00CB7254">
        <w:rPr>
          <w:color w:val="000000" w:themeColor="text1"/>
        </w:rPr>
        <w:t>-like</w:t>
      </w:r>
      <w:r w:rsidRPr="006D4CB5">
        <w:rPr>
          <w:color w:val="000000" w:themeColor="text1"/>
        </w:rPr>
        <w:t xml:space="preserve"> data, but with correspondingly larger standard errors. </w:t>
      </w:r>
    </w:p>
    <w:p w14:paraId="4E91E723" w14:textId="77777777" w:rsidR="00076353" w:rsidRPr="006D4CB5" w:rsidRDefault="00076353" w:rsidP="00076353">
      <w:pPr>
        <w:rPr>
          <w:b/>
          <w:color w:val="000000" w:themeColor="text1"/>
        </w:rPr>
      </w:pPr>
    </w:p>
    <w:p w14:paraId="4E5D1144" w14:textId="5A4CE65F" w:rsidR="00076353" w:rsidRPr="006D4CB5" w:rsidRDefault="00FD2004" w:rsidP="00E44E1C">
      <w:pPr>
        <w:jc w:val="center"/>
        <w:rPr>
          <w:b/>
          <w:color w:val="000000" w:themeColor="text1"/>
        </w:rPr>
      </w:pPr>
      <w:r>
        <w:rPr>
          <w:b/>
          <w:bCs/>
          <w:color w:val="000000" w:themeColor="text1"/>
        </w:rPr>
        <w:lastRenderedPageBreak/>
        <w:t xml:space="preserve">Supplementary Note </w:t>
      </w:r>
      <w:r>
        <w:rPr>
          <w:b/>
          <w:bCs/>
          <w:color w:val="000000" w:themeColor="text1"/>
        </w:rPr>
        <w:t xml:space="preserve">7. </w:t>
      </w:r>
      <w:r w:rsidR="00076353" w:rsidRPr="006D4CB5">
        <w:rPr>
          <w:b/>
          <w:color w:val="000000" w:themeColor="text1"/>
        </w:rPr>
        <w:t>C</w:t>
      </w:r>
      <w:r w:rsidR="00C166B4" w:rsidRPr="006D4CB5">
        <w:rPr>
          <w:b/>
          <w:color w:val="000000" w:themeColor="text1"/>
        </w:rPr>
        <w:t>ontributing C</w:t>
      </w:r>
      <w:r w:rsidR="00076353" w:rsidRPr="006D4CB5">
        <w:rPr>
          <w:b/>
          <w:color w:val="000000" w:themeColor="text1"/>
        </w:rPr>
        <w:t>ohort Information</w:t>
      </w:r>
    </w:p>
    <w:p w14:paraId="636C3897" w14:textId="77777777" w:rsidR="00076353" w:rsidRPr="006D4CB5" w:rsidRDefault="00076353" w:rsidP="00076353">
      <w:pPr>
        <w:rPr>
          <w:b/>
          <w:color w:val="000000" w:themeColor="text1"/>
        </w:rPr>
      </w:pPr>
    </w:p>
    <w:p w14:paraId="49C3DF5B" w14:textId="77777777" w:rsidR="00076353" w:rsidRPr="006D4CB5" w:rsidRDefault="00076353" w:rsidP="00076353">
      <w:pPr>
        <w:jc w:val="center"/>
        <w:rPr>
          <w:b/>
          <w:bCs/>
          <w:color w:val="000000" w:themeColor="text1"/>
        </w:rPr>
      </w:pPr>
      <w:r w:rsidRPr="006D4CB5">
        <w:rPr>
          <w:b/>
          <w:bCs/>
          <w:color w:val="000000" w:themeColor="text1"/>
        </w:rPr>
        <w:t xml:space="preserve">23andMe, Inc. (23andMe) </w:t>
      </w:r>
    </w:p>
    <w:p w14:paraId="7A5C927A" w14:textId="38C1BFA1" w:rsidR="00076353" w:rsidRPr="006D4CB5" w:rsidRDefault="00076353" w:rsidP="00076353">
      <w:pPr>
        <w:ind w:firstLine="720"/>
        <w:rPr>
          <w:color w:val="000000" w:themeColor="text1"/>
        </w:rPr>
      </w:pPr>
      <w:r w:rsidRPr="006D4CB5">
        <w:rPr>
          <w:color w:val="000000" w:themeColor="text1"/>
        </w:rPr>
        <w:t xml:space="preserve">The 23andMe cohort consists of 59,225 participants who completed the Five Dimensions of Personality survey module provided at the company’s website, which measured personality traits using the 44-item BFI (John et al., 1991). Participants were those with &gt;97% </w:t>
      </w:r>
      <w:r w:rsidR="00CB7254">
        <w:rPr>
          <w:color w:val="000000" w:themeColor="text1"/>
        </w:rPr>
        <w:t>EUR-like</w:t>
      </w:r>
      <w:r w:rsidRPr="006D4CB5">
        <w:rPr>
          <w:color w:val="000000" w:themeColor="text1"/>
        </w:rPr>
        <w:t xml:space="preserve"> ancestry filtered to unrelated individuals who shared less than 700 </w:t>
      </w:r>
      <w:proofErr w:type="spellStart"/>
      <w:r w:rsidRPr="006D4CB5">
        <w:rPr>
          <w:color w:val="000000" w:themeColor="text1"/>
        </w:rPr>
        <w:t>cM</w:t>
      </w:r>
      <w:proofErr w:type="spellEnd"/>
      <w:r w:rsidRPr="006D4CB5">
        <w:rPr>
          <w:color w:val="000000" w:themeColor="text1"/>
        </w:rPr>
        <w:t xml:space="preserve"> IBD. </w:t>
      </w:r>
      <w:r w:rsidR="002B023E" w:rsidRPr="006D4CB5">
        <w:rPr>
          <w:color w:val="000000" w:themeColor="text1"/>
        </w:rPr>
        <w:t xml:space="preserve">Participants included in the analyses provided informed consent and answered surveys online according to a human subject research protocol, which was reviewed and approved by Ethical and Independent Review Services, a private institutional review board accredited by the Association for the Accreditation of Human Research Protection Programs. </w:t>
      </w:r>
      <w:r w:rsidRPr="006D4CB5">
        <w:rPr>
          <w:color w:val="000000" w:themeColor="text1"/>
        </w:rPr>
        <w:t xml:space="preserve">For complete details regarding </w:t>
      </w:r>
      <w:r w:rsidR="000A2B2B" w:rsidRPr="006D4CB5">
        <w:rPr>
          <w:color w:val="000000" w:themeColor="text1"/>
        </w:rPr>
        <w:t xml:space="preserve">personality GWAS in </w:t>
      </w:r>
      <w:r w:rsidRPr="006D4CB5">
        <w:rPr>
          <w:color w:val="000000" w:themeColor="text1"/>
        </w:rPr>
        <w:t xml:space="preserve">this cohort, see Lo and colleagues (2017). </w:t>
      </w:r>
    </w:p>
    <w:p w14:paraId="6F2E2A33" w14:textId="77777777" w:rsidR="00076353" w:rsidRPr="006D4CB5" w:rsidRDefault="00076353" w:rsidP="00076353">
      <w:pPr>
        <w:rPr>
          <w:b/>
          <w:bCs/>
          <w:color w:val="000000" w:themeColor="text1"/>
        </w:rPr>
      </w:pPr>
    </w:p>
    <w:p w14:paraId="5915E1EF" w14:textId="77777777" w:rsidR="00076353" w:rsidRPr="006D4CB5" w:rsidRDefault="00076353" w:rsidP="00076353">
      <w:pPr>
        <w:jc w:val="center"/>
        <w:rPr>
          <w:b/>
          <w:bCs/>
          <w:color w:val="000000" w:themeColor="text1"/>
        </w:rPr>
      </w:pPr>
      <w:r w:rsidRPr="006D4CB5">
        <w:rPr>
          <w:b/>
          <w:bCs/>
          <w:color w:val="000000" w:themeColor="text1"/>
        </w:rPr>
        <w:t>Australian Genetics of Depression Study (AGDS)</w:t>
      </w:r>
    </w:p>
    <w:p w14:paraId="37896DF5" w14:textId="77643520" w:rsidR="00076353" w:rsidRPr="006D4CB5" w:rsidRDefault="00076353" w:rsidP="00076353">
      <w:pPr>
        <w:shd w:val="clear" w:color="auto" w:fill="FFFFFF" w:themeFill="background1"/>
        <w:ind w:firstLine="720"/>
        <w:rPr>
          <w:color w:val="000000" w:themeColor="text1"/>
        </w:rPr>
      </w:pPr>
      <w:r w:rsidRPr="006D4CB5">
        <w:rPr>
          <w:color w:val="000000" w:themeColor="text1"/>
        </w:rPr>
        <w:t>The recruitment and sample characteristics of the Australian Genetics of Depression Study (AGDS) have been described in detail elsewhere (Byrne et al 2020). Briefly, more than 21,000 participants were recruited (15,792 currently genotyped) through a dual recruitment approach whereby cases were recruited either through Australian government prescription records or through a media campaign. Once enrolled in the study, participants completed online questionnaires comprising an obligatory core module that assessed MDD diagnosis as well as a range of satellite modules assessing a variety of phenotypes. The personality phenotypes of Extraversion and Neuroticism were measured using the Eysenck Personality Questionnaire (EPQ). </w:t>
      </w:r>
      <w:r w:rsidRPr="006D4CB5">
        <w:rPr>
          <w:color w:val="000000" w:themeColor="text1"/>
          <w:shd w:val="clear" w:color="auto" w:fill="FFFFFF"/>
        </w:rPr>
        <w:t>AGDS was primarily funded by National Health and Medical Research Council (NHMRC) of Australia grant (1086683)</w:t>
      </w:r>
      <w:r w:rsidR="00792F47" w:rsidRPr="006D4CB5">
        <w:rPr>
          <w:color w:val="000000" w:themeColor="text1"/>
          <w:shd w:val="clear" w:color="auto" w:fill="FFFFFF"/>
        </w:rPr>
        <w:t>.</w:t>
      </w:r>
    </w:p>
    <w:p w14:paraId="2E4C2B91" w14:textId="77777777" w:rsidR="00076353" w:rsidRPr="006D4CB5" w:rsidRDefault="00076353" w:rsidP="00076353">
      <w:pPr>
        <w:rPr>
          <w:color w:val="000000" w:themeColor="text1"/>
        </w:rPr>
      </w:pPr>
    </w:p>
    <w:p w14:paraId="10CBB988" w14:textId="77777777" w:rsidR="00076353" w:rsidRPr="006D4CB5" w:rsidRDefault="00076353" w:rsidP="00076353">
      <w:pPr>
        <w:rPr>
          <w:b/>
          <w:color w:val="000000" w:themeColor="text1"/>
        </w:rPr>
      </w:pPr>
    </w:p>
    <w:p w14:paraId="729954D2" w14:textId="77777777" w:rsidR="00076353" w:rsidRPr="006D4CB5" w:rsidRDefault="00076353" w:rsidP="00076353">
      <w:pPr>
        <w:jc w:val="center"/>
        <w:rPr>
          <w:b/>
          <w:bCs/>
          <w:color w:val="000000" w:themeColor="text1"/>
        </w:rPr>
      </w:pPr>
      <w:r w:rsidRPr="006D4CB5">
        <w:rPr>
          <w:b/>
          <w:bCs/>
          <w:color w:val="000000" w:themeColor="text1"/>
        </w:rPr>
        <w:t>Avon Longitudinal Study of Parents and Children (ALSPAC)</w:t>
      </w:r>
    </w:p>
    <w:p w14:paraId="06E17C8E" w14:textId="343321E0" w:rsidR="00076353" w:rsidRPr="006D4CB5" w:rsidRDefault="00076353" w:rsidP="00D51AE2">
      <w:pPr>
        <w:ind w:firstLine="720"/>
        <w:rPr>
          <w:color w:val="000000" w:themeColor="text1"/>
        </w:rPr>
      </w:pPr>
      <w:r w:rsidRPr="006D4CB5">
        <w:rPr>
          <w:color w:val="000000" w:themeColor="text1"/>
        </w:rPr>
        <w:t>The Avon Longitudinal Study of Parents and Children (ALSPAC) is a prospective population-based study that initially recruited pregnant women in the Avon district of England in 1990-1992 (</w:t>
      </w:r>
      <w:proofErr w:type="spellStart"/>
      <w:r w:rsidRPr="006D4CB5">
        <w:rPr>
          <w:color w:val="000000" w:themeColor="text1"/>
        </w:rPr>
        <w:t>Northstone</w:t>
      </w:r>
      <w:proofErr w:type="spellEnd"/>
      <w:r w:rsidRPr="006D4CB5">
        <w:rPr>
          <w:color w:val="000000" w:themeColor="text1"/>
        </w:rPr>
        <w:t xml:space="preserve"> et al., 2019). When children were 13.5 years old, parents reported on their adolescent child’s personality traits using the 50-item International Personality Item Pool inventory (IPIP-50), which measures the Big Five traits with ten questions each (Goldberg, 1999). In this study, we restricted genetic analyses to the N = 4,284 adolescents (74% females) with personality trait data who were unrelated (&lt;10% of alleles shared IBD) and </w:t>
      </w:r>
      <w:r w:rsidR="00CB7254">
        <w:rPr>
          <w:color w:val="000000" w:themeColor="text1"/>
        </w:rPr>
        <w:t xml:space="preserve">had EUR-like genomes </w:t>
      </w:r>
      <w:r w:rsidRPr="006D4CB5">
        <w:rPr>
          <w:color w:val="000000" w:themeColor="text1"/>
        </w:rPr>
        <w:t xml:space="preserve">(clustered within the CEU HapMap2 population using multidimensional scaling of genome-wide IBS pairwise distances). </w:t>
      </w:r>
      <w:r w:rsidR="005B2983" w:rsidRPr="006D4CB5">
        <w:rPr>
          <w:color w:val="000000" w:themeColor="text1"/>
        </w:rPr>
        <w:t xml:space="preserve">(ALSPAC </w:t>
      </w:r>
      <w:r w:rsidR="00792F47" w:rsidRPr="006D4CB5">
        <w:rPr>
          <w:color w:val="000000" w:themeColor="text1"/>
        </w:rPr>
        <w:t>IRB</w:t>
      </w:r>
      <w:r w:rsidR="005B2983" w:rsidRPr="006D4CB5">
        <w:rPr>
          <w:color w:val="000000" w:themeColor="text1"/>
        </w:rPr>
        <w:t xml:space="preserve"> HERE)</w:t>
      </w:r>
    </w:p>
    <w:p w14:paraId="1374092A" w14:textId="77777777" w:rsidR="00076353" w:rsidRPr="006D4CB5" w:rsidRDefault="00076353" w:rsidP="00076353">
      <w:pPr>
        <w:rPr>
          <w:bCs/>
          <w:color w:val="000000" w:themeColor="text1"/>
        </w:rPr>
      </w:pPr>
    </w:p>
    <w:p w14:paraId="65903EDC" w14:textId="77777777" w:rsidR="00076353" w:rsidRPr="006D4CB5" w:rsidRDefault="00076353" w:rsidP="00076353">
      <w:pPr>
        <w:keepNext/>
        <w:keepLines/>
        <w:pBdr>
          <w:top w:val="none" w:sz="0" w:space="0" w:color="000000"/>
          <w:left w:val="none" w:sz="0" w:space="0" w:color="000000"/>
          <w:bottom w:val="none" w:sz="0" w:space="0" w:color="000000"/>
          <w:right w:val="none" w:sz="0" w:space="0" w:color="000000"/>
        </w:pBdr>
        <w:jc w:val="center"/>
        <w:outlineLvl w:val="2"/>
        <w:rPr>
          <w:b/>
          <w:bCs/>
          <w:color w:val="000000" w:themeColor="text1"/>
          <w:lang w:eastAsia="de-DE"/>
        </w:rPr>
      </w:pPr>
      <w:proofErr w:type="spellStart"/>
      <w:r w:rsidRPr="006D4CB5">
        <w:rPr>
          <w:b/>
          <w:bCs/>
          <w:color w:val="000000" w:themeColor="text1"/>
          <w:lang w:eastAsia="de-DE"/>
        </w:rPr>
        <w:t>BiDirect</w:t>
      </w:r>
      <w:proofErr w:type="spellEnd"/>
      <w:r w:rsidRPr="006D4CB5">
        <w:rPr>
          <w:b/>
          <w:bCs/>
          <w:color w:val="000000" w:themeColor="text1"/>
          <w:lang w:eastAsia="de-DE"/>
        </w:rPr>
        <w:t xml:space="preserve"> Study</w:t>
      </w:r>
    </w:p>
    <w:p w14:paraId="69C87D5F" w14:textId="77777777" w:rsidR="00076353" w:rsidRPr="006D4CB5" w:rsidRDefault="00076353" w:rsidP="00076353">
      <w:pPr>
        <w:ind w:firstLine="720"/>
        <w:rPr>
          <w:color w:val="000000" w:themeColor="text1"/>
          <w:lang w:eastAsia="de-DE"/>
        </w:rPr>
      </w:pPr>
      <w:r w:rsidRPr="006D4CB5">
        <w:rPr>
          <w:color w:val="000000" w:themeColor="text1"/>
          <w:lang w:eastAsia="de-DE"/>
        </w:rPr>
        <w:t xml:space="preserve">The </w:t>
      </w:r>
      <w:proofErr w:type="spellStart"/>
      <w:r w:rsidRPr="006D4CB5">
        <w:rPr>
          <w:color w:val="000000" w:themeColor="text1"/>
          <w:lang w:eastAsia="de-DE"/>
        </w:rPr>
        <w:t>BiDirect</w:t>
      </w:r>
      <w:proofErr w:type="spellEnd"/>
      <w:r w:rsidRPr="006D4CB5">
        <w:rPr>
          <w:color w:val="000000" w:themeColor="text1"/>
          <w:lang w:eastAsia="de-DE"/>
        </w:rPr>
        <w:t xml:space="preserve"> Study examines the association between depression and subclinical arteriosclerosis and includes three distinct cohorts recruited in the district of Münster, Germany: 1) patients hospitalized for an acute episode of depression in one of five psychiatric hospitals, 2) patients recruited 2–4 months after an acute coronary event in cardiac rehabilitation facilities, and 3) a random sample of the inhabitants of the city of Münster. The joint ethics committee of the Westphalian Chamber of Physicians and the University of Münster approved the study (2009-391-f-s). All participants in the three cohorts were aged 35 to 65 years at baseline and examined in parallel with identical methods. Overall, 2,258 individuals were included at baseline </w:t>
      </w:r>
      <w:r w:rsidRPr="006D4CB5">
        <w:rPr>
          <w:color w:val="000000" w:themeColor="text1"/>
          <w:lang w:eastAsia="de-DE"/>
        </w:rPr>
        <w:lastRenderedPageBreak/>
        <w:t xml:space="preserve">(among them 946 in cohort 3) and 1,816 (824 in cohort 3) of them participated in the second examination wave. (Effective sample: 1,467 (unrelated) individuals (692 females, 775 males; mean age: 56 +/- 7.8 years.) </w:t>
      </w:r>
    </w:p>
    <w:p w14:paraId="547D1117" w14:textId="72A90D52" w:rsidR="00076353" w:rsidRPr="006D4CB5" w:rsidRDefault="00076353" w:rsidP="00D51AE2">
      <w:pPr>
        <w:ind w:firstLine="720"/>
        <w:rPr>
          <w:color w:val="000000" w:themeColor="text1"/>
          <w:lang w:eastAsia="de-DE"/>
        </w:rPr>
      </w:pPr>
      <w:r w:rsidRPr="006D4CB5">
        <w:rPr>
          <w:color w:val="000000" w:themeColor="text1"/>
          <w:lang w:eastAsia="de-DE"/>
        </w:rPr>
        <w:t xml:space="preserve">The examination program in each wave included a medical interview on socioeconomic factors, comorbidities and medication, a depression classification including subtypes, a vascular diagnostic work-up, anthropometric measurements, a neuro-psychological test battery and a magnetic resonance imaging (MRI) of the brain. A battery of interview-based or self-administered questions and scales (e.g., depressive and anxiety symptoms from the M.I.N.I. vs5.0.0, childhood trauma, personality, resilience, and quality of life) was also assessed. In addition, blood samples (serum, plasma, EDTA) were collected in each wave and DNA and RNA once. Between 2010 and 2021 four in-person examination waves were performed, with mean follow-up intervals of 2.5 years. The Big-5 personality traits were collected in examination wave 2 and the 15-item questionnaire BFI-S used as part of the self-report questionnaires. </w:t>
      </w:r>
      <w:proofErr w:type="spellStart"/>
      <w:r w:rsidRPr="006D4CB5">
        <w:rPr>
          <w:color w:val="000000" w:themeColor="text1"/>
          <w:lang w:eastAsia="de-DE"/>
        </w:rPr>
        <w:t>BiDirect</w:t>
      </w:r>
      <w:proofErr w:type="spellEnd"/>
      <w:r w:rsidRPr="006D4CB5">
        <w:rPr>
          <w:color w:val="000000" w:themeColor="text1"/>
          <w:lang w:eastAsia="de-DE"/>
        </w:rPr>
        <w:t xml:space="preserve"> is funded by German Ministry of Research and Education (BMBF, No. 01ER0816 + 01ER1506). </w:t>
      </w:r>
    </w:p>
    <w:p w14:paraId="31DA48CE" w14:textId="42AA9A8E" w:rsidR="00D3240F" w:rsidRPr="006D4CB5" w:rsidRDefault="00D3240F" w:rsidP="00D51AE2">
      <w:pPr>
        <w:ind w:firstLine="720"/>
        <w:rPr>
          <w:color w:val="000000" w:themeColor="text1"/>
          <w:lang w:eastAsia="de-DE"/>
        </w:rPr>
      </w:pPr>
      <w:r w:rsidRPr="006D4CB5">
        <w:rPr>
          <w:color w:val="000000" w:themeColor="text1"/>
        </w:rPr>
        <w:t xml:space="preserve">GWAS </w:t>
      </w:r>
      <w:r w:rsidR="00061ED4" w:rsidRPr="006D4CB5">
        <w:rPr>
          <w:color w:val="000000" w:themeColor="text1"/>
        </w:rPr>
        <w:t>estimates</w:t>
      </w:r>
      <w:r w:rsidRPr="006D4CB5">
        <w:rPr>
          <w:color w:val="000000" w:themeColor="text1"/>
        </w:rPr>
        <w:t xml:space="preserve"> provided by </w:t>
      </w:r>
      <w:proofErr w:type="spellStart"/>
      <w:r w:rsidRPr="006D4CB5">
        <w:rPr>
          <w:color w:val="000000" w:themeColor="text1"/>
        </w:rPr>
        <w:t>BiDirect</w:t>
      </w:r>
      <w:proofErr w:type="spellEnd"/>
      <w:r w:rsidRPr="006D4CB5">
        <w:rPr>
          <w:color w:val="000000" w:themeColor="text1"/>
        </w:rPr>
        <w:t xml:space="preserve"> for openness to experience and neuroticism were nearly identical. While the reason for this similarity was not clear, we confirmed that neuroticism and openness GWAS meta-analyses produced nearly identical results when </w:t>
      </w:r>
      <w:proofErr w:type="spellStart"/>
      <w:r w:rsidRPr="006D4CB5">
        <w:rPr>
          <w:color w:val="000000" w:themeColor="text1"/>
        </w:rPr>
        <w:t>BiDirect</w:t>
      </w:r>
      <w:proofErr w:type="spellEnd"/>
      <w:r w:rsidRPr="006D4CB5">
        <w:rPr>
          <w:color w:val="000000" w:themeColor="text1"/>
        </w:rPr>
        <w:t xml:space="preserve"> was excluded, as is expected given the relatively small sample size (N ~ 1.5</w:t>
      </w:r>
      <w:r w:rsidR="00061ED4" w:rsidRPr="006D4CB5">
        <w:rPr>
          <w:color w:val="000000" w:themeColor="text1"/>
        </w:rPr>
        <w:t>K</w:t>
      </w:r>
      <w:r w:rsidRPr="006D4CB5">
        <w:rPr>
          <w:color w:val="000000" w:themeColor="text1"/>
        </w:rPr>
        <w:t xml:space="preserve">) of </w:t>
      </w:r>
      <w:proofErr w:type="spellStart"/>
      <w:r w:rsidRPr="006D4CB5">
        <w:rPr>
          <w:color w:val="000000" w:themeColor="text1"/>
        </w:rPr>
        <w:t>BiDirect</w:t>
      </w:r>
      <w:proofErr w:type="spellEnd"/>
      <w:r w:rsidRPr="006D4CB5">
        <w:rPr>
          <w:color w:val="000000" w:themeColor="text1"/>
        </w:rPr>
        <w:t xml:space="preserve"> relative to the full meta-analytic sample</w:t>
      </w:r>
      <w:r w:rsidR="00EA7D9F" w:rsidRPr="006D4CB5">
        <w:rPr>
          <w:color w:val="000000" w:themeColor="text1"/>
        </w:rPr>
        <w:t>s</w:t>
      </w:r>
      <w:r w:rsidRPr="006D4CB5">
        <w:rPr>
          <w:color w:val="000000" w:themeColor="text1"/>
        </w:rPr>
        <w:t>.</w:t>
      </w:r>
    </w:p>
    <w:p w14:paraId="7487C0CD" w14:textId="77777777" w:rsidR="00076353" w:rsidRPr="006D4CB5" w:rsidRDefault="00076353" w:rsidP="00D51AE2">
      <w:pPr>
        <w:jc w:val="center"/>
        <w:rPr>
          <w:b/>
          <w:bCs/>
          <w:color w:val="000000" w:themeColor="text1"/>
        </w:rPr>
      </w:pPr>
      <w:r w:rsidRPr="006D4CB5">
        <w:rPr>
          <w:color w:val="000000" w:themeColor="text1"/>
        </w:rPr>
        <w:br/>
      </w:r>
      <w:r w:rsidRPr="006D4CB5">
        <w:rPr>
          <w:b/>
          <w:bCs/>
          <w:color w:val="000000" w:themeColor="text1"/>
        </w:rPr>
        <w:t>Baltimore Longitudinal Study of Aging (BLSA)</w:t>
      </w:r>
    </w:p>
    <w:p w14:paraId="26D001C2" w14:textId="6D87AAD2" w:rsidR="00076353" w:rsidRPr="006D4CB5" w:rsidRDefault="00076353" w:rsidP="00D51AE2">
      <w:pPr>
        <w:ind w:firstLine="720"/>
        <w:rPr>
          <w:color w:val="000000" w:themeColor="text1"/>
        </w:rPr>
      </w:pPr>
      <w:r w:rsidRPr="006D4CB5">
        <w:rPr>
          <w:color w:val="000000" w:themeColor="text1"/>
        </w:rPr>
        <w:t xml:space="preserve">The National Institute on Aging's Baltimore Longitudinal Study of Aging (BLSA) is an ongoing longitudinal study of community-dwelling volunteers living primarily in the Baltimore-Washington area (USA), who have been continually recruited since 1958 (Ferrucci, 2008). Participants are healthy at study entry and undergo extensive evaluations including medical evaluations and physiological, functional, and neuropsychological testing at each clinic visit. Longitudinal personality assessments (NEO-PI-R) were aggregated to provide more reliable estimates. There are 841 individuals </w:t>
      </w:r>
      <w:r w:rsidR="00CB7254">
        <w:rPr>
          <w:color w:val="000000" w:themeColor="text1"/>
        </w:rPr>
        <w:t>with EUR-like genomes who had</w:t>
      </w:r>
      <w:r w:rsidRPr="006D4CB5">
        <w:rPr>
          <w:color w:val="000000" w:themeColor="text1"/>
        </w:rPr>
        <w:t xml:space="preserve"> genotyping and personality data available. 455 are male and 386 female, and year of birth ranged from 1902 to 1979. </w:t>
      </w:r>
      <w:r w:rsidRPr="006D4CB5">
        <w:rPr>
          <w:color w:val="000000" w:themeColor="text1"/>
          <w:shd w:val="clear" w:color="auto" w:fill="FFFFFF"/>
        </w:rPr>
        <w:t>The BLSA study is supported in part by the Intramural research program of the National Institute on Aging, NIH – Baltimore MD USA</w:t>
      </w:r>
    </w:p>
    <w:p w14:paraId="14E041D3" w14:textId="77777777" w:rsidR="00076353" w:rsidRPr="006D4CB5" w:rsidRDefault="00076353" w:rsidP="00076353">
      <w:pPr>
        <w:jc w:val="center"/>
        <w:rPr>
          <w:b/>
          <w:bCs/>
          <w:color w:val="000000" w:themeColor="text1"/>
        </w:rPr>
      </w:pPr>
    </w:p>
    <w:p w14:paraId="7A4A0707" w14:textId="77777777" w:rsidR="00076353" w:rsidRPr="006D4CB5" w:rsidRDefault="00076353" w:rsidP="00076353">
      <w:pPr>
        <w:jc w:val="center"/>
        <w:rPr>
          <w:b/>
          <w:bCs/>
          <w:color w:val="000000" w:themeColor="text1"/>
        </w:rPr>
      </w:pPr>
      <w:r w:rsidRPr="006D4CB5">
        <w:rPr>
          <w:b/>
          <w:bCs/>
          <w:color w:val="000000" w:themeColor="text1"/>
        </w:rPr>
        <w:t>Cilento Study</w:t>
      </w:r>
    </w:p>
    <w:p w14:paraId="5D3AB77D" w14:textId="091B0397" w:rsidR="00076353" w:rsidRPr="006D4CB5" w:rsidRDefault="00076353" w:rsidP="00D51AE2">
      <w:pPr>
        <w:ind w:firstLine="720"/>
        <w:rPr>
          <w:color w:val="000000" w:themeColor="text1"/>
        </w:rPr>
      </w:pPr>
      <w:r w:rsidRPr="006D4CB5">
        <w:rPr>
          <w:color w:val="000000" w:themeColor="text1"/>
        </w:rPr>
        <w:t xml:space="preserve">The Cilento study is a population-based study that includes 2,331 individuals from three isolated populations of South Italy. Cilento participants rated themselves on a 60-item version of the NEO Personality Inventory (NEO-PI-R), the NEO-FFI. Personality scores for the five factors are based each on based on 12 items. Factors from the NEO-PI-R questionnaire were available for 849 genotyped subjects. Of this sample, 63% were women. The mean age of all participants was </w:t>
      </w:r>
      <w:proofErr w:type="gramStart"/>
      <w:r w:rsidRPr="006D4CB5">
        <w:rPr>
          <w:color w:val="000000" w:themeColor="text1"/>
        </w:rPr>
        <w:t>54.34 (SD=19.25),</w:t>
      </w:r>
      <w:proofErr w:type="gramEnd"/>
      <w:r w:rsidRPr="006D4CB5">
        <w:rPr>
          <w:color w:val="000000" w:themeColor="text1"/>
        </w:rPr>
        <w:t xml:space="preserve"> of the men 54.54 (SD=18.9) and of the women 54.23 (SD= 19.45). </w:t>
      </w:r>
      <w:r w:rsidRPr="006D4CB5">
        <w:rPr>
          <w:color w:val="000000" w:themeColor="text1"/>
          <w:shd w:val="clear" w:color="auto" w:fill="FFFFFF"/>
        </w:rPr>
        <w:t>The Cilento study was supported by the “National Biodiversity Future Center” on ‘Biodiversity’, financed under the National Recovery and Resilience Plan (NRRP), Mission 4, Component 2, Investment 1.4 “Strengthening of research structures and creation of R&amp;D ‘national champions’ on some Key Enabling Technologies”; the CNR projects FOE-2021- DBA.AD005.225 and FOE 2022 - DSB.AD006.371.</w:t>
      </w:r>
    </w:p>
    <w:p w14:paraId="309E19D7" w14:textId="77777777" w:rsidR="00076353" w:rsidRPr="006D4CB5" w:rsidRDefault="00076353" w:rsidP="00076353">
      <w:pPr>
        <w:rPr>
          <w:color w:val="000000" w:themeColor="text1"/>
        </w:rPr>
      </w:pPr>
    </w:p>
    <w:p w14:paraId="3C52285E" w14:textId="77777777" w:rsidR="00076353" w:rsidRPr="006D4CB5" w:rsidRDefault="00076353" w:rsidP="00076353">
      <w:pPr>
        <w:jc w:val="center"/>
        <w:rPr>
          <w:b/>
          <w:bCs/>
          <w:color w:val="000000" w:themeColor="text1"/>
        </w:rPr>
      </w:pPr>
      <w:r w:rsidRPr="006D4CB5">
        <w:rPr>
          <w:b/>
          <w:bCs/>
          <w:color w:val="000000" w:themeColor="text1"/>
        </w:rPr>
        <w:lastRenderedPageBreak/>
        <w:t>The Collaborative Study on the Genetics of Alcoholism (COGA)</w:t>
      </w:r>
    </w:p>
    <w:p w14:paraId="36E38121" w14:textId="6422DA52" w:rsidR="00076353" w:rsidRPr="006D4CB5" w:rsidRDefault="00076353" w:rsidP="00076353">
      <w:pPr>
        <w:ind w:firstLine="720"/>
        <w:rPr>
          <w:color w:val="000000" w:themeColor="text1"/>
        </w:rPr>
      </w:pPr>
      <w:r w:rsidRPr="006D4CB5">
        <w:rPr>
          <w:color w:val="000000" w:themeColor="text1"/>
        </w:rPr>
        <w:t xml:space="preserve">The Collaborative Study on the Genetics of Alcoholism (COGA) is a large-scale family study designed to identify genes that affect the risk for alcoholism (i.e., alcohol dependence) and alcohol-related characteristics and behaviors. This collaborative project is funded by the National Institute on Alcohol Abuse and Alcoholism. Data collection, analysis, and/or storage for this study takes place at eleven sites across the United States. COGA has gathered detailed, standardized data on study participants, including diagnostic and neurophysiological assessments. The age range of the sample used in these analyses is between 11 and 34, with a mean of 20 years (SD=3.5). Among participants with genome-wide data, 1,751 (823 males, 891 females) individuals contributed to </w:t>
      </w:r>
      <w:r w:rsidR="00CB7254">
        <w:rPr>
          <w:color w:val="000000" w:themeColor="text1"/>
        </w:rPr>
        <w:t>EUR-like GWAS</w:t>
      </w:r>
      <w:r w:rsidRPr="006D4CB5">
        <w:rPr>
          <w:color w:val="000000" w:themeColor="text1"/>
        </w:rPr>
        <w:t xml:space="preserve">, and 859 (414 males, 445 females) individuals contributed to </w:t>
      </w:r>
      <w:r w:rsidR="00CB7254">
        <w:rPr>
          <w:color w:val="000000" w:themeColor="text1"/>
        </w:rPr>
        <w:t>AFR-like GWAS</w:t>
      </w:r>
      <w:r w:rsidRPr="006D4CB5">
        <w:rPr>
          <w:color w:val="000000" w:themeColor="text1"/>
        </w:rPr>
        <w:t>.</w:t>
      </w:r>
    </w:p>
    <w:p w14:paraId="43DEEAAB" w14:textId="651692C5" w:rsidR="00076353" w:rsidRPr="006D4CB5" w:rsidRDefault="00076353" w:rsidP="00D51AE2">
      <w:pPr>
        <w:ind w:firstLine="720"/>
        <w:rPr>
          <w:color w:val="000000" w:themeColor="text1"/>
        </w:rPr>
      </w:pPr>
      <w:r w:rsidRPr="006D4CB5">
        <w:rPr>
          <w:color w:val="000000" w:themeColor="text1"/>
        </w:rPr>
        <w:t>COGA used the NEO Five-Factor Inventory (NEO-FFI), a shortened version of the revised NEO Personality Inventory (NEO PI-R). NEO-FFI is a 60-item self-report questionnaire designed to give quick, reliable, and valid measures of the five domains of adult personality. The NEO-FFI was administered to subjects aged 13 and older in Phases II-III of COGA.  It is administered in Phase IV to subjects aged 12 and older at baseline if not completed previously.  It is re-administered once to subjects who age up to at least 17 at follow-up.</w:t>
      </w:r>
    </w:p>
    <w:p w14:paraId="1E8E1DBF" w14:textId="10B12769" w:rsidR="00792F47" w:rsidRPr="006D4CB5" w:rsidRDefault="00792F47" w:rsidP="00792F47">
      <w:pPr>
        <w:ind w:firstLine="720"/>
        <w:rPr>
          <w:color w:val="000000" w:themeColor="text1"/>
        </w:rPr>
      </w:pPr>
      <w:r w:rsidRPr="006D4CB5">
        <w:rPr>
          <w:color w:val="000000" w:themeColor="text1"/>
        </w:rPr>
        <w:t xml:space="preserve">The Collaborative Study on the Genetics of Alcoholism (COGA), Principal Investigators B. Porjesz, V. Hesselbrock, T. Foroud; Scientific Director, A. Agrawal; Translational Director, D. Dick, includes eleven different centers: University of Connecticut (V. Hesselbrock); Indiana University (H.J. Edenberg, T. Foroud, Y. Liu, M.H. Plawecki); University of Iowa Carver College of Medicine (S. Kuperman, J. Kramer); SUNY Downstate Health Sciences University (B. Porjesz, J. Meyers, C. Kamarajan, A. Pandey); Washington University in St. Louis (L. Bierut, J. Rice, K. Bucholz, A. Agrawal); University of California at San Diego (M. </w:t>
      </w:r>
      <w:proofErr w:type="spellStart"/>
      <w:r w:rsidRPr="006D4CB5">
        <w:rPr>
          <w:color w:val="000000" w:themeColor="text1"/>
        </w:rPr>
        <w:t>Schuckit</w:t>
      </w:r>
      <w:proofErr w:type="spellEnd"/>
      <w:r w:rsidRPr="006D4CB5">
        <w:rPr>
          <w:color w:val="000000" w:themeColor="text1"/>
        </w:rPr>
        <w:t xml:space="preserve">); Rutgers University (J. </w:t>
      </w:r>
      <w:proofErr w:type="spellStart"/>
      <w:r w:rsidRPr="006D4CB5">
        <w:rPr>
          <w:color w:val="000000" w:themeColor="text1"/>
        </w:rPr>
        <w:t>Tischfield</w:t>
      </w:r>
      <w:proofErr w:type="spellEnd"/>
      <w:r w:rsidRPr="006D4CB5">
        <w:rPr>
          <w:color w:val="000000" w:themeColor="text1"/>
        </w:rPr>
        <w:t xml:space="preserve">, R. Hart, J. Salvatore); The Children’s Hospital of Philadelphia, University of Pennsylvania (L. Almasy); Virginia Commonwealth University (D. Dick); Icahn School of Medicine at Mount Sinai (A. Goate, P. Slesinger); and Howard University (D. Scott). Other COGA collaborators include: L. Bauer (University of Connecticut); J. Nurnberger Jr., L. Wetherill, X., Xuei, D. Lai, S. O’Connor, (Indiana University); G. Chan (University of Iowa; University of Connecticut); D.B. Chorlian, J. Zhang, P. Barr, S. </w:t>
      </w:r>
      <w:proofErr w:type="spellStart"/>
      <w:r w:rsidRPr="006D4CB5">
        <w:rPr>
          <w:color w:val="000000" w:themeColor="text1"/>
        </w:rPr>
        <w:t>Kinreich</w:t>
      </w:r>
      <w:proofErr w:type="spellEnd"/>
      <w:r w:rsidRPr="006D4CB5">
        <w:rPr>
          <w:color w:val="000000" w:themeColor="text1"/>
        </w:rPr>
        <w:t xml:space="preserve">, G. Pandey (SUNY Downstate); N. Mullins (Icahn School of Medicine at Mount Sinai); A. Anokhin, S. Hartz, E. Johnson, V. McCutcheon, S. Saccone (Washington University); J. Moore, Z. Pang, S. Kuo, F. Aliev (Rutgers University); A. </w:t>
      </w:r>
      <w:proofErr w:type="spellStart"/>
      <w:r w:rsidRPr="006D4CB5">
        <w:rPr>
          <w:color w:val="000000" w:themeColor="text1"/>
        </w:rPr>
        <w:t>Merikangas</w:t>
      </w:r>
      <w:proofErr w:type="spellEnd"/>
      <w:r w:rsidRPr="006D4CB5">
        <w:rPr>
          <w:color w:val="000000" w:themeColor="text1"/>
        </w:rPr>
        <w:t xml:space="preserve"> (The Children’s Hospital of Philadelphia and University of Pennsylvania); H. Chin and A. Parsian are the NIAAA Staff Collaborators. We continue to be inspired by our memories of Henri Begleiter and Theodore Reich, founding PI and Co-PI of COGA, </w:t>
      </w:r>
      <w:proofErr w:type="gramStart"/>
      <w:r w:rsidRPr="006D4CB5">
        <w:rPr>
          <w:color w:val="000000" w:themeColor="text1"/>
        </w:rPr>
        <w:t>and also</w:t>
      </w:r>
      <w:proofErr w:type="gramEnd"/>
      <w:r w:rsidRPr="006D4CB5">
        <w:rPr>
          <w:color w:val="000000" w:themeColor="text1"/>
        </w:rPr>
        <w:t xml:space="preserve"> owe a debt of gratitude to other past organizers of COGA, including Ting- Kai Li, P. Michael Conneally, Raymond Crowe, and Wendy Reich, for their critical contributions. This national collaborative study is supported by NIH Grant U10AA008401 from the National Institute on Alcohol Abuse and Alcoholism (NIAAA) and the National Institute on Drug Abuse (NIDA).</w:t>
      </w:r>
    </w:p>
    <w:p w14:paraId="59DD8626" w14:textId="77777777" w:rsidR="00076353" w:rsidRPr="006D4CB5" w:rsidRDefault="00076353" w:rsidP="00076353">
      <w:pPr>
        <w:rPr>
          <w:color w:val="000000" w:themeColor="text1"/>
        </w:rPr>
      </w:pPr>
    </w:p>
    <w:p w14:paraId="22704C74" w14:textId="77777777" w:rsidR="00076353" w:rsidRPr="006D4CB5" w:rsidRDefault="00076353" w:rsidP="00076353">
      <w:pPr>
        <w:jc w:val="center"/>
        <w:rPr>
          <w:b/>
          <w:bCs/>
          <w:color w:val="000000" w:themeColor="text1"/>
        </w:rPr>
      </w:pPr>
      <w:proofErr w:type="spellStart"/>
      <w:r w:rsidRPr="006D4CB5">
        <w:rPr>
          <w:b/>
          <w:bCs/>
          <w:color w:val="000000" w:themeColor="text1"/>
        </w:rPr>
        <w:t>deCODE</w:t>
      </w:r>
      <w:proofErr w:type="spellEnd"/>
      <w:r w:rsidRPr="006D4CB5">
        <w:rPr>
          <w:b/>
          <w:bCs/>
          <w:color w:val="000000" w:themeColor="text1"/>
        </w:rPr>
        <w:t xml:space="preserve"> Study on the Genetics of Personality</w:t>
      </w:r>
    </w:p>
    <w:p w14:paraId="3C7CED92" w14:textId="5440CA1D" w:rsidR="00076353" w:rsidRPr="006D4CB5" w:rsidRDefault="00076353" w:rsidP="00D51AE2">
      <w:pPr>
        <w:ind w:firstLine="720"/>
        <w:rPr>
          <w:color w:val="000000" w:themeColor="text1"/>
        </w:rPr>
      </w:pPr>
      <w:r w:rsidRPr="006D4CB5">
        <w:rPr>
          <w:color w:val="000000" w:themeColor="text1"/>
        </w:rPr>
        <w:t xml:space="preserve">Icelandic data were collected through </w:t>
      </w:r>
      <w:proofErr w:type="spellStart"/>
      <w:r w:rsidRPr="006D4CB5">
        <w:rPr>
          <w:color w:val="000000" w:themeColor="text1"/>
        </w:rPr>
        <w:t>deCODE</w:t>
      </w:r>
      <w:proofErr w:type="spellEnd"/>
      <w:r w:rsidRPr="006D4CB5">
        <w:rPr>
          <w:color w:val="000000" w:themeColor="text1"/>
        </w:rPr>
        <w:t xml:space="preserve"> studies approved by the National Bioethics </w:t>
      </w:r>
      <w:proofErr w:type="spellStart"/>
      <w:r w:rsidRPr="006D4CB5">
        <w:rPr>
          <w:color w:val="000000" w:themeColor="text1"/>
        </w:rPr>
        <w:t>Commmittee</w:t>
      </w:r>
      <w:proofErr w:type="spellEnd"/>
      <w:r w:rsidRPr="006D4CB5">
        <w:rPr>
          <w:color w:val="000000" w:themeColor="text1"/>
        </w:rPr>
        <w:t xml:space="preserve"> (approval no. VSN-09-098, VSN-18-113 and VSN-19-196) following review by the Icelandic Data Protection Authority. The 60-item NEO-Five Factor Inventory (NEO-FFI; </w:t>
      </w:r>
      <w:r w:rsidR="001E0D1C" w:rsidRPr="006D4CB5">
        <w:rPr>
          <w:color w:val="000000" w:themeColor="text1"/>
        </w:rPr>
        <w:t>Bjornsdottir et al., 2014</w:t>
      </w:r>
      <w:r w:rsidRPr="006D4CB5">
        <w:rPr>
          <w:color w:val="000000" w:themeColor="text1"/>
        </w:rPr>
        <w:t xml:space="preserve">; </w:t>
      </w:r>
      <w:r w:rsidR="001E0D1C" w:rsidRPr="006D4CB5">
        <w:rPr>
          <w:color w:val="000000" w:themeColor="text1"/>
        </w:rPr>
        <w:t>Costa &amp; McCrae, 1992</w:t>
      </w:r>
      <w:r w:rsidRPr="006D4CB5">
        <w:rPr>
          <w:color w:val="000000" w:themeColor="text1"/>
        </w:rPr>
        <w:t xml:space="preserve">) was administered to a sample of </w:t>
      </w:r>
      <w:r w:rsidRPr="006D4CB5">
        <w:rPr>
          <w:color w:val="000000" w:themeColor="text1"/>
        </w:rPr>
        <w:lastRenderedPageBreak/>
        <w:t xml:space="preserve">approximately 39,700 participants, evaluating neuroticism, extraversion, openness, agreeableness and conscientiousness. The dataset consists of a combination of two cohorts; one from a study on the genetics of addiction (N~6,700; Bjornsdottir et al., 2014) and another from an online population study on personality (N~33,000; Jonsdottir et al., 2021). For individuals that participated in both studies, scores from the first participation were included in the analysis. As the Icelandic population is a homogeneous one with extensive genealogy information, instead of using principal components to adjust for population structure, participants that did not have at least three grandparents recorded in the genealogy database were excluded from the analysis and the data subsequently adjusted for county of origin. The scores were also adjusted for sex, age and age </w:t>
      </w:r>
      <w:proofErr w:type="gramStart"/>
      <w:r w:rsidRPr="006D4CB5">
        <w:rPr>
          <w:color w:val="000000" w:themeColor="text1"/>
        </w:rPr>
        <w:t>squared, and</w:t>
      </w:r>
      <w:proofErr w:type="gramEnd"/>
      <w:r w:rsidRPr="006D4CB5">
        <w:rPr>
          <w:color w:val="000000" w:themeColor="text1"/>
        </w:rPr>
        <w:t xml:space="preserve"> then subjected to rank-based inverse normal transformation. </w:t>
      </w:r>
      <w:proofErr w:type="gramStart"/>
      <w:r w:rsidRPr="006D4CB5">
        <w:rPr>
          <w:color w:val="000000" w:themeColor="text1"/>
        </w:rPr>
        <w:t>Participants‘ age</w:t>
      </w:r>
      <w:proofErr w:type="gramEnd"/>
      <w:r w:rsidRPr="006D4CB5">
        <w:rPr>
          <w:color w:val="000000" w:themeColor="text1"/>
        </w:rPr>
        <w:t xml:space="preserve"> ranged from 18 to 90 (M=46.5, SD=13.4) and 66% of them were females.</w:t>
      </w:r>
    </w:p>
    <w:p w14:paraId="1FB2D30E" w14:textId="77777777" w:rsidR="00076353" w:rsidRPr="006D4CB5" w:rsidRDefault="00076353" w:rsidP="00076353">
      <w:pPr>
        <w:rPr>
          <w:b/>
          <w:bCs/>
          <w:color w:val="000000" w:themeColor="text1"/>
        </w:rPr>
      </w:pPr>
    </w:p>
    <w:p w14:paraId="2A5791D6" w14:textId="77777777" w:rsidR="00076353" w:rsidRPr="006D4CB5" w:rsidRDefault="00076353" w:rsidP="00076353">
      <w:pPr>
        <w:jc w:val="center"/>
        <w:rPr>
          <w:b/>
          <w:bCs/>
          <w:color w:val="000000" w:themeColor="text1"/>
        </w:rPr>
      </w:pPr>
      <w:r w:rsidRPr="006D4CB5">
        <w:rPr>
          <w:b/>
          <w:bCs/>
          <w:color w:val="000000" w:themeColor="text1"/>
        </w:rPr>
        <w:t xml:space="preserve">Estonian </w:t>
      </w:r>
      <w:proofErr w:type="spellStart"/>
      <w:r w:rsidRPr="006D4CB5">
        <w:rPr>
          <w:b/>
          <w:bCs/>
          <w:color w:val="000000" w:themeColor="text1"/>
        </w:rPr>
        <w:t>BioBank</w:t>
      </w:r>
      <w:proofErr w:type="spellEnd"/>
      <w:r w:rsidRPr="006D4CB5">
        <w:rPr>
          <w:b/>
          <w:bCs/>
          <w:color w:val="000000" w:themeColor="text1"/>
        </w:rPr>
        <w:t xml:space="preserve"> (EBB)</w:t>
      </w:r>
    </w:p>
    <w:p w14:paraId="7C8278BC" w14:textId="77777777" w:rsidR="00076353" w:rsidRPr="006D4CB5" w:rsidRDefault="00076353" w:rsidP="00076353">
      <w:pPr>
        <w:ind w:firstLine="720"/>
        <w:rPr>
          <w:color w:val="000000" w:themeColor="text1"/>
        </w:rPr>
      </w:pPr>
      <w:r w:rsidRPr="006D4CB5">
        <w:rPr>
          <w:color w:val="000000" w:themeColor="text1"/>
        </w:rPr>
        <w:t xml:space="preserve">Estonian Biobank (EBB) was started in 1999, and the first samples were collected in 2002 (Milani et al., 2024). EBB incorporates over 210,000 participants, 20% of adults in Estonia. During the first decade, recruitment occurred through random sampling of visitors of general practitioners across the country. From 2017, the recruitment was </w:t>
      </w:r>
      <w:proofErr w:type="gramStart"/>
      <w:r w:rsidRPr="006D4CB5">
        <w:rPr>
          <w:color w:val="000000" w:themeColor="text1"/>
        </w:rPr>
        <w:t>volunteer-based</w:t>
      </w:r>
      <w:proofErr w:type="gramEnd"/>
      <w:r w:rsidRPr="006D4CB5">
        <w:rPr>
          <w:color w:val="000000" w:themeColor="text1"/>
        </w:rPr>
        <w:t xml:space="preserve">. The participants have completed an extensive phenotype questionnaire about their demographic, genealogical, educational, and occupational backgrounds, lifestyle, health status, and medical history. Between November 2021 and April 2022, 73,986 participants included in this study completed the 100 Nuances of Personality (Henry &amp; Mõttus, 2022; 52,216 female and 21,767 male, mean age 47.6, </w:t>
      </w:r>
      <w:proofErr w:type="spellStart"/>
      <w:r w:rsidRPr="006D4CB5">
        <w:rPr>
          <w:color w:val="000000" w:themeColor="text1"/>
        </w:rPr>
        <w:t>sd</w:t>
      </w:r>
      <w:proofErr w:type="spellEnd"/>
      <w:r w:rsidRPr="006D4CB5">
        <w:rPr>
          <w:color w:val="000000" w:themeColor="text1"/>
        </w:rPr>
        <w:t>=14.6, range 18-102), along with 21,986 informant reports. Big Five domains were estimated with a PCA, with 12 best-loading items per domain. PCA resulted in very low correlations between domains (Anni et al., 2024). More details can be seen in the behavioral cohort paper (Vaht et al., 2024).</w:t>
      </w:r>
    </w:p>
    <w:p w14:paraId="72CB844D" w14:textId="72C6C415" w:rsidR="00076353" w:rsidRPr="006D4CB5" w:rsidRDefault="00076353" w:rsidP="00076353">
      <w:pPr>
        <w:rPr>
          <w:color w:val="000000" w:themeColor="text1"/>
        </w:rPr>
      </w:pPr>
      <w:r w:rsidRPr="006D4CB5">
        <w:rPr>
          <w:color w:val="000000" w:themeColor="text1"/>
        </w:rPr>
        <w:t> </w:t>
      </w:r>
      <w:r w:rsidRPr="006D4CB5">
        <w:rPr>
          <w:color w:val="000000" w:themeColor="text1"/>
        </w:rPr>
        <w:tab/>
        <w:t>The activities of the EBB are regulated by the Human Genes Research Act, which was adopted in 2000 specifically for the operations of the EBB. Individual level data analysis in the EBB was carried out under ethical approvals of 1.1-12/1409 and 1.1-12/2161 from the Estonian Committee on Bioethics and Human Research (Estonian Ministry of Social Affairs), using data according to release application 6-7/GI/31997 from the Estonian Biobank. This study was funded by European Union through the European Regional Development Fund Project No. 2014-2020.4.01.15-0012 GENTRANSMED. Data analysis was carried out in part in the High-Performance Computing Center of University of Tartu. This work was also funded by Estonian Research Council's personal research funding start-up grants PSG656 and PSG759, and Estonian Research Council's team grants PRG2190 and PRG1291.</w:t>
      </w:r>
    </w:p>
    <w:p w14:paraId="049F7124" w14:textId="77777777" w:rsidR="00076353" w:rsidRPr="006D4CB5" w:rsidRDefault="00076353" w:rsidP="00076353">
      <w:pPr>
        <w:rPr>
          <w:b/>
          <w:bCs/>
          <w:color w:val="000000" w:themeColor="text1"/>
        </w:rPr>
      </w:pPr>
    </w:p>
    <w:p w14:paraId="73C42C98" w14:textId="77777777" w:rsidR="00076353" w:rsidRPr="006D4CB5" w:rsidRDefault="00076353" w:rsidP="00076353">
      <w:pPr>
        <w:jc w:val="center"/>
        <w:rPr>
          <w:b/>
          <w:bCs/>
          <w:color w:val="000000" w:themeColor="text1"/>
        </w:rPr>
      </w:pPr>
      <w:proofErr w:type="spellStart"/>
      <w:r w:rsidRPr="006D4CB5">
        <w:rPr>
          <w:b/>
          <w:bCs/>
          <w:color w:val="000000" w:themeColor="text1"/>
        </w:rPr>
        <w:t>FinnTwin</w:t>
      </w:r>
      <w:proofErr w:type="spellEnd"/>
    </w:p>
    <w:p w14:paraId="47EFBE1A" w14:textId="77777777" w:rsidR="00076353" w:rsidRPr="006D4CB5" w:rsidRDefault="00076353" w:rsidP="00076353">
      <w:pPr>
        <w:ind w:firstLine="720"/>
        <w:rPr>
          <w:color w:val="000000" w:themeColor="text1"/>
          <w:lang w:val="en-GB"/>
        </w:rPr>
      </w:pPr>
      <w:r w:rsidRPr="006D4CB5">
        <w:rPr>
          <w:color w:val="000000" w:themeColor="text1"/>
        </w:rPr>
        <w:t>The Finnish Twin Cohort (FTC) consists of three cohort studies, the older cohort of twins born before 1958 with both co-twins alive in 1974, twins born 1974-1979 (the FinnTwin16 study) and twins born 1983-1987 (the FinnTwin12 study).</w:t>
      </w:r>
    </w:p>
    <w:p w14:paraId="535CC116" w14:textId="77777777" w:rsidR="00076353" w:rsidRPr="006D4CB5" w:rsidRDefault="00076353" w:rsidP="00076353">
      <w:pPr>
        <w:rPr>
          <w:color w:val="000000" w:themeColor="text1"/>
        </w:rPr>
      </w:pPr>
      <w:r w:rsidRPr="006D4CB5">
        <w:rPr>
          <w:color w:val="000000" w:themeColor="text1"/>
        </w:rPr>
        <w:t>FinnTwin12:</w:t>
      </w:r>
    </w:p>
    <w:p w14:paraId="28685A6F" w14:textId="77777777" w:rsidR="00076353" w:rsidRPr="006D4CB5" w:rsidRDefault="00076353" w:rsidP="00076353">
      <w:pPr>
        <w:ind w:firstLine="720"/>
        <w:rPr>
          <w:color w:val="000000" w:themeColor="text1"/>
        </w:rPr>
      </w:pPr>
      <w:r w:rsidRPr="006D4CB5">
        <w:rPr>
          <w:color w:val="000000" w:themeColor="text1"/>
        </w:rPr>
        <w:t>The FinnTwin12 (FT12) study includes all Finnish twins born in 1983–1987 (</w:t>
      </w:r>
      <w:r w:rsidRPr="006D4CB5">
        <w:rPr>
          <w:i/>
          <w:color w:val="000000" w:themeColor="text1"/>
        </w:rPr>
        <w:t>N</w:t>
      </w:r>
      <w:r w:rsidRPr="006D4CB5">
        <w:rPr>
          <w:color w:val="000000" w:themeColor="text1"/>
        </w:rPr>
        <w:t xml:space="preserve"> = 6,272). From the Finnish population registry (which covers the entire population), the twins were identified as those born on the same day to the same mother. The baseline questionnaires were sent to the twins and parents in the year the twins turned 11, with the next two waves being at ages 14 and 17. Embedded in the study was a more detailed phenotyping targeting 1,035 </w:t>
      </w:r>
      <w:r w:rsidRPr="006D4CB5">
        <w:rPr>
          <w:color w:val="000000" w:themeColor="text1"/>
        </w:rPr>
        <w:lastRenderedPageBreak/>
        <w:t>families, from which 1,852 twins were interviewed at age 14. These twins were invited again as young adults (wave 4), and 1,347 participated.  This current study is based on this subset of the fourth wave of the FinnTwin12 study. Personality was measured with the 55-item version of the NEO FFI (Costa &amp; McCrae, 1992). The Finnish version of the NEO FFI is based on a longer 180-item personality inventory, which is an authorized adaptation of the NEO Personality Inventory (Pulver et al., 1995). Seven extra items for a sensation-seeking facet of the extraversion scale were also used in our study. There were total of 1,253 genotyped samples available (573 men, 680 women), with ages ranging 19-26 (SD=0.72)</w:t>
      </w:r>
    </w:p>
    <w:p w14:paraId="46622E50" w14:textId="77777777" w:rsidR="00076353" w:rsidRPr="006D4CB5" w:rsidRDefault="00076353" w:rsidP="00076353">
      <w:pPr>
        <w:ind w:firstLine="720"/>
        <w:rPr>
          <w:color w:val="000000" w:themeColor="text1"/>
          <w:shd w:val="clear" w:color="auto" w:fill="FCFCFC"/>
        </w:rPr>
      </w:pPr>
    </w:p>
    <w:p w14:paraId="3F9792AC" w14:textId="77777777" w:rsidR="00076353" w:rsidRPr="006D4CB5" w:rsidRDefault="00076353" w:rsidP="00076353">
      <w:pPr>
        <w:rPr>
          <w:color w:val="000000" w:themeColor="text1"/>
        </w:rPr>
      </w:pPr>
      <w:r w:rsidRPr="006D4CB5">
        <w:rPr>
          <w:color w:val="000000" w:themeColor="text1"/>
        </w:rPr>
        <w:t>Older Finnish Twins study:</w:t>
      </w:r>
    </w:p>
    <w:p w14:paraId="34E2A1A2" w14:textId="77777777" w:rsidR="00076353" w:rsidRPr="006D4CB5" w:rsidRDefault="00076353" w:rsidP="00076353">
      <w:pPr>
        <w:ind w:firstLine="720"/>
        <w:rPr>
          <w:color w:val="000000" w:themeColor="text1"/>
        </w:rPr>
      </w:pPr>
      <w:r w:rsidRPr="006D4CB5">
        <w:rPr>
          <w:color w:val="000000" w:themeColor="text1"/>
        </w:rPr>
        <w:t xml:space="preserve">The older part of the Finnish Twin Cohort consists of all Finnish twin pairs of the same gender born before 1958 with both co-twins alive in 1974. These twin pairs were selected from the Central Population Registry of Finland in 1974. Four surveys of the entire cohort have been carried out. The first questionnaire was mailed to all pairs in August-October 1975. Three follow-up questionnaire studies have been carried out in 1981, 1990, and 2011. Personality measures for extraversion and neuroticism were derived using a short form of the Eysenck Personality Inventory (Eysenck &amp; Eysenck, 1968). There </w:t>
      </w:r>
      <w:proofErr w:type="gramStart"/>
      <w:r w:rsidRPr="006D4CB5">
        <w:rPr>
          <w:color w:val="000000" w:themeColor="text1"/>
        </w:rPr>
        <w:t>were</w:t>
      </w:r>
      <w:proofErr w:type="gramEnd"/>
      <w:r w:rsidRPr="006D4CB5">
        <w:rPr>
          <w:color w:val="000000" w:themeColor="text1"/>
        </w:rPr>
        <w:t xml:space="preserve"> a total of 7,544 samples (3,350 men and 4,194 women) with genotype data available for an age range of 18-70 (SD=9.6). </w:t>
      </w:r>
    </w:p>
    <w:p w14:paraId="755F92D3" w14:textId="77777777" w:rsidR="00076353" w:rsidRPr="006D4CB5" w:rsidRDefault="00076353" w:rsidP="00076353">
      <w:pPr>
        <w:rPr>
          <w:color w:val="000000" w:themeColor="text1"/>
        </w:rPr>
      </w:pPr>
    </w:p>
    <w:p w14:paraId="6E9093B9" w14:textId="77777777" w:rsidR="00076353" w:rsidRPr="006D4CB5" w:rsidRDefault="00076353" w:rsidP="00076353">
      <w:pPr>
        <w:rPr>
          <w:color w:val="000000" w:themeColor="text1"/>
        </w:rPr>
      </w:pPr>
      <w:r w:rsidRPr="006D4CB5">
        <w:rPr>
          <w:color w:val="000000" w:themeColor="text1"/>
        </w:rPr>
        <w:t>Nicotine Addiction Genetics Finland Study (NAG-FIN):</w:t>
      </w:r>
    </w:p>
    <w:p w14:paraId="550DA08A" w14:textId="26C535AA" w:rsidR="001E0D1C" w:rsidRPr="006D4CB5" w:rsidRDefault="00076353" w:rsidP="00D51AE2">
      <w:pPr>
        <w:ind w:firstLine="720"/>
        <w:rPr>
          <w:color w:val="000000" w:themeColor="text1"/>
        </w:rPr>
      </w:pPr>
      <w:r w:rsidRPr="006D4CB5">
        <w:rPr>
          <w:color w:val="000000" w:themeColor="text1"/>
        </w:rPr>
        <w:t xml:space="preserve">The study sample was drawn from the population‐based Finnish Twin Cohort Study, which consists altogether of 35,834 adult twins born in 1938–1957. Twin pairs concordant </w:t>
      </w:r>
      <w:proofErr w:type="spellStart"/>
      <w:r w:rsidRPr="006D4CB5">
        <w:rPr>
          <w:color w:val="000000" w:themeColor="text1"/>
        </w:rPr>
        <w:t>for ever</w:t>
      </w:r>
      <w:proofErr w:type="spellEnd"/>
      <w:r w:rsidRPr="006D4CB5">
        <w:rPr>
          <w:color w:val="000000" w:themeColor="text1"/>
        </w:rPr>
        <w:t xml:space="preserve"> smoking were identified and recruited along with their family members (mainly siblings) for the Nicotine Addiction Genetics (NAG-FIN) Finland study. Priority was given to heavier smokers. The data collection took place in 2001–2005. Participants were assessed by DNA sample collection and a structured diagnostic psychiatric interview resulting in detailed phenotypic information on multiple smoking behavior traits. Personality measures were the same as with FT12 study. There were total of 2013 genotyped samples available (962 men and 1,051 women), age ranging from 32-92 (SD=8.5). </w:t>
      </w:r>
    </w:p>
    <w:p w14:paraId="62F11433" w14:textId="77777777" w:rsidR="00076353" w:rsidRPr="006D4CB5" w:rsidRDefault="00076353" w:rsidP="00076353">
      <w:pPr>
        <w:jc w:val="center"/>
        <w:rPr>
          <w:b/>
          <w:bCs/>
          <w:color w:val="000000" w:themeColor="text1"/>
        </w:rPr>
      </w:pPr>
    </w:p>
    <w:p w14:paraId="55A0DE04" w14:textId="77777777" w:rsidR="00076353" w:rsidRPr="006D4CB5" w:rsidRDefault="00076353" w:rsidP="00076353">
      <w:pPr>
        <w:jc w:val="center"/>
        <w:rPr>
          <w:b/>
          <w:bCs/>
          <w:color w:val="000000" w:themeColor="text1"/>
        </w:rPr>
      </w:pPr>
      <w:r w:rsidRPr="006D4CB5">
        <w:rPr>
          <w:b/>
          <w:bCs/>
          <w:color w:val="000000" w:themeColor="text1"/>
        </w:rPr>
        <w:t>Genes for Good</w:t>
      </w:r>
    </w:p>
    <w:p w14:paraId="0E2D3056" w14:textId="1906D9D5" w:rsidR="00076353" w:rsidRPr="006D4CB5" w:rsidRDefault="00076353" w:rsidP="00D51AE2">
      <w:pPr>
        <w:ind w:firstLine="720"/>
        <w:rPr>
          <w:color w:val="000000" w:themeColor="text1"/>
          <w:lang w:eastAsia="ko-KR"/>
        </w:rPr>
      </w:pPr>
      <w:r w:rsidRPr="006D4CB5">
        <w:rPr>
          <w:color w:val="000000" w:themeColor="text1"/>
          <w:lang w:eastAsia="ko-KR"/>
        </w:rPr>
        <w:t xml:space="preserve">The Genes for Good study </w:t>
      </w:r>
      <w:proofErr w:type="gramStart"/>
      <w:r w:rsidRPr="006D4CB5">
        <w:rPr>
          <w:color w:val="000000" w:themeColor="text1"/>
          <w:lang w:eastAsia="ko-KR"/>
        </w:rPr>
        <w:t>uses</w:t>
      </w:r>
      <w:proofErr w:type="gramEnd"/>
      <w:r w:rsidRPr="006D4CB5">
        <w:rPr>
          <w:color w:val="000000" w:themeColor="text1"/>
          <w:lang w:eastAsia="ko-KR"/>
        </w:rPr>
        <w:t xml:space="preserve"> social media to engage a large, diverse participant pool in genetics research and education (Brieger et al., 2019). Health history and daily tracking surveys are administered through a Facebook application, and participants who complete a minimum number of surveys are mailed a saliva sample kit to collect DNA for genotyping. As of 2022, a total of 20,700 participants </w:t>
      </w:r>
      <w:proofErr w:type="gramStart"/>
      <w:r w:rsidRPr="006D4CB5">
        <w:rPr>
          <w:color w:val="000000" w:themeColor="text1"/>
          <w:lang w:eastAsia="ko-KR"/>
        </w:rPr>
        <w:t>are</w:t>
      </w:r>
      <w:proofErr w:type="gramEnd"/>
      <w:r w:rsidRPr="006D4CB5">
        <w:rPr>
          <w:color w:val="000000" w:themeColor="text1"/>
          <w:lang w:eastAsia="ko-KR"/>
        </w:rPr>
        <w:t xml:space="preserve"> both genotyped and have completed surveys. Participants completed the 44-item Big Five inventory (BFI), which measures extraversion, agreeableness, conscientiousness, neuroticism, and openness to experience. Descriptive statistics for the BFI in the Genes for Good sample have been reported previously (Liu et al., 2020). After classifying the ancestry of participants and removing individuals with excessive homozygosity or heterozygosity, we perform GWAS on the self-reported personality traits from the BFI in a total of 19,199 individuals (EUR</w:t>
      </w:r>
      <w:r w:rsidR="00CB7254">
        <w:rPr>
          <w:color w:val="000000" w:themeColor="text1"/>
          <w:lang w:eastAsia="ko-KR"/>
        </w:rPr>
        <w:t>-like</w:t>
      </w:r>
      <w:r w:rsidRPr="006D4CB5">
        <w:rPr>
          <w:color w:val="000000" w:themeColor="text1"/>
          <w:lang w:eastAsia="ko-KR"/>
        </w:rPr>
        <w:t>=16,553, AFR</w:t>
      </w:r>
      <w:r w:rsidR="00CB7254">
        <w:rPr>
          <w:color w:val="000000" w:themeColor="text1"/>
          <w:lang w:eastAsia="ko-KR"/>
        </w:rPr>
        <w:t>-like</w:t>
      </w:r>
      <w:r w:rsidRPr="006D4CB5">
        <w:rPr>
          <w:color w:val="000000" w:themeColor="text1"/>
          <w:lang w:eastAsia="ko-KR"/>
        </w:rPr>
        <w:t>=684, LAT</w:t>
      </w:r>
      <w:r w:rsidR="00CB7254">
        <w:rPr>
          <w:color w:val="000000" w:themeColor="text1"/>
          <w:lang w:eastAsia="ko-KR"/>
        </w:rPr>
        <w:t>-like</w:t>
      </w:r>
      <w:r w:rsidRPr="006D4CB5">
        <w:rPr>
          <w:color w:val="000000" w:themeColor="text1"/>
          <w:lang w:eastAsia="ko-KR"/>
        </w:rPr>
        <w:t>=1,444, and EAS</w:t>
      </w:r>
      <w:r w:rsidR="00CB7254">
        <w:rPr>
          <w:color w:val="000000" w:themeColor="text1"/>
          <w:lang w:eastAsia="ko-KR"/>
        </w:rPr>
        <w:t>-like</w:t>
      </w:r>
      <w:r w:rsidRPr="006D4CB5">
        <w:rPr>
          <w:color w:val="000000" w:themeColor="text1"/>
          <w:lang w:eastAsia="ko-KR"/>
        </w:rPr>
        <w:t>=518</w:t>
      </w:r>
      <w:r w:rsidR="00CB7254">
        <w:rPr>
          <w:color w:val="000000" w:themeColor="text1"/>
          <w:lang w:eastAsia="ko-KR"/>
        </w:rPr>
        <w:t>; note that participants with these latter two ancestral groupings were not included in the GWAS due to small sample size</w:t>
      </w:r>
      <w:r w:rsidRPr="006D4CB5">
        <w:rPr>
          <w:color w:val="000000" w:themeColor="text1"/>
          <w:lang w:eastAsia="ko-KR"/>
        </w:rPr>
        <w:t>). Participants are aged between 20-90 (M=35.75, SD=12.88) and 72% of them are females.</w:t>
      </w:r>
    </w:p>
    <w:p w14:paraId="7EB98D03" w14:textId="77777777" w:rsidR="00076353" w:rsidRPr="006D4CB5" w:rsidRDefault="00076353" w:rsidP="00076353">
      <w:pPr>
        <w:rPr>
          <w:color w:val="000000" w:themeColor="text1"/>
          <w:lang w:eastAsia="ko-KR"/>
        </w:rPr>
      </w:pPr>
    </w:p>
    <w:p w14:paraId="2F63A7DF" w14:textId="77777777" w:rsidR="00076353" w:rsidRPr="006D4CB5" w:rsidRDefault="00076353" w:rsidP="00076353">
      <w:pPr>
        <w:jc w:val="center"/>
        <w:rPr>
          <w:rFonts w:eastAsiaTheme="minorHAnsi"/>
          <w:b/>
          <w:bCs/>
          <w:color w:val="000000" w:themeColor="text1"/>
        </w:rPr>
      </w:pPr>
      <w:r w:rsidRPr="006D4CB5">
        <w:rPr>
          <w:b/>
          <w:bCs/>
          <w:color w:val="000000" w:themeColor="text1"/>
        </w:rPr>
        <w:lastRenderedPageBreak/>
        <w:t>Generation Scotland: Scottish Family Health Study (Generation Scotland)</w:t>
      </w:r>
    </w:p>
    <w:p w14:paraId="1D2BF28D" w14:textId="63E303F8" w:rsidR="00076353" w:rsidRPr="006D4CB5" w:rsidRDefault="00076353" w:rsidP="00076353">
      <w:pPr>
        <w:ind w:firstLine="720"/>
        <w:rPr>
          <w:color w:val="000000" w:themeColor="text1"/>
        </w:rPr>
      </w:pPr>
      <w:r w:rsidRPr="006D4CB5">
        <w:rPr>
          <w:color w:val="000000" w:themeColor="text1"/>
        </w:rPr>
        <w:t>Generation Scotland: Scottish Family Health Study</w:t>
      </w:r>
      <w:r w:rsidRPr="006D4CB5">
        <w:rPr>
          <w:color w:val="000000" w:themeColor="text1"/>
          <w:shd w:val="clear" w:color="auto" w:fill="FFFFFF"/>
        </w:rPr>
        <w:t xml:space="preserve"> (</w:t>
      </w:r>
      <w:proofErr w:type="gramStart"/>
      <w:r w:rsidRPr="006D4CB5">
        <w:rPr>
          <w:color w:val="000000" w:themeColor="text1"/>
          <w:shd w:val="clear" w:color="auto" w:fill="FFFFFF"/>
        </w:rPr>
        <w:t>GS:SFHS</w:t>
      </w:r>
      <w:proofErr w:type="gramEnd"/>
      <w:r w:rsidRPr="006D4CB5">
        <w:rPr>
          <w:color w:val="000000" w:themeColor="text1"/>
          <w:shd w:val="clear" w:color="auto" w:fill="FFFFFF"/>
        </w:rPr>
        <w:t>) is a family-based population cohort dedicated to exploring the genetic and environmental factors that contribute to health and well-being. A total of 23,960 participants from ~7,000 nuclear or extended families were recruited between February 2006 to March 2011 by a cross-disciplinary collaboration of Scottish medical schools and the National Health Service (NHS) in Aberdeen, Dundee, Edinburgh, and Glasgo</w:t>
      </w:r>
      <w:r w:rsidR="00792F47" w:rsidRPr="006D4CB5">
        <w:rPr>
          <w:color w:val="000000" w:themeColor="text1"/>
          <w:shd w:val="clear" w:color="auto" w:fill="FFFFFF"/>
        </w:rPr>
        <w:t>w</w:t>
      </w:r>
      <w:r w:rsidRPr="006D4CB5">
        <w:rPr>
          <w:color w:val="000000" w:themeColor="text1"/>
          <w:shd w:val="clear" w:color="auto" w:fill="FFFFFF"/>
        </w:rPr>
        <w:t xml:space="preserve"> (Smith et al., 2012</w:t>
      </w:r>
      <w:proofErr w:type="gramStart"/>
      <w:r w:rsidRPr="006D4CB5">
        <w:rPr>
          <w:color w:val="000000" w:themeColor="text1"/>
          <w:shd w:val="clear" w:color="auto" w:fill="FFFFFF"/>
        </w:rPr>
        <w:t>).After</w:t>
      </w:r>
      <w:proofErr w:type="gramEnd"/>
      <w:r w:rsidRPr="006D4CB5">
        <w:rPr>
          <w:color w:val="000000" w:themeColor="text1"/>
          <w:shd w:val="clear" w:color="auto" w:fill="FFFFFF"/>
        </w:rPr>
        <w:t xml:space="preserve"> quality control, there were 555,752 SNPs and 20,027 participants retained. They were aged from 18-99, with a mean age of 46.83 and SD of 15.08. 11,799 (</w:t>
      </w:r>
      <w:r w:rsidRPr="006D4CB5">
        <w:rPr>
          <w:color w:val="000000" w:themeColor="text1"/>
        </w:rPr>
        <w:t>58.92%</w:t>
      </w:r>
      <w:r w:rsidRPr="006D4CB5">
        <w:rPr>
          <w:color w:val="000000" w:themeColor="text1"/>
          <w:shd w:val="clear" w:color="auto" w:fill="FFFFFF"/>
        </w:rPr>
        <w:t xml:space="preserve">) of them were female. </w:t>
      </w:r>
    </w:p>
    <w:p w14:paraId="3A04CB36" w14:textId="77777777" w:rsidR="00076353" w:rsidRPr="006D4CB5" w:rsidRDefault="00076353" w:rsidP="00076353">
      <w:pPr>
        <w:ind w:firstLine="720"/>
        <w:rPr>
          <w:color w:val="000000" w:themeColor="text1"/>
        </w:rPr>
      </w:pPr>
      <w:r w:rsidRPr="006D4CB5">
        <w:rPr>
          <w:color w:val="000000" w:themeColor="text1"/>
          <w:shd w:val="clear" w:color="auto" w:fill="FFFFFF"/>
        </w:rPr>
        <w:t>We performed GWAS on self-reported personality using two tests. The first was the EPQ-R (Eysenck, 1994) which was used to assess extraversion (N = 19,510) and neuroticism (N = 19,518). A subset of the Generation Scotland cohort (</w:t>
      </w:r>
      <w:proofErr w:type="spellStart"/>
      <w:r w:rsidRPr="006D4CB5">
        <w:rPr>
          <w:color w:val="000000" w:themeColor="text1"/>
          <w:shd w:val="clear" w:color="auto" w:fill="FFFFFF"/>
        </w:rPr>
        <w:t>Habota</w:t>
      </w:r>
      <w:proofErr w:type="spellEnd"/>
      <w:r w:rsidRPr="006D4CB5">
        <w:rPr>
          <w:color w:val="000000" w:themeColor="text1"/>
          <w:shd w:val="clear" w:color="auto" w:fill="FFFFFF"/>
        </w:rPr>
        <w:t xml:space="preserve"> et al., 2021) also took the IPIP (Goldberg, 1992) which measured extraversion (N = 1,101), agreeableness (N = 1,110), conscientiousness (N = 1,104), emotional stability (N = 1,099), and intellect (N = 1,089).</w:t>
      </w:r>
    </w:p>
    <w:p w14:paraId="1AD48229" w14:textId="168FAD1A" w:rsidR="00076353" w:rsidRPr="006D4CB5" w:rsidRDefault="00076353" w:rsidP="00D51AE2">
      <w:pPr>
        <w:ind w:firstLine="720"/>
        <w:rPr>
          <w:color w:val="000000" w:themeColor="text1"/>
        </w:rPr>
      </w:pPr>
      <w:r w:rsidRPr="006D4CB5">
        <w:rPr>
          <w:color w:val="000000" w:themeColor="text1"/>
        </w:rPr>
        <w:t>A total of 21,309 participants had data on the EPQ-R and 1,186 on the IPIP, with 1,141 participants having taken both the IPIP and the EPQ-R. Within 1,106 participants who had taken the IPIP and the EPQ-R the correlation between the two extraversion scales was r = 0.782. The correlation between neuroticism from the EPQ-R and emotional stability on the IPIP was r = -0.758 in 1,109 participants.</w:t>
      </w:r>
    </w:p>
    <w:p w14:paraId="1CC39420" w14:textId="77777777" w:rsidR="00076353" w:rsidRPr="006D4CB5" w:rsidRDefault="00076353" w:rsidP="00076353">
      <w:pPr>
        <w:rPr>
          <w:b/>
          <w:bCs/>
          <w:color w:val="000000" w:themeColor="text1"/>
        </w:rPr>
      </w:pPr>
    </w:p>
    <w:p w14:paraId="1616572F" w14:textId="77777777" w:rsidR="00076353" w:rsidRPr="006D4CB5" w:rsidRDefault="00076353" w:rsidP="00076353">
      <w:pPr>
        <w:jc w:val="center"/>
        <w:rPr>
          <w:b/>
          <w:bCs/>
          <w:color w:val="000000" w:themeColor="text1"/>
        </w:rPr>
      </w:pPr>
      <w:r w:rsidRPr="006D4CB5">
        <w:rPr>
          <w:b/>
          <w:bCs/>
          <w:color w:val="000000" w:themeColor="text1"/>
        </w:rPr>
        <w:t>Helsinki Birth Cohort Study (HBCS)</w:t>
      </w:r>
    </w:p>
    <w:p w14:paraId="721B6B75" w14:textId="77777777" w:rsidR="00076353" w:rsidRPr="006D4CB5" w:rsidRDefault="00076353" w:rsidP="00076353">
      <w:pPr>
        <w:ind w:firstLine="540"/>
        <w:jc w:val="both"/>
        <w:rPr>
          <w:color w:val="000000" w:themeColor="text1"/>
        </w:rPr>
      </w:pPr>
      <w:r w:rsidRPr="006D4CB5">
        <w:rPr>
          <w:color w:val="000000" w:themeColor="text1"/>
        </w:rPr>
        <w:t xml:space="preserve">The Helsinki Birth Cohort Study (HBCS) is composed of 8 760 individuals born between the years 1934-44 in one of the two main maternity hospitals in Helsinki, Finland. Between 2001 and 2003, a randomly selected sample of 928 males and 1075 females participated in a clinical follow-up study with a focus on cardiovascular, metabolic and reproductive health, cognitive function and depressive symptoms. In 2004, various psychological phenotypes were assessed, including the Big Five personality dimensions with the NEO-PI personality inventory. The research plan of the HBCS was approved by the Institutional Review Board of the National Public Health Institute and all participants have signed an informed consent. Detailed information on the selection of the HBCS participants and on the </w:t>
      </w:r>
      <w:proofErr w:type="gramStart"/>
      <w:r w:rsidRPr="006D4CB5">
        <w:rPr>
          <w:color w:val="000000" w:themeColor="text1"/>
        </w:rPr>
        <w:t>study</w:t>
      </w:r>
      <w:proofErr w:type="gramEnd"/>
      <w:r w:rsidRPr="006D4CB5">
        <w:rPr>
          <w:color w:val="000000" w:themeColor="text1"/>
        </w:rPr>
        <w:t xml:space="preserve"> design can be found elsewhere (Barker et al., 2005; Eriksson et al., 2006; Räikkönen et al., 2008).</w:t>
      </w:r>
    </w:p>
    <w:p w14:paraId="235AD187" w14:textId="3639DDF7" w:rsidR="00076353" w:rsidRPr="006D4CB5" w:rsidRDefault="00076353" w:rsidP="00D51AE2">
      <w:pPr>
        <w:ind w:firstLine="540"/>
        <w:rPr>
          <w:color w:val="000000" w:themeColor="text1"/>
        </w:rPr>
      </w:pPr>
      <w:r w:rsidRPr="006D4CB5">
        <w:rPr>
          <w:color w:val="000000" w:themeColor="text1"/>
        </w:rPr>
        <w:t xml:space="preserve">HBCS Acknowledgements: We thank all study participants as well as everybody involved in the Helsinki Birth Cohort Study. Helsinki Birth Cohort Study has been supported by grants from the Academy of Finland, the Finnish Diabetes Research Society, </w:t>
      </w:r>
      <w:proofErr w:type="spellStart"/>
      <w:r w:rsidRPr="006D4CB5">
        <w:rPr>
          <w:color w:val="000000" w:themeColor="text1"/>
        </w:rPr>
        <w:t>Folkhälsan</w:t>
      </w:r>
      <w:proofErr w:type="spellEnd"/>
      <w:r w:rsidRPr="006D4CB5">
        <w:rPr>
          <w:color w:val="000000" w:themeColor="text1"/>
        </w:rPr>
        <w:t xml:space="preserve"> Research Foundation, Novo Nordisk Foundation, </w:t>
      </w:r>
      <w:proofErr w:type="spellStart"/>
      <w:r w:rsidRPr="006D4CB5">
        <w:rPr>
          <w:color w:val="000000" w:themeColor="text1"/>
        </w:rPr>
        <w:t>Finska</w:t>
      </w:r>
      <w:proofErr w:type="spellEnd"/>
      <w:r w:rsidRPr="006D4CB5">
        <w:rPr>
          <w:color w:val="000000" w:themeColor="text1"/>
        </w:rPr>
        <w:t xml:space="preserve"> </w:t>
      </w:r>
      <w:proofErr w:type="spellStart"/>
      <w:r w:rsidRPr="006D4CB5">
        <w:rPr>
          <w:color w:val="000000" w:themeColor="text1"/>
        </w:rPr>
        <w:t>Läkaresällskapet</w:t>
      </w:r>
      <w:proofErr w:type="spellEnd"/>
      <w:r w:rsidRPr="006D4CB5">
        <w:rPr>
          <w:color w:val="000000" w:themeColor="text1"/>
        </w:rPr>
        <w:t xml:space="preserve">, Juho Vainio Foundation, Signe and Ane </w:t>
      </w:r>
      <w:proofErr w:type="spellStart"/>
      <w:r w:rsidRPr="006D4CB5">
        <w:rPr>
          <w:color w:val="000000" w:themeColor="text1"/>
        </w:rPr>
        <w:t>Gyllenberg</w:t>
      </w:r>
      <w:proofErr w:type="spellEnd"/>
      <w:r w:rsidRPr="006D4CB5">
        <w:rPr>
          <w:color w:val="000000" w:themeColor="text1"/>
        </w:rPr>
        <w:t xml:space="preserve"> Foundation, University of Helsinki, Ministry of Education, Jalmari ja Rauha Ahokas foundation, Emil Aaltonen Foundation, and Yrjö Jahnsson foundation. </w:t>
      </w:r>
    </w:p>
    <w:p w14:paraId="36EDA824" w14:textId="77777777" w:rsidR="00076353" w:rsidRPr="006D4CB5" w:rsidRDefault="00076353" w:rsidP="00076353">
      <w:pPr>
        <w:rPr>
          <w:b/>
          <w:bCs/>
          <w:color w:val="000000" w:themeColor="text1"/>
        </w:rPr>
      </w:pPr>
    </w:p>
    <w:p w14:paraId="56583070" w14:textId="77777777" w:rsidR="00076353" w:rsidRPr="006D4CB5" w:rsidRDefault="00076353" w:rsidP="00076353">
      <w:pPr>
        <w:jc w:val="center"/>
        <w:rPr>
          <w:b/>
          <w:bCs/>
          <w:color w:val="000000" w:themeColor="text1"/>
        </w:rPr>
      </w:pPr>
      <w:r w:rsidRPr="006D4CB5">
        <w:rPr>
          <w:b/>
          <w:bCs/>
          <w:color w:val="000000" w:themeColor="text1"/>
        </w:rPr>
        <w:t>Health and Retirement Study (HRS)</w:t>
      </w:r>
    </w:p>
    <w:p w14:paraId="10471DD8" w14:textId="18EC5C9E" w:rsidR="00076353" w:rsidRPr="006D4CB5" w:rsidRDefault="00076353" w:rsidP="00076353">
      <w:pPr>
        <w:autoSpaceDE w:val="0"/>
        <w:autoSpaceDN w:val="0"/>
        <w:adjustRightInd w:val="0"/>
        <w:ind w:firstLine="720"/>
        <w:rPr>
          <w:color w:val="000000" w:themeColor="text1"/>
        </w:rPr>
      </w:pPr>
      <w:r w:rsidRPr="006D4CB5">
        <w:rPr>
          <w:color w:val="000000" w:themeColor="text1"/>
        </w:rPr>
        <w:t>The Health and Retirement Study (HRS) is a representative national longitudinal study of Americans 50 years old and older and their spouses (</w:t>
      </w:r>
      <w:proofErr w:type="spellStart"/>
      <w:r w:rsidRPr="006D4CB5">
        <w:rPr>
          <w:color w:val="000000" w:themeColor="text1"/>
        </w:rPr>
        <w:t>Sonnega</w:t>
      </w:r>
      <w:proofErr w:type="spellEnd"/>
      <w:r w:rsidRPr="006D4CB5">
        <w:rPr>
          <w:color w:val="000000" w:themeColor="text1"/>
        </w:rPr>
        <w:t xml:space="preserve"> et al., 2014). Every two years since 2006, HRS participants have completed the 26-adjective Midlife Development Inventory (MDI), which measures the Big Five personality traits with four to seven questions each (Lachman &amp; Weaver, 1997). In 2010, five additional questions were added to the MDI to bolster the measurement of conscientiousness, which we excluded because they prevented aggregation of scores across years and did not markedly improve internal consistency (see Smith et al., 2017). </w:t>
      </w:r>
      <w:r w:rsidR="005B2983" w:rsidRPr="006D4CB5">
        <w:rPr>
          <w:color w:val="000000" w:themeColor="text1"/>
        </w:rPr>
        <w:lastRenderedPageBreak/>
        <w:t>A</w:t>
      </w:r>
      <w:r w:rsidR="00FF390A" w:rsidRPr="006D4CB5">
        <w:rPr>
          <w:color w:val="000000" w:themeColor="text1"/>
        </w:rPr>
        <w:t xml:space="preserve">nalysis of HRS data </w:t>
      </w:r>
      <w:r w:rsidR="005B2983" w:rsidRPr="006D4CB5">
        <w:rPr>
          <w:color w:val="000000" w:themeColor="text1"/>
        </w:rPr>
        <w:t xml:space="preserve">for this meta-analysis </w:t>
      </w:r>
      <w:r w:rsidR="00FF390A" w:rsidRPr="006D4CB5">
        <w:rPr>
          <w:color w:val="000000" w:themeColor="text1"/>
        </w:rPr>
        <w:t xml:space="preserve">was deemed Exempt by University of Texas at Austin IRB review STUDY00000204-MOD05. </w:t>
      </w:r>
      <w:r w:rsidRPr="006D4CB5">
        <w:rPr>
          <w:color w:val="000000" w:themeColor="text1"/>
        </w:rPr>
        <w:t xml:space="preserve">In this study, we restricted genetic analyses to </w:t>
      </w:r>
      <w:r w:rsidR="001C77A6" w:rsidRPr="006D4CB5">
        <w:rPr>
          <w:color w:val="000000" w:themeColor="text1"/>
        </w:rPr>
        <w:t xml:space="preserve">unrelated </w:t>
      </w:r>
      <w:r w:rsidRPr="006D4CB5">
        <w:rPr>
          <w:color w:val="000000" w:themeColor="text1"/>
        </w:rPr>
        <w:t xml:space="preserve">participants who provided personality trait data </w:t>
      </w:r>
      <w:r w:rsidR="001C77A6" w:rsidRPr="006D4CB5">
        <w:rPr>
          <w:color w:val="000000" w:themeColor="text1"/>
        </w:rPr>
        <w:t>with</w:t>
      </w:r>
      <w:r w:rsidRPr="006D4CB5">
        <w:rPr>
          <w:color w:val="000000" w:themeColor="text1"/>
        </w:rPr>
        <w:t xml:space="preserve"> A</w:t>
      </w:r>
      <w:r w:rsidR="00CB7254">
        <w:rPr>
          <w:color w:val="000000" w:themeColor="text1"/>
        </w:rPr>
        <w:t>FR</w:t>
      </w:r>
      <w:r w:rsidR="008C25AB" w:rsidRPr="006D4CB5">
        <w:rPr>
          <w:color w:val="000000" w:themeColor="text1"/>
        </w:rPr>
        <w:t>-like</w:t>
      </w:r>
      <w:r w:rsidRPr="006D4CB5">
        <w:rPr>
          <w:color w:val="000000" w:themeColor="text1"/>
        </w:rPr>
        <w:t xml:space="preserve"> (N = 1,997) or </w:t>
      </w:r>
      <w:r w:rsidR="00CB7254">
        <w:rPr>
          <w:color w:val="000000" w:themeColor="text1"/>
        </w:rPr>
        <w:t>EUR</w:t>
      </w:r>
      <w:r w:rsidR="008C25AB" w:rsidRPr="006D4CB5">
        <w:rPr>
          <w:color w:val="000000" w:themeColor="text1"/>
        </w:rPr>
        <w:t>-like</w:t>
      </w:r>
      <w:r w:rsidRPr="006D4CB5">
        <w:rPr>
          <w:color w:val="000000" w:themeColor="text1"/>
        </w:rPr>
        <w:t xml:space="preserve"> (N = 10,079) </w:t>
      </w:r>
      <w:r w:rsidR="001C77A6" w:rsidRPr="006D4CB5">
        <w:rPr>
          <w:color w:val="000000" w:themeColor="text1"/>
        </w:rPr>
        <w:t xml:space="preserve">genomes </w:t>
      </w:r>
      <w:r w:rsidRPr="006D4CB5">
        <w:rPr>
          <w:color w:val="000000" w:themeColor="text1"/>
        </w:rPr>
        <w:t>(for complete details, see Faul et al., 2014).</w:t>
      </w:r>
      <w:r w:rsidR="008C25AB" w:rsidRPr="006D4CB5">
        <w:rPr>
          <w:color w:val="000000" w:themeColor="text1"/>
        </w:rPr>
        <w:t xml:space="preserve"> PGI analyses used a sample size of 9,974 participants with </w:t>
      </w:r>
      <w:r w:rsidR="00CB7254">
        <w:rPr>
          <w:color w:val="000000" w:themeColor="text1"/>
        </w:rPr>
        <w:t>EUR-like</w:t>
      </w:r>
      <w:r w:rsidR="008C25AB" w:rsidRPr="006D4CB5">
        <w:rPr>
          <w:color w:val="000000" w:themeColor="text1"/>
        </w:rPr>
        <w:t xml:space="preserve"> </w:t>
      </w:r>
      <w:r w:rsidR="001C77A6" w:rsidRPr="006D4CB5">
        <w:rPr>
          <w:color w:val="000000" w:themeColor="text1"/>
        </w:rPr>
        <w:t>genomes</w:t>
      </w:r>
      <w:r w:rsidR="008C25AB" w:rsidRPr="006D4CB5">
        <w:rPr>
          <w:color w:val="000000" w:themeColor="text1"/>
        </w:rPr>
        <w:t xml:space="preserve">, excluding </w:t>
      </w:r>
      <w:r w:rsidR="001C77A6" w:rsidRPr="006D4CB5">
        <w:rPr>
          <w:color w:val="000000" w:themeColor="text1"/>
        </w:rPr>
        <w:t xml:space="preserve">additional </w:t>
      </w:r>
      <w:r w:rsidR="008C25AB" w:rsidRPr="006D4CB5">
        <w:rPr>
          <w:color w:val="000000" w:themeColor="text1"/>
        </w:rPr>
        <w:t xml:space="preserve">participants from the GWAS who were identified as cousins based on a genetic relatedness matrix. </w:t>
      </w:r>
    </w:p>
    <w:p w14:paraId="2186CCC6" w14:textId="77777777" w:rsidR="00076353" w:rsidRPr="006D4CB5" w:rsidRDefault="00076353" w:rsidP="001E251E">
      <w:pPr>
        <w:rPr>
          <w:b/>
          <w:bCs/>
          <w:color w:val="000000" w:themeColor="text1"/>
        </w:rPr>
      </w:pPr>
    </w:p>
    <w:p w14:paraId="4B6A7F3A" w14:textId="77777777" w:rsidR="00076353" w:rsidRPr="006D4CB5" w:rsidRDefault="00076353" w:rsidP="00076353">
      <w:pPr>
        <w:jc w:val="center"/>
        <w:rPr>
          <w:b/>
          <w:color w:val="000000" w:themeColor="text1"/>
        </w:rPr>
      </w:pPr>
      <w:r w:rsidRPr="006D4CB5">
        <w:rPr>
          <w:b/>
          <w:bCs/>
          <w:color w:val="000000" w:themeColor="text1"/>
        </w:rPr>
        <w:t>KFO 256 (KFO)</w:t>
      </w:r>
    </w:p>
    <w:p w14:paraId="4F9FAFDB" w14:textId="77777777" w:rsidR="00076353" w:rsidRPr="006D4CB5" w:rsidRDefault="00076353" w:rsidP="00076353">
      <w:pPr>
        <w:ind w:firstLine="720"/>
        <w:rPr>
          <w:color w:val="000000" w:themeColor="text1"/>
        </w:rPr>
      </w:pPr>
      <w:r w:rsidRPr="006D4CB5">
        <w:rPr>
          <w:color w:val="000000" w:themeColor="text1"/>
        </w:rPr>
        <w:t>Recruitment for this study was done by the KFO 256 project, which is a clinical research unit that is dedicated to investigating the mechanisms of disturbed emotion processing in BPD and is funded by the German Research Foundation (DFG) (Schmahl et al., 2014). Only control subjects were included in the present analyses. Trained clinical psychologists diagnosed BPD according to DSM-IV using the International Personality Disorder Examination (IPDE; Loranger, 1999), and all patients met at least five of the nine DSM-IV criteria for BPD. General exclusion criteria included a history of psychotic or bipolar I disorder, current substance addiction, current pregnancy, organic brain disease, skull or brain damage, severe neurological illness, or use of psychotropic medication at the time of testing. Healthy controls were also excluded if they had any lifetime or current psychiatric diagnoses. The study was conducted in accordance with the Declaration of Helsinki and was approved by the Research Ethics Board of the University of Heidelberg. Prior to study participation, subjects provided written informed consent.</w:t>
      </w:r>
    </w:p>
    <w:p w14:paraId="3C2A51F4" w14:textId="77777777" w:rsidR="00076353" w:rsidRPr="006D4CB5" w:rsidRDefault="00076353" w:rsidP="00076353">
      <w:pPr>
        <w:ind w:firstLine="720"/>
        <w:rPr>
          <w:color w:val="000000" w:themeColor="text1"/>
        </w:rPr>
      </w:pPr>
      <w:r w:rsidRPr="006D4CB5">
        <w:rPr>
          <w:color w:val="000000" w:themeColor="text1"/>
        </w:rPr>
        <w:t>Personality traits were assessed by using an online version of the HEXACO-60 questionnaire (</w:t>
      </w:r>
      <w:proofErr w:type="spellStart"/>
      <w:r w:rsidRPr="006D4CB5">
        <w:rPr>
          <w:color w:val="000000" w:themeColor="text1"/>
        </w:rPr>
        <w:t>Moshagen</w:t>
      </w:r>
      <w:proofErr w:type="spellEnd"/>
      <w:r w:rsidRPr="006D4CB5">
        <w:rPr>
          <w:color w:val="000000" w:themeColor="text1"/>
        </w:rPr>
        <w:t xml:space="preserve"> et al., 2014). For the present analyses, the scales Openness, Extraversion and Conscientiousness were used. Scales were calculated for subjects with at least 9 out of the 10 respective items. For the present analysis, data were available from 313 central European subjects (69 males, 244 females), with a mean age of 28.12 years (SD = 6.93, range 18-50). </w:t>
      </w:r>
    </w:p>
    <w:p w14:paraId="62A412B4" w14:textId="77777777" w:rsidR="00076353" w:rsidRPr="006D4CB5" w:rsidRDefault="00076353" w:rsidP="00076353">
      <w:pPr>
        <w:rPr>
          <w:color w:val="000000" w:themeColor="text1"/>
        </w:rPr>
      </w:pPr>
    </w:p>
    <w:p w14:paraId="4B6E5BCE" w14:textId="77777777" w:rsidR="00076353" w:rsidRPr="006D4CB5" w:rsidRDefault="00076353" w:rsidP="00076353">
      <w:pPr>
        <w:jc w:val="center"/>
        <w:rPr>
          <w:b/>
          <w:color w:val="000000" w:themeColor="text1"/>
        </w:rPr>
      </w:pPr>
      <w:r w:rsidRPr="006D4CB5">
        <w:rPr>
          <w:b/>
          <w:bCs/>
          <w:color w:val="000000" w:themeColor="text1"/>
        </w:rPr>
        <w:t>Lothian Birth Cohorts 1921 and 1936 (LBC1921 &amp; LBC1936)</w:t>
      </w:r>
    </w:p>
    <w:p w14:paraId="63C4D490" w14:textId="77777777" w:rsidR="00076353" w:rsidRPr="006D4CB5" w:rsidRDefault="00076353" w:rsidP="00076353">
      <w:pPr>
        <w:ind w:firstLine="720"/>
        <w:rPr>
          <w:color w:val="000000" w:themeColor="text1"/>
        </w:rPr>
      </w:pPr>
      <w:r w:rsidRPr="006D4CB5">
        <w:rPr>
          <w:color w:val="000000" w:themeColor="text1"/>
        </w:rPr>
        <w:t xml:space="preserve">The Lothian Birth Cohorts include surviving participants from the Scottish Mental Surveys of 1932 or 1947 (SMS1932 and SMS1947), having been born, respectively in 1921 (LBC1921) and 1936 (LBC1936) (Deary et al, 2004, Deary et al. 2007, Deary et al., 2012, Taylor et al. 2018). The LBC1921 cohort consists of 550 relatively healthy individuals, 316 females and 234 males, assessed on cognitive and medical traits at about 79 years of age. When tested, the sample had a mean age of 79.1 years (SD = 0.6). The LBC1936 consists of 1,091 relatively healthy individuals assessed on cognitive and medical traits at about 70 years of age.  At baseline the sample of 548 men and 543 women had a mean age 69.6 years (SD = 0.8). They were all Caucasian and almost all lived independently in the Lothian region (Edinburgh city and surrounding area) of Scotland. In LBC1936 personality was assessed using the 60-item NEO-FFI (Costa &amp; McCrae, 1992), and in LBC1921 personality was assessed using the 50-item IPIP (Goldberg, 1999). Quality control measures were applied; 517 and 1005 participants remained for LBC1921 and LBC1936 respectively. Among participants with genome-wide data, 425 (LBC1921) and 880 (LBC1936) individuals were available for the present analysis. </w:t>
      </w:r>
    </w:p>
    <w:p w14:paraId="259B69A0" w14:textId="77777777" w:rsidR="00076353" w:rsidRPr="006D4CB5" w:rsidRDefault="00076353" w:rsidP="00076353">
      <w:pPr>
        <w:rPr>
          <w:color w:val="000000" w:themeColor="text1"/>
        </w:rPr>
      </w:pPr>
    </w:p>
    <w:p w14:paraId="562FEEEC" w14:textId="77777777" w:rsidR="00076353" w:rsidRPr="006D4CB5" w:rsidRDefault="00076353" w:rsidP="00076353">
      <w:pPr>
        <w:jc w:val="center"/>
        <w:rPr>
          <w:b/>
          <w:color w:val="000000" w:themeColor="text1"/>
        </w:rPr>
      </w:pPr>
      <w:r w:rsidRPr="006D4CB5">
        <w:rPr>
          <w:b/>
          <w:color w:val="000000" w:themeColor="text1"/>
        </w:rPr>
        <w:t>Lifelines</w:t>
      </w:r>
    </w:p>
    <w:p w14:paraId="528856BA" w14:textId="66E3126E" w:rsidR="00076353" w:rsidRPr="006D4CB5" w:rsidRDefault="00076353" w:rsidP="00D51AE2">
      <w:pPr>
        <w:ind w:firstLine="720"/>
        <w:rPr>
          <w:color w:val="000000" w:themeColor="text1"/>
        </w:rPr>
      </w:pPr>
      <w:r w:rsidRPr="006D4CB5">
        <w:rPr>
          <w:color w:val="000000" w:themeColor="text1"/>
        </w:rPr>
        <w:lastRenderedPageBreak/>
        <w:t>Lifelines is a multidisciplinary prospective population-based cohort study examining in a unique three-generation design the health and health-related behaviors of 167,729 persons living in the North of the Netherlands (Scholtens et al., 2015). It employs a broad range of investigative procedures in assessing the biomedical, socio-demographic, behavioral, physical and psychological factors which contribute to the health and disease of the general population, with a special focus on multi-morbidity and complex genetics. Recruitment</w:t>
      </w:r>
      <w:r w:rsidR="00792F47" w:rsidRPr="006D4CB5">
        <w:rPr>
          <w:color w:val="000000" w:themeColor="text1"/>
        </w:rPr>
        <w:t xml:space="preserve"> and </w:t>
      </w:r>
      <w:r w:rsidRPr="006D4CB5">
        <w:rPr>
          <w:color w:val="000000" w:themeColor="text1"/>
        </w:rPr>
        <w:t>data collection have been described elsewhere (Scholtens et al., 2015). In short, participants were recruited through their general practitioners or family members. Additionally, self-registration online was also possible. For the present analyses, we used data on personality from the baseline measurements carried out between 2007 and 2013. Personality was assessed using two abbreviated versions of the revised Neuroticism-Extroversion-Openness (NEO) Personality Inventory (NEO-PI-R, Costa et al., 1992; Hoekstra et al., 2007) that cover three domains of personality: neuroticism, extraversion, and conscientiousness. Therefore, we performed GWAS on these self-reports as our phenotypes.</w:t>
      </w:r>
    </w:p>
    <w:p w14:paraId="5373EF77" w14:textId="77777777" w:rsidR="00076353" w:rsidRPr="006D4CB5" w:rsidRDefault="00076353" w:rsidP="00076353">
      <w:pPr>
        <w:rPr>
          <w:color w:val="000000" w:themeColor="text1"/>
        </w:rPr>
      </w:pPr>
    </w:p>
    <w:p w14:paraId="21B69687" w14:textId="77777777" w:rsidR="00076353" w:rsidRPr="006D4CB5" w:rsidRDefault="00076353" w:rsidP="00076353">
      <w:pPr>
        <w:jc w:val="center"/>
        <w:rPr>
          <w:b/>
          <w:color w:val="000000" w:themeColor="text1"/>
        </w:rPr>
      </w:pPr>
      <w:r w:rsidRPr="006D4CB5">
        <w:rPr>
          <w:b/>
          <w:color w:val="000000" w:themeColor="text1"/>
        </w:rPr>
        <w:t>Mannheim Blood Donor Study</w:t>
      </w:r>
    </w:p>
    <w:p w14:paraId="0AACE329" w14:textId="14777A16" w:rsidR="00076353" w:rsidRPr="006D4CB5" w:rsidRDefault="00076353" w:rsidP="00D51AE2">
      <w:pPr>
        <w:ind w:firstLine="720"/>
        <w:rPr>
          <w:color w:val="000000" w:themeColor="text1"/>
        </w:rPr>
      </w:pPr>
      <w:r w:rsidRPr="006D4CB5">
        <w:rPr>
          <w:color w:val="000000" w:themeColor="text1"/>
        </w:rPr>
        <w:t xml:space="preserve">The Mannheim Blood Donor Study is a sample collected at blood donation events in Baden-Württemberg, Germany. The study was approved by the Ethics Committee of the Medical Faculty of the University of Heidelberg and written informed consent was obtained from all subjects. This cohort was a sample of the general population for which blood donation exclusion criteria applied: bodyweight &lt; 50 kg, current general diseases, and high risk of infection. Subjects were given a questionnaire to assess demographic information and information about their mental and physical health at the blood donation event, and these questionnaires were then returned to the study center by mail. The 12-item Neuroticism scale of the NEO-Five-Factor-Inventory (NEO-FFI) was applied. For the present analysis, data were available from 1,444 central European subjects (662 males and 782 females), with a mean age of 44.74 years (SD = 13.03, range 18-72). </w:t>
      </w:r>
    </w:p>
    <w:p w14:paraId="42AE0ECA" w14:textId="77777777" w:rsidR="00076353" w:rsidRPr="006D4CB5" w:rsidRDefault="00076353" w:rsidP="001E251E">
      <w:pPr>
        <w:rPr>
          <w:b/>
          <w:bCs/>
          <w:color w:val="000000" w:themeColor="text1"/>
        </w:rPr>
      </w:pPr>
    </w:p>
    <w:p w14:paraId="2A7A293C" w14:textId="77777777" w:rsidR="00076353" w:rsidRPr="006D4CB5" w:rsidRDefault="00076353" w:rsidP="00076353">
      <w:pPr>
        <w:jc w:val="center"/>
        <w:rPr>
          <w:rFonts w:eastAsiaTheme="minorHAnsi"/>
          <w:b/>
          <w:bCs/>
          <w:color w:val="000000" w:themeColor="text1"/>
          <w:kern w:val="2"/>
          <w14:ligatures w14:val="standardContextual"/>
        </w:rPr>
      </w:pPr>
      <w:r w:rsidRPr="006D4CB5">
        <w:rPr>
          <w:b/>
          <w:bCs/>
          <w:color w:val="000000" w:themeColor="text1"/>
        </w:rPr>
        <w:t>Minnesota Center for Twin &amp; Family Research (MCTFR)</w:t>
      </w:r>
    </w:p>
    <w:p w14:paraId="2B8CB213" w14:textId="77777777" w:rsidR="00076353" w:rsidRPr="006D4CB5" w:rsidRDefault="00076353" w:rsidP="00076353">
      <w:pPr>
        <w:ind w:firstLine="720"/>
        <w:rPr>
          <w:color w:val="000000" w:themeColor="text1"/>
        </w:rPr>
      </w:pPr>
      <w:r w:rsidRPr="006D4CB5">
        <w:rPr>
          <w:color w:val="000000" w:themeColor="text1"/>
        </w:rPr>
        <w:t>The MCTFR GWAS sample represents participants from three longitudinal studies: The Minnesota Twin Family Study (MTFS), the Sibling Interaction and Behavior Study (SIBS), and the Enrichment Study (ES). These studies share similar assessment protocols and a common sampling unit, a four-member family consisting of sibling pairs and their rearing parents. Offspring in all three samples were initially assessed in adolescence and followed into at least early adulthood.</w:t>
      </w:r>
    </w:p>
    <w:p w14:paraId="4F983D1F" w14:textId="77777777" w:rsidR="00076353" w:rsidRPr="006D4CB5" w:rsidRDefault="00076353" w:rsidP="00076353">
      <w:pPr>
        <w:ind w:firstLine="720"/>
        <w:rPr>
          <w:color w:val="000000" w:themeColor="text1"/>
        </w:rPr>
      </w:pPr>
      <w:r w:rsidRPr="006D4CB5">
        <w:rPr>
          <w:color w:val="000000" w:themeColor="text1"/>
        </w:rPr>
        <w:t>Genome-wide genotyping was carried out using the Illumina Human660W-Quad array (Miller et al., 2012). Untyped genotypes were imputed to the Haplotype Reference Consortium through the Michigan Imputation Server, using Minimac3. </w:t>
      </w:r>
    </w:p>
    <w:p w14:paraId="1E6DAD46" w14:textId="77777777" w:rsidR="00076353" w:rsidRPr="006D4CB5" w:rsidRDefault="00076353" w:rsidP="00076353">
      <w:pPr>
        <w:ind w:firstLine="720"/>
        <w:rPr>
          <w:color w:val="000000" w:themeColor="text1"/>
        </w:rPr>
      </w:pPr>
      <w:r w:rsidRPr="006D4CB5">
        <w:rPr>
          <w:color w:val="000000" w:themeColor="text1"/>
        </w:rPr>
        <w:t>Phenotypes studied were neuroticism and extraversion created by a harmonization of items in the MPQ personality test (van den Berg et al., 2014). There were 3824 individuals with phenotypes in the main analysis and 942 siblings with the phenotypes for the within-sibling analysis. Age of the main sample ranged from 12-64 (M=40, SD=11; 51% female).</w:t>
      </w:r>
    </w:p>
    <w:p w14:paraId="556945BE" w14:textId="36C4696C" w:rsidR="00076353" w:rsidRPr="006D4CB5" w:rsidRDefault="00076353" w:rsidP="00D51AE2">
      <w:pPr>
        <w:ind w:firstLine="720"/>
        <w:rPr>
          <w:color w:val="000000" w:themeColor="text1"/>
        </w:rPr>
      </w:pPr>
      <w:r w:rsidRPr="006D4CB5">
        <w:rPr>
          <w:color w:val="000000" w:themeColor="text1"/>
        </w:rPr>
        <w:t xml:space="preserve">MCTFR recruitment, assessment and genotyping </w:t>
      </w:r>
      <w:proofErr w:type="gramStart"/>
      <w:r w:rsidRPr="006D4CB5">
        <w:rPr>
          <w:color w:val="000000" w:themeColor="text1"/>
        </w:rPr>
        <w:t>was</w:t>
      </w:r>
      <w:proofErr w:type="gramEnd"/>
      <w:r w:rsidRPr="006D4CB5">
        <w:rPr>
          <w:color w:val="000000" w:themeColor="text1"/>
        </w:rPr>
        <w:t xml:space="preserve"> supported in part by USPHS Grants from the National Institute on Alcohol Abuse and Alcoholism (AA09367 and AA11886), the National Institute on Drug Abuse (DA05147, DA13240, and DA024417), and the National Institute on Mental Health (MH066140).</w:t>
      </w:r>
    </w:p>
    <w:p w14:paraId="3EEB5CE7" w14:textId="77777777" w:rsidR="00076353" w:rsidRPr="006D4CB5" w:rsidRDefault="00076353" w:rsidP="00076353">
      <w:pPr>
        <w:rPr>
          <w:color w:val="000000" w:themeColor="text1"/>
        </w:rPr>
      </w:pPr>
    </w:p>
    <w:p w14:paraId="6657D60B" w14:textId="77777777" w:rsidR="00076353" w:rsidRPr="006D4CB5" w:rsidRDefault="00076353" w:rsidP="00076353">
      <w:pPr>
        <w:widowControl w:val="0"/>
        <w:jc w:val="center"/>
        <w:rPr>
          <w:b/>
          <w:bCs/>
          <w:color w:val="000000" w:themeColor="text1"/>
        </w:rPr>
      </w:pPr>
      <w:r w:rsidRPr="006D4CB5">
        <w:rPr>
          <w:b/>
          <w:bCs/>
          <w:color w:val="000000" w:themeColor="text1"/>
        </w:rPr>
        <w:t>Midlife in the United States (MIDUS)</w:t>
      </w:r>
    </w:p>
    <w:p w14:paraId="7764E833" w14:textId="2DED8C1A" w:rsidR="00076353" w:rsidRPr="006D4CB5" w:rsidRDefault="00076353" w:rsidP="00D51AE2">
      <w:pPr>
        <w:widowControl w:val="0"/>
        <w:ind w:firstLine="720"/>
        <w:rPr>
          <w:color w:val="000000" w:themeColor="text1"/>
        </w:rPr>
      </w:pPr>
      <w:r w:rsidRPr="006D4CB5">
        <w:rPr>
          <w:color w:val="000000" w:themeColor="text1"/>
        </w:rPr>
        <w:t xml:space="preserve">Midlife in the United States (MIDUS) is a national longitudinal study of health and well-being (http://midus.wisc.edu/). It was conceived by a multidisciplinary team of scholars interested in understanding aging as an integrated bio-psycho-social process, and as such it includes data collected in a wide array of research protocols using a variety of survey and non-survey instruments (Radler, 2014). MIDUS participants rated themselves on the Midlife Development Inventory (MIDI; Lachman &amp; Weaver, 1997) to index the Big Five. There were 2,117 participants with genome-wide data aged 25-87 (M = 53.8, SD = 12.57; 54% female) that were available for the present analyses. N = 1,298 aged 25-83 (M = 54.2, SD = 12.42; 51% female) contributing to </w:t>
      </w:r>
      <w:r w:rsidR="00CB7254">
        <w:rPr>
          <w:color w:val="000000" w:themeColor="text1"/>
        </w:rPr>
        <w:t>EUR-like</w:t>
      </w:r>
      <w:r w:rsidRPr="006D4CB5">
        <w:rPr>
          <w:color w:val="000000" w:themeColor="text1"/>
        </w:rPr>
        <w:t xml:space="preserve"> analyses and N </w:t>
      </w:r>
      <w:proofErr w:type="gramStart"/>
      <w:r w:rsidRPr="006D4CB5">
        <w:rPr>
          <w:color w:val="000000" w:themeColor="text1"/>
        </w:rPr>
        <w:t>=  316</w:t>
      </w:r>
      <w:proofErr w:type="gramEnd"/>
      <w:r w:rsidRPr="006D4CB5">
        <w:rPr>
          <w:color w:val="000000" w:themeColor="text1"/>
        </w:rPr>
        <w:t xml:space="preserve"> aged 25-87 (M = 51.1, SD = 11.89; 68% female) contributing to </w:t>
      </w:r>
      <w:r w:rsidR="00CB7254">
        <w:rPr>
          <w:color w:val="000000" w:themeColor="text1"/>
        </w:rPr>
        <w:t>AFR-like</w:t>
      </w:r>
      <w:r w:rsidRPr="006D4CB5">
        <w:rPr>
          <w:color w:val="000000" w:themeColor="text1"/>
        </w:rPr>
        <w:t xml:space="preserve"> analyses. </w:t>
      </w:r>
      <w:r w:rsidRPr="006D4CB5">
        <w:rPr>
          <w:color w:val="000000" w:themeColor="text1"/>
          <w:shd w:val="clear" w:color="auto" w:fill="FFFFFF"/>
        </w:rPr>
        <w:t>Since 1995 the MIDUS study has been funded by the following:</w:t>
      </w:r>
      <w:r w:rsidRPr="006D4CB5">
        <w:rPr>
          <w:color w:val="000000" w:themeColor="text1"/>
        </w:rPr>
        <w:t xml:space="preserve"> </w:t>
      </w:r>
      <w:r w:rsidRPr="006D4CB5">
        <w:rPr>
          <w:color w:val="000000" w:themeColor="text1"/>
          <w:shd w:val="clear" w:color="auto" w:fill="FFFFFF"/>
        </w:rPr>
        <w:t>John D. and Catherine T. MacArthur Foundation Research Network</w:t>
      </w:r>
      <w:r w:rsidRPr="006D4CB5">
        <w:rPr>
          <w:color w:val="000000" w:themeColor="text1"/>
        </w:rPr>
        <w:t xml:space="preserve">, </w:t>
      </w:r>
      <w:r w:rsidRPr="006D4CB5">
        <w:rPr>
          <w:color w:val="000000" w:themeColor="text1"/>
          <w:shd w:val="clear" w:color="auto" w:fill="FFFFFF"/>
        </w:rPr>
        <w:t>National Institute on Aging (P01-AG020166),</w:t>
      </w:r>
      <w:r w:rsidRPr="006D4CB5">
        <w:rPr>
          <w:color w:val="000000" w:themeColor="text1"/>
        </w:rPr>
        <w:t xml:space="preserve"> </w:t>
      </w:r>
      <w:r w:rsidRPr="006D4CB5">
        <w:rPr>
          <w:color w:val="000000" w:themeColor="text1"/>
          <w:shd w:val="clear" w:color="auto" w:fill="FFFFFF"/>
        </w:rPr>
        <w:t>National institute on Aging (U19-AG051426)</w:t>
      </w:r>
      <w:r w:rsidRPr="006D4CB5">
        <w:rPr>
          <w:color w:val="000000" w:themeColor="text1"/>
        </w:rPr>
        <w:t xml:space="preserve">. </w:t>
      </w:r>
      <w:r w:rsidRPr="006D4CB5">
        <w:rPr>
          <w:color w:val="000000" w:themeColor="text1"/>
          <w:shd w:val="clear" w:color="auto" w:fill="FFFFFF"/>
        </w:rPr>
        <w:t>Biomarker data collection was further supported by the NIH National Center for Advancing Translational Sciences (NCATS) Clinical and Translational Science Award (CTSA) program as follows:</w:t>
      </w:r>
      <w:r w:rsidRPr="006D4CB5">
        <w:rPr>
          <w:color w:val="000000" w:themeColor="text1"/>
        </w:rPr>
        <w:t xml:space="preserve"> </w:t>
      </w:r>
      <w:r w:rsidRPr="006D4CB5">
        <w:rPr>
          <w:color w:val="000000" w:themeColor="text1"/>
          <w:shd w:val="clear" w:color="auto" w:fill="FFFFFF"/>
        </w:rPr>
        <w:t>UL1TR001409 (Georgetown)</w:t>
      </w:r>
      <w:r w:rsidRPr="006D4CB5">
        <w:rPr>
          <w:color w:val="000000" w:themeColor="text1"/>
        </w:rPr>
        <w:t xml:space="preserve">, </w:t>
      </w:r>
      <w:r w:rsidRPr="006D4CB5">
        <w:rPr>
          <w:color w:val="000000" w:themeColor="text1"/>
          <w:shd w:val="clear" w:color="auto" w:fill="FFFFFF"/>
        </w:rPr>
        <w:t>UL1TR001881 (UCLA)</w:t>
      </w:r>
      <w:r w:rsidRPr="006D4CB5">
        <w:rPr>
          <w:color w:val="000000" w:themeColor="text1"/>
        </w:rPr>
        <w:t xml:space="preserve">, </w:t>
      </w:r>
      <w:r w:rsidRPr="006D4CB5">
        <w:rPr>
          <w:color w:val="000000" w:themeColor="text1"/>
          <w:shd w:val="clear" w:color="auto" w:fill="FFFFFF"/>
        </w:rPr>
        <w:t>1UL1RR025011 (UW).</w:t>
      </w:r>
    </w:p>
    <w:p w14:paraId="3F739414" w14:textId="77777777" w:rsidR="00076353" w:rsidRPr="006D4CB5" w:rsidRDefault="00076353" w:rsidP="00076353">
      <w:pPr>
        <w:widowControl w:val="0"/>
        <w:rPr>
          <w:color w:val="000000" w:themeColor="text1"/>
          <w:lang w:val="en-GB"/>
        </w:rPr>
      </w:pPr>
    </w:p>
    <w:p w14:paraId="5004898C" w14:textId="77777777" w:rsidR="00076353" w:rsidRPr="006D4CB5" w:rsidRDefault="00076353" w:rsidP="00076353">
      <w:pPr>
        <w:jc w:val="center"/>
        <w:rPr>
          <w:b/>
          <w:bCs/>
          <w:color w:val="000000" w:themeColor="text1"/>
          <w:lang w:val="en-GB"/>
        </w:rPr>
      </w:pPr>
      <w:r w:rsidRPr="006D4CB5">
        <w:rPr>
          <w:b/>
          <w:bCs/>
          <w:color w:val="000000" w:themeColor="text1"/>
          <w:lang w:val="en-GB"/>
        </w:rPr>
        <w:t>The Norwegian Mother, Father, and Child Cohort Study (</w:t>
      </w:r>
      <w:proofErr w:type="spellStart"/>
      <w:r w:rsidRPr="006D4CB5">
        <w:rPr>
          <w:b/>
          <w:bCs/>
          <w:color w:val="000000" w:themeColor="text1"/>
          <w:lang w:val="en-GB"/>
        </w:rPr>
        <w:t>MoBa</w:t>
      </w:r>
      <w:proofErr w:type="spellEnd"/>
      <w:r w:rsidRPr="006D4CB5">
        <w:rPr>
          <w:b/>
          <w:bCs/>
          <w:color w:val="000000" w:themeColor="text1"/>
          <w:lang w:val="en-GB"/>
        </w:rPr>
        <w:t xml:space="preserve">) </w:t>
      </w:r>
    </w:p>
    <w:p w14:paraId="591DA83C" w14:textId="3168A7C8" w:rsidR="00076353" w:rsidRPr="006D4CB5" w:rsidRDefault="00076353" w:rsidP="00076353">
      <w:pPr>
        <w:ind w:firstLine="720"/>
        <w:rPr>
          <w:color w:val="000000" w:themeColor="text1"/>
        </w:rPr>
      </w:pPr>
      <w:proofErr w:type="spellStart"/>
      <w:r w:rsidRPr="006D4CB5">
        <w:rPr>
          <w:color w:val="000000" w:themeColor="text1"/>
          <w:lang w:val="en-GB"/>
        </w:rPr>
        <w:t>MoBa</w:t>
      </w:r>
      <w:proofErr w:type="spellEnd"/>
      <w:r w:rsidRPr="006D4CB5">
        <w:rPr>
          <w:color w:val="000000" w:themeColor="text1"/>
          <w:lang w:val="en-GB"/>
        </w:rPr>
        <w:t xml:space="preserve"> is a population-based pregnancy cohort study conducted by the Norwegian Institute of Public Health (</w:t>
      </w:r>
      <w:proofErr w:type="spellStart"/>
      <w:r w:rsidR="00316181" w:rsidRPr="006D4CB5">
        <w:rPr>
          <w:color w:val="000000" w:themeColor="text1"/>
          <w:lang w:val="en-GB"/>
        </w:rPr>
        <w:t>Brandlistuen</w:t>
      </w:r>
      <w:proofErr w:type="spellEnd"/>
      <w:r w:rsidR="00316181" w:rsidRPr="006D4CB5">
        <w:rPr>
          <w:color w:val="000000" w:themeColor="text1"/>
          <w:lang w:val="en-GB"/>
        </w:rPr>
        <w:t xml:space="preserve"> et al., 2025; </w:t>
      </w:r>
      <w:r w:rsidRPr="006D4CB5">
        <w:rPr>
          <w:color w:val="000000" w:themeColor="text1"/>
          <w:lang w:val="en-GB"/>
        </w:rPr>
        <w:t xml:space="preserve">Magnus et al., 2016). </w:t>
      </w:r>
      <w:r w:rsidRPr="006D4CB5">
        <w:rPr>
          <w:color w:val="000000" w:themeColor="text1"/>
        </w:rPr>
        <w:t xml:space="preserve">Participants were recruited from all over Norway from 1999-2008. The women consented to participation in 41% of the pregnancies. The cohort now includes </w:t>
      </w:r>
      <w:r w:rsidR="00316181" w:rsidRPr="006D4CB5">
        <w:rPr>
          <w:color w:val="000000" w:themeColor="text1"/>
        </w:rPr>
        <w:t xml:space="preserve">approximately </w:t>
      </w:r>
      <w:r w:rsidRPr="006D4CB5">
        <w:rPr>
          <w:color w:val="000000" w:themeColor="text1"/>
        </w:rPr>
        <w:t xml:space="preserve">114,500 children, 95,200 mothers, and 75,200 fathers. </w:t>
      </w:r>
      <w:r w:rsidRPr="006D4CB5">
        <w:rPr>
          <w:color w:val="000000" w:themeColor="text1"/>
          <w:lang w:val="en-GB"/>
        </w:rPr>
        <w:t>The Big-5 personality traits were assessed among fathers at recruitment in the 15</w:t>
      </w:r>
      <w:r w:rsidRPr="006D4CB5">
        <w:rPr>
          <w:color w:val="000000" w:themeColor="text1"/>
          <w:vertAlign w:val="superscript"/>
          <w:lang w:val="en-GB"/>
        </w:rPr>
        <w:t>th</w:t>
      </w:r>
      <w:r w:rsidRPr="006D4CB5">
        <w:rPr>
          <w:color w:val="000000" w:themeColor="text1"/>
          <w:lang w:val="en-GB"/>
        </w:rPr>
        <w:t xml:space="preserve"> week of pregnancy and among mothers when the child was 5 years old by using The International Personality Item Pool (IPIP) Big-Five Factor Markers (Goldberg, 1999). The IPIP is self-reported and consists of 10 items for each of the Big-5 personality traits. We allowed up to two of the ten items to be missing among participants and calculated an individual’s score on a trait as the average of the valid items.</w:t>
      </w:r>
      <w:r w:rsidRPr="006D4CB5">
        <w:rPr>
          <w:color w:val="000000" w:themeColor="text1"/>
        </w:rPr>
        <w:t xml:space="preserve"> Among participants with genome-wide data, 42,436 individuals aged 30-85 (M = 47.32, SD = 5.07; 47% female) were available for the present analyses (Corfield et al., 2022). </w:t>
      </w:r>
    </w:p>
    <w:p w14:paraId="6574A034" w14:textId="7736F5CE" w:rsidR="00076353" w:rsidRPr="006D4CB5" w:rsidRDefault="00076353" w:rsidP="00D51AE2">
      <w:pPr>
        <w:ind w:firstLine="720"/>
        <w:rPr>
          <w:color w:val="000000" w:themeColor="text1"/>
          <w:lang w:val="en-GB"/>
        </w:rPr>
      </w:pPr>
      <w:r w:rsidRPr="006D4CB5">
        <w:rPr>
          <w:color w:val="000000" w:themeColor="text1"/>
        </w:rPr>
        <w:t xml:space="preserve">We are grateful to all the participating families in Norway who take part in this on-going cohort study. </w:t>
      </w:r>
      <w:r w:rsidR="00316181" w:rsidRPr="006D4CB5">
        <w:rPr>
          <w:color w:val="000000" w:themeColor="text1"/>
        </w:rPr>
        <w:t xml:space="preserve">For generating high-quality genomic data, we thank the Norwegian Institute of Public Health (NIPH), the HARVEST collaboration, the NORMENT Centre at the University of Oslo, the Center for Diabetes Research at the University of Bergen, </w:t>
      </w:r>
      <w:proofErr w:type="spellStart"/>
      <w:r w:rsidR="00316181" w:rsidRPr="006D4CB5">
        <w:rPr>
          <w:color w:val="000000" w:themeColor="text1"/>
        </w:rPr>
        <w:t>deCODE</w:t>
      </w:r>
      <w:proofErr w:type="spellEnd"/>
      <w:r w:rsidR="00316181" w:rsidRPr="006D4CB5">
        <w:rPr>
          <w:color w:val="000000" w:themeColor="text1"/>
        </w:rPr>
        <w:t xml:space="preserve"> Genetics, the Research Council of Norway, the </w:t>
      </w:r>
      <w:proofErr w:type="spellStart"/>
      <w:r w:rsidR="00316181" w:rsidRPr="006D4CB5">
        <w:rPr>
          <w:color w:val="000000" w:themeColor="text1"/>
        </w:rPr>
        <w:t>SouthEastern</w:t>
      </w:r>
      <w:proofErr w:type="spellEnd"/>
      <w:r w:rsidR="00316181" w:rsidRPr="006D4CB5">
        <w:rPr>
          <w:color w:val="000000" w:themeColor="text1"/>
        </w:rPr>
        <w:t xml:space="preserve"> and Western Norway Regional Health Authorities, the ERC </w:t>
      </w:r>
      <w:proofErr w:type="spellStart"/>
      <w:r w:rsidR="00316181" w:rsidRPr="006D4CB5">
        <w:rPr>
          <w:color w:val="000000" w:themeColor="text1"/>
        </w:rPr>
        <w:t>AdG</w:t>
      </w:r>
      <w:proofErr w:type="spellEnd"/>
      <w:r w:rsidR="00316181" w:rsidRPr="006D4CB5">
        <w:rPr>
          <w:color w:val="000000" w:themeColor="text1"/>
        </w:rPr>
        <w:t xml:space="preserve">, Stiftelsen KG Jebsen, the Trond Mohn Foundation, and the Novo Nordisk Foundation. </w:t>
      </w:r>
      <w:r w:rsidRPr="006D4CB5">
        <w:rPr>
          <w:color w:val="000000" w:themeColor="text1"/>
        </w:rPr>
        <w:t xml:space="preserve">The </w:t>
      </w:r>
      <w:proofErr w:type="spellStart"/>
      <w:r w:rsidRPr="006D4CB5">
        <w:rPr>
          <w:color w:val="000000" w:themeColor="text1"/>
        </w:rPr>
        <w:t>MoBa</w:t>
      </w:r>
      <w:proofErr w:type="spellEnd"/>
      <w:r w:rsidRPr="006D4CB5">
        <w:rPr>
          <w:color w:val="000000" w:themeColor="text1"/>
        </w:rPr>
        <w:t xml:space="preserve"> analyses was performed on the </w:t>
      </w:r>
      <w:proofErr w:type="spellStart"/>
      <w:r w:rsidRPr="006D4CB5">
        <w:rPr>
          <w:color w:val="000000" w:themeColor="text1"/>
        </w:rPr>
        <w:t>Tjeneste</w:t>
      </w:r>
      <w:proofErr w:type="spellEnd"/>
      <w:r w:rsidRPr="006D4CB5">
        <w:rPr>
          <w:color w:val="000000" w:themeColor="text1"/>
        </w:rPr>
        <w:t xml:space="preserve"> for Sensitive Data (TSD) facilities, owned by the University of Oslo, operated and developed by the TSD service group at the University of Oslo, IT-Department (USIT), using resources provided by Sigma2—the National Infrastructure for </w:t>
      </w:r>
      <w:proofErr w:type="gramStart"/>
      <w:r w:rsidRPr="006D4CB5">
        <w:rPr>
          <w:color w:val="000000" w:themeColor="text1"/>
        </w:rPr>
        <w:t>High Performance</w:t>
      </w:r>
      <w:proofErr w:type="gramEnd"/>
      <w:r w:rsidRPr="006D4CB5">
        <w:rPr>
          <w:color w:val="000000" w:themeColor="text1"/>
        </w:rPr>
        <w:t xml:space="preserve"> Computing and Data Storage in Norway (UNINETT).</w:t>
      </w:r>
      <w:r w:rsidR="00316181" w:rsidRPr="006D4CB5">
        <w:rPr>
          <w:color w:val="000000" w:themeColor="text1"/>
        </w:rPr>
        <w:t xml:space="preserve"> </w:t>
      </w:r>
      <w:proofErr w:type="spellStart"/>
      <w:r w:rsidR="00316181" w:rsidRPr="006D4CB5">
        <w:rPr>
          <w:rFonts w:eastAsiaTheme="minorHAnsi"/>
          <w:color w:val="000000" w:themeColor="text1"/>
          <w14:ligatures w14:val="standardContextual"/>
        </w:rPr>
        <w:t>MoBa</w:t>
      </w:r>
      <w:proofErr w:type="spellEnd"/>
      <w:r w:rsidR="00316181" w:rsidRPr="006D4CB5">
        <w:rPr>
          <w:rFonts w:eastAsiaTheme="minorHAnsi"/>
          <w:color w:val="000000" w:themeColor="text1"/>
          <w14:ligatures w14:val="standardContextual"/>
        </w:rPr>
        <w:t xml:space="preserve"> is regulated by the Norwegian Health Registry Act. The current study was approved by The Regional Committees for Medical and Health Research Ethics (</w:t>
      </w:r>
      <w:r w:rsidR="00C9145C" w:rsidRPr="006D4CB5">
        <w:rPr>
          <w:rFonts w:eastAsiaTheme="minorHAnsi"/>
          <w:color w:val="000000" w:themeColor="text1"/>
          <w14:ligatures w14:val="standardContextual"/>
        </w:rPr>
        <w:t xml:space="preserve">REK; ref. </w:t>
      </w:r>
      <w:r w:rsidR="00C9145C" w:rsidRPr="006D4CB5">
        <w:rPr>
          <w:color w:val="000000" w:themeColor="text1"/>
          <w:shd w:val="clear" w:color="auto" w:fill="FFFFFF"/>
        </w:rPr>
        <w:t>2017/2205</w:t>
      </w:r>
      <w:r w:rsidR="00316181" w:rsidRPr="006D4CB5">
        <w:rPr>
          <w:rFonts w:eastAsiaTheme="minorHAnsi"/>
          <w:color w:val="000000" w:themeColor="text1"/>
          <w14:ligatures w14:val="standardContextual"/>
        </w:rPr>
        <w:t>)</w:t>
      </w:r>
    </w:p>
    <w:p w14:paraId="6EDDB172" w14:textId="77777777" w:rsidR="00076353" w:rsidRPr="006D4CB5" w:rsidRDefault="00076353" w:rsidP="00076353">
      <w:pPr>
        <w:rPr>
          <w:color w:val="000000" w:themeColor="text1"/>
        </w:rPr>
      </w:pPr>
    </w:p>
    <w:p w14:paraId="49ED42C6" w14:textId="77777777" w:rsidR="00076353" w:rsidRPr="006D4CB5" w:rsidRDefault="00076353" w:rsidP="00076353">
      <w:pPr>
        <w:jc w:val="center"/>
        <w:rPr>
          <w:b/>
          <w:bCs/>
          <w:color w:val="000000" w:themeColor="text1"/>
        </w:rPr>
      </w:pPr>
      <w:r w:rsidRPr="006D4CB5">
        <w:rPr>
          <w:b/>
          <w:bCs/>
          <w:color w:val="000000" w:themeColor="text1"/>
        </w:rPr>
        <w:t>Million Veterans Program (MVP)</w:t>
      </w:r>
    </w:p>
    <w:p w14:paraId="3A01D566" w14:textId="14262A20" w:rsidR="00076353" w:rsidRPr="006D4CB5" w:rsidRDefault="00076353" w:rsidP="00D51AE2">
      <w:pPr>
        <w:ind w:firstLine="720"/>
        <w:rPr>
          <w:color w:val="000000" w:themeColor="text1"/>
        </w:rPr>
      </w:pPr>
      <w:r w:rsidRPr="006D4CB5">
        <w:rPr>
          <w:color w:val="000000" w:themeColor="text1"/>
        </w:rPr>
        <w:lastRenderedPageBreak/>
        <w:t xml:space="preserve">The VA’s Million Veteran Program (MVP) is a national research program looking at how genes, lifestyle, military experiences, and exposures affect health and wellness in veterans. MVP participants completed the BFI-10 as part of a self-report lifestyle survey, with two items for each of the Big Five personality traits. Initial MVP analyses of these data are described in full in Gupta and colleagues (2024), and genotyping and imputation in this sample is described in full in Gaziano and colleagues (2016) and Levey and colleagues (2020). For this study, the BFI-10 GWAS was re-estimated using controls for age, age-squared, sex, 10 ancestral principal components, and birth cohort, to ensure consistency with other contributed cohort GWAS. </w:t>
      </w:r>
      <w:r w:rsidRPr="006D4CB5">
        <w:rPr>
          <w:color w:val="000000" w:themeColor="text1"/>
          <w:shd w:val="clear" w:color="auto" w:fill="FFFFFF"/>
        </w:rPr>
        <w:t>The award number that funded the VA analysis was 5IK2BX005058</w:t>
      </w:r>
    </w:p>
    <w:p w14:paraId="75CECB66" w14:textId="77777777" w:rsidR="00076353" w:rsidRPr="006D4CB5" w:rsidRDefault="00076353" w:rsidP="00076353">
      <w:pPr>
        <w:rPr>
          <w:color w:val="000000" w:themeColor="text1"/>
        </w:rPr>
      </w:pPr>
    </w:p>
    <w:p w14:paraId="195DF142" w14:textId="77777777" w:rsidR="00076353" w:rsidRPr="006D4CB5" w:rsidRDefault="00076353" w:rsidP="00076353">
      <w:pPr>
        <w:jc w:val="center"/>
        <w:rPr>
          <w:b/>
          <w:bCs/>
          <w:color w:val="000000" w:themeColor="text1"/>
        </w:rPr>
      </w:pPr>
      <w:proofErr w:type="spellStart"/>
      <w:r w:rsidRPr="006D4CB5">
        <w:rPr>
          <w:b/>
          <w:bCs/>
          <w:color w:val="000000" w:themeColor="text1"/>
        </w:rPr>
        <w:t>Neuronale</w:t>
      </w:r>
      <w:proofErr w:type="spellEnd"/>
      <w:r w:rsidRPr="006D4CB5">
        <w:rPr>
          <w:b/>
          <w:bCs/>
          <w:color w:val="000000" w:themeColor="text1"/>
        </w:rPr>
        <w:t xml:space="preserve"> </w:t>
      </w:r>
      <w:proofErr w:type="spellStart"/>
      <w:r w:rsidRPr="006D4CB5">
        <w:rPr>
          <w:b/>
          <w:bCs/>
          <w:color w:val="000000" w:themeColor="text1"/>
        </w:rPr>
        <w:t>Korrelate</w:t>
      </w:r>
      <w:proofErr w:type="spellEnd"/>
      <w:r w:rsidRPr="006D4CB5">
        <w:rPr>
          <w:b/>
          <w:bCs/>
          <w:color w:val="000000" w:themeColor="text1"/>
        </w:rPr>
        <w:t xml:space="preserve"> von Wissen, </w:t>
      </w:r>
      <w:proofErr w:type="spellStart"/>
      <w:r w:rsidRPr="006D4CB5">
        <w:rPr>
          <w:b/>
          <w:bCs/>
          <w:color w:val="000000" w:themeColor="text1"/>
        </w:rPr>
        <w:t>Intelligenz</w:t>
      </w:r>
      <w:proofErr w:type="spellEnd"/>
      <w:r w:rsidRPr="006D4CB5">
        <w:rPr>
          <w:b/>
          <w:bCs/>
          <w:color w:val="000000" w:themeColor="text1"/>
        </w:rPr>
        <w:t xml:space="preserve">, </w:t>
      </w:r>
      <w:proofErr w:type="spellStart"/>
      <w:r w:rsidRPr="006D4CB5">
        <w:rPr>
          <w:b/>
          <w:bCs/>
          <w:color w:val="000000" w:themeColor="text1"/>
        </w:rPr>
        <w:t>Persönlichkeit</w:t>
      </w:r>
      <w:proofErr w:type="spellEnd"/>
      <w:r w:rsidRPr="006D4CB5">
        <w:rPr>
          <w:b/>
          <w:bCs/>
          <w:color w:val="000000" w:themeColor="text1"/>
        </w:rPr>
        <w:t xml:space="preserve">, </w:t>
      </w:r>
      <w:proofErr w:type="spellStart"/>
      <w:r w:rsidRPr="006D4CB5">
        <w:rPr>
          <w:b/>
          <w:bCs/>
          <w:color w:val="000000" w:themeColor="text1"/>
        </w:rPr>
        <w:t>Emotionaler</w:t>
      </w:r>
      <w:proofErr w:type="spellEnd"/>
      <w:r w:rsidRPr="006D4CB5">
        <w:rPr>
          <w:b/>
          <w:bCs/>
          <w:color w:val="000000" w:themeColor="text1"/>
        </w:rPr>
        <w:t xml:space="preserve"> </w:t>
      </w:r>
      <w:proofErr w:type="spellStart"/>
      <w:r w:rsidRPr="006D4CB5">
        <w:rPr>
          <w:b/>
          <w:bCs/>
          <w:color w:val="000000" w:themeColor="text1"/>
        </w:rPr>
        <w:t>Kompetenz</w:t>
      </w:r>
      <w:proofErr w:type="spellEnd"/>
      <w:r w:rsidRPr="006D4CB5">
        <w:rPr>
          <w:b/>
          <w:bCs/>
          <w:color w:val="000000" w:themeColor="text1"/>
        </w:rPr>
        <w:t xml:space="preserve"> und Motivation (NKWIPEM)</w:t>
      </w:r>
    </w:p>
    <w:p w14:paraId="618EC642" w14:textId="1B708EFD" w:rsidR="00076353" w:rsidRPr="006D4CB5" w:rsidRDefault="00076353" w:rsidP="00D51AE2">
      <w:pPr>
        <w:ind w:firstLine="720"/>
        <w:rPr>
          <w:color w:val="000000" w:themeColor="text1"/>
        </w:rPr>
      </w:pPr>
      <w:r w:rsidRPr="006D4CB5">
        <w:rPr>
          <w:color w:val="000000" w:themeColor="text1"/>
        </w:rPr>
        <w:t xml:space="preserve">The Neural correlates of knowledge, intelligence, personality, emotional competence, and motivation (NKWIPEM) project was designed to investigate the neural correlates of various psychological variables, including general knowledge, intelligence, and Big Five personality traits (Genç et al., 2018; Schlüter et al., 2022). Data acquisition started in 2014 and ended in 2019. Subjects were recruited via advertisements posted online or flyers placed on campus at Ruhr University Bochum. The final sample includes 520 (265 male) healthy individuals (no history of psychological or neurological disorders) aged 18-75 (M = 27.15, SD = 9.10). On their first day of participation, subjects underwent MRI scanning at </w:t>
      </w:r>
      <w:proofErr w:type="spellStart"/>
      <w:r w:rsidRPr="006D4CB5">
        <w:rPr>
          <w:color w:val="000000" w:themeColor="text1"/>
        </w:rPr>
        <w:t>Bergmannsheil</w:t>
      </w:r>
      <w:proofErr w:type="spellEnd"/>
      <w:r w:rsidRPr="006D4CB5">
        <w:rPr>
          <w:color w:val="000000" w:themeColor="text1"/>
        </w:rPr>
        <w:t xml:space="preserve"> hospital (Bochum, Germany). On their second to fourth day of participation, subjects completed several pen-and-paper tests and questionnaires at Ruhr University Bochum. Personality traits were assessed via the German version of the Revised NEO-Personality-Inventory (NEO-PI-R), which comprises a total of 240 self-report items to measure the domains extraversion, agreeableness, conscientiousness, neuroticism, and openness to experience as well as six more specific facets of each domain (Ostendorf &amp; </w:t>
      </w:r>
      <w:proofErr w:type="spellStart"/>
      <w:r w:rsidRPr="006D4CB5">
        <w:rPr>
          <w:color w:val="000000" w:themeColor="text1"/>
        </w:rPr>
        <w:t>Angleitner</w:t>
      </w:r>
      <w:proofErr w:type="spellEnd"/>
      <w:r w:rsidRPr="006D4CB5">
        <w:rPr>
          <w:color w:val="000000" w:themeColor="text1"/>
        </w:rPr>
        <w:t>, 2004). We perform GWAS on the standardized domain scores as our primary phenotypes.</w:t>
      </w:r>
    </w:p>
    <w:p w14:paraId="18A79706" w14:textId="77777777" w:rsidR="00076353" w:rsidRPr="006D4CB5" w:rsidRDefault="00076353" w:rsidP="001E251E">
      <w:pPr>
        <w:rPr>
          <w:color w:val="000000" w:themeColor="text1"/>
        </w:rPr>
      </w:pPr>
    </w:p>
    <w:p w14:paraId="7059867C" w14:textId="77777777" w:rsidR="00076353" w:rsidRPr="006D4CB5" w:rsidRDefault="00076353" w:rsidP="00076353">
      <w:pPr>
        <w:shd w:val="clear" w:color="auto" w:fill="FFFFFF"/>
        <w:jc w:val="center"/>
        <w:rPr>
          <w:color w:val="000000" w:themeColor="text1"/>
        </w:rPr>
      </w:pPr>
      <w:r w:rsidRPr="006D4CB5">
        <w:rPr>
          <w:b/>
          <w:bCs/>
          <w:color w:val="000000" w:themeColor="text1"/>
          <w:shd w:val="clear" w:color="auto" w:fill="FFFFFF"/>
        </w:rPr>
        <w:t>Netherlands Twin Register (NTR)</w:t>
      </w:r>
    </w:p>
    <w:p w14:paraId="358943ED" w14:textId="77777777" w:rsidR="00076353" w:rsidRPr="006D4CB5" w:rsidRDefault="00076353" w:rsidP="00076353">
      <w:pPr>
        <w:ind w:firstLine="720"/>
        <w:rPr>
          <w:color w:val="000000" w:themeColor="text1"/>
        </w:rPr>
      </w:pPr>
      <w:r w:rsidRPr="006D4CB5">
        <w:rPr>
          <w:color w:val="000000" w:themeColor="text1"/>
        </w:rPr>
        <w:t>The Netherlands Twin Register (NTR) is an ongoing research initiative collecting data in twins and their extended family members. Since 1987, the Netherlands Twin Register (NTR) database has been accumulating information on twins and triplets. This registry is initiated when the parents of newborn twins voluntarily register them. For twins under the age of 14, data are collected from their parents and teachers. At 14 years old, the twins themselves contribute data through self-reports. Ethical clearance for this study has been granted by the Central Ethics Committee on Research Involving Human Subjects at the VU University Medical Centre in Amsterdam, which is an Institutional Review Board certified by the U.S. Office of Human Research Protections. The approval carries the IRB number IRB-2991 under Federal-wide Assurance-3703 and includes specific institute codes (94/105, 96/205, 99/068, 2003/182, 2010/359). All participants have given their informed consent to be part of this registry. Detailed information on data collection in the NTR can be found elsewhere (</w:t>
      </w:r>
      <w:proofErr w:type="spellStart"/>
      <w:r w:rsidRPr="006D4CB5">
        <w:rPr>
          <w:color w:val="000000" w:themeColor="text1"/>
        </w:rPr>
        <w:t>Ligthart</w:t>
      </w:r>
      <w:proofErr w:type="spellEnd"/>
      <w:r w:rsidRPr="006D4CB5">
        <w:rPr>
          <w:color w:val="000000" w:themeColor="text1"/>
        </w:rPr>
        <w:t xml:space="preserve"> et al., 2019).</w:t>
      </w:r>
    </w:p>
    <w:p w14:paraId="027A5325" w14:textId="03D0419A" w:rsidR="00076353" w:rsidRPr="006D4CB5" w:rsidRDefault="00076353" w:rsidP="00D51AE2">
      <w:pPr>
        <w:ind w:firstLine="720"/>
        <w:rPr>
          <w:color w:val="000000" w:themeColor="text1"/>
        </w:rPr>
      </w:pPr>
      <w:r w:rsidRPr="006D4CB5">
        <w:rPr>
          <w:color w:val="000000" w:themeColor="text1"/>
        </w:rPr>
        <w:t xml:space="preserve">Here, we used survey waves 7, 9 and 10 and the DHBQ16 that all employed the NEO-FFI-3 version of the NEO Five-Factor Inventory (Costa &amp; McCrae, 1992; Hoekstra, </w:t>
      </w:r>
      <w:proofErr w:type="spellStart"/>
      <w:r w:rsidRPr="006D4CB5">
        <w:rPr>
          <w:color w:val="000000" w:themeColor="text1"/>
        </w:rPr>
        <w:t>Ormel</w:t>
      </w:r>
      <w:proofErr w:type="spellEnd"/>
      <w:r w:rsidRPr="006D4CB5">
        <w:rPr>
          <w:color w:val="000000" w:themeColor="text1"/>
        </w:rPr>
        <w:t xml:space="preserve">, &amp; De </w:t>
      </w:r>
      <w:proofErr w:type="spellStart"/>
      <w:r w:rsidRPr="006D4CB5">
        <w:rPr>
          <w:color w:val="000000" w:themeColor="text1"/>
        </w:rPr>
        <w:t>Fruyt</w:t>
      </w:r>
      <w:proofErr w:type="spellEnd"/>
      <w:r w:rsidRPr="006D4CB5">
        <w:rPr>
          <w:color w:val="000000" w:themeColor="text1"/>
        </w:rPr>
        <w:t xml:space="preserve">, 1996), which contains 12 questions for each personality trait. Item scores were recoded such that a higher score reflected a higher trait-score.  Only surveys completed when participants were between 18 and 65 years (inclusive) old were included. If multiple surveys were available </w:t>
      </w:r>
      <w:r w:rsidRPr="006D4CB5">
        <w:rPr>
          <w:color w:val="000000" w:themeColor="text1"/>
        </w:rPr>
        <w:lastRenderedPageBreak/>
        <w:t xml:space="preserve">in any given participant, the survey with the lowest </w:t>
      </w:r>
      <w:proofErr w:type="gramStart"/>
      <w:r w:rsidRPr="006D4CB5">
        <w:rPr>
          <w:color w:val="000000" w:themeColor="text1"/>
        </w:rPr>
        <w:t>amount</w:t>
      </w:r>
      <w:proofErr w:type="gramEnd"/>
      <w:r w:rsidRPr="006D4CB5">
        <w:rPr>
          <w:color w:val="000000" w:themeColor="text1"/>
        </w:rPr>
        <w:t xml:space="preserve"> of missing values for the five personality traits was selected. If multiples surveys meeting these criteria remained, the </w:t>
      </w:r>
      <w:proofErr w:type="gramStart"/>
      <w:r w:rsidRPr="006D4CB5">
        <w:rPr>
          <w:color w:val="000000" w:themeColor="text1"/>
        </w:rPr>
        <w:t>survey  where</w:t>
      </w:r>
      <w:proofErr w:type="gramEnd"/>
      <w:r w:rsidRPr="006D4CB5">
        <w:rPr>
          <w:color w:val="000000" w:themeColor="text1"/>
        </w:rPr>
        <w:t xml:space="preserve"> the age of the participant at baseline was closest to 18 was selected.  </w:t>
      </w:r>
    </w:p>
    <w:p w14:paraId="5B24521A" w14:textId="77777777" w:rsidR="00076353" w:rsidRPr="006D4CB5" w:rsidRDefault="00076353" w:rsidP="001E251E">
      <w:pPr>
        <w:rPr>
          <w:b/>
          <w:bCs/>
          <w:color w:val="000000" w:themeColor="text1"/>
        </w:rPr>
      </w:pPr>
    </w:p>
    <w:p w14:paraId="1B6EA17D" w14:textId="77777777" w:rsidR="00076353" w:rsidRPr="006D4CB5" w:rsidRDefault="00076353" w:rsidP="00076353">
      <w:pPr>
        <w:jc w:val="center"/>
        <w:rPr>
          <w:b/>
          <w:bCs/>
          <w:color w:val="000000" w:themeColor="text1"/>
        </w:rPr>
      </w:pPr>
      <w:r w:rsidRPr="006D4CB5">
        <w:rPr>
          <w:b/>
          <w:bCs/>
          <w:color w:val="000000" w:themeColor="text1"/>
        </w:rPr>
        <w:t>Pre-, Peri-, and Postnatal Stress: Epigenetic Impact on Depression (POSEIDON)</w:t>
      </w:r>
    </w:p>
    <w:p w14:paraId="7E35FD6A" w14:textId="77777777" w:rsidR="00076353" w:rsidRPr="006D4CB5" w:rsidRDefault="00076353" w:rsidP="00076353">
      <w:pPr>
        <w:pBdr>
          <w:top w:val="nil"/>
          <w:left w:val="nil"/>
          <w:bottom w:val="nil"/>
          <w:right w:val="nil"/>
          <w:between w:val="nil"/>
        </w:pBdr>
        <w:ind w:firstLine="720"/>
        <w:rPr>
          <w:color w:val="000000" w:themeColor="text1"/>
        </w:rPr>
      </w:pPr>
      <w:r w:rsidRPr="006D4CB5">
        <w:rPr>
          <w:color w:val="000000" w:themeColor="text1"/>
        </w:rPr>
        <w:t xml:space="preserve">The Pre-, Peri-, and Postnatal Stress: Epigenetic impact on Depression (POSEIDON) study is a birth cohort collected in the Rhein-Neckar region of Germany. The study was approved by the Ethics Committee of the Medical Faculty of the University of Heidelberg and written informed consent was obtained from all subjects. In POSEIDON, data was collected during the </w:t>
      </w:r>
      <w:hyperlink r:id="rId10">
        <w:r w:rsidRPr="006D4CB5">
          <w:rPr>
            <w:color w:val="000000" w:themeColor="text1"/>
          </w:rPr>
          <w:t>third trimester</w:t>
        </w:r>
      </w:hyperlink>
      <w:r w:rsidRPr="006D4CB5">
        <w:rPr>
          <w:color w:val="000000" w:themeColor="text1"/>
        </w:rPr>
        <w:t xml:space="preserve"> of pregnancy (T1), in the days after </w:t>
      </w:r>
      <w:hyperlink r:id="rId11">
        <w:r w:rsidRPr="006D4CB5">
          <w:rPr>
            <w:color w:val="000000" w:themeColor="text1"/>
          </w:rPr>
          <w:t>childbirth</w:t>
        </w:r>
      </w:hyperlink>
      <w:r w:rsidRPr="006D4CB5">
        <w:rPr>
          <w:color w:val="000000" w:themeColor="text1"/>
        </w:rPr>
        <w:t xml:space="preserve"> (T2), and six (T3) and 45 months (T4) postpartum. To replace dropouts, new parents were included in the study at T4. In 2020, a reassessment with online questionnaires was conducted (T5). Inclusion criteria of the mothers: age 16-45 years, German speaking, main caregiver of the child. Exclusion criteria of the newborn </w:t>
      </w:r>
      <w:proofErr w:type="gramStart"/>
      <w:r w:rsidRPr="006D4CB5">
        <w:rPr>
          <w:color w:val="000000" w:themeColor="text1"/>
        </w:rPr>
        <w:t>children:</w:t>
      </w:r>
      <w:proofErr w:type="gramEnd"/>
      <w:r w:rsidRPr="006D4CB5">
        <w:rPr>
          <w:color w:val="000000" w:themeColor="text1"/>
        </w:rPr>
        <w:t xml:space="preserve"> born at 30 weeks of pregnancy or earlier, birthweight &lt; 1500 grams. </w:t>
      </w:r>
    </w:p>
    <w:p w14:paraId="770B2384" w14:textId="0D54A0C2" w:rsidR="00076353" w:rsidRPr="006D4CB5" w:rsidRDefault="00076353" w:rsidP="00D51AE2">
      <w:pPr>
        <w:pBdr>
          <w:top w:val="nil"/>
          <w:left w:val="nil"/>
          <w:bottom w:val="nil"/>
          <w:right w:val="nil"/>
          <w:between w:val="nil"/>
        </w:pBdr>
        <w:ind w:firstLine="720"/>
        <w:rPr>
          <w:color w:val="000000" w:themeColor="text1"/>
        </w:rPr>
      </w:pPr>
      <w:r w:rsidRPr="006D4CB5">
        <w:rPr>
          <w:color w:val="000000" w:themeColor="text1"/>
        </w:rPr>
        <w:t xml:space="preserve">Big Five were assessed at different time points for subsets of the cohort. The mothers of the POSEIDON cohort completed the NEO-FFI-30 at T1, the fathers at T3; the mothers and fathers of the newly recruited subsample at T4. For the present analysis, data were available from 693 central European subjects (320 males, 373 females), with a mean age of 33.75 years (SD = 5.82, range 18-55). </w:t>
      </w:r>
    </w:p>
    <w:p w14:paraId="7F11BB4D" w14:textId="77777777" w:rsidR="00076353" w:rsidRPr="006D4CB5" w:rsidRDefault="00076353" w:rsidP="00076353">
      <w:pPr>
        <w:rPr>
          <w:color w:val="000000" w:themeColor="text1"/>
        </w:rPr>
      </w:pPr>
    </w:p>
    <w:p w14:paraId="664B80E4" w14:textId="77777777" w:rsidR="00076353" w:rsidRPr="006D4CB5" w:rsidRDefault="00076353" w:rsidP="00076353">
      <w:pPr>
        <w:jc w:val="center"/>
        <w:rPr>
          <w:b/>
          <w:bCs/>
          <w:color w:val="000000" w:themeColor="text1"/>
        </w:rPr>
      </w:pPr>
      <w:r w:rsidRPr="006D4CB5">
        <w:rPr>
          <w:b/>
          <w:bCs/>
          <w:color w:val="000000" w:themeColor="text1"/>
        </w:rPr>
        <w:t>QIMR (QIMR_1-QIMR_4)</w:t>
      </w:r>
    </w:p>
    <w:p w14:paraId="799C97B2" w14:textId="77777777" w:rsidR="00076353" w:rsidRPr="006D4CB5" w:rsidRDefault="00076353" w:rsidP="00076353">
      <w:pPr>
        <w:shd w:val="clear" w:color="auto" w:fill="FFFFFF" w:themeFill="background1"/>
        <w:ind w:firstLine="720"/>
        <w:rPr>
          <w:color w:val="000000" w:themeColor="text1"/>
        </w:rPr>
      </w:pPr>
      <w:r w:rsidRPr="006D4CB5">
        <w:rPr>
          <w:color w:val="000000" w:themeColor="text1"/>
        </w:rPr>
        <w:t>The QIMR cohort is made up of the following datasets, containing overlapping participants: </w:t>
      </w:r>
    </w:p>
    <w:p w14:paraId="077484F3" w14:textId="77777777" w:rsidR="00076353" w:rsidRPr="006D4CB5" w:rsidRDefault="00076353" w:rsidP="00076353">
      <w:pPr>
        <w:ind w:firstLine="720"/>
        <w:rPr>
          <w:color w:val="000000" w:themeColor="text1"/>
          <w:shd w:val="clear" w:color="auto" w:fill="FFFFFF"/>
        </w:rPr>
      </w:pPr>
      <w:r w:rsidRPr="006D4CB5">
        <w:rPr>
          <w:color w:val="000000" w:themeColor="text1"/>
          <w:shd w:val="clear" w:color="auto" w:fill="FFFFFF"/>
        </w:rPr>
        <w:t xml:space="preserve">The Prospective Imaging Study of Aging: Genes, Brain and </w:t>
      </w:r>
      <w:proofErr w:type="spellStart"/>
      <w:r w:rsidRPr="006D4CB5">
        <w:rPr>
          <w:color w:val="000000" w:themeColor="text1"/>
          <w:shd w:val="clear" w:color="auto" w:fill="FFFFFF"/>
        </w:rPr>
        <w:t>Behaviour</w:t>
      </w:r>
      <w:proofErr w:type="spellEnd"/>
      <w:r w:rsidRPr="006D4CB5">
        <w:rPr>
          <w:color w:val="000000" w:themeColor="text1"/>
          <w:shd w:val="clear" w:color="auto" w:fill="FFFFFF"/>
        </w:rPr>
        <w:t xml:space="preserve"> (PISA): </w:t>
      </w:r>
      <w:r w:rsidRPr="006D4CB5">
        <w:rPr>
          <w:color w:val="000000" w:themeColor="text1"/>
        </w:rPr>
        <w:t xml:space="preserve">Participants of the online component of the PISA study (Lupton 2021) were invited to complete an online survey providing a global assessment of lifestyle, cognitive, and </w:t>
      </w:r>
      <w:proofErr w:type="spellStart"/>
      <w:r w:rsidRPr="006D4CB5">
        <w:rPr>
          <w:color w:val="000000" w:themeColor="text1"/>
        </w:rPr>
        <w:t>behavioural</w:t>
      </w:r>
      <w:proofErr w:type="spellEnd"/>
      <w:r w:rsidRPr="006D4CB5">
        <w:rPr>
          <w:color w:val="000000" w:themeColor="text1"/>
        </w:rPr>
        <w:t xml:space="preserve"> function. Data for personality traits were collected using the NEO Five-Factor Inventory-3 (NEO-FFI-3). PISA was funded by a National Health and Medical Research Council (NHMRC) Boosting Dementia Research Initiative Team Grant (APP1095227).</w:t>
      </w:r>
    </w:p>
    <w:p w14:paraId="1C1D065E" w14:textId="77777777" w:rsidR="00076353" w:rsidRPr="006D4CB5" w:rsidRDefault="00076353" w:rsidP="00076353">
      <w:pPr>
        <w:ind w:firstLine="720"/>
        <w:rPr>
          <w:color w:val="000000" w:themeColor="text1"/>
          <w:kern w:val="2"/>
          <w14:ligatures w14:val="standardContextual"/>
        </w:rPr>
      </w:pPr>
      <w:r w:rsidRPr="006D4CB5">
        <w:rPr>
          <w:color w:val="000000" w:themeColor="text1"/>
          <w:shd w:val="clear" w:color="auto" w:fill="FFFFFF"/>
        </w:rPr>
        <w:t>The Brisbane Adolescent Twin Study:</w:t>
      </w:r>
      <w:r w:rsidRPr="006D4CB5">
        <w:rPr>
          <w:color w:val="000000" w:themeColor="text1"/>
        </w:rPr>
        <w:t xml:space="preserve"> </w:t>
      </w:r>
      <w:r w:rsidRPr="006D4CB5">
        <w:rPr>
          <w:color w:val="000000" w:themeColor="text1"/>
          <w:shd w:val="clear" w:color="auto" w:fill="FFFFFF"/>
        </w:rPr>
        <w:t xml:space="preserve">Adolescent twins and siblings previously participated in studies identifying genetic polymorphisms associated with </w:t>
      </w:r>
      <w:proofErr w:type="spellStart"/>
      <w:r w:rsidRPr="006D4CB5">
        <w:rPr>
          <w:color w:val="000000" w:themeColor="text1"/>
          <w:shd w:val="clear" w:color="auto" w:fill="FFFFFF"/>
        </w:rPr>
        <w:t>moliness</w:t>
      </w:r>
      <w:proofErr w:type="spellEnd"/>
      <w:r w:rsidRPr="006D4CB5">
        <w:rPr>
          <w:color w:val="000000" w:themeColor="text1"/>
          <w:shd w:val="clear" w:color="auto" w:fill="FFFFFF"/>
        </w:rPr>
        <w:t xml:space="preserve"> and cognitive function, as well as several other projects. 950 families were invited to participate in a mail and phone study assessing reading ability, taste and smell sensitivity, and health and wellbeing (Wright, 2004). This included an assessment of personality using the Revised NEO-Personality Inventory (NEO-PI-R).</w:t>
      </w:r>
    </w:p>
    <w:p w14:paraId="2089FE72" w14:textId="77777777" w:rsidR="00076353" w:rsidRPr="006D4CB5" w:rsidRDefault="00076353" w:rsidP="00076353">
      <w:pPr>
        <w:ind w:firstLine="720"/>
        <w:rPr>
          <w:color w:val="000000" w:themeColor="text1"/>
          <w:kern w:val="2"/>
          <w14:ligatures w14:val="standardContextual"/>
        </w:rPr>
      </w:pPr>
      <w:r w:rsidRPr="006D4CB5">
        <w:rPr>
          <w:color w:val="000000" w:themeColor="text1"/>
          <w:shd w:val="clear" w:color="auto" w:fill="FFFFFF"/>
        </w:rPr>
        <w:t>The Borderline Personality Disorder Study:</w:t>
      </w:r>
      <w:r w:rsidRPr="006D4CB5">
        <w:rPr>
          <w:color w:val="000000" w:themeColor="text1"/>
        </w:rPr>
        <w:t xml:space="preserve"> </w:t>
      </w:r>
      <w:r w:rsidRPr="006D4CB5">
        <w:rPr>
          <w:color w:val="000000" w:themeColor="text1"/>
          <w:shd w:val="clear" w:color="auto" w:fill="FFFFFF"/>
        </w:rPr>
        <w:t>Twins aged 18 years and older were recruited from the Australian Twin Registry (ATR) and previous studies conducted at QIMR. All participants were invited to complete an online or paper-based questionnaire collecting data related to Borderline Personality Disorder (BPD) and the personality dimensions that underlie the symptoms of this disorder. This included the revised NEO-Personality Inventory (NEO-PI-R).</w:t>
      </w:r>
    </w:p>
    <w:p w14:paraId="68F31B07" w14:textId="77777777" w:rsidR="00076353" w:rsidRPr="006D4CB5" w:rsidRDefault="00076353" w:rsidP="00076353">
      <w:pPr>
        <w:shd w:val="clear" w:color="auto" w:fill="FFFFFF" w:themeFill="background1"/>
        <w:ind w:firstLine="720"/>
        <w:rPr>
          <w:color w:val="000000" w:themeColor="text1"/>
        </w:rPr>
      </w:pPr>
      <w:r w:rsidRPr="006D4CB5">
        <w:rPr>
          <w:color w:val="000000" w:themeColor="text1"/>
        </w:rPr>
        <w:t xml:space="preserve">Memory, Attention and Problem Solving in Adolescent Twins (MAPS): Twin study measuring key components of cognition </w:t>
      </w:r>
      <w:proofErr w:type="gramStart"/>
      <w:r w:rsidRPr="006D4CB5">
        <w:rPr>
          <w:color w:val="000000" w:themeColor="text1"/>
        </w:rPr>
        <w:t>in order to</w:t>
      </w:r>
      <w:proofErr w:type="gramEnd"/>
      <w:r w:rsidRPr="006D4CB5">
        <w:rPr>
          <w:color w:val="000000" w:themeColor="text1"/>
        </w:rPr>
        <w:t xml:space="preserve"> identify genes influencing mental functioning. Participants aged 16 and older were recruited primarily through </w:t>
      </w:r>
      <w:proofErr w:type="gramStart"/>
      <w:r w:rsidRPr="006D4CB5">
        <w:rPr>
          <w:color w:val="000000" w:themeColor="text1"/>
        </w:rPr>
        <w:t>South East</w:t>
      </w:r>
      <w:proofErr w:type="gramEnd"/>
      <w:r w:rsidRPr="006D4CB5">
        <w:rPr>
          <w:color w:val="000000" w:themeColor="text1"/>
        </w:rPr>
        <w:t xml:space="preserve"> Queensland primary and secondary schools (Wright, 2001). Personality was assessed using the Neo Five-Factor Inventory (NEO-FFI and NEO-FFI-3).</w:t>
      </w:r>
    </w:p>
    <w:p w14:paraId="5160BD8C" w14:textId="77777777" w:rsidR="00076353" w:rsidRPr="006D4CB5" w:rsidRDefault="00076353" w:rsidP="00076353">
      <w:pPr>
        <w:shd w:val="clear" w:color="auto" w:fill="FFFFFF" w:themeFill="background1"/>
        <w:ind w:firstLine="720"/>
        <w:rPr>
          <w:color w:val="000000" w:themeColor="text1"/>
          <w:kern w:val="2"/>
          <w14:ligatures w14:val="standardContextual"/>
        </w:rPr>
      </w:pPr>
      <w:r w:rsidRPr="006D4CB5">
        <w:rPr>
          <w:color w:val="000000" w:themeColor="text1"/>
        </w:rPr>
        <w:lastRenderedPageBreak/>
        <w:t>Twenty-Five and Up (25Up) Study: A large cohort of Australian Twins that have been studied longitudinally from the age of 12. Data were collected between 2016 and 2018 from 2,540 twins and their non-twin siblings on mental health disorders, general demographic information, IQ and environment (Mitchell, 2019). Personality traits were measured using the NEO Ten-Item Personality Inventory (NEO-TIPI).</w:t>
      </w:r>
    </w:p>
    <w:p w14:paraId="52C566E7" w14:textId="51E446AA" w:rsidR="00076353" w:rsidRPr="006D4CB5" w:rsidRDefault="00076353" w:rsidP="00D51AE2">
      <w:pPr>
        <w:shd w:val="clear" w:color="auto" w:fill="FFFFFF" w:themeFill="background1"/>
        <w:rPr>
          <w:color w:val="000000" w:themeColor="text1"/>
        </w:rPr>
      </w:pPr>
      <w:r w:rsidRPr="006D4CB5">
        <w:rPr>
          <w:color w:val="000000" w:themeColor="text1"/>
        </w:rPr>
        <w:tab/>
        <w:t xml:space="preserve">In this study, analyses were stratified by measurement instrument, such that participants who completed the NEO-FFI were considered “QIMR_1,” participants who completed the NEO-FFI 3 were considered “QIMR_2,” participants who completed the NEO-PI-R were considered “QIMR_3,” and participants who completed the TIPI were considered “QIMR_4.” Overlapping responses were pruned so that participants solely contributed to one questionnaire’s GWAS (See </w:t>
      </w:r>
      <w:r w:rsidRPr="006D4CB5">
        <w:rPr>
          <w:b/>
          <w:bCs/>
          <w:color w:val="000000" w:themeColor="text1"/>
        </w:rPr>
        <w:t>Table S1</w:t>
      </w:r>
      <w:r w:rsidRPr="006D4CB5">
        <w:rPr>
          <w:color w:val="000000" w:themeColor="text1"/>
        </w:rPr>
        <w:t xml:space="preserve"> for complete details).</w:t>
      </w:r>
    </w:p>
    <w:p w14:paraId="209F05FD" w14:textId="77777777" w:rsidR="00076353" w:rsidRPr="006D4CB5" w:rsidRDefault="00076353" w:rsidP="001E251E">
      <w:pPr>
        <w:rPr>
          <w:b/>
          <w:bCs/>
          <w:color w:val="000000" w:themeColor="text1"/>
        </w:rPr>
      </w:pPr>
    </w:p>
    <w:p w14:paraId="0FB56ED7" w14:textId="77777777" w:rsidR="00076353" w:rsidRPr="006D4CB5" w:rsidRDefault="00076353" w:rsidP="00076353">
      <w:pPr>
        <w:jc w:val="center"/>
        <w:rPr>
          <w:b/>
          <w:bCs/>
          <w:color w:val="000000" w:themeColor="text1"/>
        </w:rPr>
      </w:pPr>
      <w:r w:rsidRPr="006D4CB5">
        <w:rPr>
          <w:b/>
          <w:bCs/>
          <w:color w:val="000000" w:themeColor="text1"/>
        </w:rPr>
        <w:t>Spit for Science (S4S)</w:t>
      </w:r>
    </w:p>
    <w:p w14:paraId="515CD28D" w14:textId="76553599" w:rsidR="00792F47" w:rsidRPr="006D4CB5" w:rsidRDefault="00076353" w:rsidP="00792F47">
      <w:pPr>
        <w:ind w:firstLine="720"/>
        <w:rPr>
          <w:color w:val="000000" w:themeColor="text1"/>
        </w:rPr>
      </w:pPr>
      <w:r w:rsidRPr="006D4CB5">
        <w:rPr>
          <w:color w:val="000000" w:themeColor="text1"/>
        </w:rPr>
        <w:t xml:space="preserve">Spit for Science (S4S) VCU Student Survey is an effort led by researchers at VCU to create a university-wide research opportunity for VCU students. The scientific focus of the project is to understand why some people are more likely than others to develop problems associated with the use of alcohol and other substances, and difficulties with emotional health. The project aims to understand how individual predispositions come together with environmental factors to contribute to these outcomes. 21.3% of the sample is of </w:t>
      </w:r>
      <w:r w:rsidR="00CB7254">
        <w:rPr>
          <w:color w:val="000000" w:themeColor="text1"/>
        </w:rPr>
        <w:t>AFR-like ancestry</w:t>
      </w:r>
      <w:r w:rsidRPr="006D4CB5">
        <w:rPr>
          <w:color w:val="000000" w:themeColor="text1"/>
        </w:rPr>
        <w:t xml:space="preserve">, 12.5% is </w:t>
      </w:r>
      <w:r w:rsidR="00CB7254">
        <w:rPr>
          <w:color w:val="000000" w:themeColor="text1"/>
        </w:rPr>
        <w:t>AMR-like</w:t>
      </w:r>
      <w:r w:rsidRPr="006D4CB5">
        <w:rPr>
          <w:color w:val="000000" w:themeColor="text1"/>
        </w:rPr>
        <w:t xml:space="preserve">, 9.7% is </w:t>
      </w:r>
      <w:r w:rsidR="00CB7254">
        <w:rPr>
          <w:color w:val="000000" w:themeColor="text1"/>
        </w:rPr>
        <w:t>EAS-like</w:t>
      </w:r>
      <w:r w:rsidRPr="006D4CB5">
        <w:rPr>
          <w:color w:val="000000" w:themeColor="text1"/>
        </w:rPr>
        <w:t xml:space="preserve">, 47.9% is </w:t>
      </w:r>
      <w:r w:rsidR="00CB7254">
        <w:rPr>
          <w:color w:val="000000" w:themeColor="text1"/>
        </w:rPr>
        <w:t>EUR-like</w:t>
      </w:r>
      <w:r w:rsidRPr="006D4CB5">
        <w:rPr>
          <w:color w:val="000000" w:themeColor="text1"/>
        </w:rPr>
        <w:t xml:space="preserve"> and 8.6% is </w:t>
      </w:r>
      <w:r w:rsidR="00CB7254">
        <w:rPr>
          <w:color w:val="000000" w:themeColor="text1"/>
        </w:rPr>
        <w:t>SAS-like</w:t>
      </w:r>
      <w:r w:rsidRPr="006D4CB5">
        <w:rPr>
          <w:color w:val="000000" w:themeColor="text1"/>
        </w:rPr>
        <w:t xml:space="preserve">. Participants rated themselves using shortened 15-item Big Five inventory, which measures extraversion, agreeableness, conscientiousness, neuroticism, and openness to experience. Among participants with genome-wide data, 7,676 individuals aged 17.8-32.1 (M = 18.6, SD = 0.6; 62% female) were available for the present analyses, with N = 1637 and 3849 participants contributing to </w:t>
      </w:r>
      <w:r w:rsidR="00CB7254">
        <w:rPr>
          <w:color w:val="000000" w:themeColor="text1"/>
        </w:rPr>
        <w:t>AFR-like and EUR-like</w:t>
      </w:r>
      <w:r w:rsidRPr="006D4CB5">
        <w:rPr>
          <w:color w:val="000000" w:themeColor="text1"/>
        </w:rPr>
        <w:t xml:space="preserve"> analyses, correspondently.</w:t>
      </w:r>
    </w:p>
    <w:p w14:paraId="50FC1906" w14:textId="71065D56" w:rsidR="00792F47" w:rsidRPr="006D4CB5" w:rsidRDefault="00792F47" w:rsidP="00792F47">
      <w:pPr>
        <w:ind w:firstLine="720"/>
        <w:rPr>
          <w:color w:val="000000" w:themeColor="text1"/>
        </w:rPr>
      </w:pPr>
      <w:r w:rsidRPr="006D4CB5">
        <w:rPr>
          <w:color w:val="000000" w:themeColor="text1"/>
        </w:rPr>
        <w:t xml:space="preserve">Spit for Science has been supported by Virginia Commonwealth University, P20 AA017828, R37AA011408, K02AA018755, P50 AA022537, </w:t>
      </w:r>
      <w:proofErr w:type="gramStart"/>
      <w:r w:rsidRPr="006D4CB5">
        <w:rPr>
          <w:color w:val="000000" w:themeColor="text1"/>
        </w:rPr>
        <w:t>and  K</w:t>
      </w:r>
      <w:proofErr w:type="gramEnd"/>
      <w:r w:rsidRPr="006D4CB5">
        <w:rPr>
          <w:color w:val="000000" w:themeColor="text1"/>
        </w:rPr>
        <w:t xml:space="preserve">01AA024152 from the National Institute on Alcohol Abuse and Alcoholism, and UL1RR031990 from the National Center for Research Resources and National Institutes of Health Roadmap for Medical Research. This research was also supported </w:t>
      </w:r>
      <w:proofErr w:type="gramStart"/>
      <w:r w:rsidRPr="006D4CB5">
        <w:rPr>
          <w:color w:val="000000" w:themeColor="text1"/>
        </w:rPr>
        <w:t>by  the</w:t>
      </w:r>
      <w:proofErr w:type="gramEnd"/>
      <w:r w:rsidRPr="006D4CB5">
        <w:rPr>
          <w:color w:val="000000" w:themeColor="text1"/>
        </w:rPr>
        <w:t xml:space="preserve"> Center for the Study of Tobacco Products at Virginia Commonwealth University. The content is solely the responsibility of the authors and does not necessarily represent the views of the NIH or the FDA. We would like to thank Dr. Danielle Dick for founding and directing the Spit for Science Registry from 2011-2022, and the Spit for Science participants for making this study a success, as well as the many University faculty, students, and staff who contributed to the design and implementation of the project.</w:t>
      </w:r>
    </w:p>
    <w:p w14:paraId="16589CC1" w14:textId="77777777" w:rsidR="00076353" w:rsidRPr="006D4CB5" w:rsidRDefault="00076353" w:rsidP="00076353">
      <w:pPr>
        <w:ind w:firstLine="720"/>
        <w:rPr>
          <w:color w:val="000000" w:themeColor="text1"/>
        </w:rPr>
      </w:pPr>
    </w:p>
    <w:p w14:paraId="60824EBC" w14:textId="77777777" w:rsidR="00076353" w:rsidRPr="006D4CB5" w:rsidRDefault="00076353" w:rsidP="00076353">
      <w:pPr>
        <w:jc w:val="center"/>
        <w:rPr>
          <w:b/>
          <w:bCs/>
          <w:color w:val="000000" w:themeColor="text1"/>
        </w:rPr>
      </w:pPr>
      <w:proofErr w:type="spellStart"/>
      <w:r w:rsidRPr="006D4CB5">
        <w:rPr>
          <w:b/>
          <w:bCs/>
          <w:color w:val="000000" w:themeColor="text1"/>
        </w:rPr>
        <w:t>SardiNIA</w:t>
      </w:r>
      <w:proofErr w:type="spellEnd"/>
    </w:p>
    <w:p w14:paraId="3E26C0D7" w14:textId="518DA23C" w:rsidR="00076353" w:rsidRPr="006D4CB5" w:rsidRDefault="00076353" w:rsidP="00D51AE2">
      <w:pPr>
        <w:ind w:firstLine="720"/>
        <w:rPr>
          <w:color w:val="000000" w:themeColor="text1"/>
        </w:rPr>
      </w:pPr>
      <w:r w:rsidRPr="006D4CB5">
        <w:rPr>
          <w:color w:val="000000" w:themeColor="text1"/>
        </w:rPr>
        <w:t xml:space="preserve">The </w:t>
      </w:r>
      <w:proofErr w:type="spellStart"/>
      <w:r w:rsidRPr="006D4CB5">
        <w:rPr>
          <w:color w:val="000000" w:themeColor="text1"/>
        </w:rPr>
        <w:t>SardiNIA</w:t>
      </w:r>
      <w:proofErr w:type="spellEnd"/>
      <w:r w:rsidRPr="006D4CB5">
        <w:rPr>
          <w:color w:val="000000" w:themeColor="text1"/>
        </w:rPr>
        <w:t xml:space="preserve"> longitudinal project is an ongoing study of about 8,000 general population participants enrolled in four small towns of the central east coast of Sardinia, Italy (</w:t>
      </w:r>
      <w:proofErr w:type="spellStart"/>
      <w:r w:rsidRPr="006D4CB5">
        <w:rPr>
          <w:color w:val="000000" w:themeColor="text1"/>
        </w:rPr>
        <w:t>Orrù</w:t>
      </w:r>
      <w:proofErr w:type="spellEnd"/>
      <w:r w:rsidRPr="006D4CB5">
        <w:rPr>
          <w:color w:val="000000" w:themeColor="text1"/>
        </w:rPr>
        <w:t xml:space="preserve"> et al. 2013, </w:t>
      </w:r>
      <w:proofErr w:type="spellStart"/>
      <w:r w:rsidRPr="006D4CB5">
        <w:rPr>
          <w:color w:val="000000" w:themeColor="text1"/>
        </w:rPr>
        <w:t>Steri</w:t>
      </w:r>
      <w:proofErr w:type="spellEnd"/>
      <w:r w:rsidRPr="006D4CB5">
        <w:rPr>
          <w:color w:val="000000" w:themeColor="text1"/>
        </w:rPr>
        <w:t xml:space="preserve"> et al. 2017). The study captures 5 phases of sample and data collection and investigates the genetics and epidemiology of complex traits/phenotypes, including immune, cardiometabolic risk factors, a variety of biometrical parameters and personality and cognitive features. Among participants with genome-wide data, 5,697 individuals from 1,102 families aged 14-94 (M = 42.83, SD = 17.1, male 2407; female 3290; 57.75% female) were available for the present analyses, with all participants with </w:t>
      </w:r>
      <w:r w:rsidR="00CB7254">
        <w:rPr>
          <w:color w:val="000000" w:themeColor="text1"/>
        </w:rPr>
        <w:t>EUR-like genomes</w:t>
      </w:r>
      <w:r w:rsidRPr="006D4CB5">
        <w:rPr>
          <w:color w:val="000000" w:themeColor="text1"/>
        </w:rPr>
        <w:t xml:space="preserve">. All </w:t>
      </w:r>
      <w:proofErr w:type="spellStart"/>
      <w:r w:rsidRPr="006D4CB5">
        <w:rPr>
          <w:color w:val="000000" w:themeColor="text1"/>
        </w:rPr>
        <w:t>SardiNIA</w:t>
      </w:r>
      <w:proofErr w:type="spellEnd"/>
      <w:r w:rsidRPr="006D4CB5">
        <w:rPr>
          <w:color w:val="000000" w:themeColor="text1"/>
        </w:rPr>
        <w:t xml:space="preserve"> participants completed once the Italian version (Terracciano, 2003) of the Revised NEO Personality </w:t>
      </w:r>
      <w:r w:rsidRPr="006D4CB5">
        <w:rPr>
          <w:color w:val="000000" w:themeColor="text1"/>
        </w:rPr>
        <w:lastRenderedPageBreak/>
        <w:t xml:space="preserve">Inventory (NEO-PI </w:t>
      </w:r>
      <w:proofErr w:type="gramStart"/>
      <w:r w:rsidRPr="006D4CB5">
        <w:rPr>
          <w:color w:val="000000" w:themeColor="text1"/>
        </w:rPr>
        <w:t>R)(</w:t>
      </w:r>
      <w:proofErr w:type="gramEnd"/>
      <w:r w:rsidRPr="006D4CB5">
        <w:rPr>
          <w:color w:val="000000" w:themeColor="text1"/>
        </w:rPr>
        <w:t xml:space="preserve">Costa &amp; McCrae). The questionnaire consists of 240 items answered on a 5-point Likert scale, from "strongly disagree" to "strongly agree". Data across languages and cultures support the reliability and validity of the NEO-PI R (McCrae et al., 2005). Indeed, in the </w:t>
      </w:r>
      <w:proofErr w:type="spellStart"/>
      <w:r w:rsidRPr="006D4CB5">
        <w:rPr>
          <w:color w:val="000000" w:themeColor="text1"/>
        </w:rPr>
        <w:t>SardiNIA</w:t>
      </w:r>
      <w:proofErr w:type="spellEnd"/>
      <w:r w:rsidRPr="006D4CB5">
        <w:rPr>
          <w:color w:val="000000" w:themeColor="text1"/>
        </w:rPr>
        <w:t xml:space="preserve"> cohort, the factor structure showed high congruence with the normative structure (Tucker phi ≥ 0.91) and high internal consistency (Cronbach alpha ≥ .80) for the five factors (Costa et al., 2007).</w:t>
      </w:r>
    </w:p>
    <w:p w14:paraId="4BE5CAA1" w14:textId="77777777" w:rsidR="00076353" w:rsidRPr="006D4CB5" w:rsidRDefault="00076353" w:rsidP="00076353">
      <w:pPr>
        <w:rPr>
          <w:b/>
          <w:bCs/>
          <w:color w:val="000000" w:themeColor="text1"/>
        </w:rPr>
      </w:pPr>
    </w:p>
    <w:p w14:paraId="499B6C83" w14:textId="77777777" w:rsidR="00076353" w:rsidRPr="006D4CB5" w:rsidRDefault="00076353" w:rsidP="00076353">
      <w:pPr>
        <w:autoSpaceDE w:val="0"/>
        <w:autoSpaceDN w:val="0"/>
        <w:adjustRightInd w:val="0"/>
        <w:jc w:val="center"/>
        <w:rPr>
          <w:b/>
          <w:bCs/>
          <w:color w:val="000000" w:themeColor="text1"/>
        </w:rPr>
      </w:pPr>
      <w:r w:rsidRPr="006D4CB5">
        <w:rPr>
          <w:b/>
          <w:bCs/>
          <w:color w:val="000000" w:themeColor="text1"/>
        </w:rPr>
        <w:t>The STAGE Cohort of the Swedish Twin Registry</w:t>
      </w:r>
    </w:p>
    <w:p w14:paraId="6A9EB840" w14:textId="77777777" w:rsidR="00076353" w:rsidRPr="006D4CB5" w:rsidRDefault="00076353" w:rsidP="00076353">
      <w:pPr>
        <w:autoSpaceDE w:val="0"/>
        <w:autoSpaceDN w:val="0"/>
        <w:adjustRightInd w:val="0"/>
        <w:ind w:firstLine="720"/>
        <w:rPr>
          <w:color w:val="000000" w:themeColor="text1"/>
        </w:rPr>
      </w:pPr>
      <w:r w:rsidRPr="006D4CB5">
        <w:rPr>
          <w:color w:val="000000" w:themeColor="text1"/>
        </w:rPr>
        <w:t>Personality data in the Swedish STAGE cohort, which includes all adult twins born between 1959 and 1985 registered with the Swedish Twin Registry (Lichtenstein et al., 2022; Lichtenstein et al., 2006; Magnusson et al., 2013), were collected online in 2012 and 2013 as part of a larger study on music-related traits. In total around 9,800 twins filled in a Swedish translation (Zakrisson, 2010) of the 44-item Big Five Inventory (BFI; John et al., 2008) a</w:t>
      </w:r>
      <w:r w:rsidRPr="006D4CB5">
        <w:rPr>
          <w:noProof/>
          <w:color w:val="000000" w:themeColor="text1"/>
        </w:rPr>
        <w:t>ssessing extraversion, agreeableness, conscientiousness, neuroticism, and openness to experience.</w:t>
      </w:r>
      <w:r w:rsidRPr="006D4CB5">
        <w:rPr>
          <w:color w:val="000000" w:themeColor="text1"/>
        </w:rPr>
        <w:t xml:space="preserve"> Responses were given on a five-point Likert scale, ranging from ‘do not agree at all’ to ‘agree completely’. Reliability and validity of the Swedish version </w:t>
      </w:r>
      <w:proofErr w:type="gramStart"/>
      <w:r w:rsidRPr="006D4CB5">
        <w:rPr>
          <w:color w:val="000000" w:themeColor="text1"/>
        </w:rPr>
        <w:t>has</w:t>
      </w:r>
      <w:proofErr w:type="gramEnd"/>
      <w:r w:rsidRPr="006D4CB5">
        <w:rPr>
          <w:color w:val="000000" w:themeColor="text1"/>
        </w:rPr>
        <w:t xml:space="preserve"> been found to be </w:t>
      </w:r>
      <w:proofErr w:type="gramStart"/>
      <w:r w:rsidRPr="006D4CB5">
        <w:rPr>
          <w:color w:val="000000" w:themeColor="text1"/>
        </w:rPr>
        <w:t>similar to</w:t>
      </w:r>
      <w:proofErr w:type="gramEnd"/>
      <w:r w:rsidRPr="006D4CB5">
        <w:rPr>
          <w:color w:val="000000" w:themeColor="text1"/>
        </w:rPr>
        <w:t xml:space="preserve"> previously reported estimates for personality (Zakrisson, 2010). Among participants with BFI data, N = 5,213 aged between 27 and 54 (M = 40.9, SD = 7.80, 61.7% female) from 4,220 families were genotyped and available for the present analyses. The study was approved by the Regional Ethics Review Board in Stockholm (</w:t>
      </w:r>
      <w:proofErr w:type="spellStart"/>
      <w:r w:rsidRPr="006D4CB5">
        <w:rPr>
          <w:color w:val="000000" w:themeColor="text1"/>
        </w:rPr>
        <w:t>Dnrs</w:t>
      </w:r>
      <w:proofErr w:type="spellEnd"/>
      <w:r w:rsidRPr="006D4CB5">
        <w:rPr>
          <w:color w:val="000000" w:themeColor="text1"/>
        </w:rPr>
        <w:t xml:space="preserve"> 2011/570-31/5, 2011/1425-31, 2012/1107/32 and 2019-05879).</w:t>
      </w:r>
    </w:p>
    <w:p w14:paraId="77F75509" w14:textId="2C1F280F" w:rsidR="00076353" w:rsidRPr="006D4CB5" w:rsidRDefault="00076353" w:rsidP="00D51AE2">
      <w:pPr>
        <w:autoSpaceDE w:val="0"/>
        <w:autoSpaceDN w:val="0"/>
        <w:adjustRightInd w:val="0"/>
        <w:ind w:firstLine="720"/>
        <w:rPr>
          <w:color w:val="000000" w:themeColor="text1"/>
        </w:rPr>
      </w:pPr>
      <w:r w:rsidRPr="006D4CB5">
        <w:rPr>
          <w:color w:val="000000" w:themeColor="text1"/>
          <w:shd w:val="clear" w:color="auto" w:fill="FFFFFF"/>
        </w:rPr>
        <w:t xml:space="preserve">The Swedish Twin Registry is managed by Karolinska </w:t>
      </w:r>
      <w:proofErr w:type="spellStart"/>
      <w:r w:rsidRPr="006D4CB5">
        <w:rPr>
          <w:color w:val="000000" w:themeColor="text1"/>
          <w:shd w:val="clear" w:color="auto" w:fill="FFFFFF"/>
        </w:rPr>
        <w:t>Institutet</w:t>
      </w:r>
      <w:proofErr w:type="spellEnd"/>
      <w:r w:rsidRPr="006D4CB5">
        <w:rPr>
          <w:color w:val="000000" w:themeColor="text1"/>
          <w:shd w:val="clear" w:color="auto" w:fill="FFFFFF"/>
        </w:rPr>
        <w:t xml:space="preserve"> and receives funding through the Swedish Research Council under the grant no 2017-00641.</w:t>
      </w:r>
      <w:r w:rsidRPr="006D4CB5">
        <w:rPr>
          <w:i/>
          <w:iCs/>
          <w:color w:val="000000" w:themeColor="text1"/>
          <w:shd w:val="clear" w:color="auto" w:fill="FFFFFF"/>
        </w:rPr>
        <w:t xml:space="preserve"> </w:t>
      </w:r>
      <w:r w:rsidRPr="006D4CB5">
        <w:rPr>
          <w:color w:val="000000" w:themeColor="text1"/>
        </w:rPr>
        <w:t xml:space="preserve">The computations and data handling </w:t>
      </w:r>
      <w:proofErr w:type="gramStart"/>
      <w:r w:rsidRPr="006D4CB5">
        <w:rPr>
          <w:color w:val="000000" w:themeColor="text1"/>
        </w:rPr>
        <w:t>was</w:t>
      </w:r>
      <w:proofErr w:type="gramEnd"/>
      <w:r w:rsidRPr="006D4CB5">
        <w:rPr>
          <w:color w:val="000000" w:themeColor="text1"/>
        </w:rPr>
        <w:t xml:space="preserve"> enabled by resources provided by the National Academic Infrastructure for Supercomputing in Sweden (NAISS) and the Swedish National Infrastructure for Computing (SNIC) at Uppsala Multidisciplinary Center for Advanced Computational Science (UPPMAX) partially funded by the Swedish Research Council through grant agreements no. 2022-06725 and no. 2018-05973.v</w:t>
      </w:r>
    </w:p>
    <w:p w14:paraId="225C26FE" w14:textId="77777777" w:rsidR="00076353" w:rsidRPr="006D4CB5" w:rsidRDefault="00076353" w:rsidP="00076353">
      <w:pPr>
        <w:rPr>
          <w:b/>
          <w:bCs/>
          <w:color w:val="000000" w:themeColor="text1"/>
        </w:rPr>
      </w:pPr>
    </w:p>
    <w:p w14:paraId="44509831" w14:textId="77777777" w:rsidR="00076353" w:rsidRPr="006D4CB5" w:rsidRDefault="00076353" w:rsidP="00076353">
      <w:pPr>
        <w:jc w:val="center"/>
        <w:rPr>
          <w:b/>
          <w:bCs/>
          <w:color w:val="000000" w:themeColor="text1"/>
        </w:rPr>
      </w:pPr>
      <w:r w:rsidRPr="006D4CB5">
        <w:rPr>
          <w:b/>
          <w:bCs/>
          <w:color w:val="000000" w:themeColor="text1"/>
        </w:rPr>
        <w:t>Twins Early Development Study (TEDS)</w:t>
      </w:r>
    </w:p>
    <w:p w14:paraId="62EB794C" w14:textId="77777777" w:rsidR="00076353" w:rsidRPr="006D4CB5" w:rsidRDefault="00076353" w:rsidP="00076353">
      <w:pPr>
        <w:ind w:firstLine="720"/>
        <w:rPr>
          <w:color w:val="000000" w:themeColor="text1"/>
        </w:rPr>
      </w:pPr>
      <w:r w:rsidRPr="006D4CB5">
        <w:rPr>
          <w:color w:val="000000" w:themeColor="text1"/>
        </w:rPr>
        <w:t xml:space="preserve">The Twins Early Development Study (TEDS), one of the largest twin cohorts in the world, investigates how genetic and environmental factors shape individual differences in cognitive abilities, educational achievement, behavior, and emotions in the context of typical development. All twins born in England and Wales between 1994 and 1996 were invited to take part in the study, with over 13,000 families participating in the first wave of data collection when twins were around 18 months old. The sample remains </w:t>
      </w:r>
      <w:proofErr w:type="gramStart"/>
      <w:r w:rsidRPr="006D4CB5">
        <w:rPr>
          <w:color w:val="000000" w:themeColor="text1"/>
        </w:rPr>
        <w:t>fairly representative</w:t>
      </w:r>
      <w:proofErr w:type="gramEnd"/>
      <w:r w:rsidRPr="006D4CB5">
        <w:rPr>
          <w:color w:val="000000" w:themeColor="text1"/>
        </w:rPr>
        <w:t xml:space="preserve"> of the population in England and Wales in terms of ethnicity and family socioeconomic factors. 92.9% of the full sample is white, comparable with the national equivalents of 93% for cohorts of parents with young children born in late 1990s – early 2000s. More details about the representativeness of the TEDS sample in terms of family socioeconomic factors is available in </w:t>
      </w:r>
      <w:proofErr w:type="spellStart"/>
      <w:r w:rsidRPr="006D4CB5">
        <w:rPr>
          <w:color w:val="000000" w:themeColor="text1"/>
        </w:rPr>
        <w:t>Rimfeld</w:t>
      </w:r>
      <w:proofErr w:type="spellEnd"/>
      <w:r w:rsidRPr="006D4CB5">
        <w:rPr>
          <w:color w:val="000000" w:themeColor="text1"/>
        </w:rPr>
        <w:t xml:space="preserve"> et al. (2019). </w:t>
      </w:r>
    </w:p>
    <w:p w14:paraId="7AA5A0C9" w14:textId="544F539D" w:rsidR="00076353" w:rsidRPr="006D4CB5" w:rsidRDefault="00076353" w:rsidP="00D51AE2">
      <w:pPr>
        <w:ind w:firstLine="720"/>
        <w:rPr>
          <w:color w:val="000000" w:themeColor="text1"/>
        </w:rPr>
      </w:pPr>
      <w:r w:rsidRPr="006D4CB5">
        <w:rPr>
          <w:color w:val="000000" w:themeColor="text1"/>
        </w:rPr>
        <w:t>TEDS twins rated themselves on the 30-item Big Five personality test (Mullins-Sweatt et al., 2006), which has 6 items for each trait, at ages 16 and 21. We performed GWAS on the aggregated scores across the two measurement occasions. Overall, 41.1% of the available sample were male. For PGI analyses, 6,362 participants were included in population-level PGI analyses, and 4,751 participants were included in within-family PGI analyses.</w:t>
      </w:r>
    </w:p>
    <w:p w14:paraId="3F163050" w14:textId="77777777" w:rsidR="00076353" w:rsidRPr="006D4CB5" w:rsidRDefault="00076353" w:rsidP="00076353">
      <w:pPr>
        <w:rPr>
          <w:b/>
          <w:bCs/>
          <w:color w:val="000000" w:themeColor="text1"/>
        </w:rPr>
      </w:pPr>
    </w:p>
    <w:p w14:paraId="5148391D" w14:textId="77777777" w:rsidR="00076353" w:rsidRPr="006D4CB5" w:rsidRDefault="00076353" w:rsidP="00076353">
      <w:pPr>
        <w:jc w:val="center"/>
        <w:rPr>
          <w:b/>
          <w:bCs/>
          <w:color w:val="000000" w:themeColor="text1"/>
        </w:rPr>
      </w:pPr>
      <w:r w:rsidRPr="006D4CB5">
        <w:rPr>
          <w:b/>
          <w:bCs/>
          <w:color w:val="000000" w:themeColor="text1"/>
        </w:rPr>
        <w:lastRenderedPageBreak/>
        <w:t>Tracking Adolescents’ Individual Lives Survey Parent Sample (TRAILS)</w:t>
      </w:r>
    </w:p>
    <w:p w14:paraId="5AC3F562" w14:textId="5407ECB0" w:rsidR="00076353" w:rsidRPr="006D4CB5" w:rsidRDefault="00076353" w:rsidP="00076353">
      <w:pPr>
        <w:ind w:firstLine="720"/>
        <w:rPr>
          <w:color w:val="000000" w:themeColor="text1"/>
        </w:rPr>
      </w:pPr>
      <w:r w:rsidRPr="006D4CB5">
        <w:rPr>
          <w:color w:val="000000" w:themeColor="text1"/>
        </w:rPr>
        <w:t>TRAILS (</w:t>
      </w:r>
      <w:proofErr w:type="spellStart"/>
      <w:r w:rsidRPr="006D4CB5">
        <w:rPr>
          <w:color w:val="000000" w:themeColor="text1"/>
        </w:rPr>
        <w:t>TRacking</w:t>
      </w:r>
      <w:proofErr w:type="spellEnd"/>
      <w:r w:rsidRPr="006D4CB5">
        <w:rPr>
          <w:color w:val="000000" w:themeColor="text1"/>
        </w:rPr>
        <w:t xml:space="preserve"> Adolescents’ Individual Lives Survey; https://www.trails.nl/en/home) is an ongoing prospective cohort study of Dutch adolescents and young adults, with bi- or triennial measurements from age 11 onwards, which started in 2001 (Huisman et al., 2008; </w:t>
      </w:r>
      <w:proofErr w:type="spellStart"/>
      <w:r w:rsidRPr="006D4CB5">
        <w:rPr>
          <w:color w:val="000000" w:themeColor="text1"/>
        </w:rPr>
        <w:t>Oldehinkel</w:t>
      </w:r>
      <w:proofErr w:type="spellEnd"/>
      <w:r w:rsidRPr="006D4CB5">
        <w:rPr>
          <w:color w:val="000000" w:themeColor="text1"/>
        </w:rPr>
        <w:t xml:space="preserve"> et al., 2015). TRAILS consists of a general population and a clinical cohort (TRAILS-CC), both from the North of the Netherlands. The study was approved by the Dutch Central Committee on Research Involving Human Subjects. At the third study wave, both the adolescents and their parents provided information about their personality. For the present purposes, we only used parental data, because the data of parents and children are not independent. Personality data was available for approximately 870 fathers (mean age 47.7, SD 5.0, range 33-74 years) and 1,090 mothers (mean age 44.9, SD 4.7, range 32-60 years), all</w:t>
      </w:r>
      <w:r w:rsidR="00CB7254">
        <w:rPr>
          <w:color w:val="000000" w:themeColor="text1"/>
        </w:rPr>
        <w:t xml:space="preserve"> who had EUR-like genomes</w:t>
      </w:r>
      <w:r w:rsidRPr="006D4CB5">
        <w:rPr>
          <w:color w:val="000000" w:themeColor="text1"/>
        </w:rPr>
        <w:t>. Based on several facets of the NEO-PI-R (Costa &amp; McCrae, 1992), we constructed scores for neuroticism, extraversion, and conscientiousness. More specifically, the Neuroticism score was calculated by averaging the facet scores on Angry Hostility, Self-consciousness, Impulsivity, and Vulnerability; the Extraversion score by averaging the scores on Assertiveness, Gregariousness, Activity, and Excitement seeking; and the Conscientiousness score by averaging the scores on Competence, Achievement Striving, Self-discipline, and Deliberation.</w:t>
      </w:r>
    </w:p>
    <w:p w14:paraId="35C02CBB" w14:textId="1B76D95E" w:rsidR="00076353" w:rsidRPr="006D4CB5" w:rsidRDefault="00076353" w:rsidP="00D51AE2">
      <w:pPr>
        <w:ind w:firstLine="720"/>
        <w:rPr>
          <w:color w:val="000000" w:themeColor="text1"/>
        </w:rPr>
      </w:pPr>
      <w:r w:rsidRPr="006D4CB5">
        <w:rPr>
          <w:color w:val="000000" w:themeColor="text1"/>
          <w:shd w:val="clear" w:color="auto" w:fill="FFFFFF"/>
        </w:rPr>
        <w:t>TRAILS is a collaborative project involving</w:t>
      </w:r>
      <w:r w:rsidRPr="006D4CB5">
        <w:rPr>
          <w:color w:val="000000" w:themeColor="text1"/>
        </w:rPr>
        <w:t xml:space="preserve"> </w:t>
      </w:r>
      <w:r w:rsidRPr="006D4CB5">
        <w:rPr>
          <w:color w:val="000000" w:themeColor="text1"/>
          <w:shd w:val="clear" w:color="auto" w:fill="FFFFFF"/>
        </w:rPr>
        <w:t>various departments of the University Medical Center and University of Groningen, the</w:t>
      </w:r>
      <w:r w:rsidRPr="006D4CB5">
        <w:rPr>
          <w:color w:val="000000" w:themeColor="text1"/>
        </w:rPr>
        <w:t xml:space="preserve"> </w:t>
      </w:r>
      <w:r w:rsidRPr="006D4CB5">
        <w:rPr>
          <w:color w:val="000000" w:themeColor="text1"/>
          <w:shd w:val="clear" w:color="auto" w:fill="FFFFFF"/>
        </w:rPr>
        <w:t>University of Utrecht, and the Parnassia Psychiatric Institute, all in the Netherlands. TRAILS has been financially supported by grants from the Netherlands Organization for Scientific Research</w:t>
      </w:r>
      <w:r w:rsidRPr="006D4CB5">
        <w:rPr>
          <w:color w:val="000000" w:themeColor="text1"/>
        </w:rPr>
        <w:t xml:space="preserve"> </w:t>
      </w:r>
      <w:r w:rsidRPr="006D4CB5">
        <w:rPr>
          <w:color w:val="000000" w:themeColor="text1"/>
          <w:shd w:val="clear" w:color="auto" w:fill="FFFFFF"/>
        </w:rPr>
        <w:t xml:space="preserve">NWO (Medical Research Council program grant GB-MW 940-38-011; </w:t>
      </w:r>
      <w:proofErr w:type="spellStart"/>
      <w:r w:rsidRPr="006D4CB5">
        <w:rPr>
          <w:color w:val="000000" w:themeColor="text1"/>
          <w:shd w:val="clear" w:color="auto" w:fill="FFFFFF"/>
        </w:rPr>
        <w:t>ZonMW</w:t>
      </w:r>
      <w:proofErr w:type="spellEnd"/>
      <w:r w:rsidRPr="006D4CB5">
        <w:rPr>
          <w:color w:val="000000" w:themeColor="text1"/>
          <w:shd w:val="clear" w:color="auto" w:fill="FFFFFF"/>
        </w:rPr>
        <w:t xml:space="preserve"> Brainpower</w:t>
      </w:r>
      <w:r w:rsidRPr="006D4CB5">
        <w:rPr>
          <w:color w:val="000000" w:themeColor="text1"/>
        </w:rPr>
        <w:t xml:space="preserve"> </w:t>
      </w:r>
      <w:r w:rsidRPr="006D4CB5">
        <w:rPr>
          <w:color w:val="000000" w:themeColor="text1"/>
          <w:shd w:val="clear" w:color="auto" w:fill="FFFFFF"/>
        </w:rPr>
        <w:t xml:space="preserve">grant 100-001-004; </w:t>
      </w:r>
      <w:proofErr w:type="spellStart"/>
      <w:r w:rsidRPr="006D4CB5">
        <w:rPr>
          <w:color w:val="000000" w:themeColor="text1"/>
          <w:shd w:val="clear" w:color="auto" w:fill="FFFFFF"/>
        </w:rPr>
        <w:t>ZonMw</w:t>
      </w:r>
      <w:proofErr w:type="spellEnd"/>
      <w:r w:rsidRPr="006D4CB5">
        <w:rPr>
          <w:color w:val="000000" w:themeColor="text1"/>
          <w:shd w:val="clear" w:color="auto" w:fill="FFFFFF"/>
        </w:rPr>
        <w:t xml:space="preserve"> Risk Behavior and Dependence grant 60-60600-97-118; </w:t>
      </w:r>
      <w:proofErr w:type="spellStart"/>
      <w:r w:rsidRPr="006D4CB5">
        <w:rPr>
          <w:color w:val="000000" w:themeColor="text1"/>
          <w:shd w:val="clear" w:color="auto" w:fill="FFFFFF"/>
        </w:rPr>
        <w:t>ZonMw</w:t>
      </w:r>
      <w:proofErr w:type="spellEnd"/>
      <w:r w:rsidRPr="006D4CB5">
        <w:rPr>
          <w:color w:val="000000" w:themeColor="text1"/>
        </w:rPr>
        <w:t xml:space="preserve"> </w:t>
      </w:r>
      <w:r w:rsidRPr="006D4CB5">
        <w:rPr>
          <w:color w:val="000000" w:themeColor="text1"/>
          <w:shd w:val="clear" w:color="auto" w:fill="FFFFFF"/>
        </w:rPr>
        <w:t>Culture and Health grant 261-98-710; Social Sciences Council medium-sized investment grants</w:t>
      </w:r>
      <w:r w:rsidRPr="006D4CB5">
        <w:rPr>
          <w:color w:val="000000" w:themeColor="text1"/>
        </w:rPr>
        <w:t xml:space="preserve"> </w:t>
      </w:r>
      <w:r w:rsidRPr="006D4CB5">
        <w:rPr>
          <w:color w:val="000000" w:themeColor="text1"/>
          <w:shd w:val="clear" w:color="auto" w:fill="FFFFFF"/>
        </w:rPr>
        <w:t>GB-</w:t>
      </w:r>
      <w:proofErr w:type="spellStart"/>
      <w:r w:rsidRPr="006D4CB5">
        <w:rPr>
          <w:color w:val="000000" w:themeColor="text1"/>
          <w:shd w:val="clear" w:color="auto" w:fill="FFFFFF"/>
        </w:rPr>
        <w:t>MaGW</w:t>
      </w:r>
      <w:proofErr w:type="spellEnd"/>
      <w:r w:rsidRPr="006D4CB5">
        <w:rPr>
          <w:color w:val="000000" w:themeColor="text1"/>
          <w:shd w:val="clear" w:color="auto" w:fill="FFFFFF"/>
        </w:rPr>
        <w:t xml:space="preserve"> 480-01-006 and GB-</w:t>
      </w:r>
      <w:proofErr w:type="spellStart"/>
      <w:r w:rsidRPr="006D4CB5">
        <w:rPr>
          <w:color w:val="000000" w:themeColor="text1"/>
          <w:shd w:val="clear" w:color="auto" w:fill="FFFFFF"/>
        </w:rPr>
        <w:t>MaGW</w:t>
      </w:r>
      <w:proofErr w:type="spellEnd"/>
      <w:r w:rsidRPr="006D4CB5">
        <w:rPr>
          <w:color w:val="000000" w:themeColor="text1"/>
          <w:shd w:val="clear" w:color="auto" w:fill="FFFFFF"/>
        </w:rPr>
        <w:t xml:space="preserve"> 480-07-001; Social Sciences Council project grants GB-</w:t>
      </w:r>
      <w:proofErr w:type="spellStart"/>
      <w:r w:rsidRPr="006D4CB5">
        <w:rPr>
          <w:color w:val="000000" w:themeColor="text1"/>
          <w:shd w:val="clear" w:color="auto" w:fill="FFFFFF"/>
        </w:rPr>
        <w:t>MaGW</w:t>
      </w:r>
      <w:proofErr w:type="spellEnd"/>
      <w:r w:rsidRPr="006D4CB5">
        <w:rPr>
          <w:color w:val="000000" w:themeColor="text1"/>
          <w:shd w:val="clear" w:color="auto" w:fill="FFFFFF"/>
        </w:rPr>
        <w:t xml:space="preserve"> 452-04-314 and GB-</w:t>
      </w:r>
      <w:proofErr w:type="spellStart"/>
      <w:r w:rsidRPr="006D4CB5">
        <w:rPr>
          <w:color w:val="000000" w:themeColor="text1"/>
          <w:shd w:val="clear" w:color="auto" w:fill="FFFFFF"/>
        </w:rPr>
        <w:t>MaGW</w:t>
      </w:r>
      <w:proofErr w:type="spellEnd"/>
      <w:r w:rsidRPr="006D4CB5">
        <w:rPr>
          <w:color w:val="000000" w:themeColor="text1"/>
          <w:shd w:val="clear" w:color="auto" w:fill="FFFFFF"/>
        </w:rPr>
        <w:t xml:space="preserve"> 452-06-004; </w:t>
      </w:r>
      <w:proofErr w:type="spellStart"/>
      <w:r w:rsidRPr="006D4CB5">
        <w:rPr>
          <w:color w:val="000000" w:themeColor="text1"/>
          <w:shd w:val="clear" w:color="auto" w:fill="FFFFFF"/>
        </w:rPr>
        <w:t>ZonMw</w:t>
      </w:r>
      <w:proofErr w:type="spellEnd"/>
      <w:r w:rsidRPr="006D4CB5">
        <w:rPr>
          <w:color w:val="000000" w:themeColor="text1"/>
          <w:shd w:val="clear" w:color="auto" w:fill="FFFFFF"/>
        </w:rPr>
        <w:t xml:space="preserve"> Longitudinal Cohort Research on</w:t>
      </w:r>
      <w:r w:rsidRPr="006D4CB5">
        <w:rPr>
          <w:color w:val="000000" w:themeColor="text1"/>
        </w:rPr>
        <w:t xml:space="preserve"> </w:t>
      </w:r>
      <w:r w:rsidRPr="006D4CB5">
        <w:rPr>
          <w:color w:val="000000" w:themeColor="text1"/>
          <w:shd w:val="clear" w:color="auto" w:fill="FFFFFF"/>
        </w:rPr>
        <w:t>Early Detection and Treatment in Mental Health Care grant 636340002, NWO large-sized</w:t>
      </w:r>
      <w:r w:rsidRPr="006D4CB5">
        <w:rPr>
          <w:color w:val="000000" w:themeColor="text1"/>
        </w:rPr>
        <w:t xml:space="preserve"> </w:t>
      </w:r>
      <w:r w:rsidRPr="006D4CB5">
        <w:rPr>
          <w:color w:val="000000" w:themeColor="text1"/>
          <w:shd w:val="clear" w:color="auto" w:fill="FFFFFF"/>
        </w:rPr>
        <w:t>investment grant 175.010.2003.005; NWO Longitudinal Survey and Panel Funding 481-08-013</w:t>
      </w:r>
      <w:r w:rsidRPr="006D4CB5">
        <w:rPr>
          <w:color w:val="000000" w:themeColor="text1"/>
        </w:rPr>
        <w:t xml:space="preserve"> </w:t>
      </w:r>
      <w:r w:rsidRPr="006D4CB5">
        <w:rPr>
          <w:color w:val="000000" w:themeColor="text1"/>
          <w:shd w:val="clear" w:color="auto" w:fill="FFFFFF"/>
        </w:rPr>
        <w:t xml:space="preserve">and 481-11-001; NWO Vici 016.130.002, 453-16-007/2735, and </w:t>
      </w:r>
      <w:proofErr w:type="spellStart"/>
      <w:r w:rsidRPr="006D4CB5">
        <w:rPr>
          <w:color w:val="000000" w:themeColor="text1"/>
          <w:shd w:val="clear" w:color="auto" w:fill="FFFFFF"/>
        </w:rPr>
        <w:t>Vi.C</w:t>
      </w:r>
      <w:proofErr w:type="spellEnd"/>
      <w:r w:rsidRPr="006D4CB5">
        <w:rPr>
          <w:color w:val="000000" w:themeColor="text1"/>
          <w:shd w:val="clear" w:color="auto" w:fill="FFFFFF"/>
        </w:rPr>
        <w:t xml:space="preserve"> 191.021; NOW</w:t>
      </w:r>
      <w:r w:rsidRPr="006D4CB5">
        <w:rPr>
          <w:color w:val="000000" w:themeColor="text1"/>
        </w:rPr>
        <w:t xml:space="preserve"> </w:t>
      </w:r>
      <w:r w:rsidRPr="006D4CB5">
        <w:rPr>
          <w:color w:val="000000" w:themeColor="text1"/>
          <w:shd w:val="clear" w:color="auto" w:fill="FFFFFF"/>
        </w:rPr>
        <w:t>Gravitation 024.001.003), the Dutch Ministry of Justice (WODC), the European Science</w:t>
      </w:r>
      <w:r w:rsidRPr="006D4CB5">
        <w:rPr>
          <w:color w:val="000000" w:themeColor="text1"/>
        </w:rPr>
        <w:t xml:space="preserve"> </w:t>
      </w:r>
      <w:r w:rsidRPr="006D4CB5">
        <w:rPr>
          <w:color w:val="000000" w:themeColor="text1"/>
          <w:shd w:val="clear" w:color="auto" w:fill="FFFFFF"/>
        </w:rPr>
        <w:t>Foundation (</w:t>
      </w:r>
      <w:proofErr w:type="spellStart"/>
      <w:r w:rsidRPr="006D4CB5">
        <w:rPr>
          <w:color w:val="000000" w:themeColor="text1"/>
          <w:shd w:val="clear" w:color="auto" w:fill="FFFFFF"/>
        </w:rPr>
        <w:t>EuroSTRESS</w:t>
      </w:r>
      <w:proofErr w:type="spellEnd"/>
      <w:r w:rsidRPr="006D4CB5">
        <w:rPr>
          <w:color w:val="000000" w:themeColor="text1"/>
          <w:shd w:val="clear" w:color="auto" w:fill="FFFFFF"/>
        </w:rPr>
        <w:t xml:space="preserve"> project FP-006), the European Research Council (ERC-2017-STG-757364 </w:t>
      </w:r>
      <w:proofErr w:type="spellStart"/>
      <w:r w:rsidRPr="006D4CB5">
        <w:rPr>
          <w:color w:val="000000" w:themeColor="text1"/>
          <w:shd w:val="clear" w:color="auto" w:fill="FFFFFF"/>
        </w:rPr>
        <w:t>en</w:t>
      </w:r>
      <w:proofErr w:type="spellEnd"/>
      <w:r w:rsidRPr="006D4CB5">
        <w:rPr>
          <w:color w:val="000000" w:themeColor="text1"/>
          <w:shd w:val="clear" w:color="auto" w:fill="FFFFFF"/>
        </w:rPr>
        <w:t xml:space="preserve"> ERC-CoG-2015-681466), Biobanking and Biomolecular Resources Research</w:t>
      </w:r>
      <w:r w:rsidRPr="006D4CB5">
        <w:rPr>
          <w:color w:val="000000" w:themeColor="text1"/>
        </w:rPr>
        <w:t xml:space="preserve"> </w:t>
      </w:r>
      <w:r w:rsidRPr="006D4CB5">
        <w:rPr>
          <w:color w:val="000000" w:themeColor="text1"/>
          <w:shd w:val="clear" w:color="auto" w:fill="FFFFFF"/>
        </w:rPr>
        <w:t xml:space="preserve">Infrastructure BBMRI-NL (CP 32), The </w:t>
      </w:r>
      <w:proofErr w:type="spellStart"/>
      <w:r w:rsidRPr="006D4CB5">
        <w:rPr>
          <w:color w:val="000000" w:themeColor="text1"/>
          <w:shd w:val="clear" w:color="auto" w:fill="FFFFFF"/>
        </w:rPr>
        <w:t>Gratema</w:t>
      </w:r>
      <w:proofErr w:type="spellEnd"/>
      <w:r w:rsidRPr="006D4CB5">
        <w:rPr>
          <w:color w:val="000000" w:themeColor="text1"/>
          <w:shd w:val="clear" w:color="auto" w:fill="FFFFFF"/>
        </w:rPr>
        <w:t xml:space="preserve"> foundation, the Jan Dekker foundation, the</w:t>
      </w:r>
      <w:r w:rsidRPr="006D4CB5">
        <w:rPr>
          <w:color w:val="000000" w:themeColor="text1"/>
        </w:rPr>
        <w:t xml:space="preserve"> </w:t>
      </w:r>
      <w:r w:rsidRPr="006D4CB5">
        <w:rPr>
          <w:color w:val="000000" w:themeColor="text1"/>
          <w:shd w:val="clear" w:color="auto" w:fill="FFFFFF"/>
        </w:rPr>
        <w:t xml:space="preserve">participating universities, and </w:t>
      </w:r>
      <w:proofErr w:type="spellStart"/>
      <w:r w:rsidRPr="006D4CB5">
        <w:rPr>
          <w:color w:val="000000" w:themeColor="text1"/>
          <w:shd w:val="clear" w:color="auto" w:fill="FFFFFF"/>
        </w:rPr>
        <w:t>Accare</w:t>
      </w:r>
      <w:proofErr w:type="spellEnd"/>
      <w:r w:rsidRPr="006D4CB5">
        <w:rPr>
          <w:color w:val="000000" w:themeColor="text1"/>
          <w:shd w:val="clear" w:color="auto" w:fill="FFFFFF"/>
        </w:rPr>
        <w:t xml:space="preserve"> Centre for Child and Adolescent Psychiatry. Statistical</w:t>
      </w:r>
      <w:r w:rsidRPr="006D4CB5">
        <w:rPr>
          <w:color w:val="000000" w:themeColor="text1"/>
        </w:rPr>
        <w:t xml:space="preserve"> </w:t>
      </w:r>
      <w:r w:rsidRPr="006D4CB5">
        <w:rPr>
          <w:color w:val="000000" w:themeColor="text1"/>
          <w:shd w:val="clear" w:color="auto" w:fill="FFFFFF"/>
        </w:rPr>
        <w:t>analyses were carried out on the Genetic Cluster Computer (</w:t>
      </w:r>
      <w:hyperlink r:id="rId12" w:history="1">
        <w:r w:rsidRPr="006D4CB5">
          <w:rPr>
            <w:color w:val="000000" w:themeColor="text1"/>
            <w:u w:val="single"/>
            <w:shd w:val="clear" w:color="auto" w:fill="FFFFFF"/>
          </w:rPr>
          <w:t>http://www.geneticcluster.org</w:t>
        </w:r>
      </w:hyperlink>
      <w:r w:rsidRPr="006D4CB5">
        <w:rPr>
          <w:color w:val="000000" w:themeColor="text1"/>
          <w:shd w:val="clear" w:color="auto" w:fill="FFFFFF"/>
        </w:rPr>
        <w:t>),</w:t>
      </w:r>
      <w:r w:rsidRPr="006D4CB5">
        <w:rPr>
          <w:color w:val="000000" w:themeColor="text1"/>
        </w:rPr>
        <w:t xml:space="preserve"> </w:t>
      </w:r>
      <w:r w:rsidRPr="006D4CB5">
        <w:rPr>
          <w:color w:val="000000" w:themeColor="text1"/>
          <w:shd w:val="clear" w:color="auto" w:fill="FFFFFF"/>
        </w:rPr>
        <w:t>which is financially supported by the Netherlands Scientific Organization (NWO 480-05-003)</w:t>
      </w:r>
      <w:r w:rsidRPr="006D4CB5">
        <w:rPr>
          <w:color w:val="000000" w:themeColor="text1"/>
        </w:rPr>
        <w:t xml:space="preserve"> </w:t>
      </w:r>
      <w:r w:rsidRPr="006D4CB5">
        <w:rPr>
          <w:color w:val="000000" w:themeColor="text1"/>
          <w:shd w:val="clear" w:color="auto" w:fill="FFFFFF"/>
        </w:rPr>
        <w:t>along with a supplement from the Dutch Brain Foundation.</w:t>
      </w:r>
    </w:p>
    <w:p w14:paraId="2880CD77" w14:textId="77777777" w:rsidR="00076353" w:rsidRPr="006D4CB5" w:rsidRDefault="00076353" w:rsidP="00076353">
      <w:pPr>
        <w:jc w:val="center"/>
        <w:rPr>
          <w:b/>
          <w:bCs/>
          <w:color w:val="000000" w:themeColor="text1"/>
        </w:rPr>
      </w:pPr>
      <w:r w:rsidRPr="006D4CB5">
        <w:rPr>
          <w:b/>
          <w:bCs/>
          <w:color w:val="000000" w:themeColor="text1"/>
        </w:rPr>
        <w:t>Texas Twin Project (TTP)</w:t>
      </w:r>
    </w:p>
    <w:p w14:paraId="7057054D" w14:textId="4E611B33" w:rsidR="00076353" w:rsidRPr="006D4CB5" w:rsidRDefault="00076353" w:rsidP="00076353">
      <w:pPr>
        <w:ind w:firstLine="720"/>
        <w:rPr>
          <w:color w:val="000000" w:themeColor="text1"/>
        </w:rPr>
      </w:pPr>
      <w:r w:rsidRPr="006D4CB5">
        <w:rPr>
          <w:color w:val="000000" w:themeColor="text1"/>
        </w:rPr>
        <w:t>The Texas Twin Project (TTP) is a study of school-age twins (3</w:t>
      </w:r>
      <w:r w:rsidRPr="006D4CB5">
        <w:rPr>
          <w:color w:val="000000" w:themeColor="text1"/>
          <w:vertAlign w:val="superscript"/>
        </w:rPr>
        <w:t>rd</w:t>
      </w:r>
      <w:r w:rsidRPr="006D4CB5">
        <w:rPr>
          <w:color w:val="000000" w:themeColor="text1"/>
        </w:rPr>
        <w:t xml:space="preserve"> through 12</w:t>
      </w:r>
      <w:r w:rsidRPr="006D4CB5">
        <w:rPr>
          <w:color w:val="000000" w:themeColor="text1"/>
          <w:vertAlign w:val="superscript"/>
        </w:rPr>
        <w:t>th</w:t>
      </w:r>
      <w:r w:rsidRPr="006D4CB5">
        <w:rPr>
          <w:color w:val="000000" w:themeColor="text1"/>
        </w:rPr>
        <w:t xml:space="preserve"> grade) enrolled in public schools in the Austin, Texas and Houston, Texas metropolitan areas (Harden et al., 2013), designed to maximize representation of low socioeconomic status families and racial/ethnic minorities. School rosters were used to identify twin families from a target population with sizable populations of </w:t>
      </w:r>
      <w:proofErr w:type="gramStart"/>
      <w:r w:rsidRPr="006D4CB5">
        <w:rPr>
          <w:color w:val="000000" w:themeColor="text1"/>
        </w:rPr>
        <w:t>African-American</w:t>
      </w:r>
      <w:proofErr w:type="gramEnd"/>
      <w:r w:rsidRPr="006D4CB5">
        <w:rPr>
          <w:color w:val="000000" w:themeColor="text1"/>
        </w:rPr>
        <w:t xml:space="preserve"> (18%), Hispanic / Latino (48%), and non-Hispanic White (27%) children and adolescents, over half of whom meet U.S. guidelines for classification as economically disadvantaged. TTP participants rated themselves on up to four </w:t>
      </w:r>
      <w:r w:rsidRPr="006D4CB5">
        <w:rPr>
          <w:color w:val="000000" w:themeColor="text1"/>
        </w:rPr>
        <w:lastRenderedPageBreak/>
        <w:t xml:space="preserve">occasions using a child version of the 44-item Big Five Inventory, which measures Extraversion, Agreeableness, Conscientiousness, Neuroticism, and Openness to Experience (John, Naumann, &amp; Soto, 2008), as described in further detail in Mõttus et al. (2019). We performed GWAS on the 662 individuals from 355 families (324 males and 338 females, </w:t>
      </w:r>
      <w:r w:rsidRPr="006D4CB5">
        <w:rPr>
          <w:i/>
          <w:iCs/>
          <w:color w:val="000000" w:themeColor="text1"/>
        </w:rPr>
        <w:t>M</w:t>
      </w:r>
      <w:r w:rsidRPr="006D4CB5">
        <w:rPr>
          <w:color w:val="000000" w:themeColor="text1"/>
        </w:rPr>
        <w:t xml:space="preserve">age = 13.18, age range 7-20) who provided personality data, </w:t>
      </w:r>
      <w:r w:rsidR="00CB7254">
        <w:rPr>
          <w:color w:val="000000" w:themeColor="text1"/>
        </w:rPr>
        <w:t>had EUR-like genomes</w:t>
      </w:r>
      <w:r w:rsidRPr="006D4CB5">
        <w:rPr>
          <w:color w:val="000000" w:themeColor="text1"/>
        </w:rPr>
        <w:t xml:space="preserve">, and had been genotyped. </w:t>
      </w:r>
    </w:p>
    <w:p w14:paraId="128E856D" w14:textId="77777777" w:rsidR="00076353" w:rsidRPr="006D4CB5" w:rsidRDefault="00076353" w:rsidP="00076353">
      <w:pPr>
        <w:rPr>
          <w:color w:val="000000" w:themeColor="text1"/>
        </w:rPr>
      </w:pPr>
    </w:p>
    <w:p w14:paraId="00A162C5" w14:textId="77777777" w:rsidR="00076353" w:rsidRPr="006D4CB5" w:rsidRDefault="00076353" w:rsidP="00076353">
      <w:pPr>
        <w:jc w:val="center"/>
        <w:rPr>
          <w:b/>
          <w:bCs/>
          <w:color w:val="000000" w:themeColor="text1"/>
          <w:kern w:val="1"/>
        </w:rPr>
      </w:pPr>
      <w:r w:rsidRPr="006D4CB5">
        <w:rPr>
          <w:b/>
          <w:bCs/>
          <w:color w:val="000000" w:themeColor="text1"/>
          <w:kern w:val="1"/>
        </w:rPr>
        <w:t>UK Biobank (UKB)</w:t>
      </w:r>
    </w:p>
    <w:p w14:paraId="7F19481B" w14:textId="31575A56" w:rsidR="00076353" w:rsidRPr="006D4CB5" w:rsidRDefault="00076353" w:rsidP="00D51AE2">
      <w:pPr>
        <w:ind w:firstLine="720"/>
        <w:rPr>
          <w:color w:val="000000" w:themeColor="text1"/>
          <w:kern w:val="1"/>
        </w:rPr>
      </w:pPr>
      <w:r w:rsidRPr="006D4CB5">
        <w:rPr>
          <w:color w:val="000000" w:themeColor="text1"/>
          <w:kern w:val="1"/>
        </w:rPr>
        <w:t xml:space="preserve">The UK Biobank is a large-scale biomedical database and research resource, containing in-depth, de-identified genetic and health information from half a million UK participants. Since 2006, UK Biobank has collected an unprecedented amount of biological and medical data on participants aged between 40 and 69 years old and living in the UK (Bycroft et al., 2018). </w:t>
      </w:r>
      <w:r w:rsidR="00C34DFD" w:rsidRPr="006D4CB5">
        <w:rPr>
          <w:color w:val="000000" w:themeColor="text1"/>
          <w:kern w:val="1"/>
        </w:rPr>
        <w:t xml:space="preserve">These analyses were conducted under UKB application </w:t>
      </w:r>
      <w:r w:rsidR="001C5D3E" w:rsidRPr="006D4CB5">
        <w:rPr>
          <w:color w:val="000000" w:themeColor="text1"/>
          <w:kern w:val="1"/>
        </w:rPr>
        <w:t>#</w:t>
      </w:r>
      <w:r w:rsidR="00C34DFD" w:rsidRPr="006D4CB5">
        <w:rPr>
          <w:color w:val="000000" w:themeColor="text1"/>
          <w:kern w:val="1"/>
        </w:rPr>
        <w:t xml:space="preserve">40310. </w:t>
      </w:r>
      <w:r w:rsidRPr="006D4CB5">
        <w:rPr>
          <w:color w:val="000000" w:themeColor="text1"/>
          <w:kern w:val="1"/>
        </w:rPr>
        <w:t>For this study</w:t>
      </w:r>
      <w:r w:rsidR="00C34DFD" w:rsidRPr="006D4CB5">
        <w:rPr>
          <w:color w:val="000000" w:themeColor="text1"/>
          <w:kern w:val="1"/>
        </w:rPr>
        <w:t xml:space="preserve">, </w:t>
      </w:r>
      <w:r w:rsidRPr="006D4CB5">
        <w:rPr>
          <w:color w:val="000000" w:themeColor="text1"/>
          <w:kern w:val="1"/>
        </w:rPr>
        <w:t>we conducted novel analyses of the 12-item Eysenck Personality Questionnaire-revised neuroticism scale (Eysenck et al., 1984) among participants</w:t>
      </w:r>
      <w:r w:rsidR="00CB7254">
        <w:rPr>
          <w:color w:val="000000" w:themeColor="text1"/>
          <w:kern w:val="1"/>
        </w:rPr>
        <w:t xml:space="preserve"> with EUR-like genomes</w:t>
      </w:r>
      <w:r w:rsidRPr="006D4CB5">
        <w:rPr>
          <w:color w:val="000000" w:themeColor="text1"/>
          <w:kern w:val="1"/>
        </w:rPr>
        <w:t>. We restricted analyses to participants who completed nine or more neuroticism items, leading to a final EUR</w:t>
      </w:r>
      <w:r w:rsidR="00CB7254">
        <w:rPr>
          <w:color w:val="000000" w:themeColor="text1"/>
          <w:kern w:val="1"/>
        </w:rPr>
        <w:t>-like</w:t>
      </w:r>
      <w:r w:rsidRPr="006D4CB5">
        <w:rPr>
          <w:color w:val="000000" w:themeColor="text1"/>
          <w:kern w:val="1"/>
        </w:rPr>
        <w:t xml:space="preserve"> GWAS sample of 441,067 participants (M</w:t>
      </w:r>
      <w:r w:rsidRPr="006D4CB5">
        <w:rPr>
          <w:color w:val="000000" w:themeColor="text1"/>
          <w:kern w:val="1"/>
          <w:vertAlign w:val="subscript"/>
        </w:rPr>
        <w:t>age</w:t>
      </w:r>
      <w:r w:rsidRPr="006D4CB5">
        <w:rPr>
          <w:color w:val="000000" w:themeColor="text1"/>
          <w:kern w:val="1"/>
        </w:rPr>
        <w:t xml:space="preserve"> = 56.75, SD = 8.02); analyses were conducted in BOLT-LMM to account for participant relatedness (Loh et al., 2015). Neuroticism scores were calculated as the average of item scores a participant responded to. Among participants</w:t>
      </w:r>
      <w:r w:rsidR="00CB7254">
        <w:rPr>
          <w:color w:val="000000" w:themeColor="text1"/>
          <w:kern w:val="1"/>
        </w:rPr>
        <w:t xml:space="preserve"> with AFR-like genomes</w:t>
      </w:r>
      <w:r w:rsidRPr="006D4CB5">
        <w:rPr>
          <w:color w:val="000000" w:themeColor="text1"/>
          <w:kern w:val="1"/>
        </w:rPr>
        <w:t xml:space="preserve">, we used publicly available neuroticism GWAS summary statistics from the </w:t>
      </w:r>
      <w:proofErr w:type="spellStart"/>
      <w:r w:rsidRPr="006D4CB5">
        <w:rPr>
          <w:color w:val="000000" w:themeColor="text1"/>
          <w:kern w:val="1"/>
        </w:rPr>
        <w:t>Nealelab</w:t>
      </w:r>
      <w:proofErr w:type="spellEnd"/>
      <w:r w:rsidRPr="006D4CB5">
        <w:rPr>
          <w:color w:val="000000" w:themeColor="text1"/>
          <w:kern w:val="1"/>
        </w:rPr>
        <w:t xml:space="preserve"> pan-ancestry genetic analyses of the UK Biobank (see pan.ukbb.broadinstitute.org for complete information). </w:t>
      </w:r>
      <w:r w:rsidR="003C1887" w:rsidRPr="006D4CB5">
        <w:rPr>
          <w:color w:val="000000" w:themeColor="text1"/>
        </w:rPr>
        <w:t xml:space="preserve">For analyses of X-linked genetic variation in the UK Biobank, we included 168,856 males and 197,927 females with complete genetic and phenotypic data who were unrelated (&gt; 3rd degree kinship) with genomes most similar to those from EUR-like ancestries, as identified by the Pan-UKB Project (Karczewski et al., 2025). </w:t>
      </w:r>
      <w:r w:rsidR="005175E9" w:rsidRPr="006D4CB5">
        <w:rPr>
          <w:color w:val="000000" w:themeColor="text1"/>
        </w:rPr>
        <w:t xml:space="preserve">These analyses were conducted in PLINK 2.0. </w:t>
      </w:r>
      <w:r w:rsidR="003C1887" w:rsidRPr="006D4CB5">
        <w:rPr>
          <w:color w:val="000000" w:themeColor="text1"/>
        </w:rPr>
        <w:t xml:space="preserve">Participants identified as having excessive heterozygosity or missingness were excluded from analysis. Variants were excluded from analysis if they had a missingness rate greater than 10%. </w:t>
      </w:r>
    </w:p>
    <w:p w14:paraId="6AF666F9" w14:textId="77777777" w:rsidR="00076353" w:rsidRPr="006D4CB5" w:rsidRDefault="00076353" w:rsidP="001E251E">
      <w:pPr>
        <w:rPr>
          <w:b/>
          <w:bCs/>
          <w:color w:val="000000" w:themeColor="text1"/>
        </w:rPr>
      </w:pPr>
    </w:p>
    <w:p w14:paraId="09D959A5" w14:textId="77777777" w:rsidR="00076353" w:rsidRPr="006D4CB5" w:rsidRDefault="00076353" w:rsidP="00076353">
      <w:pPr>
        <w:jc w:val="center"/>
        <w:rPr>
          <w:b/>
          <w:bCs/>
          <w:color w:val="000000" w:themeColor="text1"/>
          <w:kern w:val="1"/>
        </w:rPr>
      </w:pPr>
      <w:r w:rsidRPr="006D4CB5">
        <w:rPr>
          <w:b/>
          <w:bCs/>
          <w:color w:val="000000" w:themeColor="text1"/>
          <w:kern w:val="1"/>
        </w:rPr>
        <w:t>Dortmund Vital Study (VITAL)</w:t>
      </w:r>
    </w:p>
    <w:p w14:paraId="6A3730BA" w14:textId="55655759" w:rsidR="00076353" w:rsidRPr="006D4CB5" w:rsidRDefault="00076353" w:rsidP="00D51AE2">
      <w:pPr>
        <w:ind w:firstLine="720"/>
        <w:rPr>
          <w:color w:val="000000" w:themeColor="text1"/>
        </w:rPr>
      </w:pPr>
      <w:r w:rsidRPr="006D4CB5">
        <w:rPr>
          <w:color w:val="000000" w:themeColor="text1"/>
        </w:rPr>
        <w:t xml:space="preserve">The aim of the Dortmund Vital Study is to evaluate the effect of several endogenous and exogenous parameters and their complex interaction on cognition and the underlying neuronal activity across the adult life span (Gajewski et al., 2022). This will be achieved by implementing both cross-sectional and longitudinal designs by repeated measurements every 5 years over a long period of time. Cognitive performance in humans is a complex phenomenon that is influenced by numerous variables such as age, infections, inflammatory processes, metabolic parameters, personality, lifestyle factors, type of work, nutrition and stress as well as numerous genetic variants that can be analyzed by polygenic scores. Risk factors for possible cognitive impairment associated with depression, occupational burn-out or age-related diseases, such as mild cognitive impairment or dementia, but also non-pathological cognitive decline shall be established. The total number of participants completed the baseline measure was 610. The final sample with GWAS scores includes 515 healthy individuals (no history of psychological or neurological disorders) aged 20-70 (M = 45.0, SD = 14.2). The male subsample includes 199 individuals (38.6%) aged 20-70 (M = 47.2, SD = 14.5) and the female subsample includes 316 individuals (61.4%) aged 20-70 (M = 43.6, SD = 13.8). On their first day of participation, subjects completed several questionnaires, and underwent a neuropsychological, cardiovascular and electrophysiological testing using PC-based cognitive tasks. On their second day of participation, subjects completed further pen-and-paper tests and completed a second session of </w:t>
      </w:r>
      <w:r w:rsidRPr="006D4CB5">
        <w:rPr>
          <w:color w:val="000000" w:themeColor="text1"/>
        </w:rPr>
        <w:lastRenderedPageBreak/>
        <w:t>cognitive PC-based tests with EEG-recording and MRI scanning. Both sessions took place at Leibniz Research Centre for Working Environment and Human Factors at TU Dortmund, Germany (</w:t>
      </w:r>
      <w:proofErr w:type="spellStart"/>
      <w:r w:rsidRPr="006D4CB5">
        <w:rPr>
          <w:color w:val="000000" w:themeColor="text1"/>
        </w:rPr>
        <w:t>IfADo</w:t>
      </w:r>
      <w:proofErr w:type="spellEnd"/>
      <w:r w:rsidRPr="006D4CB5">
        <w:rPr>
          <w:color w:val="000000" w:themeColor="text1"/>
        </w:rPr>
        <w:t>). The data were collected between 2016 and 2020. Personality traits were assessed via the German version of the Revised NEO-Personality-Inventory (NEO-FFI), which comprises a total of 60 self-report items to measure the domains neuroticism, extraversion, openness to experience, agreeableness, and conscientiousness.</w:t>
      </w:r>
      <w:r w:rsidR="00316181" w:rsidRPr="006D4CB5">
        <w:rPr>
          <w:color w:val="000000" w:themeColor="text1"/>
        </w:rPr>
        <w:t xml:space="preserve"> The trial register number for the Dortmund Vital Study is </w:t>
      </w:r>
      <w:r w:rsidR="00316181" w:rsidRPr="006D4CB5">
        <w:rPr>
          <w:color w:val="000000" w:themeColor="text1"/>
          <w:shd w:val="clear" w:color="auto" w:fill="FFFFFF"/>
        </w:rPr>
        <w:t>NCT05155397.</w:t>
      </w:r>
    </w:p>
    <w:p w14:paraId="62554C66" w14:textId="77777777" w:rsidR="00076353" w:rsidRPr="006D4CB5" w:rsidRDefault="00076353" w:rsidP="00076353">
      <w:pPr>
        <w:rPr>
          <w:color w:val="000000" w:themeColor="text1"/>
        </w:rPr>
      </w:pPr>
    </w:p>
    <w:p w14:paraId="7D60D66B" w14:textId="77777777" w:rsidR="00076353" w:rsidRPr="006D4CB5" w:rsidRDefault="00076353" w:rsidP="00076353">
      <w:pPr>
        <w:jc w:val="center"/>
        <w:rPr>
          <w:b/>
          <w:bCs/>
          <w:color w:val="000000" w:themeColor="text1"/>
        </w:rPr>
      </w:pPr>
      <w:r w:rsidRPr="006D4CB5">
        <w:rPr>
          <w:b/>
          <w:bCs/>
          <w:color w:val="000000" w:themeColor="text1"/>
        </w:rPr>
        <w:t>Wisconsin Longitudinal Study (WLS)</w:t>
      </w:r>
    </w:p>
    <w:p w14:paraId="5BF26157" w14:textId="1DF991D5" w:rsidR="00076353" w:rsidRPr="006D4CB5" w:rsidRDefault="00076353" w:rsidP="00D51AE2">
      <w:pPr>
        <w:autoSpaceDE w:val="0"/>
        <w:autoSpaceDN w:val="0"/>
        <w:adjustRightInd w:val="0"/>
        <w:ind w:firstLine="720"/>
        <w:rPr>
          <w:color w:val="000000" w:themeColor="text1"/>
        </w:rPr>
      </w:pPr>
      <w:r w:rsidRPr="006D4CB5">
        <w:rPr>
          <w:color w:val="000000" w:themeColor="text1"/>
        </w:rPr>
        <w:t xml:space="preserve">The Wisconsin Longitudinal Study (WLS) is a cohort-based study of people who graduated from Wisconsin high schools in 1957 and one of their randomly selected siblings (Herd et al., 2014). In 1992-1993, 2004-2005, and 2011, participants reported on their personality traits using a 29-item version of the Big Five Inventory (John, 1995), which measures the Big Five traits with 6 questions each (and Neuroticism with 5 questions). In this study, we restricted genetic analyses to the N = 5,867 participants (52% female, 48% male, Mage = 62.85, </w:t>
      </w:r>
      <w:proofErr w:type="spellStart"/>
      <w:r w:rsidRPr="006D4CB5">
        <w:rPr>
          <w:color w:val="000000" w:themeColor="text1"/>
        </w:rPr>
        <w:t>SDage</w:t>
      </w:r>
      <w:proofErr w:type="spellEnd"/>
      <w:r w:rsidRPr="006D4CB5">
        <w:rPr>
          <w:color w:val="000000" w:themeColor="text1"/>
        </w:rPr>
        <w:t xml:space="preserve"> = 5.21) with personality trait data who were unrelated (IBD &lt; .044) and </w:t>
      </w:r>
      <w:r w:rsidR="00622150">
        <w:rPr>
          <w:color w:val="000000" w:themeColor="text1"/>
        </w:rPr>
        <w:t>had EUR-like genomes</w:t>
      </w:r>
      <w:r w:rsidRPr="006D4CB5">
        <w:rPr>
          <w:color w:val="000000" w:themeColor="text1"/>
        </w:rPr>
        <w:t xml:space="preserve"> (within an ellipse of greatest density of self-reported “white” participants based on the first two PC eigenvectors). The WLS contains 15 sets of identical twins; we randomly selected one twin per pair for genome-wide analyses. </w:t>
      </w:r>
    </w:p>
    <w:p w14:paraId="66CF372A" w14:textId="77777777" w:rsidR="00076353" w:rsidRPr="006D4CB5" w:rsidRDefault="00076353" w:rsidP="001E251E">
      <w:pPr>
        <w:autoSpaceDE w:val="0"/>
        <w:autoSpaceDN w:val="0"/>
        <w:adjustRightInd w:val="0"/>
        <w:rPr>
          <w:color w:val="000000" w:themeColor="text1"/>
        </w:rPr>
      </w:pPr>
    </w:p>
    <w:p w14:paraId="36842724" w14:textId="77777777" w:rsidR="00076353" w:rsidRPr="006D4CB5" w:rsidRDefault="00076353" w:rsidP="00076353">
      <w:pPr>
        <w:autoSpaceDE w:val="0"/>
        <w:autoSpaceDN w:val="0"/>
        <w:adjustRightInd w:val="0"/>
        <w:jc w:val="center"/>
        <w:rPr>
          <w:b/>
          <w:bCs/>
          <w:color w:val="000000" w:themeColor="text1"/>
        </w:rPr>
      </w:pPr>
      <w:r w:rsidRPr="006D4CB5">
        <w:rPr>
          <w:b/>
          <w:bCs/>
          <w:color w:val="000000" w:themeColor="text1"/>
        </w:rPr>
        <w:t>Yale-Penn Study</w:t>
      </w:r>
    </w:p>
    <w:p w14:paraId="1CC6173A" w14:textId="2D96E376" w:rsidR="00076353" w:rsidRPr="006D4CB5" w:rsidRDefault="00076353" w:rsidP="00D51AE2">
      <w:pPr>
        <w:ind w:firstLine="720"/>
        <w:rPr>
          <w:color w:val="000000" w:themeColor="text1"/>
        </w:rPr>
      </w:pPr>
      <w:r w:rsidRPr="006D4CB5">
        <w:rPr>
          <w:color w:val="000000" w:themeColor="text1"/>
        </w:rPr>
        <w:t xml:space="preserve">The Yale-Penn (YP) studies include participants recruited in the eastern United States, predominantly in Connecticut and Pennsylvania. YP participants were administered the </w:t>
      </w:r>
      <w:proofErr w:type="gramStart"/>
      <w:r w:rsidRPr="006D4CB5">
        <w:rPr>
          <w:color w:val="000000" w:themeColor="text1"/>
        </w:rPr>
        <w:t>240 NEO</w:t>
      </w:r>
      <w:proofErr w:type="gramEnd"/>
      <w:r w:rsidRPr="006D4CB5">
        <w:rPr>
          <w:color w:val="000000" w:themeColor="text1"/>
        </w:rPr>
        <w:t xml:space="preserve"> Personality Inventory-Revised, which measures each of the Big Five personality traits with 48 items. Each study received IRB approval from all participating institutions and written informed consent was obtained from all study participants. Additional information is available in the previous GWAS publications (Gelernter et al., 2014a; Gelernter et al., 2014b, Gelernter et al., 2014c, Gelernter et al., 2015, Sherva et al., 2016). In this study, the three Yale-Penn contributing samples are referred to as Yale-Penn_1 through Yale-Penn_3 (See </w:t>
      </w:r>
      <w:r w:rsidRPr="006D4CB5">
        <w:rPr>
          <w:b/>
          <w:bCs/>
          <w:color w:val="000000" w:themeColor="text1"/>
        </w:rPr>
        <w:t>Supplementary Tables S1</w:t>
      </w:r>
      <w:r w:rsidRPr="006D4CB5">
        <w:rPr>
          <w:color w:val="000000" w:themeColor="text1"/>
        </w:rPr>
        <w:t xml:space="preserve"> and </w:t>
      </w:r>
      <w:r w:rsidRPr="006D4CB5">
        <w:rPr>
          <w:b/>
          <w:bCs/>
          <w:color w:val="000000" w:themeColor="text1"/>
        </w:rPr>
        <w:t>S2</w:t>
      </w:r>
      <w:r w:rsidRPr="006D4CB5">
        <w:rPr>
          <w:color w:val="000000" w:themeColor="text1"/>
        </w:rPr>
        <w:t xml:space="preserve"> for complete information).</w:t>
      </w:r>
    </w:p>
    <w:p w14:paraId="5F93C200" w14:textId="77777777" w:rsidR="00076353" w:rsidRPr="006D4CB5" w:rsidRDefault="00076353" w:rsidP="00076353">
      <w:pPr>
        <w:rPr>
          <w:b/>
          <w:bCs/>
          <w:color w:val="000000" w:themeColor="text1"/>
        </w:rPr>
      </w:pPr>
    </w:p>
    <w:p w14:paraId="428653D7" w14:textId="77777777" w:rsidR="00076353" w:rsidRPr="006D4CB5" w:rsidRDefault="00076353" w:rsidP="00076353">
      <w:pPr>
        <w:jc w:val="center"/>
        <w:rPr>
          <w:b/>
          <w:bCs/>
          <w:color w:val="000000" w:themeColor="text1"/>
        </w:rPr>
      </w:pPr>
      <w:r w:rsidRPr="006D4CB5">
        <w:rPr>
          <w:b/>
          <w:bCs/>
          <w:color w:val="000000" w:themeColor="text1"/>
        </w:rPr>
        <w:t>Young Finns Study (YFS)</w:t>
      </w:r>
    </w:p>
    <w:p w14:paraId="364B30C7" w14:textId="5DA76420" w:rsidR="00076353" w:rsidRPr="006D4CB5" w:rsidRDefault="00076353" w:rsidP="00076353">
      <w:pPr>
        <w:ind w:firstLine="720"/>
        <w:rPr>
          <w:color w:val="000000" w:themeColor="text1"/>
        </w:rPr>
      </w:pPr>
      <w:r w:rsidRPr="006D4CB5">
        <w:rPr>
          <w:color w:val="000000" w:themeColor="text1"/>
          <w:lang w:val="en-GB"/>
        </w:rPr>
        <w:t>The Young Finns Study (YFS) is a prospective multi-centre follow-up study assessing cardiovascular risk factors from childhood to adulthood (</w:t>
      </w:r>
      <w:proofErr w:type="spellStart"/>
      <w:r w:rsidRPr="006D4CB5">
        <w:rPr>
          <w:color w:val="000000" w:themeColor="text1"/>
          <w:lang w:val="en-GB"/>
        </w:rPr>
        <w:t>Raitakari</w:t>
      </w:r>
      <w:proofErr w:type="spellEnd"/>
      <w:r w:rsidRPr="006D4CB5">
        <w:rPr>
          <w:color w:val="000000" w:themeColor="text1"/>
          <w:lang w:val="en-GB"/>
        </w:rPr>
        <w:t xml:space="preserve"> et al., 2008). The study was initiated in 1980 with 3,596 children and adolescents aged 3–18 years. The participants were randomly selected from the areas of five university hospitals in Finland (Turku, Tampere, Helsinki, Kuopio, and Oulu) and have been followed up for over 40 years. </w:t>
      </w:r>
      <w:r w:rsidRPr="006D4CB5">
        <w:rPr>
          <w:color w:val="000000" w:themeColor="text1"/>
          <w:kern w:val="36"/>
          <w:lang w:val="en-GB"/>
        </w:rPr>
        <w:t xml:space="preserve">The study was approved by the ethical committee of the Hospital District of Southwest Finland on June 20, 2017 (ETMK:68/1801/2017), and all </w:t>
      </w:r>
      <w:r w:rsidRPr="006D4CB5">
        <w:rPr>
          <w:color w:val="000000" w:themeColor="text1"/>
          <w:lang w:val="en-GB"/>
        </w:rPr>
        <w:t xml:space="preserve">participants have given an informed written consent. </w:t>
      </w:r>
      <w:r w:rsidRPr="006D4CB5">
        <w:rPr>
          <w:color w:val="000000" w:themeColor="text1"/>
        </w:rPr>
        <w:t xml:space="preserve">This study involved 1,898 individuals with </w:t>
      </w:r>
      <w:r w:rsidR="00622150">
        <w:rPr>
          <w:color w:val="000000" w:themeColor="text1"/>
        </w:rPr>
        <w:t>EUR-like genomes</w:t>
      </w:r>
      <w:r w:rsidRPr="006D4CB5">
        <w:rPr>
          <w:color w:val="000000" w:themeColor="text1"/>
        </w:rPr>
        <w:t xml:space="preserve"> aged 30-45 (M = 37.68, SD = 5.04; 57% female).</w:t>
      </w:r>
    </w:p>
    <w:p w14:paraId="7D9B1BAE" w14:textId="77777777" w:rsidR="00076353" w:rsidRPr="006D4CB5" w:rsidRDefault="00076353" w:rsidP="00076353">
      <w:pPr>
        <w:rPr>
          <w:color w:val="000000" w:themeColor="text1"/>
          <w:lang w:eastAsia="fi-FI"/>
        </w:rPr>
      </w:pPr>
      <w:r w:rsidRPr="006D4CB5">
        <w:rPr>
          <w:color w:val="000000" w:themeColor="text1"/>
          <w:lang w:eastAsia="fi-FI"/>
        </w:rPr>
        <w:tab/>
        <w:t>We used the NEO-FFI,</w:t>
      </w:r>
      <w:r w:rsidRPr="006D4CB5">
        <w:rPr>
          <w:color w:val="000000" w:themeColor="text1"/>
          <w:shd w:val="clear" w:color="auto" w:fill="FFFFFF"/>
        </w:rPr>
        <w:t xml:space="preserve"> developed by Rantanen et al. (2007). The Finnish version used in this study contains a total of 60 questions (12 items per trait) that are based on the original NEO-FFI (Costa &amp; McCrae, 1992) and questions from the Finnish version of the NEO-PI (Personality Inventory). Some of the questions in the Finnish Personality Inventory (PI) version were modified to better correspond to non-Indo-European languages.</w:t>
      </w:r>
      <w:r w:rsidRPr="006D4CB5">
        <w:rPr>
          <w:color w:val="000000" w:themeColor="text1"/>
          <w:lang w:eastAsia="fi-FI"/>
        </w:rPr>
        <w:t xml:space="preserve"> Each personality trait was </w:t>
      </w:r>
      <w:r w:rsidRPr="006D4CB5">
        <w:rPr>
          <w:color w:val="000000" w:themeColor="text1"/>
          <w:lang w:eastAsia="fi-FI"/>
        </w:rPr>
        <w:lastRenderedPageBreak/>
        <w:t xml:space="preserve">measured with 12 items (i.e., a total of 60 items in the questionnaire). The NEO-FFI was used twice, in 2007 and in 2012. We first calculated a mean score for year 2007 and for year 2012. Then, we calculated a mean score of the 2007 and 2012 mean scores (for all the participants who had data available in at least one measurement year, i.e., in 2007 and/or 2012). Finally, the mean score of each personality trait was standardized (mean = 0, SD = 1). We allowed max 10% of missing values per trait (i.e., one missing item per trait) in each measurement year. High values of the mean scores indicated high neuroticism, high extraversion, high openness, high conscientiousness, and high agreeableness. </w:t>
      </w:r>
    </w:p>
    <w:p w14:paraId="4281D6CD" w14:textId="77777777" w:rsidR="00076353" w:rsidRPr="006D4CB5" w:rsidRDefault="00076353" w:rsidP="00076353">
      <w:pPr>
        <w:ind w:firstLine="720"/>
        <w:rPr>
          <w:color w:val="000000" w:themeColor="text1"/>
          <w:lang w:eastAsia="fi-FI"/>
        </w:rPr>
      </w:pPr>
      <w:r w:rsidRPr="006D4CB5">
        <w:rPr>
          <w:color w:val="000000" w:themeColor="text1"/>
          <w:shd w:val="clear" w:color="auto" w:fill="FFFFFF"/>
        </w:rPr>
        <w:t xml:space="preserve">The Young Finns Study has been financially supported by the Academy of Finland: grants 356405, 322098, 286284, 134309 (Eye), 126925, 121584, 124282, 129378 (Salve), 117797 (Gendi), 141071 (Skidi), 349708, 330809, and 338395; the Social Insurance Institution of Finland; Competitive State Research Financing of the Expert Responsibility area of Kuopio, Tampere and Turku University Hospitals (grant X51001); Juho Vainio Foundation; Paavo Nurmi Foundation; Finnish Foundation for Cardiovascular Research ; Finnish Cultural Foundation; The Sigrid </w:t>
      </w:r>
      <w:proofErr w:type="spellStart"/>
      <w:r w:rsidRPr="006D4CB5">
        <w:rPr>
          <w:color w:val="000000" w:themeColor="text1"/>
          <w:shd w:val="clear" w:color="auto" w:fill="FFFFFF"/>
        </w:rPr>
        <w:t>Juselius</w:t>
      </w:r>
      <w:proofErr w:type="spellEnd"/>
      <w:r w:rsidRPr="006D4CB5">
        <w:rPr>
          <w:color w:val="000000" w:themeColor="text1"/>
          <w:shd w:val="clear" w:color="auto" w:fill="FFFFFF"/>
        </w:rPr>
        <w:t xml:space="preserve"> Foundation; Tampere Tuberculosis Foundation; Emil Aaltonen Foundation; Yrjö Jahnsson Foundation; Signe and Ane </w:t>
      </w:r>
      <w:proofErr w:type="spellStart"/>
      <w:r w:rsidRPr="006D4CB5">
        <w:rPr>
          <w:color w:val="000000" w:themeColor="text1"/>
          <w:shd w:val="clear" w:color="auto" w:fill="FFFFFF"/>
        </w:rPr>
        <w:t>Gyllenberg</w:t>
      </w:r>
      <w:proofErr w:type="spellEnd"/>
      <w:r w:rsidRPr="006D4CB5">
        <w:rPr>
          <w:color w:val="000000" w:themeColor="text1"/>
          <w:shd w:val="clear" w:color="auto" w:fill="FFFFFF"/>
        </w:rPr>
        <w:t xml:space="preserve"> Foundation; Diabetes Research Foundation of Finnish Diabetes Association; EU Horizon 2020 (grant 755320 for TAXINOMISIS and grant 848146 for To Aition); European Research Council (grant 742927 for MULTIEPIGEN project); Tampere University Hospital Supporting Foundation, Finnish Society of Clinical Chemistry, the Cancer Foundation Finland; pBETTER4U_EU (Preventing obesity through Biologically and </w:t>
      </w:r>
      <w:proofErr w:type="spellStart"/>
      <w:r w:rsidRPr="006D4CB5">
        <w:rPr>
          <w:color w:val="000000" w:themeColor="text1"/>
          <w:shd w:val="clear" w:color="auto" w:fill="FFFFFF"/>
        </w:rPr>
        <w:t>bEhaviorally</w:t>
      </w:r>
      <w:proofErr w:type="spellEnd"/>
      <w:r w:rsidRPr="006D4CB5">
        <w:rPr>
          <w:color w:val="000000" w:themeColor="text1"/>
          <w:shd w:val="clear" w:color="auto" w:fill="FFFFFF"/>
        </w:rPr>
        <w:t xml:space="preserve"> Tailored </w:t>
      </w:r>
      <w:proofErr w:type="spellStart"/>
      <w:r w:rsidRPr="006D4CB5">
        <w:rPr>
          <w:color w:val="000000" w:themeColor="text1"/>
          <w:shd w:val="clear" w:color="auto" w:fill="FFFFFF"/>
        </w:rPr>
        <w:t>inTERventions</w:t>
      </w:r>
      <w:proofErr w:type="spellEnd"/>
      <w:r w:rsidRPr="006D4CB5">
        <w:rPr>
          <w:color w:val="000000" w:themeColor="text1"/>
          <w:shd w:val="clear" w:color="auto" w:fill="FFFFFF"/>
        </w:rPr>
        <w:t xml:space="preserve"> for you, project number: 101080117); </w:t>
      </w:r>
      <w:proofErr w:type="spellStart"/>
      <w:r w:rsidRPr="006D4CB5">
        <w:rPr>
          <w:color w:val="000000" w:themeColor="text1"/>
          <w:shd w:val="clear" w:color="auto" w:fill="FFFFFF"/>
        </w:rPr>
        <w:t>CVDLink</w:t>
      </w:r>
      <w:proofErr w:type="spellEnd"/>
      <w:r w:rsidRPr="006D4CB5">
        <w:rPr>
          <w:color w:val="000000" w:themeColor="text1"/>
          <w:shd w:val="clear" w:color="auto" w:fill="FFFFFF"/>
        </w:rPr>
        <w:t xml:space="preserve"> (EU grant </w:t>
      </w:r>
      <w:proofErr w:type="spellStart"/>
      <w:r w:rsidRPr="006D4CB5">
        <w:rPr>
          <w:color w:val="000000" w:themeColor="text1"/>
          <w:shd w:val="clear" w:color="auto" w:fill="FFFFFF"/>
        </w:rPr>
        <w:t>nro</w:t>
      </w:r>
      <w:proofErr w:type="spellEnd"/>
      <w:r w:rsidRPr="006D4CB5">
        <w:rPr>
          <w:color w:val="000000" w:themeColor="text1"/>
          <w:shd w:val="clear" w:color="auto" w:fill="FFFFFF"/>
        </w:rPr>
        <w:t>. 101137278), and the Jane and Aatos Erkko Foundation.</w:t>
      </w:r>
    </w:p>
    <w:p w14:paraId="0A1A423B" w14:textId="77777777" w:rsidR="00076353" w:rsidRPr="006D4CB5" w:rsidRDefault="00076353" w:rsidP="00076353">
      <w:pPr>
        <w:rPr>
          <w:color w:val="000000" w:themeColor="text1"/>
          <w:lang w:eastAsia="fi-FI"/>
        </w:rPr>
      </w:pPr>
    </w:p>
    <w:p w14:paraId="71A7613D" w14:textId="5A8680C0" w:rsidR="002A7759" w:rsidRPr="006D4CB5" w:rsidRDefault="00FD2004" w:rsidP="00FD2004">
      <w:pPr>
        <w:jc w:val="center"/>
        <w:rPr>
          <w:b/>
          <w:bCs/>
          <w:color w:val="000000" w:themeColor="text1"/>
          <w:lang w:eastAsia="fi-FI"/>
        </w:rPr>
      </w:pPr>
      <w:r>
        <w:rPr>
          <w:b/>
          <w:bCs/>
          <w:color w:val="000000" w:themeColor="text1"/>
        </w:rPr>
        <w:t xml:space="preserve">Supplementary Note </w:t>
      </w:r>
      <w:r>
        <w:rPr>
          <w:b/>
          <w:bCs/>
          <w:color w:val="000000" w:themeColor="text1"/>
        </w:rPr>
        <w:t xml:space="preserve">8: </w:t>
      </w:r>
      <w:r w:rsidR="002A7759" w:rsidRPr="006D4CB5">
        <w:rPr>
          <w:b/>
          <w:bCs/>
          <w:color w:val="000000" w:themeColor="text1"/>
          <w:lang w:eastAsia="fi-FI"/>
        </w:rPr>
        <w:t xml:space="preserve">Supplementary </w:t>
      </w:r>
      <w:r>
        <w:rPr>
          <w:b/>
          <w:bCs/>
          <w:color w:val="000000" w:themeColor="text1"/>
          <w:lang w:eastAsia="fi-FI"/>
        </w:rPr>
        <w:t>References</w:t>
      </w:r>
    </w:p>
    <w:p w14:paraId="47FC9AFE" w14:textId="5A0FC476" w:rsidR="002A7759" w:rsidRPr="006D4CB5" w:rsidRDefault="002A7759" w:rsidP="002A7759">
      <w:pPr>
        <w:ind w:left="720" w:hanging="720"/>
        <w:rPr>
          <w:color w:val="000000" w:themeColor="text1"/>
        </w:rPr>
      </w:pPr>
      <w:r w:rsidRPr="006D4CB5">
        <w:rPr>
          <w:color w:val="000000" w:themeColor="text1"/>
        </w:rPr>
        <w:t xml:space="preserve">Aitken, A. C. (1936). IV.—On Least Squares and Linear Combination of Observations. </w:t>
      </w:r>
      <w:r w:rsidRPr="006D4CB5">
        <w:rPr>
          <w:i/>
          <w:iCs/>
          <w:color w:val="000000" w:themeColor="text1"/>
        </w:rPr>
        <w:t>Proceedings of the Royal Society of Edinburgh, 55</w:t>
      </w:r>
      <w:r w:rsidRPr="006D4CB5">
        <w:rPr>
          <w:color w:val="000000" w:themeColor="text1"/>
        </w:rPr>
        <w:t xml:space="preserve">, 42–48. </w:t>
      </w:r>
    </w:p>
    <w:p w14:paraId="40D2CC87" w14:textId="77777777" w:rsidR="002A7759" w:rsidRPr="006D4CB5" w:rsidRDefault="002A7759" w:rsidP="002A7759">
      <w:pPr>
        <w:rPr>
          <w:color w:val="000000" w:themeColor="text1"/>
        </w:rPr>
      </w:pPr>
      <w:r w:rsidRPr="006D4CB5">
        <w:rPr>
          <w:color w:val="000000" w:themeColor="text1"/>
        </w:rPr>
        <w:t xml:space="preserve">Amador, C., Huffman, J., </w:t>
      </w:r>
      <w:proofErr w:type="spellStart"/>
      <w:r w:rsidRPr="006D4CB5">
        <w:rPr>
          <w:color w:val="000000" w:themeColor="text1"/>
        </w:rPr>
        <w:t>Trochet</w:t>
      </w:r>
      <w:proofErr w:type="spellEnd"/>
      <w:r w:rsidRPr="006D4CB5">
        <w:rPr>
          <w:color w:val="000000" w:themeColor="text1"/>
        </w:rPr>
        <w:t xml:space="preserve">, H., Campbell, A., Porteous, D., Generation Scotland, </w:t>
      </w:r>
    </w:p>
    <w:p w14:paraId="1951BF63" w14:textId="4F1100CD" w:rsidR="002A7759" w:rsidRPr="006D4CB5" w:rsidRDefault="002A7759" w:rsidP="00F14E18">
      <w:pPr>
        <w:ind w:left="720"/>
        <w:rPr>
          <w:color w:val="000000" w:themeColor="text1"/>
        </w:rPr>
      </w:pPr>
      <w:r w:rsidRPr="006D4CB5">
        <w:rPr>
          <w:color w:val="000000" w:themeColor="text1"/>
        </w:rPr>
        <w:t xml:space="preserve">Wilson, J.F., Hastie, N., </w:t>
      </w:r>
      <w:proofErr w:type="spellStart"/>
      <w:r w:rsidRPr="006D4CB5">
        <w:rPr>
          <w:color w:val="000000" w:themeColor="text1"/>
        </w:rPr>
        <w:t>Vitart</w:t>
      </w:r>
      <w:proofErr w:type="spellEnd"/>
      <w:r w:rsidRPr="006D4CB5">
        <w:rPr>
          <w:color w:val="000000" w:themeColor="text1"/>
        </w:rPr>
        <w:t>, V., Hayward, C., Navarro, P., &amp; Haley, C.S. (2015). Recent genomic heritage in Scotland. </w:t>
      </w:r>
      <w:r w:rsidRPr="006D4CB5">
        <w:rPr>
          <w:i/>
          <w:iCs/>
          <w:color w:val="000000" w:themeColor="text1"/>
        </w:rPr>
        <w:t>BMC Genomics,</w:t>
      </w:r>
      <w:r w:rsidRPr="006D4CB5">
        <w:rPr>
          <w:color w:val="000000" w:themeColor="text1"/>
        </w:rPr>
        <w:t> </w:t>
      </w:r>
      <w:r w:rsidRPr="006D4CB5">
        <w:rPr>
          <w:i/>
          <w:iCs/>
          <w:color w:val="000000" w:themeColor="text1"/>
        </w:rPr>
        <w:t>16,</w:t>
      </w:r>
      <w:r w:rsidRPr="006D4CB5">
        <w:rPr>
          <w:color w:val="000000" w:themeColor="text1"/>
        </w:rPr>
        <w:t xml:space="preserve"> 437.</w:t>
      </w:r>
    </w:p>
    <w:p w14:paraId="01F7E9AF" w14:textId="77777777" w:rsidR="002A7759" w:rsidRPr="006D4CB5" w:rsidRDefault="002A7759" w:rsidP="002A7759">
      <w:pPr>
        <w:pStyle w:val="NormalWeb"/>
        <w:spacing w:before="0" w:beforeAutospacing="0" w:after="0" w:afterAutospacing="0"/>
        <w:rPr>
          <w:color w:val="000000" w:themeColor="text1"/>
          <w:shd w:val="clear" w:color="auto" w:fill="FFFFFF"/>
        </w:rPr>
      </w:pPr>
      <w:r w:rsidRPr="006D4CB5">
        <w:rPr>
          <w:color w:val="000000" w:themeColor="text1"/>
          <w:shd w:val="clear" w:color="auto" w:fill="FFFFFF"/>
        </w:rPr>
        <w:t xml:space="preserve">Andrae, R., Krämer, M. D., Hopwood, C. J., Denissen, J., Scholz, U., Bocklet, V. V., &amp; </w:t>
      </w:r>
    </w:p>
    <w:p w14:paraId="2E128F49" w14:textId="77777777" w:rsidR="002A7759" w:rsidRPr="006D4CB5" w:rsidRDefault="002A7759" w:rsidP="002A7759">
      <w:pPr>
        <w:pStyle w:val="NormalWeb"/>
        <w:spacing w:before="0" w:beforeAutospacing="0" w:after="0" w:afterAutospacing="0"/>
        <w:ind w:firstLine="720"/>
        <w:rPr>
          <w:color w:val="000000" w:themeColor="text1"/>
          <w:shd w:val="clear" w:color="auto" w:fill="FFFFFF"/>
        </w:rPr>
      </w:pPr>
      <w:proofErr w:type="spellStart"/>
      <w:r w:rsidRPr="006D4CB5">
        <w:rPr>
          <w:color w:val="000000" w:themeColor="text1"/>
          <w:shd w:val="clear" w:color="auto" w:fill="FFFFFF"/>
        </w:rPr>
        <w:t>Bleidorn</w:t>
      </w:r>
      <w:proofErr w:type="spellEnd"/>
      <w:r w:rsidRPr="006D4CB5">
        <w:rPr>
          <w:color w:val="000000" w:themeColor="text1"/>
          <w:shd w:val="clear" w:color="auto" w:fill="FFFFFF"/>
        </w:rPr>
        <w:t xml:space="preserve">, W. (2024). Transactions between Personality Traits and First Sexual </w:t>
      </w:r>
    </w:p>
    <w:p w14:paraId="4A7D907E" w14:textId="6191B67C" w:rsidR="002A7759" w:rsidRPr="006D4CB5" w:rsidRDefault="002A7759" w:rsidP="002A7759">
      <w:pPr>
        <w:pStyle w:val="NormalWeb"/>
        <w:spacing w:before="0" w:beforeAutospacing="0" w:after="0" w:afterAutospacing="0"/>
        <w:ind w:left="720"/>
        <w:rPr>
          <w:color w:val="000000" w:themeColor="text1"/>
          <w:shd w:val="clear" w:color="auto" w:fill="FFFFFF"/>
        </w:rPr>
      </w:pPr>
      <w:r w:rsidRPr="006D4CB5">
        <w:rPr>
          <w:color w:val="000000" w:themeColor="text1"/>
          <w:shd w:val="clear" w:color="auto" w:fill="FFFFFF"/>
        </w:rPr>
        <w:t xml:space="preserve">Experiences in Adolescence and Emerging Adulthood. </w:t>
      </w:r>
      <w:proofErr w:type="spellStart"/>
      <w:r w:rsidRPr="006D4CB5">
        <w:rPr>
          <w:i/>
          <w:iCs/>
          <w:color w:val="000000" w:themeColor="text1"/>
          <w:shd w:val="clear" w:color="auto" w:fill="FFFFFF"/>
        </w:rPr>
        <w:t>PsyArxiv</w:t>
      </w:r>
      <w:proofErr w:type="spellEnd"/>
      <w:r w:rsidRPr="006D4CB5">
        <w:rPr>
          <w:i/>
          <w:iCs/>
          <w:color w:val="000000" w:themeColor="text1"/>
          <w:shd w:val="clear" w:color="auto" w:fill="FFFFFF"/>
        </w:rPr>
        <w:t>.</w:t>
      </w:r>
    </w:p>
    <w:p w14:paraId="567DB6C8"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Anglim, J., Horwood, S., Smillie, L. D., Marrero, R. J., &amp; Wood, J. K. (2020). Predicting </w:t>
      </w:r>
    </w:p>
    <w:p w14:paraId="4E1D1534" w14:textId="1FF35E84" w:rsidR="002A7759" w:rsidRPr="006D4CB5" w:rsidRDefault="002A7759" w:rsidP="00F14E18">
      <w:pPr>
        <w:spacing w:line="259" w:lineRule="auto"/>
        <w:ind w:left="720"/>
        <w:jc w:val="both"/>
        <w:rPr>
          <w:color w:val="000000" w:themeColor="text1"/>
        </w:rPr>
      </w:pPr>
      <w:r w:rsidRPr="006D4CB5">
        <w:rPr>
          <w:color w:val="000000" w:themeColor="text1"/>
          <w:shd w:val="clear" w:color="auto" w:fill="FFFFFF"/>
        </w:rPr>
        <w:t>psychological and subjective well-being from personality: A meta-analysis. </w:t>
      </w:r>
      <w:r w:rsidRPr="006D4CB5">
        <w:rPr>
          <w:i/>
          <w:iCs/>
          <w:color w:val="000000" w:themeColor="text1"/>
          <w:shd w:val="clear" w:color="auto" w:fill="FFFFFF"/>
        </w:rPr>
        <w:t>Psychological bulletin</w:t>
      </w:r>
      <w:r w:rsidRPr="006D4CB5">
        <w:rPr>
          <w:color w:val="000000" w:themeColor="text1"/>
          <w:shd w:val="clear" w:color="auto" w:fill="FFFFFF"/>
        </w:rPr>
        <w:t>, </w:t>
      </w:r>
      <w:r w:rsidRPr="006D4CB5">
        <w:rPr>
          <w:i/>
          <w:iCs/>
          <w:color w:val="000000" w:themeColor="text1"/>
          <w:shd w:val="clear" w:color="auto" w:fill="FFFFFF"/>
        </w:rPr>
        <w:t>146</w:t>
      </w:r>
      <w:r w:rsidRPr="006D4CB5">
        <w:rPr>
          <w:color w:val="000000" w:themeColor="text1"/>
          <w:shd w:val="clear" w:color="auto" w:fill="FFFFFF"/>
        </w:rPr>
        <w:t>(4), 279.</w:t>
      </w:r>
    </w:p>
    <w:p w14:paraId="336D8485" w14:textId="50504423" w:rsidR="002A7759" w:rsidRPr="006D4CB5" w:rsidRDefault="002A7759" w:rsidP="002A7759">
      <w:pPr>
        <w:pStyle w:val="NormalWeb"/>
        <w:spacing w:before="0" w:beforeAutospacing="0" w:after="0" w:afterAutospacing="0"/>
        <w:rPr>
          <w:color w:val="000000" w:themeColor="text1"/>
          <w:shd w:val="clear" w:color="auto" w:fill="FFFFFF"/>
        </w:rPr>
      </w:pPr>
      <w:r w:rsidRPr="006D4CB5">
        <w:rPr>
          <w:color w:val="000000" w:themeColor="text1"/>
          <w:shd w:val="clear" w:color="auto" w:fill="FFFFFF"/>
        </w:rPr>
        <w:t>Arumäe</w:t>
      </w:r>
      <w:r w:rsidR="00EB3D6B" w:rsidRPr="006D4CB5">
        <w:rPr>
          <w:color w:val="000000" w:themeColor="text1"/>
          <w:shd w:val="clear" w:color="auto" w:fill="FFFFFF"/>
        </w:rPr>
        <w:t>,</w:t>
      </w:r>
      <w:r w:rsidRPr="006D4CB5">
        <w:rPr>
          <w:color w:val="000000" w:themeColor="text1"/>
          <w:shd w:val="clear" w:color="auto" w:fill="FFFFFF"/>
        </w:rPr>
        <w:t xml:space="preserve"> K., Briley, D., </w:t>
      </w:r>
      <w:proofErr w:type="spellStart"/>
      <w:r w:rsidRPr="006D4CB5">
        <w:rPr>
          <w:color w:val="000000" w:themeColor="text1"/>
          <w:shd w:val="clear" w:color="auto" w:fill="FFFFFF"/>
        </w:rPr>
        <w:t>Colodro</w:t>
      </w:r>
      <w:proofErr w:type="spellEnd"/>
      <w:r w:rsidRPr="006D4CB5">
        <w:rPr>
          <w:color w:val="000000" w:themeColor="text1"/>
          <w:shd w:val="clear" w:color="auto" w:fill="FFFFFF"/>
        </w:rPr>
        <w:t xml:space="preserve">-Conde, L., Mortensen, E. L., Jang, K., Ando, J., ... &amp; </w:t>
      </w:r>
      <w:proofErr w:type="spellStart"/>
      <w:r w:rsidRPr="006D4CB5">
        <w:rPr>
          <w:color w:val="000000" w:themeColor="text1"/>
          <w:shd w:val="clear" w:color="auto" w:fill="FFFFFF"/>
        </w:rPr>
        <w:t>Vainik</w:t>
      </w:r>
      <w:proofErr w:type="spellEnd"/>
      <w:r w:rsidRPr="006D4CB5">
        <w:rPr>
          <w:color w:val="000000" w:themeColor="text1"/>
          <w:shd w:val="clear" w:color="auto" w:fill="FFFFFF"/>
        </w:rPr>
        <w:t xml:space="preserve">, U. </w:t>
      </w:r>
    </w:p>
    <w:p w14:paraId="779E7560" w14:textId="1722F714" w:rsidR="002A7759" w:rsidRPr="006D4CB5" w:rsidRDefault="002A7759" w:rsidP="002A7759">
      <w:pPr>
        <w:pStyle w:val="NormalWeb"/>
        <w:spacing w:before="0" w:beforeAutospacing="0" w:after="0" w:afterAutospacing="0"/>
        <w:ind w:left="720"/>
        <w:rPr>
          <w:color w:val="000000" w:themeColor="text1"/>
          <w:shd w:val="clear" w:color="auto" w:fill="FFFFFF"/>
        </w:rPr>
      </w:pPr>
      <w:r w:rsidRPr="006D4CB5">
        <w:rPr>
          <w:color w:val="000000" w:themeColor="text1"/>
          <w:shd w:val="clear" w:color="auto" w:fill="FFFFFF"/>
        </w:rPr>
        <w:t xml:space="preserve">(2021). Two genetic analyses to elucidate causality between body mass index and personality. </w:t>
      </w:r>
      <w:r w:rsidRPr="006D4CB5">
        <w:rPr>
          <w:i/>
          <w:iCs/>
          <w:color w:val="000000" w:themeColor="text1"/>
          <w:shd w:val="clear" w:color="auto" w:fill="FFFFFF"/>
        </w:rPr>
        <w:t>International journal of obesity</w:t>
      </w:r>
      <w:r w:rsidRPr="006D4CB5">
        <w:rPr>
          <w:color w:val="000000" w:themeColor="text1"/>
          <w:shd w:val="clear" w:color="auto" w:fill="FFFFFF"/>
        </w:rPr>
        <w:t xml:space="preserve">, </w:t>
      </w:r>
      <w:r w:rsidRPr="006D4CB5">
        <w:rPr>
          <w:i/>
          <w:iCs/>
          <w:color w:val="000000" w:themeColor="text1"/>
          <w:shd w:val="clear" w:color="auto" w:fill="FFFFFF"/>
        </w:rPr>
        <w:t>45</w:t>
      </w:r>
      <w:r w:rsidRPr="006D4CB5">
        <w:rPr>
          <w:color w:val="000000" w:themeColor="text1"/>
          <w:shd w:val="clear" w:color="auto" w:fill="FFFFFF"/>
        </w:rPr>
        <w:t>(10), 2244-2251.</w:t>
      </w:r>
    </w:p>
    <w:p w14:paraId="5585E20B" w14:textId="77777777" w:rsidR="002A7759" w:rsidRPr="006D4CB5" w:rsidRDefault="002A7759" w:rsidP="002A7759">
      <w:pPr>
        <w:spacing w:line="259" w:lineRule="auto"/>
        <w:jc w:val="both"/>
        <w:rPr>
          <w:i/>
          <w:iCs/>
          <w:color w:val="000000" w:themeColor="text1"/>
          <w:shd w:val="clear" w:color="auto" w:fill="FFFFFF"/>
        </w:rPr>
      </w:pPr>
      <w:r w:rsidRPr="006D4CB5">
        <w:rPr>
          <w:color w:val="000000" w:themeColor="text1"/>
          <w:shd w:val="clear" w:color="auto" w:fill="FFFFFF"/>
        </w:rPr>
        <w:t>Ashton, M. C., &amp; Lee, K. (2021). A review of personality/religiousness associations. </w:t>
      </w:r>
      <w:r w:rsidRPr="006D4CB5">
        <w:rPr>
          <w:i/>
          <w:iCs/>
          <w:color w:val="000000" w:themeColor="text1"/>
          <w:shd w:val="clear" w:color="auto" w:fill="FFFFFF"/>
        </w:rPr>
        <w:t xml:space="preserve">Current </w:t>
      </w:r>
    </w:p>
    <w:p w14:paraId="343E0A85" w14:textId="022B631C" w:rsidR="002A7759" w:rsidRPr="006D4CB5" w:rsidRDefault="002A7759" w:rsidP="00F14E18">
      <w:pPr>
        <w:spacing w:line="259" w:lineRule="auto"/>
        <w:ind w:firstLine="720"/>
        <w:jc w:val="both"/>
        <w:rPr>
          <w:rFonts w:eastAsiaTheme="minorEastAsia"/>
          <w:color w:val="000000" w:themeColor="text1"/>
          <w:shd w:val="clear" w:color="auto" w:fill="FFFFFF"/>
          <w:lang w:eastAsia="ja-JP"/>
        </w:rPr>
      </w:pPr>
      <w:r w:rsidRPr="006D4CB5">
        <w:rPr>
          <w:rFonts w:eastAsiaTheme="minorEastAsia"/>
          <w:i/>
          <w:iCs/>
          <w:color w:val="000000" w:themeColor="text1"/>
          <w:shd w:val="clear" w:color="auto" w:fill="FFFFFF"/>
          <w:lang w:eastAsia="ja-JP"/>
        </w:rPr>
        <w:t>Opinion in Psychology</w:t>
      </w:r>
      <w:r w:rsidRPr="006D4CB5">
        <w:rPr>
          <w:rFonts w:eastAsiaTheme="minorEastAsia"/>
          <w:color w:val="000000" w:themeColor="text1"/>
          <w:shd w:val="clear" w:color="auto" w:fill="FFFFFF"/>
          <w:lang w:eastAsia="ja-JP"/>
        </w:rPr>
        <w:t>, </w:t>
      </w:r>
      <w:r w:rsidRPr="006D4CB5">
        <w:rPr>
          <w:rFonts w:eastAsiaTheme="minorEastAsia"/>
          <w:i/>
          <w:iCs/>
          <w:color w:val="000000" w:themeColor="text1"/>
          <w:shd w:val="clear" w:color="auto" w:fill="FFFFFF"/>
          <w:lang w:eastAsia="ja-JP"/>
        </w:rPr>
        <w:t>40</w:t>
      </w:r>
      <w:r w:rsidRPr="006D4CB5">
        <w:rPr>
          <w:rFonts w:eastAsiaTheme="minorEastAsia"/>
          <w:color w:val="000000" w:themeColor="text1"/>
          <w:shd w:val="clear" w:color="auto" w:fill="FFFFFF"/>
          <w:lang w:eastAsia="ja-JP"/>
        </w:rPr>
        <w:t>, 51-55.</w:t>
      </w:r>
    </w:p>
    <w:p w14:paraId="1C1CCD1C" w14:textId="77777777" w:rsidR="002A7759" w:rsidRPr="006D4CB5" w:rsidRDefault="002A7759" w:rsidP="002A7759">
      <w:pPr>
        <w:pStyle w:val="NormalWeb"/>
        <w:spacing w:before="0" w:beforeAutospacing="0" w:after="0" w:afterAutospacing="0"/>
        <w:rPr>
          <w:color w:val="000000" w:themeColor="text1"/>
          <w:shd w:val="clear" w:color="auto" w:fill="FFFFFF"/>
        </w:rPr>
      </w:pPr>
      <w:r w:rsidRPr="006D4CB5">
        <w:rPr>
          <w:color w:val="000000" w:themeColor="text1"/>
          <w:shd w:val="clear" w:color="auto" w:fill="FFFFFF"/>
        </w:rPr>
        <w:t xml:space="preserve">Atherton, O. E., </w:t>
      </w:r>
      <w:proofErr w:type="spellStart"/>
      <w:r w:rsidRPr="006D4CB5">
        <w:rPr>
          <w:color w:val="000000" w:themeColor="text1"/>
          <w:shd w:val="clear" w:color="auto" w:fill="FFFFFF"/>
        </w:rPr>
        <w:t>Willroth</w:t>
      </w:r>
      <w:proofErr w:type="spellEnd"/>
      <w:r w:rsidRPr="006D4CB5">
        <w:rPr>
          <w:color w:val="000000" w:themeColor="text1"/>
          <w:shd w:val="clear" w:color="auto" w:fill="FFFFFF"/>
        </w:rPr>
        <w:t xml:space="preserve">, E. C., Weston, S. J., Mroczek, D. K., &amp; Graham, E. K. (2024). </w:t>
      </w:r>
    </w:p>
    <w:p w14:paraId="06636563" w14:textId="77777777" w:rsidR="002A7759" w:rsidRPr="006D4CB5" w:rsidRDefault="002A7759" w:rsidP="00EB3D6B">
      <w:pPr>
        <w:pStyle w:val="NormalWeb"/>
        <w:spacing w:before="0" w:beforeAutospacing="0" w:after="0" w:afterAutospacing="0"/>
        <w:ind w:firstLine="540"/>
        <w:rPr>
          <w:color w:val="000000" w:themeColor="text1"/>
          <w:shd w:val="clear" w:color="auto" w:fill="FFFFFF"/>
        </w:rPr>
      </w:pPr>
      <w:r w:rsidRPr="006D4CB5">
        <w:rPr>
          <w:color w:val="000000" w:themeColor="text1"/>
          <w:shd w:val="clear" w:color="auto" w:fill="FFFFFF"/>
        </w:rPr>
        <w:t xml:space="preserve">Longitudinal associations among the Big Five personality traits and healthcare utilization </w:t>
      </w:r>
    </w:p>
    <w:p w14:paraId="17DDDF15" w14:textId="5095301B" w:rsidR="002A7759" w:rsidRPr="006D4CB5" w:rsidRDefault="002A7759" w:rsidP="00EB3D6B">
      <w:pPr>
        <w:pStyle w:val="NormalWeb"/>
        <w:spacing w:before="0" w:beforeAutospacing="0" w:after="0" w:afterAutospacing="0"/>
        <w:ind w:firstLine="540"/>
        <w:rPr>
          <w:color w:val="000000" w:themeColor="text1"/>
          <w:shd w:val="clear" w:color="auto" w:fill="FFFFFF"/>
        </w:rPr>
      </w:pPr>
      <w:r w:rsidRPr="006D4CB5">
        <w:rPr>
          <w:color w:val="000000" w:themeColor="text1"/>
          <w:shd w:val="clear" w:color="auto" w:fill="FFFFFF"/>
        </w:rPr>
        <w:t xml:space="preserve">in the US. </w:t>
      </w:r>
      <w:r w:rsidRPr="006D4CB5">
        <w:rPr>
          <w:i/>
          <w:iCs/>
          <w:color w:val="000000" w:themeColor="text1"/>
          <w:shd w:val="clear" w:color="auto" w:fill="FFFFFF"/>
        </w:rPr>
        <w:t>Social science &amp; medicine</w:t>
      </w:r>
      <w:r w:rsidRPr="006D4CB5">
        <w:rPr>
          <w:color w:val="000000" w:themeColor="text1"/>
          <w:shd w:val="clear" w:color="auto" w:fill="FFFFFF"/>
        </w:rPr>
        <w:t xml:space="preserve">, </w:t>
      </w:r>
      <w:r w:rsidRPr="006D4CB5">
        <w:rPr>
          <w:i/>
          <w:iCs/>
          <w:color w:val="000000" w:themeColor="text1"/>
          <w:shd w:val="clear" w:color="auto" w:fill="FFFFFF"/>
        </w:rPr>
        <w:t>340</w:t>
      </w:r>
      <w:r w:rsidRPr="006D4CB5">
        <w:rPr>
          <w:color w:val="000000" w:themeColor="text1"/>
          <w:shd w:val="clear" w:color="auto" w:fill="FFFFFF"/>
        </w:rPr>
        <w:t>, 116494.</w:t>
      </w:r>
    </w:p>
    <w:p w14:paraId="3763D806" w14:textId="7DCB8C83" w:rsidR="002A7759" w:rsidRPr="006D4CB5" w:rsidRDefault="002A7759" w:rsidP="00F14E18">
      <w:pPr>
        <w:tabs>
          <w:tab w:val="right" w:pos="360"/>
          <w:tab w:val="left" w:pos="540"/>
        </w:tabs>
        <w:ind w:left="540" w:hanging="540"/>
        <w:rPr>
          <w:rFonts w:eastAsiaTheme="minorEastAsia"/>
          <w:color w:val="000000" w:themeColor="text1"/>
          <w:shd w:val="clear" w:color="auto" w:fill="FFFFFF"/>
          <w:lang w:eastAsia="ja-JP"/>
        </w:rPr>
      </w:pPr>
      <w:r w:rsidRPr="006D4CB5">
        <w:rPr>
          <w:color w:val="000000" w:themeColor="text1"/>
          <w:shd w:val="clear" w:color="auto" w:fill="FFFFFF"/>
        </w:rPr>
        <w:t xml:space="preserve">Barker, D. J., Osmond, C., </w:t>
      </w:r>
      <w:proofErr w:type="spellStart"/>
      <w:r w:rsidRPr="006D4CB5">
        <w:rPr>
          <w:color w:val="000000" w:themeColor="text1"/>
          <w:shd w:val="clear" w:color="auto" w:fill="FFFFFF"/>
        </w:rPr>
        <w:t>Forsén</w:t>
      </w:r>
      <w:proofErr w:type="spellEnd"/>
      <w:r w:rsidRPr="006D4CB5">
        <w:rPr>
          <w:color w:val="000000" w:themeColor="text1"/>
          <w:shd w:val="clear" w:color="auto" w:fill="FFFFFF"/>
        </w:rPr>
        <w:t xml:space="preserve">, T. J., </w:t>
      </w:r>
      <w:proofErr w:type="spellStart"/>
      <w:r w:rsidRPr="006D4CB5">
        <w:rPr>
          <w:color w:val="000000" w:themeColor="text1"/>
          <w:shd w:val="clear" w:color="auto" w:fill="FFFFFF"/>
        </w:rPr>
        <w:t>Kajantie</w:t>
      </w:r>
      <w:proofErr w:type="spellEnd"/>
      <w:r w:rsidRPr="006D4CB5">
        <w:rPr>
          <w:color w:val="000000" w:themeColor="text1"/>
          <w:shd w:val="clear" w:color="auto" w:fill="FFFFFF"/>
        </w:rPr>
        <w:t>, E., &amp; Eriksson, J. G. (2005). Trajectories of growth among children who have coronary events as adults. </w:t>
      </w:r>
      <w:r w:rsidRPr="006D4CB5">
        <w:rPr>
          <w:i/>
          <w:iCs/>
          <w:color w:val="000000" w:themeColor="text1"/>
          <w:shd w:val="clear" w:color="auto" w:fill="FFFFFF"/>
        </w:rPr>
        <w:t xml:space="preserve">New </w:t>
      </w:r>
      <w:proofErr w:type="spellStart"/>
      <w:r w:rsidR="00EB3D6B" w:rsidRPr="006D4CB5">
        <w:rPr>
          <w:i/>
          <w:iCs/>
          <w:color w:val="000000" w:themeColor="text1"/>
          <w:shd w:val="clear" w:color="auto" w:fill="FFFFFF"/>
        </w:rPr>
        <w:t>e</w:t>
      </w:r>
      <w:r w:rsidRPr="006D4CB5">
        <w:rPr>
          <w:i/>
          <w:iCs/>
          <w:color w:val="000000" w:themeColor="text1"/>
          <w:shd w:val="clear" w:color="auto" w:fill="FFFFFF"/>
        </w:rPr>
        <w:t>ngland</w:t>
      </w:r>
      <w:proofErr w:type="spellEnd"/>
      <w:r w:rsidRPr="006D4CB5">
        <w:rPr>
          <w:i/>
          <w:iCs/>
          <w:color w:val="000000" w:themeColor="text1"/>
          <w:shd w:val="clear" w:color="auto" w:fill="FFFFFF"/>
        </w:rPr>
        <w:t xml:space="preserve"> </w:t>
      </w:r>
      <w:r w:rsidR="00EB3D6B" w:rsidRPr="006D4CB5">
        <w:rPr>
          <w:i/>
          <w:iCs/>
          <w:color w:val="000000" w:themeColor="text1"/>
          <w:shd w:val="clear" w:color="auto" w:fill="FFFFFF"/>
        </w:rPr>
        <w:t>j</w:t>
      </w:r>
      <w:r w:rsidRPr="006D4CB5">
        <w:rPr>
          <w:i/>
          <w:iCs/>
          <w:color w:val="000000" w:themeColor="text1"/>
          <w:shd w:val="clear" w:color="auto" w:fill="FFFFFF"/>
        </w:rPr>
        <w:t xml:space="preserve">ournal of </w:t>
      </w:r>
      <w:r w:rsidR="00EB3D6B" w:rsidRPr="006D4CB5">
        <w:rPr>
          <w:i/>
          <w:iCs/>
          <w:color w:val="000000" w:themeColor="text1"/>
          <w:shd w:val="clear" w:color="auto" w:fill="FFFFFF"/>
        </w:rPr>
        <w:t>m</w:t>
      </w:r>
      <w:r w:rsidRPr="006D4CB5">
        <w:rPr>
          <w:i/>
          <w:iCs/>
          <w:color w:val="000000" w:themeColor="text1"/>
          <w:shd w:val="clear" w:color="auto" w:fill="FFFFFF"/>
        </w:rPr>
        <w:t>edicine</w:t>
      </w:r>
      <w:r w:rsidRPr="006D4CB5">
        <w:rPr>
          <w:color w:val="000000" w:themeColor="text1"/>
          <w:shd w:val="clear" w:color="auto" w:fill="FFFFFF"/>
        </w:rPr>
        <w:t>, </w:t>
      </w:r>
      <w:r w:rsidRPr="006D4CB5">
        <w:rPr>
          <w:i/>
          <w:iCs/>
          <w:color w:val="000000" w:themeColor="text1"/>
          <w:shd w:val="clear" w:color="auto" w:fill="FFFFFF"/>
        </w:rPr>
        <w:t>353</w:t>
      </w:r>
      <w:r w:rsidRPr="006D4CB5">
        <w:rPr>
          <w:color w:val="000000" w:themeColor="text1"/>
          <w:shd w:val="clear" w:color="auto" w:fill="FFFFFF"/>
        </w:rPr>
        <w:t>(17), 1802-1809.</w:t>
      </w:r>
    </w:p>
    <w:p w14:paraId="0C632451" w14:textId="77777777" w:rsidR="002A7759" w:rsidRPr="006D4CB5" w:rsidRDefault="002A7759" w:rsidP="002A7759">
      <w:pPr>
        <w:ind w:left="720" w:hanging="720"/>
        <w:rPr>
          <w:color w:val="000000" w:themeColor="text1"/>
        </w:rPr>
      </w:pPr>
      <w:r w:rsidRPr="006D4CB5">
        <w:rPr>
          <w:rFonts w:eastAsia="Aptos"/>
          <w:color w:val="000000" w:themeColor="text1"/>
        </w:rPr>
        <w:lastRenderedPageBreak/>
        <w:t xml:space="preserve">Bates, D. M. (2010, February). </w:t>
      </w:r>
      <w:r w:rsidRPr="006D4CB5">
        <w:rPr>
          <w:rFonts w:eastAsia="Aptos"/>
          <w:i/>
          <w:iCs/>
          <w:color w:val="000000" w:themeColor="text1"/>
        </w:rPr>
        <w:t>lme4: Mixed-effects modeling with R</w:t>
      </w:r>
      <w:r w:rsidRPr="006D4CB5">
        <w:rPr>
          <w:rFonts w:eastAsia="Aptos"/>
          <w:color w:val="000000" w:themeColor="text1"/>
        </w:rPr>
        <w:t>.</w:t>
      </w:r>
    </w:p>
    <w:p w14:paraId="5536FB25" w14:textId="77777777" w:rsidR="002A7759" w:rsidRPr="006D4CB5" w:rsidRDefault="002A7759" w:rsidP="002A7759">
      <w:pPr>
        <w:pStyle w:val="NormalWeb"/>
        <w:spacing w:before="0" w:beforeAutospacing="0" w:after="0" w:afterAutospacing="0"/>
        <w:rPr>
          <w:color w:val="000000" w:themeColor="text1"/>
          <w:shd w:val="clear" w:color="auto" w:fill="FFFFFF"/>
        </w:rPr>
      </w:pPr>
      <w:proofErr w:type="spellStart"/>
      <w:r w:rsidRPr="006D4CB5">
        <w:rPr>
          <w:color w:val="000000" w:themeColor="text1"/>
          <w:shd w:val="clear" w:color="auto" w:fill="FFFFFF"/>
        </w:rPr>
        <w:t>Bleidorn</w:t>
      </w:r>
      <w:proofErr w:type="spellEnd"/>
      <w:r w:rsidRPr="006D4CB5">
        <w:rPr>
          <w:color w:val="000000" w:themeColor="text1"/>
          <w:shd w:val="clear" w:color="auto" w:fill="FFFFFF"/>
        </w:rPr>
        <w:t xml:space="preserve">, W., Hopwood, C. J., Ackerman, R. A., Witt, E. A., Kandler, C., Riemann, R., ... &amp; </w:t>
      </w:r>
    </w:p>
    <w:p w14:paraId="5274EB80" w14:textId="1135BA41" w:rsidR="002A7759" w:rsidRPr="006D4CB5" w:rsidRDefault="002A7759" w:rsidP="00F14E18">
      <w:pPr>
        <w:pStyle w:val="NormalWeb"/>
        <w:spacing w:before="0" w:beforeAutospacing="0" w:after="0" w:afterAutospacing="0"/>
        <w:ind w:left="720"/>
        <w:rPr>
          <w:color w:val="000000" w:themeColor="text1"/>
        </w:rPr>
      </w:pPr>
      <w:r w:rsidRPr="006D4CB5">
        <w:rPr>
          <w:color w:val="000000" w:themeColor="text1"/>
          <w:shd w:val="clear" w:color="auto" w:fill="FFFFFF"/>
        </w:rPr>
        <w:t>Donnellan, M. B. (2020). The healthy personality from a basic trait perspective. </w:t>
      </w:r>
      <w:r w:rsidRPr="006D4CB5">
        <w:rPr>
          <w:i/>
          <w:iCs/>
          <w:color w:val="000000" w:themeColor="text1"/>
          <w:shd w:val="clear" w:color="auto" w:fill="FFFFFF"/>
        </w:rPr>
        <w:t>Journal of personality and social psychology</w:t>
      </w:r>
      <w:r w:rsidRPr="006D4CB5">
        <w:rPr>
          <w:color w:val="000000" w:themeColor="text1"/>
          <w:shd w:val="clear" w:color="auto" w:fill="FFFFFF"/>
        </w:rPr>
        <w:t>, </w:t>
      </w:r>
      <w:r w:rsidRPr="006D4CB5">
        <w:rPr>
          <w:i/>
          <w:iCs/>
          <w:color w:val="000000" w:themeColor="text1"/>
          <w:shd w:val="clear" w:color="auto" w:fill="FFFFFF"/>
        </w:rPr>
        <w:t>118</w:t>
      </w:r>
      <w:r w:rsidRPr="006D4CB5">
        <w:rPr>
          <w:color w:val="000000" w:themeColor="text1"/>
          <w:shd w:val="clear" w:color="auto" w:fill="FFFFFF"/>
        </w:rPr>
        <w:t>(6), 1207.</w:t>
      </w:r>
    </w:p>
    <w:p w14:paraId="6A7B708E" w14:textId="77777777" w:rsidR="002A7759" w:rsidRPr="006D4CB5" w:rsidRDefault="002A7759" w:rsidP="002A7759">
      <w:pPr>
        <w:ind w:left="720" w:hanging="720"/>
        <w:rPr>
          <w:color w:val="000000" w:themeColor="text1"/>
        </w:rPr>
      </w:pPr>
      <w:r w:rsidRPr="006D4CB5">
        <w:rPr>
          <w:color w:val="000000" w:themeColor="text1"/>
          <w:shd w:val="clear" w:color="auto" w:fill="FFFFFF"/>
        </w:rPr>
        <w:t xml:space="preserve">Border, R., Athanasiadis, G., Buil, A., Schork, A. J., Cai, N., Young, A. I., ... &amp; </w:t>
      </w:r>
      <w:proofErr w:type="spellStart"/>
      <w:r w:rsidRPr="006D4CB5">
        <w:rPr>
          <w:color w:val="000000" w:themeColor="text1"/>
          <w:shd w:val="clear" w:color="auto" w:fill="FFFFFF"/>
        </w:rPr>
        <w:t>Zaitlen</w:t>
      </w:r>
      <w:proofErr w:type="spellEnd"/>
      <w:r w:rsidRPr="006D4CB5">
        <w:rPr>
          <w:color w:val="000000" w:themeColor="text1"/>
          <w:shd w:val="clear" w:color="auto" w:fill="FFFFFF"/>
        </w:rPr>
        <w:t>, N. A. (2022). Cross-trait assortative mating is widespread and inflates genetic correlation estimates. </w:t>
      </w:r>
      <w:r w:rsidRPr="006D4CB5">
        <w:rPr>
          <w:i/>
          <w:iCs/>
          <w:color w:val="000000" w:themeColor="text1"/>
          <w:shd w:val="clear" w:color="auto" w:fill="FFFFFF"/>
        </w:rPr>
        <w:t>Science</w:t>
      </w:r>
      <w:r w:rsidRPr="006D4CB5">
        <w:rPr>
          <w:color w:val="000000" w:themeColor="text1"/>
          <w:shd w:val="clear" w:color="auto" w:fill="FFFFFF"/>
        </w:rPr>
        <w:t>, </w:t>
      </w:r>
      <w:r w:rsidRPr="006D4CB5">
        <w:rPr>
          <w:i/>
          <w:iCs/>
          <w:color w:val="000000" w:themeColor="text1"/>
          <w:shd w:val="clear" w:color="auto" w:fill="FFFFFF"/>
        </w:rPr>
        <w:t>378</w:t>
      </w:r>
      <w:r w:rsidRPr="006D4CB5">
        <w:rPr>
          <w:color w:val="000000" w:themeColor="text1"/>
          <w:shd w:val="clear" w:color="auto" w:fill="FFFFFF"/>
        </w:rPr>
        <w:t>(6621), 754-761.</w:t>
      </w:r>
    </w:p>
    <w:p w14:paraId="1C99D65F" w14:textId="77777777" w:rsidR="002A7759" w:rsidRPr="006D4CB5" w:rsidRDefault="002A7759" w:rsidP="002A7759">
      <w:pPr>
        <w:ind w:left="720" w:hanging="720"/>
        <w:rPr>
          <w:color w:val="000000" w:themeColor="text1"/>
        </w:rPr>
      </w:pPr>
      <w:r w:rsidRPr="006D4CB5">
        <w:rPr>
          <w:rFonts w:eastAsia="Aptos"/>
          <w:color w:val="000000" w:themeColor="text1"/>
        </w:rPr>
        <w:t xml:space="preserve">Borenstein, M., Hedges, L., &amp; Rothstein, D. (2007). Meta-analysis: Fixed effect vs. random effects. Retrieved from </w:t>
      </w:r>
      <w:hyperlink r:id="rId13">
        <w:r w:rsidRPr="006D4CB5">
          <w:rPr>
            <w:rStyle w:val="Hyperlink"/>
            <w:rFonts w:eastAsia="Aptos"/>
            <w:color w:val="000000" w:themeColor="text1"/>
          </w:rPr>
          <w:t>http://www.metaanalysis.com/downloads/Meta-analysis_fixed_effect_vs_random_ effects_sv.pdf</w:t>
        </w:r>
      </w:hyperlink>
    </w:p>
    <w:p w14:paraId="6A71582A" w14:textId="25A7CE32" w:rsidR="00316181" w:rsidRPr="006D4CB5" w:rsidRDefault="00316181" w:rsidP="002A7759">
      <w:pPr>
        <w:ind w:left="720" w:hanging="720"/>
        <w:rPr>
          <w:color w:val="000000" w:themeColor="text1"/>
        </w:rPr>
      </w:pPr>
      <w:proofErr w:type="spellStart"/>
      <w:r w:rsidRPr="006D4CB5">
        <w:rPr>
          <w:color w:val="000000" w:themeColor="text1"/>
          <w:shd w:val="clear" w:color="auto" w:fill="FFFFFF"/>
        </w:rPr>
        <w:t>Brandlistuen</w:t>
      </w:r>
      <w:proofErr w:type="spellEnd"/>
      <w:r w:rsidRPr="006D4CB5">
        <w:rPr>
          <w:color w:val="000000" w:themeColor="text1"/>
          <w:shd w:val="clear" w:color="auto" w:fill="FFFFFF"/>
        </w:rPr>
        <w:t>, R. E., Kristjansson, D., Alsaker, E., Valen, R., Birkeland, E., Røyrvik, E. C., ... &amp; Magnus, P. (2025). Cohort profile update: The Norwegian mother, father and child cohort (</w:t>
      </w:r>
      <w:proofErr w:type="spellStart"/>
      <w:r w:rsidRPr="006D4CB5">
        <w:rPr>
          <w:color w:val="000000" w:themeColor="text1"/>
          <w:shd w:val="clear" w:color="auto" w:fill="FFFFFF"/>
        </w:rPr>
        <w:t>MoBa</w:t>
      </w:r>
      <w:proofErr w:type="spellEnd"/>
      <w:r w:rsidRPr="006D4CB5">
        <w:rPr>
          <w:color w:val="000000" w:themeColor="text1"/>
          <w:shd w:val="clear" w:color="auto" w:fill="FFFFFF"/>
        </w:rPr>
        <w:t>). </w:t>
      </w:r>
      <w:r w:rsidRPr="006D4CB5">
        <w:rPr>
          <w:i/>
          <w:iCs/>
          <w:color w:val="000000" w:themeColor="text1"/>
          <w:shd w:val="clear" w:color="auto" w:fill="FFFFFF"/>
        </w:rPr>
        <w:t xml:space="preserve">International </w:t>
      </w:r>
      <w:r w:rsidR="00EB3D6B" w:rsidRPr="006D4CB5">
        <w:rPr>
          <w:i/>
          <w:iCs/>
          <w:color w:val="000000" w:themeColor="text1"/>
          <w:shd w:val="clear" w:color="auto" w:fill="FFFFFF"/>
        </w:rPr>
        <w:t>j</w:t>
      </w:r>
      <w:r w:rsidRPr="006D4CB5">
        <w:rPr>
          <w:i/>
          <w:iCs/>
          <w:color w:val="000000" w:themeColor="text1"/>
          <w:shd w:val="clear" w:color="auto" w:fill="FFFFFF"/>
        </w:rPr>
        <w:t>ournal of</w:t>
      </w:r>
      <w:r w:rsidR="00EB3D6B" w:rsidRPr="006D4CB5">
        <w:rPr>
          <w:i/>
          <w:iCs/>
          <w:color w:val="000000" w:themeColor="text1"/>
          <w:shd w:val="clear" w:color="auto" w:fill="FFFFFF"/>
        </w:rPr>
        <w:t xml:space="preserve"> e</w:t>
      </w:r>
      <w:r w:rsidRPr="006D4CB5">
        <w:rPr>
          <w:i/>
          <w:iCs/>
          <w:color w:val="000000" w:themeColor="text1"/>
          <w:shd w:val="clear" w:color="auto" w:fill="FFFFFF"/>
        </w:rPr>
        <w:t>pidemiology</w:t>
      </w:r>
      <w:r w:rsidRPr="006D4CB5">
        <w:rPr>
          <w:color w:val="000000" w:themeColor="text1"/>
          <w:shd w:val="clear" w:color="auto" w:fill="FFFFFF"/>
        </w:rPr>
        <w:t>, </w:t>
      </w:r>
      <w:r w:rsidRPr="006D4CB5">
        <w:rPr>
          <w:i/>
          <w:iCs/>
          <w:color w:val="000000" w:themeColor="text1"/>
          <w:shd w:val="clear" w:color="auto" w:fill="FFFFFF"/>
        </w:rPr>
        <w:t>54</w:t>
      </w:r>
      <w:r w:rsidRPr="006D4CB5">
        <w:rPr>
          <w:color w:val="000000" w:themeColor="text1"/>
          <w:shd w:val="clear" w:color="auto" w:fill="FFFFFF"/>
        </w:rPr>
        <w:t>(5).</w:t>
      </w:r>
    </w:p>
    <w:p w14:paraId="54C1CBBC" w14:textId="77777777" w:rsidR="002A7759" w:rsidRPr="006D4CB5" w:rsidRDefault="002A7759" w:rsidP="002A7759">
      <w:pPr>
        <w:rPr>
          <w:color w:val="000000" w:themeColor="text1"/>
          <w:lang w:eastAsia="ko-KR"/>
        </w:rPr>
      </w:pPr>
      <w:r w:rsidRPr="006D4CB5">
        <w:rPr>
          <w:color w:val="000000" w:themeColor="text1"/>
          <w:lang w:eastAsia="ko-KR"/>
        </w:rPr>
        <w:t xml:space="preserve">Brieger, K., Zajac, G.J., Pandit, A., Foerster, J.R., Li, K.W., Annis, A. C., Schmidt, E.M., Clark, </w:t>
      </w:r>
    </w:p>
    <w:p w14:paraId="234F281D" w14:textId="43AB0F4F" w:rsidR="002A7759" w:rsidRPr="006D4CB5" w:rsidRDefault="002A7759" w:rsidP="00F14E18">
      <w:pPr>
        <w:ind w:left="720"/>
        <w:rPr>
          <w:color w:val="000000" w:themeColor="text1"/>
          <w:lang w:eastAsia="ko-KR"/>
        </w:rPr>
      </w:pPr>
      <w:r w:rsidRPr="006D4CB5">
        <w:rPr>
          <w:color w:val="000000" w:themeColor="text1"/>
          <w:lang w:eastAsia="ko-KR"/>
        </w:rPr>
        <w:t xml:space="preserve">C.P., McMorrow, K., Zhou, W., Yang, J., Kwong, A.M., Boughton, A.P., Wu, J., Scheller, C. Parikh, T., de la Vega, A., Brazel, D.M., </w:t>
      </w:r>
      <w:proofErr w:type="spellStart"/>
      <w:r w:rsidRPr="006D4CB5">
        <w:rPr>
          <w:color w:val="000000" w:themeColor="text1"/>
          <w:lang w:eastAsia="ko-KR"/>
        </w:rPr>
        <w:t>Frieser</w:t>
      </w:r>
      <w:proofErr w:type="spellEnd"/>
      <w:r w:rsidRPr="006D4CB5">
        <w:rPr>
          <w:color w:val="000000" w:themeColor="text1"/>
          <w:lang w:eastAsia="ko-KR"/>
        </w:rPr>
        <w:t xml:space="preserve">, M., ... </w:t>
      </w:r>
      <w:proofErr w:type="spellStart"/>
      <w:r w:rsidRPr="006D4CB5">
        <w:rPr>
          <w:color w:val="000000" w:themeColor="text1"/>
          <w:lang w:eastAsia="ko-KR"/>
        </w:rPr>
        <w:t>Abecasis</w:t>
      </w:r>
      <w:proofErr w:type="spellEnd"/>
      <w:r w:rsidRPr="006D4CB5">
        <w:rPr>
          <w:color w:val="000000" w:themeColor="text1"/>
          <w:lang w:eastAsia="ko-KR"/>
        </w:rPr>
        <w:t xml:space="preserve">, G.R. (2019). Genes for good: engaging the public in genetics research via social media. </w:t>
      </w:r>
      <w:r w:rsidRPr="006D4CB5">
        <w:rPr>
          <w:i/>
          <w:iCs/>
          <w:color w:val="000000" w:themeColor="text1"/>
          <w:lang w:eastAsia="ko-KR"/>
        </w:rPr>
        <w:t>The American</w:t>
      </w:r>
      <w:r w:rsidR="00EB3D6B" w:rsidRPr="006D4CB5">
        <w:rPr>
          <w:i/>
          <w:iCs/>
          <w:color w:val="000000" w:themeColor="text1"/>
          <w:lang w:eastAsia="ko-KR"/>
        </w:rPr>
        <w:t xml:space="preserve"> j</w:t>
      </w:r>
      <w:r w:rsidRPr="006D4CB5">
        <w:rPr>
          <w:i/>
          <w:iCs/>
          <w:color w:val="000000" w:themeColor="text1"/>
          <w:lang w:eastAsia="ko-KR"/>
        </w:rPr>
        <w:t xml:space="preserve">ournal of </w:t>
      </w:r>
      <w:r w:rsidR="00EB3D6B" w:rsidRPr="006D4CB5">
        <w:rPr>
          <w:i/>
          <w:iCs/>
          <w:color w:val="000000" w:themeColor="text1"/>
          <w:lang w:eastAsia="ko-KR"/>
        </w:rPr>
        <w:t>h</w:t>
      </w:r>
      <w:r w:rsidRPr="006D4CB5">
        <w:rPr>
          <w:i/>
          <w:iCs/>
          <w:color w:val="000000" w:themeColor="text1"/>
          <w:lang w:eastAsia="ko-KR"/>
        </w:rPr>
        <w:t xml:space="preserve">uman </w:t>
      </w:r>
      <w:r w:rsidR="00EB3D6B" w:rsidRPr="006D4CB5">
        <w:rPr>
          <w:i/>
          <w:iCs/>
          <w:color w:val="000000" w:themeColor="text1"/>
          <w:lang w:eastAsia="ko-KR"/>
        </w:rPr>
        <w:t>g</w:t>
      </w:r>
      <w:r w:rsidRPr="006D4CB5">
        <w:rPr>
          <w:i/>
          <w:iCs/>
          <w:color w:val="000000" w:themeColor="text1"/>
          <w:lang w:eastAsia="ko-KR"/>
        </w:rPr>
        <w:t>enetics</w:t>
      </w:r>
      <w:r w:rsidRPr="006D4CB5">
        <w:rPr>
          <w:color w:val="000000" w:themeColor="text1"/>
          <w:lang w:eastAsia="ko-KR"/>
        </w:rPr>
        <w:t xml:space="preserve">, </w:t>
      </w:r>
      <w:r w:rsidRPr="006D4CB5">
        <w:rPr>
          <w:i/>
          <w:iCs/>
          <w:color w:val="000000" w:themeColor="text1"/>
          <w:lang w:eastAsia="ko-KR"/>
        </w:rPr>
        <w:t>105</w:t>
      </w:r>
      <w:r w:rsidRPr="006D4CB5">
        <w:rPr>
          <w:color w:val="000000" w:themeColor="text1"/>
          <w:lang w:eastAsia="ko-KR"/>
        </w:rPr>
        <w:t xml:space="preserve">(1), 65-77. </w:t>
      </w:r>
    </w:p>
    <w:p w14:paraId="55FB9615" w14:textId="683A4921" w:rsidR="002A7759" w:rsidRPr="006D4CB5" w:rsidRDefault="002A7759" w:rsidP="002A7759">
      <w:pPr>
        <w:ind w:left="720" w:hanging="720"/>
        <w:rPr>
          <w:color w:val="000000" w:themeColor="text1"/>
        </w:rPr>
      </w:pPr>
      <w:proofErr w:type="spellStart"/>
      <w:r w:rsidRPr="006D4CB5">
        <w:rPr>
          <w:color w:val="000000" w:themeColor="text1"/>
        </w:rPr>
        <w:t>Bryois</w:t>
      </w:r>
      <w:proofErr w:type="spellEnd"/>
      <w:r w:rsidRPr="006D4CB5">
        <w:rPr>
          <w:color w:val="000000" w:themeColor="text1"/>
        </w:rPr>
        <w:t>, J., Skene, N. G., Hansen, T. F., Kogelman, L. J., Watson, H. J., Liu, Z., ... &amp; Sullivan, P. F. (2020). Genetic identification of cell types underlying brain complex traits yields insights into the etiology of Parkinson’s disease. </w:t>
      </w:r>
      <w:r w:rsidRPr="006D4CB5">
        <w:rPr>
          <w:i/>
          <w:iCs/>
          <w:color w:val="000000" w:themeColor="text1"/>
        </w:rPr>
        <w:t>Nature genetics</w:t>
      </w:r>
      <w:r w:rsidRPr="006D4CB5">
        <w:rPr>
          <w:color w:val="000000" w:themeColor="text1"/>
        </w:rPr>
        <w:t>, </w:t>
      </w:r>
      <w:r w:rsidRPr="006D4CB5">
        <w:rPr>
          <w:i/>
          <w:iCs/>
          <w:color w:val="000000" w:themeColor="text1"/>
        </w:rPr>
        <w:t>52</w:t>
      </w:r>
      <w:r w:rsidRPr="006D4CB5">
        <w:rPr>
          <w:color w:val="000000" w:themeColor="text1"/>
        </w:rPr>
        <w:t>(5), 482-493.</w:t>
      </w:r>
    </w:p>
    <w:p w14:paraId="2FB99359"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Burgess, S., Smith, G. D., Davies, N. M., </w:t>
      </w:r>
      <w:proofErr w:type="spellStart"/>
      <w:r w:rsidRPr="006D4CB5">
        <w:rPr>
          <w:color w:val="000000" w:themeColor="text1"/>
          <w:shd w:val="clear" w:color="auto" w:fill="FFFFFF"/>
        </w:rPr>
        <w:t>Dudbridge</w:t>
      </w:r>
      <w:proofErr w:type="spellEnd"/>
      <w:r w:rsidRPr="006D4CB5">
        <w:rPr>
          <w:color w:val="000000" w:themeColor="text1"/>
          <w:shd w:val="clear" w:color="auto" w:fill="FFFFFF"/>
        </w:rPr>
        <w:t xml:space="preserve">, F., Gill, D., </w:t>
      </w:r>
      <w:proofErr w:type="spellStart"/>
      <w:r w:rsidRPr="006D4CB5">
        <w:rPr>
          <w:color w:val="000000" w:themeColor="text1"/>
          <w:shd w:val="clear" w:color="auto" w:fill="FFFFFF"/>
        </w:rPr>
        <w:t>Glymour</w:t>
      </w:r>
      <w:proofErr w:type="spellEnd"/>
      <w:r w:rsidRPr="006D4CB5">
        <w:rPr>
          <w:color w:val="000000" w:themeColor="text1"/>
          <w:shd w:val="clear" w:color="auto" w:fill="FFFFFF"/>
        </w:rPr>
        <w:t xml:space="preserve">, M. M., ... &amp; </w:t>
      </w:r>
      <w:proofErr w:type="spellStart"/>
      <w:r w:rsidRPr="006D4CB5">
        <w:rPr>
          <w:color w:val="000000" w:themeColor="text1"/>
          <w:shd w:val="clear" w:color="auto" w:fill="FFFFFF"/>
        </w:rPr>
        <w:t>Theodoratou</w:t>
      </w:r>
      <w:proofErr w:type="spellEnd"/>
      <w:r w:rsidRPr="006D4CB5">
        <w:rPr>
          <w:color w:val="000000" w:themeColor="text1"/>
          <w:shd w:val="clear" w:color="auto" w:fill="FFFFFF"/>
        </w:rPr>
        <w:t xml:space="preserve">, E. (2023). Guidelines for performing Mendelian randomization investigations: update for summer 2023. </w:t>
      </w:r>
      <w:proofErr w:type="spellStart"/>
      <w:r w:rsidRPr="006D4CB5">
        <w:rPr>
          <w:i/>
          <w:iCs/>
          <w:color w:val="000000" w:themeColor="text1"/>
          <w:shd w:val="clear" w:color="auto" w:fill="FFFFFF"/>
        </w:rPr>
        <w:t>Wellcome</w:t>
      </w:r>
      <w:proofErr w:type="spellEnd"/>
      <w:r w:rsidRPr="006D4CB5">
        <w:rPr>
          <w:i/>
          <w:iCs/>
          <w:color w:val="000000" w:themeColor="text1"/>
          <w:shd w:val="clear" w:color="auto" w:fill="FFFFFF"/>
        </w:rPr>
        <w:t xml:space="preserve"> open research</w:t>
      </w:r>
      <w:r w:rsidRPr="006D4CB5">
        <w:rPr>
          <w:color w:val="000000" w:themeColor="text1"/>
          <w:shd w:val="clear" w:color="auto" w:fill="FFFFFF"/>
        </w:rPr>
        <w:t xml:space="preserve">, </w:t>
      </w:r>
      <w:r w:rsidRPr="006D4CB5">
        <w:rPr>
          <w:i/>
          <w:iCs/>
          <w:color w:val="000000" w:themeColor="text1"/>
          <w:shd w:val="clear" w:color="auto" w:fill="FFFFFF"/>
        </w:rPr>
        <w:t>4</w:t>
      </w:r>
      <w:r w:rsidRPr="006D4CB5">
        <w:rPr>
          <w:color w:val="000000" w:themeColor="text1"/>
          <w:shd w:val="clear" w:color="auto" w:fill="FFFFFF"/>
        </w:rPr>
        <w:t>, 186.</w:t>
      </w:r>
    </w:p>
    <w:p w14:paraId="7D569080"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Bycroft, C., Freeman, C., Petkova, D., Band, G., Elliott, L. T., Sharp, K., ... &amp; Marchini, J. </w:t>
      </w:r>
    </w:p>
    <w:p w14:paraId="7BC5EA39" w14:textId="215236B2" w:rsidR="002A7759" w:rsidRPr="006D4CB5" w:rsidRDefault="002A7759" w:rsidP="00F14E18">
      <w:pPr>
        <w:ind w:left="720"/>
        <w:rPr>
          <w:color w:val="000000" w:themeColor="text1"/>
          <w:kern w:val="1"/>
        </w:rPr>
      </w:pPr>
      <w:r w:rsidRPr="006D4CB5">
        <w:rPr>
          <w:color w:val="000000" w:themeColor="text1"/>
          <w:shd w:val="clear" w:color="auto" w:fill="FFFFFF"/>
        </w:rPr>
        <w:t>(2018). The UK Biobank resource with deep phenotyping and genomic data. </w:t>
      </w:r>
      <w:r w:rsidRPr="006D4CB5">
        <w:rPr>
          <w:i/>
          <w:iCs/>
          <w:color w:val="000000" w:themeColor="text1"/>
          <w:shd w:val="clear" w:color="auto" w:fill="FFFFFF"/>
        </w:rPr>
        <w:t>Nature</w:t>
      </w:r>
      <w:r w:rsidRPr="006D4CB5">
        <w:rPr>
          <w:color w:val="000000" w:themeColor="text1"/>
          <w:shd w:val="clear" w:color="auto" w:fill="FFFFFF"/>
        </w:rPr>
        <w:t>, </w:t>
      </w:r>
      <w:r w:rsidRPr="006D4CB5">
        <w:rPr>
          <w:i/>
          <w:iCs/>
          <w:color w:val="000000" w:themeColor="text1"/>
          <w:shd w:val="clear" w:color="auto" w:fill="FFFFFF"/>
        </w:rPr>
        <w:t>562</w:t>
      </w:r>
      <w:r w:rsidRPr="006D4CB5">
        <w:rPr>
          <w:color w:val="000000" w:themeColor="text1"/>
          <w:shd w:val="clear" w:color="auto" w:fill="FFFFFF"/>
        </w:rPr>
        <w:t>(7726), 203-209.</w:t>
      </w:r>
    </w:p>
    <w:p w14:paraId="72B78D5B" w14:textId="77777777" w:rsidR="002A7759" w:rsidRPr="006D4CB5" w:rsidRDefault="002A7759" w:rsidP="002A7759">
      <w:pPr>
        <w:rPr>
          <w:color w:val="000000" w:themeColor="text1"/>
        </w:rPr>
      </w:pPr>
      <w:r w:rsidRPr="006D4CB5">
        <w:rPr>
          <w:color w:val="000000" w:themeColor="text1"/>
        </w:rPr>
        <w:t xml:space="preserve">Byrne, E.M., Kirk, K.M., Medland, S.E., McGrath, J.J., </w:t>
      </w:r>
      <w:proofErr w:type="spellStart"/>
      <w:r w:rsidRPr="006D4CB5">
        <w:rPr>
          <w:color w:val="000000" w:themeColor="text1"/>
        </w:rPr>
        <w:t>Colodro</w:t>
      </w:r>
      <w:proofErr w:type="spellEnd"/>
      <w:r w:rsidRPr="006D4CB5">
        <w:rPr>
          <w:color w:val="000000" w:themeColor="text1"/>
        </w:rPr>
        <w:t>-Conde, L., Parker, R., Cross,</w:t>
      </w:r>
    </w:p>
    <w:p w14:paraId="2F7A901B" w14:textId="2F2CEB28" w:rsidR="002A7759" w:rsidRPr="006D4CB5" w:rsidRDefault="002A7759" w:rsidP="00F14E18">
      <w:pPr>
        <w:ind w:left="720"/>
        <w:rPr>
          <w:color w:val="000000" w:themeColor="text1"/>
        </w:rPr>
      </w:pPr>
      <w:r w:rsidRPr="006D4CB5">
        <w:rPr>
          <w:color w:val="000000" w:themeColor="text1"/>
        </w:rPr>
        <w:t xml:space="preserve">S., Sullivan, L., Statham, D.J., Levinson, D.F., Licinio, J., Wray, N.R., Hickie, I.B., &amp; Martin, N.G. (2020). Cohort profile: the Australian genetics of depression study. </w:t>
      </w:r>
      <w:r w:rsidRPr="006D4CB5">
        <w:rPr>
          <w:i/>
          <w:iCs/>
          <w:color w:val="000000" w:themeColor="text1"/>
        </w:rPr>
        <w:t xml:space="preserve">BMJ </w:t>
      </w:r>
      <w:r w:rsidR="00EB3D6B" w:rsidRPr="006D4CB5">
        <w:rPr>
          <w:i/>
          <w:iCs/>
          <w:color w:val="000000" w:themeColor="text1"/>
        </w:rPr>
        <w:t>o</w:t>
      </w:r>
      <w:r w:rsidRPr="006D4CB5">
        <w:rPr>
          <w:i/>
          <w:iCs/>
          <w:color w:val="000000" w:themeColor="text1"/>
        </w:rPr>
        <w:t>pen</w:t>
      </w:r>
      <w:r w:rsidRPr="006D4CB5">
        <w:rPr>
          <w:color w:val="000000" w:themeColor="text1"/>
        </w:rPr>
        <w:t xml:space="preserve">, </w:t>
      </w:r>
      <w:r w:rsidRPr="006D4CB5">
        <w:rPr>
          <w:i/>
          <w:iCs/>
          <w:color w:val="000000" w:themeColor="text1"/>
        </w:rPr>
        <w:t>10</w:t>
      </w:r>
      <w:r w:rsidRPr="006D4CB5">
        <w:rPr>
          <w:color w:val="000000" w:themeColor="text1"/>
        </w:rPr>
        <w:t>(5), e032580.</w:t>
      </w:r>
    </w:p>
    <w:p w14:paraId="1FC0984F" w14:textId="77777777" w:rsidR="002A7759" w:rsidRPr="006D4CB5" w:rsidRDefault="002A7759" w:rsidP="002A7759">
      <w:pPr>
        <w:pStyle w:val="NormalWeb"/>
        <w:spacing w:before="0" w:beforeAutospacing="0" w:after="0" w:afterAutospacing="0"/>
        <w:rPr>
          <w:color w:val="000000" w:themeColor="text1"/>
          <w:shd w:val="clear" w:color="auto" w:fill="FFFFFF"/>
        </w:rPr>
      </w:pPr>
      <w:r w:rsidRPr="006D4CB5">
        <w:rPr>
          <w:color w:val="000000" w:themeColor="text1"/>
          <w:shd w:val="clear" w:color="auto" w:fill="FFFFFF"/>
        </w:rPr>
        <w:t xml:space="preserve">Caille, P., Stephan, Y., Sutin, A. R., Luchetti, M., Canada, B., </w:t>
      </w:r>
      <w:proofErr w:type="spellStart"/>
      <w:r w:rsidRPr="006D4CB5">
        <w:rPr>
          <w:color w:val="000000" w:themeColor="text1"/>
          <w:shd w:val="clear" w:color="auto" w:fill="FFFFFF"/>
        </w:rPr>
        <w:t>Heraud</w:t>
      </w:r>
      <w:proofErr w:type="spellEnd"/>
      <w:r w:rsidRPr="006D4CB5">
        <w:rPr>
          <w:color w:val="000000" w:themeColor="text1"/>
          <w:shd w:val="clear" w:color="auto" w:fill="FFFFFF"/>
        </w:rPr>
        <w:t xml:space="preserve">, N., &amp; Terracciano, A. </w:t>
      </w:r>
    </w:p>
    <w:p w14:paraId="0B2E6474" w14:textId="77777777" w:rsidR="002A7759" w:rsidRPr="006D4CB5" w:rsidRDefault="002A7759" w:rsidP="002A7759">
      <w:pPr>
        <w:pStyle w:val="NormalWeb"/>
        <w:spacing w:before="0" w:beforeAutospacing="0" w:after="0" w:afterAutospacing="0"/>
        <w:ind w:firstLine="720"/>
        <w:rPr>
          <w:i/>
          <w:iCs/>
          <w:color w:val="000000" w:themeColor="text1"/>
          <w:shd w:val="clear" w:color="auto" w:fill="FFFFFF"/>
        </w:rPr>
      </w:pPr>
      <w:r w:rsidRPr="006D4CB5">
        <w:rPr>
          <w:color w:val="000000" w:themeColor="text1"/>
          <w:shd w:val="clear" w:color="auto" w:fill="FFFFFF"/>
        </w:rPr>
        <w:t xml:space="preserve">(2024). Personality and change in physical activity across 3–10 years. </w:t>
      </w:r>
      <w:r w:rsidRPr="006D4CB5">
        <w:rPr>
          <w:i/>
          <w:iCs/>
          <w:color w:val="000000" w:themeColor="text1"/>
          <w:shd w:val="clear" w:color="auto" w:fill="FFFFFF"/>
        </w:rPr>
        <w:t xml:space="preserve">Psychology &amp; </w:t>
      </w:r>
    </w:p>
    <w:p w14:paraId="24D7DE3B" w14:textId="1F368F91" w:rsidR="002A7759" w:rsidRPr="006D4CB5" w:rsidRDefault="002A7759" w:rsidP="002A7759">
      <w:pPr>
        <w:pStyle w:val="NormalWeb"/>
        <w:spacing w:before="0" w:beforeAutospacing="0" w:after="0" w:afterAutospacing="0"/>
        <w:ind w:firstLine="720"/>
        <w:rPr>
          <w:color w:val="000000" w:themeColor="text1"/>
          <w:shd w:val="clear" w:color="auto" w:fill="FFFFFF"/>
        </w:rPr>
      </w:pPr>
      <w:r w:rsidRPr="006D4CB5">
        <w:rPr>
          <w:i/>
          <w:iCs/>
          <w:color w:val="000000" w:themeColor="text1"/>
          <w:shd w:val="clear" w:color="auto" w:fill="FFFFFF"/>
        </w:rPr>
        <w:t>health</w:t>
      </w:r>
      <w:r w:rsidRPr="006D4CB5">
        <w:rPr>
          <w:color w:val="000000" w:themeColor="text1"/>
          <w:shd w:val="clear" w:color="auto" w:fill="FFFFFF"/>
        </w:rPr>
        <w:t xml:space="preserve">, </w:t>
      </w:r>
      <w:r w:rsidRPr="006D4CB5">
        <w:rPr>
          <w:i/>
          <w:iCs/>
          <w:color w:val="000000" w:themeColor="text1"/>
          <w:shd w:val="clear" w:color="auto" w:fill="FFFFFF"/>
        </w:rPr>
        <w:t>39</w:t>
      </w:r>
      <w:r w:rsidRPr="006D4CB5">
        <w:rPr>
          <w:color w:val="000000" w:themeColor="text1"/>
          <w:shd w:val="clear" w:color="auto" w:fill="FFFFFF"/>
        </w:rPr>
        <w:t>(5), 670-690.</w:t>
      </w:r>
    </w:p>
    <w:p w14:paraId="49897D9A" w14:textId="77777777" w:rsidR="002A7759" w:rsidRPr="006D4CB5" w:rsidRDefault="002A7759" w:rsidP="002A7759">
      <w:pPr>
        <w:spacing w:line="259" w:lineRule="auto"/>
        <w:jc w:val="both"/>
        <w:rPr>
          <w:color w:val="000000" w:themeColor="text1"/>
          <w:shd w:val="clear" w:color="auto" w:fill="FFFFFF"/>
        </w:rPr>
      </w:pPr>
      <w:proofErr w:type="spellStart"/>
      <w:r w:rsidRPr="006D4CB5">
        <w:rPr>
          <w:color w:val="000000" w:themeColor="text1"/>
          <w:shd w:val="clear" w:color="auto" w:fill="FFFFFF"/>
        </w:rPr>
        <w:t>Cheverud</w:t>
      </w:r>
      <w:proofErr w:type="spellEnd"/>
      <w:r w:rsidRPr="006D4CB5">
        <w:rPr>
          <w:color w:val="000000" w:themeColor="text1"/>
          <w:shd w:val="clear" w:color="auto" w:fill="FFFFFF"/>
        </w:rPr>
        <w:t>, J. M. (1988). A comparison of genetic and phenotypic correlations. </w:t>
      </w:r>
      <w:r w:rsidRPr="006D4CB5">
        <w:rPr>
          <w:i/>
          <w:iCs/>
          <w:color w:val="000000" w:themeColor="text1"/>
          <w:shd w:val="clear" w:color="auto" w:fill="FFFFFF"/>
        </w:rPr>
        <w:t>Evolution</w:t>
      </w:r>
      <w:r w:rsidRPr="006D4CB5">
        <w:rPr>
          <w:color w:val="000000" w:themeColor="text1"/>
          <w:shd w:val="clear" w:color="auto" w:fill="FFFFFF"/>
        </w:rPr>
        <w:t>, </w:t>
      </w:r>
      <w:r w:rsidRPr="006D4CB5">
        <w:rPr>
          <w:i/>
          <w:iCs/>
          <w:color w:val="000000" w:themeColor="text1"/>
          <w:shd w:val="clear" w:color="auto" w:fill="FFFFFF"/>
        </w:rPr>
        <w:t>42</w:t>
      </w:r>
      <w:r w:rsidRPr="006D4CB5">
        <w:rPr>
          <w:color w:val="000000" w:themeColor="text1"/>
          <w:shd w:val="clear" w:color="auto" w:fill="FFFFFF"/>
        </w:rPr>
        <w:t xml:space="preserve">(5), </w:t>
      </w:r>
    </w:p>
    <w:p w14:paraId="08753DBA" w14:textId="655D5B6E" w:rsidR="002A7759" w:rsidRPr="006D4CB5" w:rsidRDefault="002A7759" w:rsidP="00F14E18">
      <w:pPr>
        <w:spacing w:line="259" w:lineRule="auto"/>
        <w:ind w:firstLine="720"/>
        <w:jc w:val="both"/>
        <w:rPr>
          <w:color w:val="000000" w:themeColor="text1"/>
          <w:shd w:val="clear" w:color="auto" w:fill="FFFFFF"/>
        </w:rPr>
      </w:pPr>
      <w:r w:rsidRPr="006D4CB5">
        <w:rPr>
          <w:color w:val="000000" w:themeColor="text1"/>
          <w:shd w:val="clear" w:color="auto" w:fill="FFFFFF"/>
        </w:rPr>
        <w:t>958-968.</w:t>
      </w:r>
    </w:p>
    <w:p w14:paraId="14CDB634"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Corfield, E. C., Shadrin, A. A., Frei, O., Rahman, Z., Lin, A., </w:t>
      </w:r>
      <w:proofErr w:type="spellStart"/>
      <w:r w:rsidRPr="006D4CB5">
        <w:rPr>
          <w:color w:val="000000" w:themeColor="text1"/>
          <w:shd w:val="clear" w:color="auto" w:fill="FFFFFF"/>
        </w:rPr>
        <w:t>Athanasiu</w:t>
      </w:r>
      <w:proofErr w:type="spellEnd"/>
      <w:r w:rsidRPr="006D4CB5">
        <w:rPr>
          <w:color w:val="000000" w:themeColor="text1"/>
          <w:shd w:val="clear" w:color="auto" w:fill="FFFFFF"/>
        </w:rPr>
        <w:t xml:space="preserve">, L., ... &amp; </w:t>
      </w:r>
      <w:proofErr w:type="spellStart"/>
      <w:r w:rsidRPr="006D4CB5">
        <w:rPr>
          <w:color w:val="000000" w:themeColor="text1"/>
          <w:shd w:val="clear" w:color="auto" w:fill="FFFFFF"/>
        </w:rPr>
        <w:t>Havdahl</w:t>
      </w:r>
      <w:proofErr w:type="spellEnd"/>
      <w:r w:rsidRPr="006D4CB5">
        <w:rPr>
          <w:color w:val="000000" w:themeColor="text1"/>
          <w:shd w:val="clear" w:color="auto" w:fill="FFFFFF"/>
        </w:rPr>
        <w:t xml:space="preserve">, A. </w:t>
      </w:r>
    </w:p>
    <w:p w14:paraId="7EB1CAD2" w14:textId="31F6C653" w:rsidR="002A7759" w:rsidRPr="006D4CB5" w:rsidRDefault="002A7759" w:rsidP="00F14E18">
      <w:pPr>
        <w:ind w:left="720"/>
        <w:rPr>
          <w:color w:val="000000" w:themeColor="text1"/>
          <w:shd w:val="clear" w:color="auto" w:fill="FFFFFF"/>
        </w:rPr>
      </w:pPr>
      <w:r w:rsidRPr="006D4CB5">
        <w:rPr>
          <w:color w:val="000000" w:themeColor="text1"/>
          <w:shd w:val="clear" w:color="auto" w:fill="FFFFFF"/>
        </w:rPr>
        <w:t>(2022). The Norwegian Mother, Father, and Child cohort study (</w:t>
      </w:r>
      <w:proofErr w:type="spellStart"/>
      <w:r w:rsidRPr="006D4CB5">
        <w:rPr>
          <w:color w:val="000000" w:themeColor="text1"/>
          <w:shd w:val="clear" w:color="auto" w:fill="FFFFFF"/>
        </w:rPr>
        <w:t>MoBa</w:t>
      </w:r>
      <w:proofErr w:type="spellEnd"/>
      <w:r w:rsidRPr="006D4CB5">
        <w:rPr>
          <w:color w:val="000000" w:themeColor="text1"/>
          <w:shd w:val="clear" w:color="auto" w:fill="FFFFFF"/>
        </w:rPr>
        <w:t xml:space="preserve">) genotyping data resource: </w:t>
      </w:r>
      <w:proofErr w:type="spellStart"/>
      <w:r w:rsidRPr="006D4CB5">
        <w:rPr>
          <w:color w:val="000000" w:themeColor="text1"/>
          <w:shd w:val="clear" w:color="auto" w:fill="FFFFFF"/>
        </w:rPr>
        <w:t>MoBaPsychGen</w:t>
      </w:r>
      <w:proofErr w:type="spellEnd"/>
      <w:r w:rsidRPr="006D4CB5">
        <w:rPr>
          <w:color w:val="000000" w:themeColor="text1"/>
          <w:shd w:val="clear" w:color="auto" w:fill="FFFFFF"/>
        </w:rPr>
        <w:t xml:space="preserve"> pipeline v. 1. </w:t>
      </w:r>
      <w:r w:rsidRPr="006D4CB5">
        <w:rPr>
          <w:i/>
          <w:iCs/>
          <w:color w:val="000000" w:themeColor="text1"/>
          <w:shd w:val="clear" w:color="auto" w:fill="FFFFFF"/>
        </w:rPr>
        <w:t>BioRxiv</w:t>
      </w:r>
      <w:r w:rsidRPr="006D4CB5">
        <w:rPr>
          <w:color w:val="000000" w:themeColor="text1"/>
          <w:shd w:val="clear" w:color="auto" w:fill="FFFFFF"/>
        </w:rPr>
        <w:t>, 2022-06.</w:t>
      </w:r>
    </w:p>
    <w:p w14:paraId="05BED806" w14:textId="77777777" w:rsidR="002A7759" w:rsidRPr="006D4CB5" w:rsidRDefault="002A7759" w:rsidP="002A7759">
      <w:pPr>
        <w:rPr>
          <w:color w:val="000000" w:themeColor="text1"/>
        </w:rPr>
      </w:pPr>
      <w:r w:rsidRPr="006D4CB5">
        <w:rPr>
          <w:color w:val="000000" w:themeColor="text1"/>
        </w:rPr>
        <w:t xml:space="preserve">Costa P.T., &amp; McCrae R.R. (1986). Cross-sectional studies of personality in a national </w:t>
      </w:r>
    </w:p>
    <w:p w14:paraId="057209B8" w14:textId="42245564" w:rsidR="002A7759" w:rsidRPr="006D4CB5" w:rsidRDefault="002A7759" w:rsidP="002A7759">
      <w:pPr>
        <w:ind w:left="720"/>
        <w:rPr>
          <w:color w:val="000000" w:themeColor="text1"/>
        </w:rPr>
      </w:pPr>
      <w:r w:rsidRPr="006D4CB5">
        <w:rPr>
          <w:color w:val="000000" w:themeColor="text1"/>
        </w:rPr>
        <w:t xml:space="preserve">sample: 1. Development and validation of survey measures. </w:t>
      </w:r>
      <w:r w:rsidRPr="006D4CB5">
        <w:rPr>
          <w:i/>
          <w:iCs/>
          <w:color w:val="000000" w:themeColor="text1"/>
        </w:rPr>
        <w:t xml:space="preserve">Psychology and </w:t>
      </w:r>
      <w:r w:rsidR="00EB3D6B" w:rsidRPr="006D4CB5">
        <w:rPr>
          <w:i/>
          <w:iCs/>
          <w:color w:val="000000" w:themeColor="text1"/>
        </w:rPr>
        <w:t>a</w:t>
      </w:r>
      <w:r w:rsidRPr="006D4CB5">
        <w:rPr>
          <w:i/>
          <w:iCs/>
          <w:color w:val="000000" w:themeColor="text1"/>
        </w:rPr>
        <w:t>ging</w:t>
      </w:r>
      <w:r w:rsidRPr="006D4CB5">
        <w:rPr>
          <w:color w:val="000000" w:themeColor="text1"/>
        </w:rPr>
        <w:t xml:space="preserve">, </w:t>
      </w:r>
      <w:r w:rsidRPr="006D4CB5">
        <w:rPr>
          <w:i/>
          <w:iCs/>
          <w:color w:val="000000" w:themeColor="text1"/>
        </w:rPr>
        <w:t>1</w:t>
      </w:r>
      <w:r w:rsidRPr="006D4CB5">
        <w:rPr>
          <w:color w:val="000000" w:themeColor="text1"/>
        </w:rPr>
        <w:t>(2), 140-143.</w:t>
      </w:r>
    </w:p>
    <w:p w14:paraId="02EB796A" w14:textId="77777777" w:rsidR="002A7759" w:rsidRPr="006D4CB5" w:rsidRDefault="002A7759" w:rsidP="002A7759">
      <w:pPr>
        <w:rPr>
          <w:color w:val="000000" w:themeColor="text1"/>
        </w:rPr>
      </w:pPr>
      <w:r w:rsidRPr="006D4CB5">
        <w:rPr>
          <w:color w:val="000000" w:themeColor="text1"/>
        </w:rPr>
        <w:t xml:space="preserve">Costa, P.T., Terracciano, A., Uda, M., Vacca, L., Mameli, C., </w:t>
      </w:r>
      <w:proofErr w:type="spellStart"/>
      <w:r w:rsidRPr="006D4CB5">
        <w:rPr>
          <w:color w:val="000000" w:themeColor="text1"/>
        </w:rPr>
        <w:t>Pilia</w:t>
      </w:r>
      <w:proofErr w:type="spellEnd"/>
      <w:r w:rsidRPr="006D4CB5">
        <w:rPr>
          <w:color w:val="000000" w:themeColor="text1"/>
        </w:rPr>
        <w:t xml:space="preserve">, G., </w:t>
      </w:r>
      <w:proofErr w:type="spellStart"/>
      <w:r w:rsidRPr="006D4CB5">
        <w:rPr>
          <w:color w:val="000000" w:themeColor="text1"/>
        </w:rPr>
        <w:t>Zonderman</w:t>
      </w:r>
      <w:proofErr w:type="spellEnd"/>
      <w:r w:rsidRPr="006D4CB5">
        <w:rPr>
          <w:color w:val="000000" w:themeColor="text1"/>
        </w:rPr>
        <w:t xml:space="preserve">, A.B., </w:t>
      </w:r>
    </w:p>
    <w:p w14:paraId="1F119E65" w14:textId="050837B3" w:rsidR="002A7759" w:rsidRPr="006D4CB5" w:rsidRDefault="002A7759" w:rsidP="002A7759">
      <w:pPr>
        <w:ind w:left="720"/>
        <w:rPr>
          <w:rFonts w:eastAsiaTheme="minorEastAsia"/>
          <w:color w:val="000000" w:themeColor="text1"/>
        </w:rPr>
      </w:pPr>
      <w:proofErr w:type="spellStart"/>
      <w:r w:rsidRPr="006D4CB5">
        <w:rPr>
          <w:color w:val="000000" w:themeColor="text1"/>
        </w:rPr>
        <w:t>Lakatta</w:t>
      </w:r>
      <w:proofErr w:type="spellEnd"/>
      <w:r w:rsidRPr="006D4CB5">
        <w:rPr>
          <w:color w:val="000000" w:themeColor="text1"/>
        </w:rPr>
        <w:t xml:space="preserve">, E., Schlessinger, D., &amp; McCrae, R.R. (2007). Personality traits in Sardinia: Testing founder population effects on trait means and variances. </w:t>
      </w:r>
      <w:r w:rsidRPr="006D4CB5">
        <w:rPr>
          <w:i/>
          <w:iCs/>
          <w:color w:val="000000" w:themeColor="text1"/>
        </w:rPr>
        <w:t xml:space="preserve">Behavior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37</w:t>
      </w:r>
      <w:r w:rsidRPr="006D4CB5">
        <w:rPr>
          <w:color w:val="000000" w:themeColor="text1"/>
        </w:rPr>
        <w:t>, 376-387</w:t>
      </w:r>
    </w:p>
    <w:p w14:paraId="01F63ABF" w14:textId="77777777" w:rsidR="002A7759" w:rsidRPr="006D4CB5" w:rsidRDefault="002A7759" w:rsidP="002A7759">
      <w:pPr>
        <w:rPr>
          <w:color w:val="000000" w:themeColor="text1"/>
        </w:rPr>
      </w:pPr>
      <w:r w:rsidRPr="006D4CB5">
        <w:rPr>
          <w:color w:val="000000" w:themeColor="text1"/>
        </w:rPr>
        <w:lastRenderedPageBreak/>
        <w:t xml:space="preserve">Deary I.J., Whiteman M.C., Starr J.M., Whalley L.J., Fox H.C. (2004). The impact of </w:t>
      </w:r>
    </w:p>
    <w:p w14:paraId="5E3871C0" w14:textId="1283860D" w:rsidR="002A7759" w:rsidRPr="006D4CB5" w:rsidRDefault="002A7759" w:rsidP="002A7759">
      <w:pPr>
        <w:ind w:left="720"/>
        <w:rPr>
          <w:color w:val="000000" w:themeColor="text1"/>
        </w:rPr>
      </w:pPr>
      <w:r w:rsidRPr="006D4CB5">
        <w:rPr>
          <w:color w:val="000000" w:themeColor="text1"/>
        </w:rPr>
        <w:t xml:space="preserve">childhood intelligence on later life: following up the Scottish Mental Surveys of 1932 and 1947. </w:t>
      </w:r>
      <w:r w:rsidRPr="006D4CB5">
        <w:rPr>
          <w:i/>
          <w:iCs/>
          <w:color w:val="000000" w:themeColor="text1"/>
        </w:rPr>
        <w:t xml:space="preserve">Journal of </w:t>
      </w:r>
      <w:r w:rsidR="00EB3D6B" w:rsidRPr="006D4CB5">
        <w:rPr>
          <w:i/>
          <w:iCs/>
          <w:color w:val="000000" w:themeColor="text1"/>
        </w:rPr>
        <w:t>p</w:t>
      </w:r>
      <w:r w:rsidRPr="006D4CB5">
        <w:rPr>
          <w:i/>
          <w:iCs/>
          <w:color w:val="000000" w:themeColor="text1"/>
        </w:rPr>
        <w:t xml:space="preserve">ersonality and </w:t>
      </w:r>
      <w:r w:rsidR="00EB3D6B" w:rsidRPr="006D4CB5">
        <w:rPr>
          <w:i/>
          <w:iCs/>
          <w:color w:val="000000" w:themeColor="text1"/>
        </w:rPr>
        <w:t>s</w:t>
      </w:r>
      <w:r w:rsidRPr="006D4CB5">
        <w:rPr>
          <w:i/>
          <w:iCs/>
          <w:color w:val="000000" w:themeColor="text1"/>
        </w:rPr>
        <w:t xml:space="preserve">ocial </w:t>
      </w:r>
      <w:r w:rsidR="00EB3D6B" w:rsidRPr="006D4CB5">
        <w:rPr>
          <w:i/>
          <w:iCs/>
          <w:color w:val="000000" w:themeColor="text1"/>
        </w:rPr>
        <w:t>p</w:t>
      </w:r>
      <w:r w:rsidRPr="006D4CB5">
        <w:rPr>
          <w:i/>
          <w:iCs/>
          <w:color w:val="000000" w:themeColor="text1"/>
        </w:rPr>
        <w:t>sychology</w:t>
      </w:r>
      <w:r w:rsidRPr="006D4CB5">
        <w:rPr>
          <w:color w:val="000000" w:themeColor="text1"/>
        </w:rPr>
        <w:t xml:space="preserve">, </w:t>
      </w:r>
      <w:r w:rsidRPr="006D4CB5">
        <w:rPr>
          <w:i/>
          <w:iCs/>
          <w:color w:val="000000" w:themeColor="text1"/>
        </w:rPr>
        <w:t>86</w:t>
      </w:r>
      <w:r w:rsidRPr="006D4CB5">
        <w:rPr>
          <w:color w:val="000000" w:themeColor="text1"/>
        </w:rPr>
        <w:t>, 130-147.</w:t>
      </w:r>
    </w:p>
    <w:p w14:paraId="3670ADB7" w14:textId="77777777" w:rsidR="002A7759" w:rsidRPr="006D4CB5" w:rsidRDefault="002A7759" w:rsidP="002A7759">
      <w:pPr>
        <w:rPr>
          <w:color w:val="000000" w:themeColor="text1"/>
        </w:rPr>
      </w:pPr>
      <w:r w:rsidRPr="006D4CB5">
        <w:rPr>
          <w:color w:val="000000" w:themeColor="text1"/>
        </w:rPr>
        <w:t xml:space="preserve">Deary I.J., Gow A.J., Taylor M.D., Corley J., Brett C., Wilson V., Campbell, H., Whalley, L.J., </w:t>
      </w:r>
    </w:p>
    <w:p w14:paraId="1BC52398" w14:textId="78EE009E" w:rsidR="002A7759" w:rsidRPr="006D4CB5" w:rsidRDefault="002A7759" w:rsidP="002A7759">
      <w:pPr>
        <w:ind w:left="720"/>
        <w:rPr>
          <w:color w:val="000000" w:themeColor="text1"/>
        </w:rPr>
      </w:pPr>
      <w:r w:rsidRPr="006D4CB5">
        <w:rPr>
          <w:color w:val="000000" w:themeColor="text1"/>
        </w:rPr>
        <w:t xml:space="preserve">Visscher, P.M., Porteous, D.J., &amp; Starr, J.M. (2007). The Lothian Birth Cohort 1936: a study to examine influences on cognitive ageing from age 11 to age 70 and beyond. </w:t>
      </w:r>
      <w:r w:rsidRPr="006D4CB5">
        <w:rPr>
          <w:i/>
          <w:color w:val="000000" w:themeColor="text1"/>
        </w:rPr>
        <w:t xml:space="preserve">BMC </w:t>
      </w:r>
      <w:r w:rsidR="00EB3D6B" w:rsidRPr="006D4CB5">
        <w:rPr>
          <w:i/>
          <w:color w:val="000000" w:themeColor="text1"/>
        </w:rPr>
        <w:t>g</w:t>
      </w:r>
      <w:r w:rsidRPr="006D4CB5">
        <w:rPr>
          <w:i/>
          <w:color w:val="000000" w:themeColor="text1"/>
        </w:rPr>
        <w:t>eriatrics</w:t>
      </w:r>
      <w:r w:rsidRPr="006D4CB5">
        <w:rPr>
          <w:i/>
          <w:iCs/>
          <w:color w:val="000000" w:themeColor="text1"/>
        </w:rPr>
        <w:t>,</w:t>
      </w:r>
      <w:r w:rsidRPr="006D4CB5">
        <w:rPr>
          <w:i/>
          <w:color w:val="000000" w:themeColor="text1"/>
        </w:rPr>
        <w:t xml:space="preserve"> 7</w:t>
      </w:r>
      <w:r w:rsidRPr="006D4CB5">
        <w:rPr>
          <w:color w:val="000000" w:themeColor="text1"/>
        </w:rPr>
        <w:t>, 28.</w:t>
      </w:r>
    </w:p>
    <w:p w14:paraId="74F33716" w14:textId="77777777" w:rsidR="002A7759" w:rsidRPr="006D4CB5" w:rsidRDefault="002A7759" w:rsidP="002A7759">
      <w:pPr>
        <w:rPr>
          <w:color w:val="000000" w:themeColor="text1"/>
        </w:rPr>
      </w:pPr>
      <w:r w:rsidRPr="006D4CB5">
        <w:rPr>
          <w:color w:val="000000" w:themeColor="text1"/>
        </w:rPr>
        <w:t xml:space="preserve">Deary I.J., Gow A.J., Pattie A., Starr J.M. (2012). Cohort profile: The Lothian Birth Cohorts of </w:t>
      </w:r>
    </w:p>
    <w:p w14:paraId="58ECD2AD" w14:textId="56A2066E" w:rsidR="002A7759" w:rsidRPr="006D4CB5" w:rsidRDefault="002A7759" w:rsidP="00F14E18">
      <w:pPr>
        <w:ind w:firstLine="720"/>
        <w:rPr>
          <w:color w:val="000000" w:themeColor="text1"/>
        </w:rPr>
      </w:pPr>
      <w:r w:rsidRPr="006D4CB5">
        <w:rPr>
          <w:color w:val="000000" w:themeColor="text1"/>
        </w:rPr>
        <w:t>1921 and 1936. I</w:t>
      </w:r>
      <w:r w:rsidRPr="006D4CB5">
        <w:rPr>
          <w:i/>
          <w:iCs/>
          <w:color w:val="000000" w:themeColor="text1"/>
        </w:rPr>
        <w:t xml:space="preserve">nternational </w:t>
      </w:r>
      <w:r w:rsidR="00EB3D6B" w:rsidRPr="006D4CB5">
        <w:rPr>
          <w:i/>
          <w:iCs/>
          <w:color w:val="000000" w:themeColor="text1"/>
        </w:rPr>
        <w:t>j</w:t>
      </w:r>
      <w:r w:rsidRPr="006D4CB5">
        <w:rPr>
          <w:i/>
          <w:iCs/>
          <w:color w:val="000000" w:themeColor="text1"/>
        </w:rPr>
        <w:t xml:space="preserve">ournal of </w:t>
      </w:r>
      <w:r w:rsidR="00EB3D6B" w:rsidRPr="006D4CB5">
        <w:rPr>
          <w:i/>
          <w:iCs/>
          <w:color w:val="000000" w:themeColor="text1"/>
        </w:rPr>
        <w:t>e</w:t>
      </w:r>
      <w:r w:rsidRPr="006D4CB5">
        <w:rPr>
          <w:i/>
          <w:iCs/>
          <w:color w:val="000000" w:themeColor="text1"/>
        </w:rPr>
        <w:t>pidemiology</w:t>
      </w:r>
      <w:r w:rsidRPr="006D4CB5">
        <w:rPr>
          <w:color w:val="000000" w:themeColor="text1"/>
        </w:rPr>
        <w:t xml:space="preserve">, </w:t>
      </w:r>
      <w:r w:rsidRPr="006D4CB5">
        <w:rPr>
          <w:i/>
          <w:iCs/>
          <w:color w:val="000000" w:themeColor="text1"/>
        </w:rPr>
        <w:t>41</w:t>
      </w:r>
      <w:r w:rsidRPr="006D4CB5">
        <w:rPr>
          <w:color w:val="000000" w:themeColor="text1"/>
        </w:rPr>
        <w:t>(6), 1576-1584.</w:t>
      </w:r>
    </w:p>
    <w:p w14:paraId="5EBE4165" w14:textId="08C702C6" w:rsidR="003065B3" w:rsidRPr="006D4CB5" w:rsidRDefault="003065B3" w:rsidP="002A7759">
      <w:pPr>
        <w:ind w:left="720" w:hanging="720"/>
        <w:rPr>
          <w:rFonts w:eastAsiaTheme="minorHAnsi"/>
          <w:color w:val="000000" w:themeColor="text1"/>
          <w14:ligatures w14:val="standardContextual"/>
        </w:rPr>
      </w:pPr>
      <w:r w:rsidRPr="006D4CB5">
        <w:rPr>
          <w:rFonts w:eastAsiaTheme="minorHAnsi"/>
          <w:color w:val="000000" w:themeColor="text1"/>
          <w14:ligatures w14:val="standardContextual"/>
        </w:rPr>
        <w:t xml:space="preserve">Demange, </w:t>
      </w:r>
      <w:proofErr w:type="gramStart"/>
      <w:r w:rsidRPr="006D4CB5">
        <w:rPr>
          <w:rFonts w:eastAsiaTheme="minorHAnsi"/>
          <w:color w:val="000000" w:themeColor="text1"/>
          <w14:ligatures w14:val="standardContextual"/>
        </w:rPr>
        <w:t>P. ,</w:t>
      </w:r>
      <w:proofErr w:type="gramEnd"/>
      <w:r w:rsidRPr="006D4CB5">
        <w:rPr>
          <w:rFonts w:eastAsiaTheme="minorHAnsi"/>
          <w:color w:val="000000" w:themeColor="text1"/>
          <w14:ligatures w14:val="standardContextual"/>
        </w:rPr>
        <w:t xml:space="preserve"> </w:t>
      </w:r>
      <w:proofErr w:type="spellStart"/>
      <w:r w:rsidRPr="006D4CB5">
        <w:rPr>
          <w:rFonts w:eastAsiaTheme="minorHAnsi"/>
          <w:color w:val="000000" w:themeColor="text1"/>
          <w14:ligatures w14:val="standardContextual"/>
        </w:rPr>
        <w:t>Malanchini</w:t>
      </w:r>
      <w:proofErr w:type="spellEnd"/>
      <w:r w:rsidRPr="006D4CB5">
        <w:rPr>
          <w:rFonts w:eastAsiaTheme="minorHAnsi"/>
          <w:color w:val="000000" w:themeColor="text1"/>
          <w14:ligatures w14:val="standardContextual"/>
        </w:rPr>
        <w:t xml:space="preserve">, M., </w:t>
      </w:r>
      <w:proofErr w:type="spellStart"/>
      <w:r w:rsidRPr="006D4CB5">
        <w:rPr>
          <w:rFonts w:eastAsiaTheme="minorHAnsi"/>
          <w:color w:val="000000" w:themeColor="text1"/>
          <w14:ligatures w14:val="standardContextual"/>
        </w:rPr>
        <w:t>Biroli</w:t>
      </w:r>
      <w:proofErr w:type="spellEnd"/>
      <w:r w:rsidRPr="006D4CB5">
        <w:rPr>
          <w:rFonts w:eastAsiaTheme="minorHAnsi"/>
          <w:color w:val="000000" w:themeColor="text1"/>
          <w14:ligatures w14:val="standardContextual"/>
        </w:rPr>
        <w:t xml:space="preserve"> P., Cox, S., Grotzinger, A. D., Mallard, T., Tucker-Drob E. M., Abdellaoui A., Arseneault, L., Caspi, A., Corcoran, D., Domingue B., Mitchell C., van Bergen E., Boomsma D. I., Harris K. M. Ip H. F., Moffitt, T. E., Poulton, R., Prinz, J., Karen Sugden, K., Wertz J., Williams, B., de Zeeuw E. L., Belsky D. W., Harden K. P., &amp; Nivard M. G. (2021). Investigating the genetic architecture of non-cognitive skills using GWAS-by-subtraction. </w:t>
      </w:r>
      <w:r w:rsidRPr="006D4CB5">
        <w:rPr>
          <w:rFonts w:eastAsiaTheme="minorHAnsi"/>
          <w:i/>
          <w:iCs/>
          <w:color w:val="000000" w:themeColor="text1"/>
          <w14:ligatures w14:val="standardContextual"/>
        </w:rPr>
        <w:t>Nature genetics</w:t>
      </w:r>
      <w:r w:rsidRPr="006D4CB5">
        <w:rPr>
          <w:rFonts w:eastAsiaTheme="minorHAnsi"/>
          <w:color w:val="000000" w:themeColor="text1"/>
          <w14:ligatures w14:val="standardContextual"/>
        </w:rPr>
        <w:t>, 53, 35-44.</w:t>
      </w:r>
    </w:p>
    <w:p w14:paraId="105B1197" w14:textId="7E109F5A" w:rsidR="002A7759" w:rsidRPr="006D4CB5" w:rsidRDefault="002A7759" w:rsidP="002A7759">
      <w:pPr>
        <w:ind w:left="720" w:hanging="720"/>
        <w:rPr>
          <w:color w:val="000000" w:themeColor="text1"/>
        </w:rPr>
      </w:pPr>
      <w:r w:rsidRPr="006D4CB5">
        <w:rPr>
          <w:rFonts w:eastAsia="Aptos"/>
          <w:color w:val="000000" w:themeColor="text1"/>
        </w:rPr>
        <w:t>DeYoung, C. G. (2015). Cybernetic big five theory.</w:t>
      </w:r>
      <w:r w:rsidRPr="006D4CB5">
        <w:rPr>
          <w:rFonts w:eastAsia="Arial"/>
          <w:color w:val="000000" w:themeColor="text1"/>
        </w:rPr>
        <w:t> </w:t>
      </w:r>
      <w:r w:rsidRPr="006D4CB5">
        <w:rPr>
          <w:rFonts w:eastAsia="Aptos"/>
          <w:i/>
          <w:iCs/>
          <w:color w:val="000000" w:themeColor="text1"/>
        </w:rPr>
        <w:t>Journal of research in personality</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56</w:t>
      </w:r>
      <w:r w:rsidRPr="006D4CB5">
        <w:rPr>
          <w:rFonts w:eastAsia="Aptos"/>
          <w:color w:val="000000" w:themeColor="text1"/>
        </w:rPr>
        <w:t xml:space="preserve">, 33-58. </w:t>
      </w:r>
    </w:p>
    <w:p w14:paraId="10BE8010" w14:textId="77777777" w:rsidR="002A7759" w:rsidRPr="006D4CB5" w:rsidRDefault="002A7759" w:rsidP="002A7759">
      <w:pPr>
        <w:ind w:left="720" w:hanging="720"/>
        <w:rPr>
          <w:color w:val="000000" w:themeColor="text1"/>
        </w:rPr>
      </w:pPr>
      <w:r w:rsidRPr="006D4CB5">
        <w:rPr>
          <w:rFonts w:eastAsia="Aptos"/>
          <w:color w:val="000000" w:themeColor="text1"/>
        </w:rPr>
        <w:t xml:space="preserve">Digman, J. M. (1997). Higher-order factors of the Big Five. </w:t>
      </w:r>
      <w:r w:rsidRPr="006D4CB5">
        <w:rPr>
          <w:rFonts w:eastAsia="Aptos"/>
          <w:i/>
          <w:iCs/>
          <w:color w:val="000000" w:themeColor="text1"/>
        </w:rPr>
        <w:t>Journal of personality and social psychology</w:t>
      </w:r>
      <w:r w:rsidRPr="006D4CB5">
        <w:rPr>
          <w:rFonts w:eastAsia="Aptos"/>
          <w:color w:val="000000" w:themeColor="text1"/>
        </w:rPr>
        <w:t xml:space="preserve">, </w:t>
      </w:r>
      <w:r w:rsidRPr="006D4CB5">
        <w:rPr>
          <w:rFonts w:eastAsia="Aptos"/>
          <w:i/>
          <w:iCs/>
          <w:color w:val="000000" w:themeColor="text1"/>
        </w:rPr>
        <w:t>73</w:t>
      </w:r>
      <w:r w:rsidRPr="006D4CB5">
        <w:rPr>
          <w:rFonts w:eastAsia="Aptos"/>
          <w:color w:val="000000" w:themeColor="text1"/>
        </w:rPr>
        <w:t>(6), 1246.</w:t>
      </w:r>
    </w:p>
    <w:p w14:paraId="77438DBF" w14:textId="63A069ED" w:rsidR="002A7759" w:rsidRPr="006D4CB5" w:rsidRDefault="002A7759" w:rsidP="002A7759">
      <w:pPr>
        <w:ind w:left="720" w:hanging="720"/>
        <w:rPr>
          <w:color w:val="000000" w:themeColor="text1"/>
        </w:rPr>
      </w:pPr>
      <w:r w:rsidRPr="006D4CB5">
        <w:rPr>
          <w:rFonts w:eastAsia="Aptos"/>
          <w:color w:val="000000" w:themeColor="text1"/>
        </w:rPr>
        <w:t xml:space="preserve">Dowle, M., Srinivasan, A., Gorecki, J., Chirico, M., Stetsenko, P., Short, T., ... &amp; Tan, X. (2019). Package ‘data. table’. </w:t>
      </w:r>
    </w:p>
    <w:p w14:paraId="1E5401A9" w14:textId="77777777" w:rsidR="002A7759" w:rsidRPr="006D4CB5" w:rsidRDefault="002A7759" w:rsidP="002A7759">
      <w:pPr>
        <w:pStyle w:val="NormalWeb"/>
        <w:spacing w:before="0" w:beforeAutospacing="0" w:after="0" w:afterAutospacing="0"/>
        <w:rPr>
          <w:color w:val="000000" w:themeColor="text1"/>
          <w:shd w:val="clear" w:color="auto" w:fill="FFFFFF"/>
        </w:rPr>
      </w:pPr>
      <w:r w:rsidRPr="006D4CB5">
        <w:rPr>
          <w:color w:val="000000" w:themeColor="text1"/>
          <w:shd w:val="clear" w:color="auto" w:fill="FFFFFF"/>
        </w:rPr>
        <w:t xml:space="preserve">Durbin, C. E., &amp; Hicks, B. M. (2014). Personality and psychopathology: A stagnant field in need </w:t>
      </w:r>
    </w:p>
    <w:p w14:paraId="5BEDD6D0" w14:textId="0BA6F00E" w:rsidR="002A7759" w:rsidRPr="006D4CB5" w:rsidRDefault="002A7759" w:rsidP="00F14E18">
      <w:pPr>
        <w:pStyle w:val="NormalWeb"/>
        <w:spacing w:before="0" w:beforeAutospacing="0" w:after="0" w:afterAutospacing="0"/>
        <w:ind w:firstLine="540"/>
        <w:rPr>
          <w:color w:val="000000" w:themeColor="text1"/>
          <w:shd w:val="clear" w:color="auto" w:fill="FFFFFF"/>
        </w:rPr>
      </w:pPr>
      <w:r w:rsidRPr="006D4CB5">
        <w:rPr>
          <w:color w:val="000000" w:themeColor="text1"/>
          <w:shd w:val="clear" w:color="auto" w:fill="FFFFFF"/>
        </w:rPr>
        <w:t xml:space="preserve">of development. </w:t>
      </w:r>
      <w:r w:rsidRPr="006D4CB5">
        <w:rPr>
          <w:i/>
          <w:iCs/>
          <w:color w:val="000000" w:themeColor="text1"/>
          <w:shd w:val="clear" w:color="auto" w:fill="FFFFFF"/>
        </w:rPr>
        <w:t>European journal of personality</w:t>
      </w:r>
      <w:r w:rsidRPr="006D4CB5">
        <w:rPr>
          <w:color w:val="000000" w:themeColor="text1"/>
          <w:shd w:val="clear" w:color="auto" w:fill="FFFFFF"/>
        </w:rPr>
        <w:t xml:space="preserve">, </w:t>
      </w:r>
      <w:r w:rsidRPr="006D4CB5">
        <w:rPr>
          <w:i/>
          <w:iCs/>
          <w:color w:val="000000" w:themeColor="text1"/>
          <w:shd w:val="clear" w:color="auto" w:fill="FFFFFF"/>
        </w:rPr>
        <w:t>28</w:t>
      </w:r>
      <w:r w:rsidRPr="006D4CB5">
        <w:rPr>
          <w:color w:val="000000" w:themeColor="text1"/>
          <w:shd w:val="clear" w:color="auto" w:fill="FFFFFF"/>
        </w:rPr>
        <w:t>(4), 362-386.</w:t>
      </w:r>
    </w:p>
    <w:p w14:paraId="4E56CAE5" w14:textId="77777777" w:rsidR="002A7759" w:rsidRPr="006D4CB5" w:rsidRDefault="002A7759" w:rsidP="002A7759">
      <w:pPr>
        <w:tabs>
          <w:tab w:val="right" w:pos="360"/>
          <w:tab w:val="left" w:pos="540"/>
        </w:tabs>
        <w:ind w:left="540" w:hanging="540"/>
        <w:rPr>
          <w:color w:val="000000" w:themeColor="text1"/>
          <w:shd w:val="clear" w:color="auto" w:fill="FFFFFF"/>
        </w:rPr>
      </w:pPr>
      <w:r w:rsidRPr="006D4CB5">
        <w:rPr>
          <w:color w:val="000000" w:themeColor="text1"/>
          <w:shd w:val="clear" w:color="auto" w:fill="FFFFFF"/>
        </w:rPr>
        <w:t>Eriksson, J. G., Osmond, C., Kajantie, E., Forsen, T. J., &amp; Barker, D. J. (2006). Patterns of growth among children who later develop type 2 diabetes or its risk factors. </w:t>
      </w:r>
      <w:proofErr w:type="spellStart"/>
      <w:r w:rsidRPr="006D4CB5">
        <w:rPr>
          <w:i/>
          <w:iCs/>
          <w:color w:val="000000" w:themeColor="text1"/>
          <w:shd w:val="clear" w:color="auto" w:fill="FFFFFF"/>
        </w:rPr>
        <w:t>Diabetologia</w:t>
      </w:r>
      <w:proofErr w:type="spellEnd"/>
      <w:r w:rsidRPr="006D4CB5">
        <w:rPr>
          <w:color w:val="000000" w:themeColor="text1"/>
          <w:shd w:val="clear" w:color="auto" w:fill="FFFFFF"/>
        </w:rPr>
        <w:t>, </w:t>
      </w:r>
      <w:r w:rsidRPr="006D4CB5">
        <w:rPr>
          <w:i/>
          <w:iCs/>
          <w:color w:val="000000" w:themeColor="text1"/>
          <w:shd w:val="clear" w:color="auto" w:fill="FFFFFF"/>
        </w:rPr>
        <w:t>49</w:t>
      </w:r>
      <w:r w:rsidRPr="006D4CB5">
        <w:rPr>
          <w:color w:val="000000" w:themeColor="text1"/>
          <w:shd w:val="clear" w:color="auto" w:fill="FFFFFF"/>
        </w:rPr>
        <w:t>, 2853-2858.</w:t>
      </w:r>
    </w:p>
    <w:p w14:paraId="72B28B28"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Faul, J., Smith, J., &amp; Zhao, W. (2014). Health and retirement study: candidate gene and SNP </w:t>
      </w:r>
    </w:p>
    <w:p w14:paraId="523BD8F6" w14:textId="2BE4EFDF" w:rsidR="002A7759" w:rsidRPr="006D4CB5" w:rsidRDefault="002A7759" w:rsidP="00F14E18">
      <w:pPr>
        <w:autoSpaceDE w:val="0"/>
        <w:autoSpaceDN w:val="0"/>
        <w:adjustRightInd w:val="0"/>
        <w:ind w:firstLine="720"/>
        <w:rPr>
          <w:rFonts w:eastAsiaTheme="minorEastAsia"/>
          <w:color w:val="000000" w:themeColor="text1"/>
          <w:lang w:eastAsia="ja-JP"/>
        </w:rPr>
      </w:pPr>
      <w:r w:rsidRPr="006D4CB5">
        <w:rPr>
          <w:color w:val="000000" w:themeColor="text1"/>
        </w:rPr>
        <w:t xml:space="preserve">data description. </w:t>
      </w:r>
      <w:r w:rsidRPr="006D4CB5">
        <w:rPr>
          <w:i/>
          <w:color w:val="000000" w:themeColor="text1"/>
        </w:rPr>
        <w:t xml:space="preserve">Health Retire. Study, Univ. Mich., Ann Arbor, MI. </w:t>
      </w:r>
    </w:p>
    <w:p w14:paraId="5CFF478E" w14:textId="77777777" w:rsidR="002A7759" w:rsidRPr="006D4CB5" w:rsidRDefault="002A7759" w:rsidP="002A7759">
      <w:pPr>
        <w:rPr>
          <w:color w:val="000000" w:themeColor="text1"/>
        </w:rPr>
      </w:pPr>
      <w:proofErr w:type="spellStart"/>
      <w:proofErr w:type="gramStart"/>
      <w:r w:rsidRPr="006D4CB5">
        <w:rPr>
          <w:color w:val="000000" w:themeColor="text1"/>
        </w:rPr>
        <w:t>Ferrucci,L</w:t>
      </w:r>
      <w:proofErr w:type="spellEnd"/>
      <w:r w:rsidRPr="006D4CB5">
        <w:rPr>
          <w:color w:val="000000" w:themeColor="text1"/>
        </w:rPr>
        <w:t>.</w:t>
      </w:r>
      <w:proofErr w:type="gramEnd"/>
      <w:r w:rsidRPr="006D4CB5">
        <w:rPr>
          <w:color w:val="000000" w:themeColor="text1"/>
        </w:rPr>
        <w:t xml:space="preserve"> (2008). The Baltimore Longitudinal Study of Aging (BLSA): a 50-year-long journey </w:t>
      </w:r>
    </w:p>
    <w:p w14:paraId="48690BE5" w14:textId="7130F993" w:rsidR="002A7759" w:rsidRPr="006D4CB5" w:rsidRDefault="002A7759" w:rsidP="002A7759">
      <w:pPr>
        <w:ind w:left="720"/>
        <w:rPr>
          <w:color w:val="000000" w:themeColor="text1"/>
        </w:rPr>
      </w:pPr>
      <w:r w:rsidRPr="006D4CB5">
        <w:rPr>
          <w:color w:val="000000" w:themeColor="text1"/>
        </w:rPr>
        <w:t xml:space="preserve">and </w:t>
      </w:r>
      <w:proofErr w:type="gramStart"/>
      <w:r w:rsidRPr="006D4CB5">
        <w:rPr>
          <w:color w:val="000000" w:themeColor="text1"/>
        </w:rPr>
        <w:t>plans for the future</w:t>
      </w:r>
      <w:proofErr w:type="gramEnd"/>
      <w:r w:rsidRPr="006D4CB5">
        <w:rPr>
          <w:color w:val="000000" w:themeColor="text1"/>
        </w:rPr>
        <w:t xml:space="preserve">. </w:t>
      </w:r>
      <w:r w:rsidRPr="006D4CB5">
        <w:rPr>
          <w:i/>
          <w:iCs/>
          <w:color w:val="000000" w:themeColor="text1"/>
        </w:rPr>
        <w:t>Journal of</w:t>
      </w:r>
      <w:r w:rsidR="00EB3D6B" w:rsidRPr="006D4CB5">
        <w:rPr>
          <w:i/>
          <w:iCs/>
          <w:color w:val="000000" w:themeColor="text1"/>
        </w:rPr>
        <w:t xml:space="preserve"> g</w:t>
      </w:r>
      <w:r w:rsidRPr="006D4CB5">
        <w:rPr>
          <w:i/>
          <w:iCs/>
          <w:color w:val="000000" w:themeColor="text1"/>
        </w:rPr>
        <w:t xml:space="preserve">erontology, </w:t>
      </w:r>
      <w:r w:rsidR="00EB3D6B" w:rsidRPr="006D4CB5">
        <w:rPr>
          <w:i/>
          <w:iCs/>
          <w:color w:val="000000" w:themeColor="text1"/>
        </w:rPr>
        <w:t>s</w:t>
      </w:r>
      <w:r w:rsidRPr="006D4CB5">
        <w:rPr>
          <w:i/>
          <w:iCs/>
          <w:color w:val="000000" w:themeColor="text1"/>
        </w:rPr>
        <w:t xml:space="preserve">eries </w:t>
      </w:r>
      <w:r w:rsidR="00EB3D6B" w:rsidRPr="006D4CB5">
        <w:rPr>
          <w:i/>
          <w:iCs/>
          <w:color w:val="000000" w:themeColor="text1"/>
        </w:rPr>
        <w:t>A</w:t>
      </w:r>
      <w:r w:rsidRPr="006D4CB5">
        <w:rPr>
          <w:i/>
          <w:iCs/>
          <w:color w:val="000000" w:themeColor="text1"/>
        </w:rPr>
        <w:t xml:space="preserve">, </w:t>
      </w:r>
      <w:r w:rsidR="00EB3D6B" w:rsidRPr="006D4CB5">
        <w:rPr>
          <w:i/>
          <w:iCs/>
          <w:color w:val="000000" w:themeColor="text1"/>
        </w:rPr>
        <w:t>b</w:t>
      </w:r>
      <w:r w:rsidRPr="006D4CB5">
        <w:rPr>
          <w:i/>
          <w:iCs/>
          <w:color w:val="000000" w:themeColor="text1"/>
        </w:rPr>
        <w:t>iological</w:t>
      </w:r>
      <w:r w:rsidR="00EB3D6B" w:rsidRPr="006D4CB5">
        <w:rPr>
          <w:i/>
          <w:iCs/>
          <w:color w:val="000000" w:themeColor="text1"/>
        </w:rPr>
        <w:t xml:space="preserve"> s</w:t>
      </w:r>
      <w:r w:rsidRPr="006D4CB5">
        <w:rPr>
          <w:i/>
          <w:iCs/>
          <w:color w:val="000000" w:themeColor="text1"/>
        </w:rPr>
        <w:t xml:space="preserve">ciences and </w:t>
      </w:r>
      <w:r w:rsidR="00EB3D6B" w:rsidRPr="006D4CB5">
        <w:rPr>
          <w:i/>
          <w:iCs/>
          <w:color w:val="000000" w:themeColor="text1"/>
        </w:rPr>
        <w:t>m</w:t>
      </w:r>
      <w:r w:rsidRPr="006D4CB5">
        <w:rPr>
          <w:i/>
          <w:iCs/>
          <w:color w:val="000000" w:themeColor="text1"/>
        </w:rPr>
        <w:t xml:space="preserve">edical </w:t>
      </w:r>
      <w:r w:rsidR="00EB3D6B" w:rsidRPr="006D4CB5">
        <w:rPr>
          <w:i/>
          <w:iCs/>
          <w:color w:val="000000" w:themeColor="text1"/>
        </w:rPr>
        <w:t>s</w:t>
      </w:r>
      <w:r w:rsidRPr="006D4CB5">
        <w:rPr>
          <w:i/>
          <w:iCs/>
          <w:color w:val="000000" w:themeColor="text1"/>
        </w:rPr>
        <w:t>ciences, 63</w:t>
      </w:r>
      <w:r w:rsidRPr="006D4CB5">
        <w:rPr>
          <w:color w:val="000000" w:themeColor="text1"/>
        </w:rPr>
        <w:t>(12), 1416-1419.</w:t>
      </w:r>
    </w:p>
    <w:p w14:paraId="00FA2CF5" w14:textId="77777777" w:rsidR="002A7759" w:rsidRPr="006D4CB5" w:rsidRDefault="002A7759" w:rsidP="002A7759">
      <w:pPr>
        <w:rPr>
          <w:color w:val="000000" w:themeColor="text1"/>
        </w:rPr>
      </w:pPr>
      <w:r w:rsidRPr="006D4CB5">
        <w:rPr>
          <w:color w:val="000000" w:themeColor="text1"/>
        </w:rPr>
        <w:t xml:space="preserve">Gajewski, P.D., </w:t>
      </w:r>
      <w:proofErr w:type="spellStart"/>
      <w:r w:rsidRPr="006D4CB5">
        <w:rPr>
          <w:color w:val="000000" w:themeColor="text1"/>
        </w:rPr>
        <w:t>Getzmann</w:t>
      </w:r>
      <w:proofErr w:type="spellEnd"/>
      <w:r w:rsidRPr="006D4CB5">
        <w:rPr>
          <w:color w:val="000000" w:themeColor="text1"/>
        </w:rPr>
        <w:t xml:space="preserve">, S., </w:t>
      </w:r>
      <w:proofErr w:type="spellStart"/>
      <w:r w:rsidRPr="006D4CB5">
        <w:rPr>
          <w:color w:val="000000" w:themeColor="text1"/>
        </w:rPr>
        <w:t>Bröde</w:t>
      </w:r>
      <w:proofErr w:type="spellEnd"/>
      <w:r w:rsidRPr="006D4CB5">
        <w:rPr>
          <w:color w:val="000000" w:themeColor="text1"/>
        </w:rPr>
        <w:t xml:space="preserve">, P., Burke, M., Cadenas, C., Capellino, S., Claus, M., </w:t>
      </w:r>
    </w:p>
    <w:p w14:paraId="1BF996E5" w14:textId="44B8C7BD" w:rsidR="002A7759" w:rsidRPr="006D4CB5" w:rsidRDefault="002A7759" w:rsidP="002A7759">
      <w:pPr>
        <w:ind w:left="720"/>
        <w:rPr>
          <w:rFonts w:eastAsiaTheme="minorEastAsia"/>
          <w:color w:val="000000" w:themeColor="text1"/>
        </w:rPr>
      </w:pPr>
      <w:r w:rsidRPr="006D4CB5">
        <w:rPr>
          <w:color w:val="000000" w:themeColor="text1"/>
        </w:rPr>
        <w:t xml:space="preserve">Genç, E., Golka, K., Hengstler, J.G., Kleinsorge, T., Marchan, R., Nitsche, M., Reinders, J., van </w:t>
      </w:r>
      <w:proofErr w:type="spellStart"/>
      <w:r w:rsidRPr="006D4CB5">
        <w:rPr>
          <w:color w:val="000000" w:themeColor="text1"/>
        </w:rPr>
        <w:t>Thriel</w:t>
      </w:r>
      <w:proofErr w:type="spellEnd"/>
      <w:r w:rsidRPr="006D4CB5">
        <w:rPr>
          <w:color w:val="000000" w:themeColor="text1"/>
        </w:rPr>
        <w:t xml:space="preserve">, C., Watzl, C., &amp; Wascher, E. (2022). Impact of biological and lifestyle factors on cognitive aging and work ability in the Dortmund Vital Study: Protocol of an interdisciplinary, cross-sectional and longitudinal study. </w:t>
      </w:r>
      <w:r w:rsidRPr="006D4CB5">
        <w:rPr>
          <w:i/>
          <w:iCs/>
          <w:color w:val="000000" w:themeColor="text1"/>
        </w:rPr>
        <w:t>JMIR</w:t>
      </w:r>
      <w:r w:rsidR="00EB3D6B" w:rsidRPr="006D4CB5">
        <w:rPr>
          <w:i/>
          <w:iCs/>
          <w:color w:val="000000" w:themeColor="text1"/>
        </w:rPr>
        <w:t xml:space="preserve"> r</w:t>
      </w:r>
      <w:r w:rsidRPr="006D4CB5">
        <w:rPr>
          <w:i/>
          <w:iCs/>
          <w:color w:val="000000" w:themeColor="text1"/>
        </w:rPr>
        <w:t>esearch</w:t>
      </w:r>
      <w:r w:rsidR="00EB3D6B" w:rsidRPr="006D4CB5">
        <w:rPr>
          <w:i/>
          <w:iCs/>
          <w:color w:val="000000" w:themeColor="text1"/>
        </w:rPr>
        <w:t xml:space="preserve"> p</w:t>
      </w:r>
      <w:r w:rsidRPr="006D4CB5">
        <w:rPr>
          <w:i/>
          <w:iCs/>
          <w:color w:val="000000" w:themeColor="text1"/>
        </w:rPr>
        <w:t>rotocols</w:t>
      </w:r>
      <w:r w:rsidRPr="006D4CB5">
        <w:rPr>
          <w:color w:val="000000" w:themeColor="text1"/>
        </w:rPr>
        <w:t>,</w:t>
      </w:r>
      <w:r w:rsidRPr="006D4CB5">
        <w:rPr>
          <w:i/>
          <w:iCs/>
          <w:color w:val="000000" w:themeColor="text1"/>
        </w:rPr>
        <w:t xml:space="preserve"> 11</w:t>
      </w:r>
      <w:r w:rsidRPr="006D4CB5">
        <w:rPr>
          <w:color w:val="000000" w:themeColor="text1"/>
        </w:rPr>
        <w:t>(3), e32352.</w:t>
      </w:r>
    </w:p>
    <w:p w14:paraId="511E912A"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Gaziano, J. M., Concato, J., Brophy, M., Fiore, L., </w:t>
      </w:r>
      <w:proofErr w:type="spellStart"/>
      <w:r w:rsidRPr="006D4CB5">
        <w:rPr>
          <w:color w:val="000000" w:themeColor="text1"/>
          <w:shd w:val="clear" w:color="auto" w:fill="FFFFFF"/>
        </w:rPr>
        <w:t>Pyarajan</w:t>
      </w:r>
      <w:proofErr w:type="spellEnd"/>
      <w:r w:rsidRPr="006D4CB5">
        <w:rPr>
          <w:color w:val="000000" w:themeColor="text1"/>
          <w:shd w:val="clear" w:color="auto" w:fill="FFFFFF"/>
        </w:rPr>
        <w:t xml:space="preserve">, S., </w:t>
      </w:r>
      <w:proofErr w:type="spellStart"/>
      <w:r w:rsidRPr="006D4CB5">
        <w:rPr>
          <w:color w:val="000000" w:themeColor="text1"/>
          <w:shd w:val="clear" w:color="auto" w:fill="FFFFFF"/>
        </w:rPr>
        <w:t>Breeling</w:t>
      </w:r>
      <w:proofErr w:type="spellEnd"/>
      <w:r w:rsidRPr="006D4CB5">
        <w:rPr>
          <w:color w:val="000000" w:themeColor="text1"/>
          <w:shd w:val="clear" w:color="auto" w:fill="FFFFFF"/>
        </w:rPr>
        <w:t xml:space="preserve">, J., ... &amp; O'Leary, T. J. </w:t>
      </w:r>
    </w:p>
    <w:p w14:paraId="1CB3E2C5" w14:textId="77777777" w:rsidR="002A7759" w:rsidRPr="006D4CB5" w:rsidRDefault="002A7759" w:rsidP="002A7759">
      <w:pPr>
        <w:ind w:left="720"/>
        <w:rPr>
          <w:color w:val="000000" w:themeColor="text1"/>
          <w:shd w:val="clear" w:color="auto" w:fill="FFFFFF"/>
        </w:rPr>
      </w:pPr>
      <w:r w:rsidRPr="006D4CB5">
        <w:rPr>
          <w:color w:val="000000" w:themeColor="text1"/>
          <w:shd w:val="clear" w:color="auto" w:fill="FFFFFF"/>
        </w:rPr>
        <w:t>(2016). Million Veteran Program: A mega-biobank to study genetic influences on health and disease. </w:t>
      </w:r>
      <w:r w:rsidRPr="006D4CB5">
        <w:rPr>
          <w:i/>
          <w:iCs/>
          <w:color w:val="000000" w:themeColor="text1"/>
          <w:shd w:val="clear" w:color="auto" w:fill="FFFFFF"/>
        </w:rPr>
        <w:t>Journal of clinical epidemiology</w:t>
      </w:r>
      <w:r w:rsidRPr="006D4CB5">
        <w:rPr>
          <w:color w:val="000000" w:themeColor="text1"/>
          <w:shd w:val="clear" w:color="auto" w:fill="FFFFFF"/>
        </w:rPr>
        <w:t>, </w:t>
      </w:r>
      <w:r w:rsidRPr="006D4CB5">
        <w:rPr>
          <w:i/>
          <w:iCs/>
          <w:color w:val="000000" w:themeColor="text1"/>
          <w:shd w:val="clear" w:color="auto" w:fill="FFFFFF"/>
        </w:rPr>
        <w:t>70</w:t>
      </w:r>
      <w:r w:rsidRPr="006D4CB5">
        <w:rPr>
          <w:color w:val="000000" w:themeColor="text1"/>
          <w:shd w:val="clear" w:color="auto" w:fill="FFFFFF"/>
        </w:rPr>
        <w:t>, 214-223.</w:t>
      </w:r>
    </w:p>
    <w:p w14:paraId="3C0F6E04" w14:textId="77777777" w:rsidR="002A7759" w:rsidRPr="006D4CB5" w:rsidRDefault="002A7759" w:rsidP="002A7759">
      <w:pPr>
        <w:rPr>
          <w:color w:val="000000" w:themeColor="text1"/>
        </w:rPr>
      </w:pPr>
      <w:r w:rsidRPr="006D4CB5">
        <w:rPr>
          <w:color w:val="000000" w:themeColor="text1"/>
        </w:rPr>
        <w:t xml:space="preserve">Gelernter, J., Kranzler, H. R., Sherva, R., Koesterer, R., Almasy, L., Zhao, H., &amp; Farrer, L. A. </w:t>
      </w:r>
    </w:p>
    <w:p w14:paraId="36FC701D" w14:textId="57503AB9" w:rsidR="002A7759" w:rsidRPr="006D4CB5" w:rsidRDefault="002A7759" w:rsidP="002A7759">
      <w:pPr>
        <w:ind w:left="720"/>
        <w:rPr>
          <w:color w:val="000000" w:themeColor="text1"/>
        </w:rPr>
      </w:pPr>
      <w:r w:rsidRPr="006D4CB5">
        <w:rPr>
          <w:color w:val="000000" w:themeColor="text1"/>
        </w:rPr>
        <w:t xml:space="preserve">(2014). Genome-wide association study of opioid dependence: multiple associations mapped to calcium and potassium pathways. </w:t>
      </w:r>
      <w:r w:rsidRPr="006D4CB5">
        <w:rPr>
          <w:i/>
          <w:iCs/>
          <w:color w:val="000000" w:themeColor="text1"/>
        </w:rPr>
        <w:t xml:space="preserve">Biological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76</w:t>
      </w:r>
      <w:r w:rsidRPr="006D4CB5">
        <w:rPr>
          <w:color w:val="000000" w:themeColor="text1"/>
        </w:rPr>
        <w:t>(1), 66-74.</w:t>
      </w:r>
    </w:p>
    <w:p w14:paraId="0D65C827" w14:textId="77777777" w:rsidR="002A7759" w:rsidRPr="006D4CB5" w:rsidRDefault="002A7759" w:rsidP="002A7759">
      <w:pPr>
        <w:rPr>
          <w:color w:val="000000" w:themeColor="text1"/>
        </w:rPr>
      </w:pPr>
      <w:r w:rsidRPr="006D4CB5">
        <w:rPr>
          <w:color w:val="000000" w:themeColor="text1"/>
        </w:rPr>
        <w:t xml:space="preserve">Gelernter, J., Sherva, R., Koesterer, R., Almasy, L., Zhao, H., Kranzler, H. R., &amp; Farrer, L. </w:t>
      </w:r>
    </w:p>
    <w:p w14:paraId="14BC3BD0" w14:textId="390EE851" w:rsidR="002A7759" w:rsidRPr="006D4CB5" w:rsidRDefault="002A7759" w:rsidP="002A7759">
      <w:pPr>
        <w:ind w:left="720"/>
        <w:rPr>
          <w:color w:val="000000" w:themeColor="text1"/>
        </w:rPr>
      </w:pPr>
      <w:r w:rsidRPr="006D4CB5">
        <w:rPr>
          <w:color w:val="000000" w:themeColor="text1"/>
        </w:rPr>
        <w:t xml:space="preserve">(2014). Genome-wide association study of cocaine dependence and related traits: FAM53B identified as a risk gene. </w:t>
      </w:r>
      <w:r w:rsidRPr="006D4CB5">
        <w:rPr>
          <w:i/>
          <w:iCs/>
          <w:color w:val="000000" w:themeColor="text1"/>
        </w:rPr>
        <w:t xml:space="preserve">Molecular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19</w:t>
      </w:r>
      <w:r w:rsidRPr="006D4CB5">
        <w:rPr>
          <w:color w:val="000000" w:themeColor="text1"/>
        </w:rPr>
        <w:t>(6), 717-723.</w:t>
      </w:r>
    </w:p>
    <w:p w14:paraId="144F6485" w14:textId="77777777" w:rsidR="002A7759" w:rsidRPr="006D4CB5" w:rsidRDefault="002A7759" w:rsidP="002A7759">
      <w:pPr>
        <w:rPr>
          <w:color w:val="000000" w:themeColor="text1"/>
        </w:rPr>
      </w:pPr>
      <w:r w:rsidRPr="006D4CB5">
        <w:rPr>
          <w:color w:val="000000" w:themeColor="text1"/>
        </w:rPr>
        <w:lastRenderedPageBreak/>
        <w:t xml:space="preserve">Gelernter, J., Kranzler, H. R., Sherva, R., Almasy, L., Koesterer, R., Smith, A. H., Anton, R., </w:t>
      </w:r>
    </w:p>
    <w:p w14:paraId="44D00082" w14:textId="08E6E3AE" w:rsidR="002A7759" w:rsidRPr="006D4CB5" w:rsidRDefault="002A7759" w:rsidP="002A7759">
      <w:pPr>
        <w:ind w:left="720"/>
        <w:rPr>
          <w:color w:val="000000" w:themeColor="text1"/>
        </w:rPr>
      </w:pPr>
      <w:r w:rsidRPr="006D4CB5">
        <w:rPr>
          <w:color w:val="000000" w:themeColor="text1"/>
        </w:rPr>
        <w:t xml:space="preserve">Preuss, U.W., Ridinger, M., Rujescu, D., Wodarz, N., Zill, P., Zhao, H., &amp; Farrer, L. A. (2014). Genome-wide association study of alcohol dependence: significant findings in African-and </w:t>
      </w:r>
      <w:proofErr w:type="gramStart"/>
      <w:r w:rsidRPr="006D4CB5">
        <w:rPr>
          <w:color w:val="000000" w:themeColor="text1"/>
        </w:rPr>
        <w:t>European-Americans</w:t>
      </w:r>
      <w:proofErr w:type="gramEnd"/>
      <w:r w:rsidRPr="006D4CB5">
        <w:rPr>
          <w:color w:val="000000" w:themeColor="text1"/>
        </w:rPr>
        <w:t xml:space="preserve"> including novel risk loci. </w:t>
      </w:r>
      <w:r w:rsidRPr="006D4CB5">
        <w:rPr>
          <w:i/>
          <w:iCs/>
          <w:color w:val="000000" w:themeColor="text1"/>
        </w:rPr>
        <w:t xml:space="preserve">Molecular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19</w:t>
      </w:r>
      <w:r w:rsidRPr="006D4CB5">
        <w:rPr>
          <w:color w:val="000000" w:themeColor="text1"/>
        </w:rPr>
        <w:t>(1), 41-49.</w:t>
      </w:r>
    </w:p>
    <w:p w14:paraId="7AB04BEC" w14:textId="77777777" w:rsidR="002A7759" w:rsidRPr="006D4CB5" w:rsidRDefault="002A7759" w:rsidP="002A7759">
      <w:pPr>
        <w:rPr>
          <w:color w:val="000000" w:themeColor="text1"/>
        </w:rPr>
      </w:pPr>
      <w:r w:rsidRPr="006D4CB5">
        <w:rPr>
          <w:color w:val="000000" w:themeColor="text1"/>
        </w:rPr>
        <w:t xml:space="preserve">Gelernter, J., Kranzler, H. R., Sherva, R., Almasy, L., Herman, A. I., Koesterer, R., Zhao, H., &amp; </w:t>
      </w:r>
    </w:p>
    <w:p w14:paraId="18356D90" w14:textId="4DDC172D" w:rsidR="002A7759" w:rsidRPr="006D4CB5" w:rsidRDefault="002A7759" w:rsidP="002A7759">
      <w:pPr>
        <w:ind w:left="720"/>
        <w:rPr>
          <w:rFonts w:eastAsiaTheme="minorEastAsia"/>
          <w:color w:val="000000" w:themeColor="text1"/>
        </w:rPr>
      </w:pPr>
      <w:r w:rsidRPr="006D4CB5">
        <w:rPr>
          <w:color w:val="000000" w:themeColor="text1"/>
        </w:rPr>
        <w:t xml:space="preserve">Farrer, L. A. (2015). Genome-wide association study of nicotine dependence in American populations: identification of novel risk loci in both </w:t>
      </w:r>
      <w:proofErr w:type="gramStart"/>
      <w:r w:rsidRPr="006D4CB5">
        <w:rPr>
          <w:color w:val="000000" w:themeColor="text1"/>
        </w:rPr>
        <w:t>African-Americans</w:t>
      </w:r>
      <w:proofErr w:type="gramEnd"/>
      <w:r w:rsidRPr="006D4CB5">
        <w:rPr>
          <w:color w:val="000000" w:themeColor="text1"/>
        </w:rPr>
        <w:t xml:space="preserve"> and </w:t>
      </w:r>
      <w:proofErr w:type="gramStart"/>
      <w:r w:rsidRPr="006D4CB5">
        <w:rPr>
          <w:color w:val="000000" w:themeColor="text1"/>
        </w:rPr>
        <w:t>European-Americans</w:t>
      </w:r>
      <w:proofErr w:type="gramEnd"/>
      <w:r w:rsidRPr="006D4CB5">
        <w:rPr>
          <w:color w:val="000000" w:themeColor="text1"/>
        </w:rPr>
        <w:t xml:space="preserve">. </w:t>
      </w:r>
      <w:r w:rsidRPr="006D4CB5">
        <w:rPr>
          <w:i/>
          <w:iCs/>
          <w:color w:val="000000" w:themeColor="text1"/>
        </w:rPr>
        <w:t xml:space="preserve">Biological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77</w:t>
      </w:r>
      <w:r w:rsidRPr="006D4CB5">
        <w:rPr>
          <w:color w:val="000000" w:themeColor="text1"/>
        </w:rPr>
        <w:t>(5), 493-503.</w:t>
      </w:r>
    </w:p>
    <w:p w14:paraId="54B8F432" w14:textId="77777777" w:rsidR="002A7759" w:rsidRPr="006D4CB5" w:rsidRDefault="002A7759" w:rsidP="002A7759">
      <w:pPr>
        <w:rPr>
          <w:color w:val="000000" w:themeColor="text1"/>
        </w:rPr>
      </w:pPr>
      <w:r w:rsidRPr="006D4CB5">
        <w:rPr>
          <w:color w:val="000000" w:themeColor="text1"/>
        </w:rPr>
        <w:t xml:space="preserve">Genç, E., </w:t>
      </w:r>
      <w:proofErr w:type="spellStart"/>
      <w:r w:rsidRPr="006D4CB5">
        <w:rPr>
          <w:color w:val="000000" w:themeColor="text1"/>
        </w:rPr>
        <w:t>Fraenz</w:t>
      </w:r>
      <w:proofErr w:type="spellEnd"/>
      <w:r w:rsidRPr="006D4CB5">
        <w:rPr>
          <w:color w:val="000000" w:themeColor="text1"/>
        </w:rPr>
        <w:t xml:space="preserve">, C., Schlüter, C., Friedrich, P., </w:t>
      </w:r>
      <w:proofErr w:type="spellStart"/>
      <w:r w:rsidRPr="006D4CB5">
        <w:rPr>
          <w:color w:val="000000" w:themeColor="text1"/>
        </w:rPr>
        <w:t>Hossiep</w:t>
      </w:r>
      <w:proofErr w:type="spellEnd"/>
      <w:r w:rsidRPr="006D4CB5">
        <w:rPr>
          <w:color w:val="000000" w:themeColor="text1"/>
        </w:rPr>
        <w:t xml:space="preserve">, R., </w:t>
      </w:r>
      <w:proofErr w:type="spellStart"/>
      <w:r w:rsidRPr="006D4CB5">
        <w:rPr>
          <w:color w:val="000000" w:themeColor="text1"/>
        </w:rPr>
        <w:t>Voelkle</w:t>
      </w:r>
      <w:proofErr w:type="spellEnd"/>
      <w:r w:rsidRPr="006D4CB5">
        <w:rPr>
          <w:color w:val="000000" w:themeColor="text1"/>
        </w:rPr>
        <w:t xml:space="preserve">, M.C., Ling, J.M., </w:t>
      </w:r>
    </w:p>
    <w:p w14:paraId="645A18C8" w14:textId="6E699C08" w:rsidR="002A7759" w:rsidRPr="006D4CB5" w:rsidRDefault="002A7759" w:rsidP="00F14E18">
      <w:pPr>
        <w:ind w:left="720"/>
        <w:rPr>
          <w:rFonts w:eastAsiaTheme="minorEastAsia"/>
          <w:color w:val="000000" w:themeColor="text1"/>
          <w:lang w:eastAsia="ja-JP"/>
        </w:rPr>
      </w:pPr>
      <w:proofErr w:type="spellStart"/>
      <w:r w:rsidRPr="006D4CB5">
        <w:rPr>
          <w:color w:val="000000" w:themeColor="text1"/>
        </w:rPr>
        <w:t>Güntürkün</w:t>
      </w:r>
      <w:proofErr w:type="spellEnd"/>
      <w:r w:rsidRPr="006D4CB5">
        <w:rPr>
          <w:color w:val="000000" w:themeColor="text1"/>
        </w:rPr>
        <w:t xml:space="preserve">, O., &amp; Jung, R.E. (2018). Diffusion markers of dendritic density and arborization in gray matter predict differences in intelligence. </w:t>
      </w:r>
      <w:r w:rsidRPr="006D4CB5">
        <w:rPr>
          <w:i/>
          <w:iCs/>
          <w:color w:val="000000" w:themeColor="text1"/>
        </w:rPr>
        <w:t xml:space="preserve">Nature </w:t>
      </w:r>
      <w:r w:rsidR="00EB3D6B" w:rsidRPr="006D4CB5">
        <w:rPr>
          <w:i/>
          <w:iCs/>
          <w:color w:val="000000" w:themeColor="text1"/>
        </w:rPr>
        <w:t>c</w:t>
      </w:r>
      <w:r w:rsidRPr="006D4CB5">
        <w:rPr>
          <w:i/>
          <w:iCs/>
          <w:color w:val="000000" w:themeColor="text1"/>
        </w:rPr>
        <w:t>ommunications</w:t>
      </w:r>
      <w:r w:rsidRPr="006D4CB5">
        <w:rPr>
          <w:color w:val="000000" w:themeColor="text1"/>
        </w:rPr>
        <w:t xml:space="preserve">, </w:t>
      </w:r>
      <w:r w:rsidRPr="006D4CB5">
        <w:rPr>
          <w:i/>
          <w:iCs/>
          <w:color w:val="000000" w:themeColor="text1"/>
        </w:rPr>
        <w:t>9</w:t>
      </w:r>
      <w:r w:rsidRPr="006D4CB5">
        <w:rPr>
          <w:color w:val="000000" w:themeColor="text1"/>
        </w:rPr>
        <w:t>(1), 1905.</w:t>
      </w:r>
    </w:p>
    <w:p w14:paraId="6F759AFA"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Grotzinger, A. D., de la Fuente, J., Privé, F., Nivard, M. G., &amp; Tucker-Drob, E. M. (2023). Pervasive downward bias in estimates of liability-scale heritability in genome-wide association study meta-analysis: a simple solution.</w:t>
      </w:r>
      <w:r w:rsidRPr="006D4CB5">
        <w:rPr>
          <w:rFonts w:eastAsia="Arial"/>
          <w:color w:val="000000" w:themeColor="text1"/>
        </w:rPr>
        <w:t> </w:t>
      </w:r>
      <w:r w:rsidRPr="006D4CB5">
        <w:rPr>
          <w:rFonts w:eastAsia="Aptos"/>
          <w:i/>
          <w:iCs/>
          <w:color w:val="000000" w:themeColor="text1"/>
        </w:rPr>
        <w:t>Biological psychiatry</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93</w:t>
      </w:r>
      <w:r w:rsidRPr="006D4CB5">
        <w:rPr>
          <w:rFonts w:eastAsia="Aptos"/>
          <w:color w:val="000000" w:themeColor="text1"/>
        </w:rPr>
        <w:t xml:space="preserve">(1), 29-36. </w:t>
      </w:r>
    </w:p>
    <w:p w14:paraId="0DC75F5C" w14:textId="77777777" w:rsidR="002A7759" w:rsidRPr="006D4CB5" w:rsidRDefault="002A7759" w:rsidP="002A7759">
      <w:pPr>
        <w:rPr>
          <w:color w:val="000000" w:themeColor="text1"/>
        </w:rPr>
      </w:pPr>
      <w:proofErr w:type="spellStart"/>
      <w:r w:rsidRPr="006D4CB5">
        <w:rPr>
          <w:color w:val="000000" w:themeColor="text1"/>
        </w:rPr>
        <w:t>Habota</w:t>
      </w:r>
      <w:proofErr w:type="spellEnd"/>
      <w:r w:rsidRPr="006D4CB5">
        <w:rPr>
          <w:color w:val="000000" w:themeColor="text1"/>
        </w:rPr>
        <w:t xml:space="preserve">, T., Sandu, A., Waiter, G.D., McNeil, C.J., Steele, J.D., Macfarlane, J.A., Whalley, </w:t>
      </w:r>
    </w:p>
    <w:p w14:paraId="47EE14B0" w14:textId="339E54F9" w:rsidR="002A7759" w:rsidRPr="006D4CB5" w:rsidRDefault="002A7759" w:rsidP="00F14E18">
      <w:pPr>
        <w:ind w:left="720"/>
        <w:rPr>
          <w:rFonts w:eastAsiaTheme="minorEastAsia"/>
          <w:color w:val="000000" w:themeColor="text1"/>
        </w:rPr>
      </w:pPr>
      <w:r w:rsidRPr="006D4CB5">
        <w:rPr>
          <w:color w:val="000000" w:themeColor="text1"/>
        </w:rPr>
        <w:t xml:space="preserve">H.C., Valentine, R., Younie, D., Crouch, N., Hawkins, E.L., Hirose, Y., Romaniuk, L., Milburn, K., Buchan, G., Coupar, T., Stirling, M., Jagpal, B., MacLennan, B., … McIntosh, A.M. (2019). Cohort profile for the </w:t>
      </w:r>
      <w:proofErr w:type="spellStart"/>
      <w:r w:rsidRPr="006D4CB5">
        <w:rPr>
          <w:color w:val="000000" w:themeColor="text1"/>
        </w:rPr>
        <w:t>STratifying</w:t>
      </w:r>
      <w:proofErr w:type="spellEnd"/>
      <w:r w:rsidRPr="006D4CB5">
        <w:rPr>
          <w:color w:val="000000" w:themeColor="text1"/>
        </w:rPr>
        <w:t xml:space="preserve"> Resilience and Depression Longitudinally (STRADL) study: A depression-focused investigation of Generation Scotland, using detailed clinical, cognitive, and neuroimaging assessments. </w:t>
      </w:r>
      <w:proofErr w:type="spellStart"/>
      <w:r w:rsidRPr="006D4CB5">
        <w:rPr>
          <w:i/>
          <w:iCs/>
          <w:color w:val="000000" w:themeColor="text1"/>
        </w:rPr>
        <w:t>Wellcome</w:t>
      </w:r>
      <w:proofErr w:type="spellEnd"/>
      <w:r w:rsidRPr="006D4CB5">
        <w:rPr>
          <w:i/>
          <w:iCs/>
          <w:color w:val="000000" w:themeColor="text1"/>
        </w:rPr>
        <w:t xml:space="preserve"> </w:t>
      </w:r>
      <w:r w:rsidR="00EB3D6B" w:rsidRPr="006D4CB5">
        <w:rPr>
          <w:i/>
          <w:iCs/>
          <w:color w:val="000000" w:themeColor="text1"/>
        </w:rPr>
        <w:t>o</w:t>
      </w:r>
      <w:r w:rsidRPr="006D4CB5">
        <w:rPr>
          <w:i/>
          <w:iCs/>
          <w:color w:val="000000" w:themeColor="text1"/>
        </w:rPr>
        <w:t xml:space="preserve">pen </w:t>
      </w:r>
      <w:r w:rsidR="00EB3D6B" w:rsidRPr="006D4CB5">
        <w:rPr>
          <w:i/>
          <w:iCs/>
          <w:color w:val="000000" w:themeColor="text1"/>
        </w:rPr>
        <w:t>r</w:t>
      </w:r>
      <w:r w:rsidRPr="006D4CB5">
        <w:rPr>
          <w:i/>
          <w:iCs/>
          <w:color w:val="000000" w:themeColor="text1"/>
        </w:rPr>
        <w:t>esearch</w:t>
      </w:r>
      <w:r w:rsidRPr="006D4CB5">
        <w:rPr>
          <w:color w:val="000000" w:themeColor="text1"/>
        </w:rPr>
        <w:t>, </w:t>
      </w:r>
      <w:r w:rsidRPr="006D4CB5">
        <w:rPr>
          <w:i/>
          <w:iCs/>
          <w:color w:val="000000" w:themeColor="text1"/>
        </w:rPr>
        <w:t>4</w:t>
      </w:r>
      <w:r w:rsidRPr="006D4CB5">
        <w:rPr>
          <w:color w:val="000000" w:themeColor="text1"/>
        </w:rPr>
        <w:t>, 185.</w:t>
      </w:r>
    </w:p>
    <w:p w14:paraId="139C8E90" w14:textId="4F8F2D6C" w:rsidR="002A7759" w:rsidRPr="006D4CB5" w:rsidRDefault="002A7759" w:rsidP="002A7759">
      <w:pPr>
        <w:ind w:left="720" w:hanging="720"/>
        <w:rPr>
          <w:color w:val="000000" w:themeColor="text1"/>
        </w:rPr>
      </w:pPr>
      <w:proofErr w:type="spellStart"/>
      <w:r w:rsidRPr="006D4CB5">
        <w:rPr>
          <w:color w:val="000000" w:themeColor="text1"/>
          <w:shd w:val="clear" w:color="auto" w:fill="FFFFFF"/>
        </w:rPr>
        <w:t>Haehner</w:t>
      </w:r>
      <w:proofErr w:type="spellEnd"/>
      <w:r w:rsidRPr="006D4CB5">
        <w:rPr>
          <w:color w:val="000000" w:themeColor="text1"/>
          <w:shd w:val="clear" w:color="auto" w:fill="FFFFFF"/>
        </w:rPr>
        <w:t xml:space="preserve">, P., Krämer, M. D., Wright, A. J., &amp; </w:t>
      </w:r>
      <w:proofErr w:type="spellStart"/>
      <w:r w:rsidRPr="006D4CB5">
        <w:rPr>
          <w:color w:val="000000" w:themeColor="text1"/>
          <w:shd w:val="clear" w:color="auto" w:fill="FFFFFF"/>
        </w:rPr>
        <w:t>Bleidorn</w:t>
      </w:r>
      <w:proofErr w:type="spellEnd"/>
      <w:r w:rsidRPr="006D4CB5">
        <w:rPr>
          <w:color w:val="000000" w:themeColor="text1"/>
          <w:shd w:val="clear" w:color="auto" w:fill="FFFFFF"/>
        </w:rPr>
        <w:t>, W. (2024). Life events and personality trait change: A coordinated data analysis. </w:t>
      </w:r>
      <w:r w:rsidRPr="006D4CB5">
        <w:rPr>
          <w:i/>
          <w:iCs/>
          <w:color w:val="000000" w:themeColor="text1"/>
          <w:shd w:val="clear" w:color="auto" w:fill="FFFFFF"/>
        </w:rPr>
        <w:t xml:space="preserve">European </w:t>
      </w:r>
      <w:r w:rsidR="00EB3D6B" w:rsidRPr="006D4CB5">
        <w:rPr>
          <w:i/>
          <w:iCs/>
          <w:color w:val="000000" w:themeColor="text1"/>
          <w:shd w:val="clear" w:color="auto" w:fill="FFFFFF"/>
        </w:rPr>
        <w:t>j</w:t>
      </w:r>
      <w:r w:rsidRPr="006D4CB5">
        <w:rPr>
          <w:i/>
          <w:iCs/>
          <w:color w:val="000000" w:themeColor="text1"/>
          <w:shd w:val="clear" w:color="auto" w:fill="FFFFFF"/>
        </w:rPr>
        <w:t xml:space="preserve">ournal of </w:t>
      </w:r>
      <w:r w:rsidR="00EB3D6B" w:rsidRPr="006D4CB5">
        <w:rPr>
          <w:i/>
          <w:iCs/>
          <w:color w:val="000000" w:themeColor="text1"/>
          <w:shd w:val="clear" w:color="auto" w:fill="FFFFFF"/>
        </w:rPr>
        <w:t>p</w:t>
      </w:r>
      <w:r w:rsidRPr="006D4CB5">
        <w:rPr>
          <w:i/>
          <w:iCs/>
          <w:color w:val="000000" w:themeColor="text1"/>
          <w:shd w:val="clear" w:color="auto" w:fill="FFFFFF"/>
        </w:rPr>
        <w:t>ersonality</w:t>
      </w:r>
      <w:r w:rsidRPr="006D4CB5">
        <w:rPr>
          <w:color w:val="000000" w:themeColor="text1"/>
          <w:shd w:val="clear" w:color="auto" w:fill="FFFFFF"/>
        </w:rPr>
        <w:t>, 08902070251356148.</w:t>
      </w:r>
    </w:p>
    <w:p w14:paraId="7815EFFE"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Hahn, E., Gottschling, J., &amp; Spinath, F. M. (2012). Short measurements of personality–Validity and reliability of the GSOEP Big Five Inventory (BFI-S). </w:t>
      </w:r>
      <w:r w:rsidRPr="006D4CB5">
        <w:rPr>
          <w:rFonts w:eastAsia="Aptos"/>
          <w:i/>
          <w:iCs/>
          <w:color w:val="000000" w:themeColor="text1"/>
        </w:rPr>
        <w:t>Journal of research in personality</w:t>
      </w:r>
      <w:r w:rsidRPr="006D4CB5">
        <w:rPr>
          <w:rFonts w:eastAsia="Aptos"/>
          <w:color w:val="000000" w:themeColor="text1"/>
        </w:rPr>
        <w:t xml:space="preserve">, </w:t>
      </w:r>
      <w:r w:rsidRPr="006D4CB5">
        <w:rPr>
          <w:rFonts w:eastAsia="Aptos"/>
          <w:i/>
          <w:iCs/>
          <w:color w:val="000000" w:themeColor="text1"/>
        </w:rPr>
        <w:t>46</w:t>
      </w:r>
      <w:r w:rsidRPr="006D4CB5">
        <w:rPr>
          <w:rFonts w:eastAsia="Aptos"/>
          <w:color w:val="000000" w:themeColor="text1"/>
        </w:rPr>
        <w:t>(3), 355-359.</w:t>
      </w:r>
    </w:p>
    <w:p w14:paraId="7CA4E0A0" w14:textId="77777777" w:rsidR="002A7759" w:rsidRPr="006D4CB5" w:rsidRDefault="002A7759" w:rsidP="002A7759">
      <w:pPr>
        <w:rPr>
          <w:i/>
          <w:iCs/>
          <w:color w:val="000000" w:themeColor="text1"/>
        </w:rPr>
      </w:pPr>
      <w:r w:rsidRPr="006D4CB5">
        <w:rPr>
          <w:color w:val="000000" w:themeColor="text1"/>
        </w:rPr>
        <w:t xml:space="preserve">Harden, K.P., Tucker-Drob, E.M., &amp; Tackett, J.L. (2013). The Texas twin project. </w:t>
      </w:r>
      <w:r w:rsidRPr="006D4CB5">
        <w:rPr>
          <w:i/>
          <w:iCs/>
          <w:color w:val="000000" w:themeColor="text1"/>
        </w:rPr>
        <w:t xml:space="preserve">Twin </w:t>
      </w:r>
    </w:p>
    <w:p w14:paraId="5C4A55FB" w14:textId="12288ABF" w:rsidR="002A7759" w:rsidRPr="006D4CB5" w:rsidRDefault="00EB3D6B" w:rsidP="002A7759">
      <w:pPr>
        <w:ind w:firstLine="720"/>
        <w:rPr>
          <w:color w:val="000000" w:themeColor="text1"/>
        </w:rPr>
      </w:pPr>
      <w:r w:rsidRPr="006D4CB5">
        <w:rPr>
          <w:i/>
          <w:iCs/>
          <w:color w:val="000000" w:themeColor="text1"/>
        </w:rPr>
        <w:t>r</w:t>
      </w:r>
      <w:r w:rsidR="002A7759" w:rsidRPr="006D4CB5">
        <w:rPr>
          <w:i/>
          <w:iCs/>
          <w:color w:val="000000" w:themeColor="text1"/>
        </w:rPr>
        <w:t xml:space="preserve">esearch and </w:t>
      </w:r>
      <w:r w:rsidRPr="006D4CB5">
        <w:rPr>
          <w:i/>
          <w:iCs/>
          <w:color w:val="000000" w:themeColor="text1"/>
        </w:rPr>
        <w:t>h</w:t>
      </w:r>
      <w:r w:rsidR="002A7759" w:rsidRPr="006D4CB5">
        <w:rPr>
          <w:i/>
          <w:iCs/>
          <w:color w:val="000000" w:themeColor="text1"/>
        </w:rPr>
        <w:t xml:space="preserve">uman </w:t>
      </w:r>
      <w:r w:rsidRPr="006D4CB5">
        <w:rPr>
          <w:i/>
          <w:iCs/>
          <w:color w:val="000000" w:themeColor="text1"/>
        </w:rPr>
        <w:t>g</w:t>
      </w:r>
      <w:r w:rsidR="002A7759" w:rsidRPr="006D4CB5">
        <w:rPr>
          <w:i/>
          <w:iCs/>
          <w:color w:val="000000" w:themeColor="text1"/>
        </w:rPr>
        <w:t>enetics</w:t>
      </w:r>
      <w:r w:rsidR="002A7759" w:rsidRPr="006D4CB5">
        <w:rPr>
          <w:color w:val="000000" w:themeColor="text1"/>
        </w:rPr>
        <w:t xml:space="preserve">, </w:t>
      </w:r>
      <w:r w:rsidR="002A7759" w:rsidRPr="006D4CB5">
        <w:rPr>
          <w:i/>
          <w:iCs/>
          <w:color w:val="000000" w:themeColor="text1"/>
        </w:rPr>
        <w:t>16</w:t>
      </w:r>
      <w:r w:rsidR="002A7759" w:rsidRPr="006D4CB5">
        <w:rPr>
          <w:color w:val="000000" w:themeColor="text1"/>
        </w:rPr>
        <w:t>(1), 385-390.</w:t>
      </w:r>
    </w:p>
    <w:p w14:paraId="2AD161C4"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Herd, P., Carr, D., &amp; Roan, C. (2014). Cohort profile: Wisconsin longitudinal study (WLS). </w:t>
      </w:r>
    </w:p>
    <w:p w14:paraId="4C6ADD5F" w14:textId="72ADECE4" w:rsidR="002A7759" w:rsidRPr="006D4CB5" w:rsidRDefault="002A7759" w:rsidP="00F14E18">
      <w:pPr>
        <w:autoSpaceDE w:val="0"/>
        <w:autoSpaceDN w:val="0"/>
        <w:adjustRightInd w:val="0"/>
        <w:ind w:firstLine="720"/>
        <w:rPr>
          <w:rFonts w:eastAsiaTheme="minorEastAsia"/>
          <w:color w:val="000000" w:themeColor="text1"/>
        </w:rPr>
      </w:pPr>
      <w:r w:rsidRPr="006D4CB5">
        <w:rPr>
          <w:i/>
          <w:iCs/>
          <w:color w:val="000000" w:themeColor="text1"/>
        </w:rPr>
        <w:t>International journal of epidemiology</w:t>
      </w:r>
      <w:r w:rsidRPr="006D4CB5">
        <w:rPr>
          <w:color w:val="000000" w:themeColor="text1"/>
        </w:rPr>
        <w:t xml:space="preserve">, </w:t>
      </w:r>
      <w:r w:rsidRPr="006D4CB5">
        <w:rPr>
          <w:i/>
          <w:iCs/>
          <w:color w:val="000000" w:themeColor="text1"/>
        </w:rPr>
        <w:t>43</w:t>
      </w:r>
      <w:r w:rsidRPr="006D4CB5">
        <w:rPr>
          <w:color w:val="000000" w:themeColor="text1"/>
        </w:rPr>
        <w:t>(1), 34-41.</w:t>
      </w:r>
    </w:p>
    <w:p w14:paraId="4114F391" w14:textId="5B5DBE08" w:rsidR="002A7759" w:rsidRPr="006D4CB5" w:rsidRDefault="002A7759" w:rsidP="00F14E18">
      <w:pPr>
        <w:rPr>
          <w:rFonts w:eastAsiaTheme="minorEastAsia"/>
          <w:color w:val="000000" w:themeColor="text1"/>
        </w:rPr>
      </w:pPr>
      <w:r w:rsidRPr="006D4CB5">
        <w:rPr>
          <w:color w:val="000000" w:themeColor="text1"/>
        </w:rPr>
        <w:t xml:space="preserve">Hoekstra, H., </w:t>
      </w:r>
      <w:proofErr w:type="spellStart"/>
      <w:r w:rsidRPr="006D4CB5">
        <w:rPr>
          <w:color w:val="000000" w:themeColor="text1"/>
        </w:rPr>
        <w:t>Ormel</w:t>
      </w:r>
      <w:proofErr w:type="spellEnd"/>
      <w:r w:rsidRPr="006D4CB5">
        <w:rPr>
          <w:color w:val="000000" w:themeColor="text1"/>
        </w:rPr>
        <w:t xml:space="preserve">, J., &amp; De </w:t>
      </w:r>
      <w:proofErr w:type="spellStart"/>
      <w:r w:rsidRPr="006D4CB5">
        <w:rPr>
          <w:color w:val="000000" w:themeColor="text1"/>
        </w:rPr>
        <w:t>Fruyt</w:t>
      </w:r>
      <w:proofErr w:type="spellEnd"/>
      <w:r w:rsidRPr="006D4CB5">
        <w:rPr>
          <w:color w:val="000000" w:themeColor="text1"/>
        </w:rPr>
        <w:t xml:space="preserve">, F. (2007). </w:t>
      </w:r>
      <w:r w:rsidRPr="006D4CB5">
        <w:rPr>
          <w:i/>
          <w:color w:val="000000" w:themeColor="text1"/>
        </w:rPr>
        <w:t xml:space="preserve">NEO-PI-R </w:t>
      </w:r>
      <w:proofErr w:type="spellStart"/>
      <w:r w:rsidRPr="006D4CB5">
        <w:rPr>
          <w:i/>
          <w:color w:val="000000" w:themeColor="text1"/>
        </w:rPr>
        <w:t>Handleiding</w:t>
      </w:r>
      <w:proofErr w:type="spellEnd"/>
      <w:r w:rsidRPr="006D4CB5">
        <w:rPr>
          <w:color w:val="000000" w:themeColor="text1"/>
        </w:rPr>
        <w:t xml:space="preserve">. Hogrefe </w:t>
      </w:r>
      <w:proofErr w:type="spellStart"/>
      <w:r w:rsidRPr="006D4CB5">
        <w:rPr>
          <w:color w:val="000000" w:themeColor="text1"/>
        </w:rPr>
        <w:t>Uitgevers</w:t>
      </w:r>
      <w:proofErr w:type="spellEnd"/>
      <w:r w:rsidRPr="006D4CB5">
        <w:rPr>
          <w:color w:val="000000" w:themeColor="text1"/>
        </w:rPr>
        <w:t xml:space="preserve"> BV.</w:t>
      </w:r>
    </w:p>
    <w:p w14:paraId="5BD0D465"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Hopwood, C. J., Schwaba, T., Wright, A. G., </w:t>
      </w:r>
      <w:proofErr w:type="spellStart"/>
      <w:r w:rsidRPr="006D4CB5">
        <w:rPr>
          <w:color w:val="000000" w:themeColor="text1"/>
          <w:shd w:val="clear" w:color="auto" w:fill="FFFFFF"/>
        </w:rPr>
        <w:t>Bleidorn</w:t>
      </w:r>
      <w:proofErr w:type="spellEnd"/>
      <w:r w:rsidRPr="006D4CB5">
        <w:rPr>
          <w:color w:val="000000" w:themeColor="text1"/>
          <w:shd w:val="clear" w:color="auto" w:fill="FFFFFF"/>
        </w:rPr>
        <w:t xml:space="preserve">, W., &amp; </w:t>
      </w:r>
      <w:proofErr w:type="spellStart"/>
      <w:r w:rsidRPr="006D4CB5">
        <w:rPr>
          <w:color w:val="000000" w:themeColor="text1"/>
          <w:shd w:val="clear" w:color="auto" w:fill="FFFFFF"/>
        </w:rPr>
        <w:t>Zanarini</w:t>
      </w:r>
      <w:proofErr w:type="spellEnd"/>
      <w:r w:rsidRPr="006D4CB5">
        <w:rPr>
          <w:color w:val="000000" w:themeColor="text1"/>
          <w:shd w:val="clear" w:color="auto" w:fill="FFFFFF"/>
        </w:rPr>
        <w:t xml:space="preserve">, M. C. (2022). Longitudinal associations between borderline personality disorder and five-factor model traits over 24 years. </w:t>
      </w:r>
      <w:r w:rsidRPr="006D4CB5">
        <w:rPr>
          <w:i/>
          <w:iCs/>
          <w:color w:val="000000" w:themeColor="text1"/>
          <w:shd w:val="clear" w:color="auto" w:fill="FFFFFF"/>
        </w:rPr>
        <w:t>European journal of personality</w:t>
      </w:r>
      <w:r w:rsidRPr="006D4CB5">
        <w:rPr>
          <w:color w:val="000000" w:themeColor="text1"/>
          <w:shd w:val="clear" w:color="auto" w:fill="FFFFFF"/>
        </w:rPr>
        <w:t xml:space="preserve">, </w:t>
      </w:r>
      <w:r w:rsidRPr="006D4CB5">
        <w:rPr>
          <w:i/>
          <w:iCs/>
          <w:color w:val="000000" w:themeColor="text1"/>
          <w:shd w:val="clear" w:color="auto" w:fill="FFFFFF"/>
        </w:rPr>
        <w:t>36</w:t>
      </w:r>
      <w:r w:rsidRPr="006D4CB5">
        <w:rPr>
          <w:color w:val="000000" w:themeColor="text1"/>
          <w:shd w:val="clear" w:color="auto" w:fill="FFFFFF"/>
        </w:rPr>
        <w:t>(1), 72-90.</w:t>
      </w:r>
    </w:p>
    <w:p w14:paraId="66100CEC" w14:textId="57FB40D6" w:rsidR="00F14E18" w:rsidRPr="006D4CB5" w:rsidRDefault="00F14E18" w:rsidP="002A7759">
      <w:pPr>
        <w:ind w:left="720" w:hanging="720"/>
        <w:rPr>
          <w:color w:val="000000" w:themeColor="text1"/>
          <w:shd w:val="clear" w:color="auto" w:fill="FFFFFF"/>
        </w:rPr>
      </w:pPr>
      <w:r w:rsidRPr="006D4CB5">
        <w:rPr>
          <w:color w:val="000000" w:themeColor="text1"/>
        </w:rPr>
        <w:t xml:space="preserve">Howe, L. J., Lawson, D. J., Davies, N. M., St. </w:t>
      </w:r>
      <w:proofErr w:type="spellStart"/>
      <w:r w:rsidRPr="006D4CB5">
        <w:rPr>
          <w:color w:val="000000" w:themeColor="text1"/>
        </w:rPr>
        <w:t>Pourcain</w:t>
      </w:r>
      <w:proofErr w:type="spellEnd"/>
      <w:r w:rsidRPr="006D4CB5">
        <w:rPr>
          <w:color w:val="000000" w:themeColor="text1"/>
        </w:rPr>
        <w:t xml:space="preserve">, B., Lewis, S. J., Davey Smith, G., &amp; Hemani, G. (2019). Genetic evidence for assortative mating on alcohol consumption in the UK biobank. </w:t>
      </w:r>
      <w:r w:rsidRPr="006D4CB5">
        <w:rPr>
          <w:i/>
          <w:iCs/>
          <w:color w:val="000000" w:themeColor="text1"/>
        </w:rPr>
        <w:t xml:space="preserve">Nature </w:t>
      </w:r>
      <w:r w:rsidR="00EB3D6B" w:rsidRPr="006D4CB5">
        <w:rPr>
          <w:i/>
          <w:iCs/>
          <w:color w:val="000000" w:themeColor="text1"/>
        </w:rPr>
        <w:t>c</w:t>
      </w:r>
      <w:r w:rsidRPr="006D4CB5">
        <w:rPr>
          <w:i/>
          <w:iCs/>
          <w:color w:val="000000" w:themeColor="text1"/>
        </w:rPr>
        <w:t>ommunications</w:t>
      </w:r>
      <w:r w:rsidRPr="006D4CB5">
        <w:rPr>
          <w:color w:val="000000" w:themeColor="text1"/>
        </w:rPr>
        <w:t xml:space="preserve">, </w:t>
      </w:r>
      <w:r w:rsidRPr="006D4CB5">
        <w:rPr>
          <w:i/>
          <w:iCs/>
          <w:color w:val="000000" w:themeColor="text1"/>
        </w:rPr>
        <w:t>10</w:t>
      </w:r>
      <w:r w:rsidRPr="006D4CB5">
        <w:rPr>
          <w:color w:val="000000" w:themeColor="text1"/>
        </w:rPr>
        <w:t>(1), 1–10.</w:t>
      </w:r>
    </w:p>
    <w:p w14:paraId="757114E8" w14:textId="77777777" w:rsidR="002A7759" w:rsidRPr="006D4CB5" w:rsidRDefault="002A7759" w:rsidP="002A7759">
      <w:pPr>
        <w:rPr>
          <w:color w:val="000000" w:themeColor="text1"/>
        </w:rPr>
      </w:pPr>
      <w:r w:rsidRPr="006D4CB5">
        <w:rPr>
          <w:color w:val="000000" w:themeColor="text1"/>
        </w:rPr>
        <w:t xml:space="preserve">Huisman, M., </w:t>
      </w:r>
      <w:proofErr w:type="spellStart"/>
      <w:r w:rsidRPr="006D4CB5">
        <w:rPr>
          <w:color w:val="000000" w:themeColor="text1"/>
        </w:rPr>
        <w:t>Oldehinkel</w:t>
      </w:r>
      <w:proofErr w:type="spellEnd"/>
      <w:r w:rsidRPr="006D4CB5">
        <w:rPr>
          <w:color w:val="000000" w:themeColor="text1"/>
        </w:rPr>
        <w:t xml:space="preserve">, A.J., De Winter, A.F., </w:t>
      </w:r>
      <w:proofErr w:type="spellStart"/>
      <w:r w:rsidRPr="006D4CB5">
        <w:rPr>
          <w:color w:val="000000" w:themeColor="text1"/>
        </w:rPr>
        <w:t>Minderaa</w:t>
      </w:r>
      <w:proofErr w:type="spellEnd"/>
      <w:r w:rsidRPr="006D4CB5">
        <w:rPr>
          <w:color w:val="000000" w:themeColor="text1"/>
        </w:rPr>
        <w:t xml:space="preserve">, R.B., De Bildt, A., </w:t>
      </w:r>
      <w:proofErr w:type="spellStart"/>
      <w:r w:rsidRPr="006D4CB5">
        <w:rPr>
          <w:color w:val="000000" w:themeColor="text1"/>
        </w:rPr>
        <w:t>Huizink</w:t>
      </w:r>
      <w:proofErr w:type="spellEnd"/>
      <w:r w:rsidRPr="006D4CB5">
        <w:rPr>
          <w:color w:val="000000" w:themeColor="text1"/>
        </w:rPr>
        <w:t xml:space="preserve">, A.C., </w:t>
      </w:r>
    </w:p>
    <w:p w14:paraId="313AE1EB" w14:textId="1F6DB61C" w:rsidR="002A7759" w:rsidRPr="006D4CB5" w:rsidRDefault="002A7759" w:rsidP="00F14E18">
      <w:pPr>
        <w:ind w:left="720"/>
        <w:rPr>
          <w:color w:val="000000" w:themeColor="text1"/>
          <w:lang w:val="nl-NL"/>
        </w:rPr>
      </w:pPr>
      <w:r w:rsidRPr="006D4CB5">
        <w:rPr>
          <w:color w:val="000000" w:themeColor="text1"/>
        </w:rPr>
        <w:t xml:space="preserve">Verhulst, F.C., &amp; </w:t>
      </w:r>
      <w:proofErr w:type="spellStart"/>
      <w:r w:rsidRPr="006D4CB5">
        <w:rPr>
          <w:color w:val="000000" w:themeColor="text1"/>
        </w:rPr>
        <w:t>Ormel</w:t>
      </w:r>
      <w:proofErr w:type="spellEnd"/>
      <w:r w:rsidRPr="006D4CB5">
        <w:rPr>
          <w:color w:val="000000" w:themeColor="text1"/>
        </w:rPr>
        <w:t>, J. (2008). Cohort profile: The Dutch “</w:t>
      </w:r>
      <w:proofErr w:type="spellStart"/>
      <w:r w:rsidRPr="006D4CB5">
        <w:rPr>
          <w:color w:val="000000" w:themeColor="text1"/>
        </w:rPr>
        <w:t>TRacking</w:t>
      </w:r>
      <w:proofErr w:type="spellEnd"/>
      <w:r w:rsidRPr="006D4CB5">
        <w:rPr>
          <w:color w:val="000000" w:themeColor="text1"/>
        </w:rPr>
        <w:t xml:space="preserve"> Adolescents’ Individual Lives’ Survey”; TRAILS. </w:t>
      </w:r>
      <w:r w:rsidRPr="006D4CB5">
        <w:rPr>
          <w:i/>
          <w:iCs/>
          <w:color w:val="000000" w:themeColor="text1"/>
        </w:rPr>
        <w:t>I</w:t>
      </w:r>
      <w:proofErr w:type="spellStart"/>
      <w:r w:rsidRPr="006D4CB5">
        <w:rPr>
          <w:i/>
          <w:iCs/>
          <w:color w:val="000000" w:themeColor="text1"/>
          <w:lang w:val="nl-NL"/>
        </w:rPr>
        <w:t>nternational</w:t>
      </w:r>
      <w:proofErr w:type="spellEnd"/>
      <w:r w:rsidRPr="006D4CB5">
        <w:rPr>
          <w:i/>
          <w:iCs/>
          <w:color w:val="000000" w:themeColor="text1"/>
          <w:lang w:val="nl-NL"/>
        </w:rPr>
        <w:t xml:space="preserve"> </w:t>
      </w:r>
      <w:proofErr w:type="spellStart"/>
      <w:r w:rsidR="00EB3D6B" w:rsidRPr="006D4CB5">
        <w:rPr>
          <w:i/>
          <w:iCs/>
          <w:color w:val="000000" w:themeColor="text1"/>
          <w:lang w:val="nl-NL"/>
        </w:rPr>
        <w:t>j</w:t>
      </w:r>
      <w:r w:rsidRPr="006D4CB5">
        <w:rPr>
          <w:i/>
          <w:iCs/>
          <w:color w:val="000000" w:themeColor="text1"/>
          <w:lang w:val="nl-NL"/>
        </w:rPr>
        <w:t>ournal</w:t>
      </w:r>
      <w:proofErr w:type="spellEnd"/>
      <w:r w:rsidRPr="006D4CB5">
        <w:rPr>
          <w:i/>
          <w:iCs/>
          <w:color w:val="000000" w:themeColor="text1"/>
          <w:lang w:val="nl-NL"/>
        </w:rPr>
        <w:t xml:space="preserve"> of </w:t>
      </w:r>
      <w:proofErr w:type="spellStart"/>
      <w:r w:rsidR="00EB3D6B" w:rsidRPr="006D4CB5">
        <w:rPr>
          <w:i/>
          <w:iCs/>
          <w:color w:val="000000" w:themeColor="text1"/>
          <w:lang w:val="nl-NL"/>
        </w:rPr>
        <w:t>e</w:t>
      </w:r>
      <w:r w:rsidRPr="006D4CB5">
        <w:rPr>
          <w:i/>
          <w:iCs/>
          <w:color w:val="000000" w:themeColor="text1"/>
          <w:lang w:val="nl-NL"/>
        </w:rPr>
        <w:t>pidemiology</w:t>
      </w:r>
      <w:proofErr w:type="spellEnd"/>
      <w:r w:rsidRPr="006D4CB5">
        <w:rPr>
          <w:color w:val="000000" w:themeColor="text1"/>
          <w:lang w:val="nl-NL"/>
        </w:rPr>
        <w:t xml:space="preserve">, </w:t>
      </w:r>
      <w:r w:rsidRPr="006D4CB5">
        <w:rPr>
          <w:i/>
          <w:iCs/>
          <w:color w:val="000000" w:themeColor="text1"/>
          <w:lang w:val="nl-NL"/>
        </w:rPr>
        <w:t>37</w:t>
      </w:r>
      <w:r w:rsidRPr="006D4CB5">
        <w:rPr>
          <w:color w:val="000000" w:themeColor="text1"/>
          <w:lang w:val="nl-NL"/>
        </w:rPr>
        <w:t>(6), 1227-35.</w:t>
      </w:r>
    </w:p>
    <w:p w14:paraId="3AF9B569"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lastRenderedPageBreak/>
        <w:t xml:space="preserve">Jang, K. L., McCrae, R. R., </w:t>
      </w:r>
      <w:proofErr w:type="spellStart"/>
      <w:r w:rsidRPr="006D4CB5">
        <w:rPr>
          <w:rFonts w:eastAsia="Aptos"/>
          <w:color w:val="000000" w:themeColor="text1"/>
        </w:rPr>
        <w:t>Angleitner</w:t>
      </w:r>
      <w:proofErr w:type="spellEnd"/>
      <w:r w:rsidRPr="006D4CB5">
        <w:rPr>
          <w:rFonts w:eastAsia="Aptos"/>
          <w:color w:val="000000" w:themeColor="text1"/>
        </w:rPr>
        <w:t>, A., Riemann, R., &amp; Livesley, W. J. (1998). Heritability of facet-level traits in a cross-cultural twin sample: support for a hierarchical model of personality.</w:t>
      </w:r>
      <w:r w:rsidRPr="006D4CB5">
        <w:rPr>
          <w:rFonts w:eastAsia="Arial"/>
          <w:color w:val="000000" w:themeColor="text1"/>
        </w:rPr>
        <w:t> </w:t>
      </w:r>
      <w:r w:rsidRPr="006D4CB5">
        <w:rPr>
          <w:rFonts w:eastAsia="Aptos"/>
          <w:i/>
          <w:iCs/>
          <w:color w:val="000000" w:themeColor="text1"/>
        </w:rPr>
        <w:t>Journal of personality and social psychology</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74</w:t>
      </w:r>
      <w:r w:rsidRPr="006D4CB5">
        <w:rPr>
          <w:rFonts w:eastAsia="Aptos"/>
          <w:color w:val="000000" w:themeColor="text1"/>
        </w:rPr>
        <w:t xml:space="preserve">(6), 1556-1565. </w:t>
      </w:r>
    </w:p>
    <w:p w14:paraId="18B14A19" w14:textId="77777777" w:rsidR="002A7759" w:rsidRPr="006D4CB5" w:rsidRDefault="002A7759" w:rsidP="002A7759">
      <w:pPr>
        <w:rPr>
          <w:color w:val="000000" w:themeColor="text1"/>
        </w:rPr>
      </w:pPr>
      <w:r w:rsidRPr="006D4CB5">
        <w:rPr>
          <w:color w:val="000000" w:themeColor="text1"/>
        </w:rPr>
        <w:t xml:space="preserve">Jonsdottir, G. A., Einarsson, G., Thorleifsson, G., Magnusson, S. H., Gunnarsson, A. F., </w:t>
      </w:r>
    </w:p>
    <w:p w14:paraId="60FEBF8A" w14:textId="4718FD61" w:rsidR="002A7759" w:rsidRPr="006D4CB5" w:rsidRDefault="002A7759" w:rsidP="00F14E18">
      <w:pPr>
        <w:ind w:left="720"/>
        <w:rPr>
          <w:color w:val="000000" w:themeColor="text1"/>
        </w:rPr>
      </w:pPr>
      <w:r w:rsidRPr="006D4CB5">
        <w:rPr>
          <w:color w:val="000000" w:themeColor="text1"/>
        </w:rPr>
        <w:t xml:space="preserve">Frigge, M. L., ... &amp; Stefansson, K. (2021). Genetic propensities for verbal and spatial ability have opposite effects on body mass index and risk of schizophrenia. </w:t>
      </w:r>
      <w:r w:rsidRPr="006D4CB5">
        <w:rPr>
          <w:i/>
          <w:iCs/>
          <w:color w:val="000000" w:themeColor="text1"/>
        </w:rPr>
        <w:t>Intelligence,</w:t>
      </w:r>
      <w:r w:rsidRPr="006D4CB5">
        <w:rPr>
          <w:color w:val="000000" w:themeColor="text1"/>
        </w:rPr>
        <w:t xml:space="preserve"> 88, 101565.</w:t>
      </w:r>
    </w:p>
    <w:p w14:paraId="2806EBA6" w14:textId="77777777" w:rsidR="002A7759" w:rsidRPr="006D4CB5" w:rsidRDefault="002A7759" w:rsidP="002A7759">
      <w:pPr>
        <w:rPr>
          <w:color w:val="000000" w:themeColor="text1"/>
        </w:rPr>
      </w:pPr>
      <w:r w:rsidRPr="006D4CB5">
        <w:rPr>
          <w:color w:val="000000" w:themeColor="text1"/>
        </w:rPr>
        <w:t xml:space="preserve">Kang, H.M., Sul, J.H., Service, S.K., </w:t>
      </w:r>
      <w:proofErr w:type="spellStart"/>
      <w:r w:rsidRPr="006D4CB5">
        <w:rPr>
          <w:color w:val="000000" w:themeColor="text1"/>
        </w:rPr>
        <w:t>Zaitlen</w:t>
      </w:r>
      <w:proofErr w:type="spellEnd"/>
      <w:r w:rsidRPr="006D4CB5">
        <w:rPr>
          <w:color w:val="000000" w:themeColor="text1"/>
        </w:rPr>
        <w:t xml:space="preserve">, N.A., Kong, S.Y., Freimer, N.B., </w:t>
      </w:r>
      <w:proofErr w:type="spellStart"/>
      <w:r w:rsidRPr="006D4CB5">
        <w:rPr>
          <w:color w:val="000000" w:themeColor="text1"/>
        </w:rPr>
        <w:t>Sabbati</w:t>
      </w:r>
      <w:proofErr w:type="spellEnd"/>
      <w:r w:rsidRPr="006D4CB5">
        <w:rPr>
          <w:color w:val="000000" w:themeColor="text1"/>
        </w:rPr>
        <w:t xml:space="preserve">, C., &amp; </w:t>
      </w:r>
    </w:p>
    <w:p w14:paraId="6BFD9864" w14:textId="116765B6" w:rsidR="002A7759" w:rsidRPr="006D4CB5" w:rsidRDefault="002A7759">
      <w:pPr>
        <w:ind w:left="720"/>
        <w:rPr>
          <w:color w:val="000000" w:themeColor="text1"/>
        </w:rPr>
      </w:pPr>
      <w:r w:rsidRPr="006D4CB5">
        <w:rPr>
          <w:color w:val="000000" w:themeColor="text1"/>
        </w:rPr>
        <w:t xml:space="preserve">Eskin, E. (2010). Variance component model to account for sample structure in genome-wide association studies. </w:t>
      </w:r>
      <w:r w:rsidRPr="006D4CB5">
        <w:rPr>
          <w:i/>
          <w:iCs/>
          <w:color w:val="000000" w:themeColor="text1"/>
        </w:rPr>
        <w:t xml:space="preserve">Nature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42</w:t>
      </w:r>
      <w:r w:rsidRPr="006D4CB5">
        <w:rPr>
          <w:color w:val="000000" w:themeColor="text1"/>
        </w:rPr>
        <w:t>(4), 348-354.</w:t>
      </w:r>
    </w:p>
    <w:p w14:paraId="32E24A54" w14:textId="77777777" w:rsidR="003C1887" w:rsidRPr="006D4CB5" w:rsidRDefault="003C1887" w:rsidP="003C1887">
      <w:pPr>
        <w:rPr>
          <w:color w:val="000000" w:themeColor="text1"/>
          <w:shd w:val="clear" w:color="auto" w:fill="FFFFFF"/>
        </w:rPr>
      </w:pPr>
      <w:r w:rsidRPr="006D4CB5">
        <w:rPr>
          <w:color w:val="000000" w:themeColor="text1"/>
          <w:shd w:val="clear" w:color="auto" w:fill="FFFFFF"/>
        </w:rPr>
        <w:t xml:space="preserve">Karczewski, K. J., Gupta, R., Kanai, M., Lu, W., </w:t>
      </w:r>
      <w:proofErr w:type="spellStart"/>
      <w:r w:rsidRPr="006D4CB5">
        <w:rPr>
          <w:color w:val="000000" w:themeColor="text1"/>
          <w:shd w:val="clear" w:color="auto" w:fill="FFFFFF"/>
        </w:rPr>
        <w:t>Tsuo</w:t>
      </w:r>
      <w:proofErr w:type="spellEnd"/>
      <w:r w:rsidRPr="006D4CB5">
        <w:rPr>
          <w:color w:val="000000" w:themeColor="text1"/>
          <w:shd w:val="clear" w:color="auto" w:fill="FFFFFF"/>
        </w:rPr>
        <w:t xml:space="preserve">, K., Wang, Y., ... &amp; Martin, A. R. (2025). </w:t>
      </w:r>
    </w:p>
    <w:p w14:paraId="6D0A8860" w14:textId="77777777" w:rsidR="003C1887" w:rsidRPr="006D4CB5" w:rsidRDefault="003C1887" w:rsidP="003C1887">
      <w:pPr>
        <w:ind w:firstLine="720"/>
        <w:rPr>
          <w:color w:val="000000" w:themeColor="text1"/>
          <w:shd w:val="clear" w:color="auto" w:fill="FFFFFF"/>
        </w:rPr>
      </w:pPr>
      <w:r w:rsidRPr="006D4CB5">
        <w:rPr>
          <w:color w:val="000000" w:themeColor="text1"/>
          <w:shd w:val="clear" w:color="auto" w:fill="FFFFFF"/>
        </w:rPr>
        <w:t xml:space="preserve">Pan-UK Biobank genome-wide association analyses enhance discovery and resolution of </w:t>
      </w:r>
    </w:p>
    <w:p w14:paraId="5CD1D071" w14:textId="322C6AD0" w:rsidR="003C1887" w:rsidRPr="006D4CB5" w:rsidRDefault="003C1887" w:rsidP="00F14E18">
      <w:pPr>
        <w:ind w:left="720"/>
        <w:rPr>
          <w:color w:val="000000" w:themeColor="text1"/>
          <w:shd w:val="clear" w:color="auto" w:fill="FFFFFF"/>
        </w:rPr>
      </w:pPr>
      <w:r w:rsidRPr="006D4CB5">
        <w:rPr>
          <w:color w:val="000000" w:themeColor="text1"/>
          <w:shd w:val="clear" w:color="auto" w:fill="FFFFFF"/>
        </w:rPr>
        <w:t>ancestry-enriched effects. </w:t>
      </w:r>
      <w:r w:rsidRPr="006D4CB5">
        <w:rPr>
          <w:i/>
          <w:iCs/>
          <w:color w:val="000000" w:themeColor="text1"/>
          <w:shd w:val="clear" w:color="auto" w:fill="FFFFFF"/>
        </w:rPr>
        <w:t>Nature genetics</w:t>
      </w:r>
      <w:r w:rsidRPr="006D4CB5">
        <w:rPr>
          <w:color w:val="000000" w:themeColor="text1"/>
          <w:shd w:val="clear" w:color="auto" w:fill="FFFFFF"/>
        </w:rPr>
        <w:t>, 1-10.</w:t>
      </w:r>
    </w:p>
    <w:p w14:paraId="30747458" w14:textId="77777777" w:rsidR="00913A95" w:rsidRPr="006D4CB5" w:rsidRDefault="00913A95" w:rsidP="00913A95">
      <w:pPr>
        <w:rPr>
          <w:color w:val="000000" w:themeColor="text1"/>
          <w:shd w:val="clear" w:color="auto" w:fill="FFFFFF"/>
        </w:rPr>
      </w:pPr>
      <w:r w:rsidRPr="006D4CB5">
        <w:rPr>
          <w:color w:val="000000" w:themeColor="text1"/>
          <w:shd w:val="clear" w:color="auto" w:fill="FFFFFF"/>
        </w:rPr>
        <w:t xml:space="preserve">Kelly, K. M., Horwitz, T. B., &amp; Keller, M. C. (2025). Criteria for detection of married or </w:t>
      </w:r>
    </w:p>
    <w:p w14:paraId="27E17E21" w14:textId="0AD1DF69" w:rsidR="00913A95" w:rsidRPr="006D4CB5" w:rsidRDefault="00913A95" w:rsidP="00913A95">
      <w:pPr>
        <w:ind w:firstLine="720"/>
        <w:rPr>
          <w:color w:val="000000" w:themeColor="text1"/>
          <w:shd w:val="clear" w:color="auto" w:fill="FFFFFF"/>
        </w:rPr>
      </w:pPr>
      <w:r w:rsidRPr="006D4CB5">
        <w:rPr>
          <w:color w:val="000000" w:themeColor="text1"/>
          <w:shd w:val="clear" w:color="auto" w:fill="FFFFFF"/>
        </w:rPr>
        <w:t>cohabiting couples in the UK Biobank. </w:t>
      </w:r>
      <w:r w:rsidRPr="006D4CB5">
        <w:rPr>
          <w:i/>
          <w:iCs/>
          <w:color w:val="000000" w:themeColor="text1"/>
          <w:shd w:val="clear" w:color="auto" w:fill="FFFFFF"/>
        </w:rPr>
        <w:t>Social science &amp; medicine (1982)</w:t>
      </w:r>
      <w:r w:rsidRPr="006D4CB5">
        <w:rPr>
          <w:color w:val="000000" w:themeColor="text1"/>
          <w:shd w:val="clear" w:color="auto" w:fill="FFFFFF"/>
        </w:rPr>
        <w:t>, </w:t>
      </w:r>
      <w:r w:rsidRPr="006D4CB5">
        <w:rPr>
          <w:i/>
          <w:iCs/>
          <w:color w:val="000000" w:themeColor="text1"/>
          <w:shd w:val="clear" w:color="auto" w:fill="FFFFFF"/>
        </w:rPr>
        <w:t>383</w:t>
      </w:r>
      <w:r w:rsidRPr="006D4CB5">
        <w:rPr>
          <w:color w:val="000000" w:themeColor="text1"/>
          <w:shd w:val="clear" w:color="auto" w:fill="FFFFFF"/>
        </w:rPr>
        <w:t>, 118475.</w:t>
      </w:r>
    </w:p>
    <w:p w14:paraId="7ACC2C49" w14:textId="77777777" w:rsidR="002A7759" w:rsidRPr="006D4CB5" w:rsidRDefault="002A7759" w:rsidP="002A7759">
      <w:pPr>
        <w:ind w:left="720" w:hanging="720"/>
        <w:rPr>
          <w:color w:val="000000" w:themeColor="text1"/>
        </w:rPr>
      </w:pPr>
      <w:r w:rsidRPr="006D4CB5">
        <w:rPr>
          <w:rFonts w:eastAsia="Aptos"/>
          <w:color w:val="000000" w:themeColor="text1"/>
        </w:rPr>
        <w:t>Kenny, D. A., &amp; West, T. V. (2010). Similarity and agreement in self-and other perception: A meta-analysis.</w:t>
      </w:r>
      <w:r w:rsidRPr="006D4CB5">
        <w:rPr>
          <w:rFonts w:eastAsia="Arial"/>
          <w:color w:val="000000" w:themeColor="text1"/>
        </w:rPr>
        <w:t> </w:t>
      </w:r>
      <w:r w:rsidRPr="006D4CB5">
        <w:rPr>
          <w:rFonts w:eastAsia="Aptos"/>
          <w:i/>
          <w:iCs/>
          <w:color w:val="000000" w:themeColor="text1"/>
        </w:rPr>
        <w:t>Personality and social psychology review</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14</w:t>
      </w:r>
      <w:r w:rsidRPr="006D4CB5">
        <w:rPr>
          <w:rFonts w:eastAsia="Aptos"/>
          <w:color w:val="000000" w:themeColor="text1"/>
        </w:rPr>
        <w:t xml:space="preserve">(2), 196-213. </w:t>
      </w:r>
    </w:p>
    <w:p w14:paraId="05CBE562"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Koellinger, P. D., </w:t>
      </w:r>
      <w:proofErr w:type="spellStart"/>
      <w:r w:rsidRPr="006D4CB5">
        <w:rPr>
          <w:rFonts w:eastAsia="Aptos"/>
          <w:color w:val="000000" w:themeColor="text1"/>
        </w:rPr>
        <w:t>Okbay</w:t>
      </w:r>
      <w:proofErr w:type="spellEnd"/>
      <w:r w:rsidRPr="006D4CB5">
        <w:rPr>
          <w:rFonts w:eastAsia="Aptos"/>
          <w:color w:val="000000" w:themeColor="text1"/>
        </w:rPr>
        <w:t xml:space="preserve">, A., Kweon, H., Schweinert, A., Karlsson Linnér, R., Goebel, J., ... &amp; Hertwig, R. (2021). Cohort Profile: Genetic data in the German Socio-Economic Panel Innovation Sample (Gene-SOEP). </w:t>
      </w:r>
      <w:r w:rsidRPr="006D4CB5">
        <w:rPr>
          <w:rFonts w:eastAsia="Aptos"/>
          <w:i/>
          <w:iCs/>
          <w:color w:val="000000" w:themeColor="text1"/>
        </w:rPr>
        <w:t>bioRxiv</w:t>
      </w:r>
      <w:r w:rsidRPr="006D4CB5">
        <w:rPr>
          <w:rFonts w:eastAsia="Aptos"/>
          <w:color w:val="000000" w:themeColor="text1"/>
        </w:rPr>
        <w:t>, 2021-11.</w:t>
      </w:r>
    </w:p>
    <w:p w14:paraId="543DA533" w14:textId="77777777" w:rsidR="002A7759" w:rsidRPr="006D4CB5" w:rsidRDefault="002A7759" w:rsidP="002A7759">
      <w:pPr>
        <w:spacing w:line="259" w:lineRule="auto"/>
        <w:jc w:val="both"/>
        <w:rPr>
          <w:color w:val="000000" w:themeColor="text1"/>
          <w:shd w:val="clear" w:color="auto" w:fill="FFFFFF"/>
        </w:rPr>
      </w:pPr>
      <w:proofErr w:type="spellStart"/>
      <w:r w:rsidRPr="006D4CB5">
        <w:rPr>
          <w:color w:val="000000" w:themeColor="text1"/>
          <w:shd w:val="clear" w:color="auto" w:fill="FFFFFF"/>
        </w:rPr>
        <w:t>Koletić</w:t>
      </w:r>
      <w:proofErr w:type="spellEnd"/>
      <w:r w:rsidRPr="006D4CB5">
        <w:rPr>
          <w:color w:val="000000" w:themeColor="text1"/>
          <w:shd w:val="clear" w:color="auto" w:fill="FFFFFF"/>
        </w:rPr>
        <w:t xml:space="preserve">, G., </w:t>
      </w:r>
      <w:proofErr w:type="spellStart"/>
      <w:r w:rsidRPr="006D4CB5">
        <w:rPr>
          <w:color w:val="000000" w:themeColor="text1"/>
          <w:shd w:val="clear" w:color="auto" w:fill="FFFFFF"/>
        </w:rPr>
        <w:t>Landripet</w:t>
      </w:r>
      <w:proofErr w:type="spellEnd"/>
      <w:r w:rsidRPr="006D4CB5">
        <w:rPr>
          <w:color w:val="000000" w:themeColor="text1"/>
          <w:shd w:val="clear" w:color="auto" w:fill="FFFFFF"/>
        </w:rPr>
        <w:t xml:space="preserve">, I., </w:t>
      </w:r>
      <w:proofErr w:type="spellStart"/>
      <w:r w:rsidRPr="006D4CB5">
        <w:rPr>
          <w:color w:val="000000" w:themeColor="text1"/>
          <w:shd w:val="clear" w:color="auto" w:fill="FFFFFF"/>
        </w:rPr>
        <w:t>Tafro</w:t>
      </w:r>
      <w:proofErr w:type="spellEnd"/>
      <w:r w:rsidRPr="006D4CB5">
        <w:rPr>
          <w:color w:val="000000" w:themeColor="text1"/>
          <w:shd w:val="clear" w:color="auto" w:fill="FFFFFF"/>
        </w:rPr>
        <w:t xml:space="preserve">, A., Jurković, L., Milas, G., &amp; </w:t>
      </w:r>
      <w:proofErr w:type="spellStart"/>
      <w:r w:rsidRPr="006D4CB5">
        <w:rPr>
          <w:color w:val="000000" w:themeColor="text1"/>
          <w:shd w:val="clear" w:color="auto" w:fill="FFFFFF"/>
        </w:rPr>
        <w:t>Štulhofer</w:t>
      </w:r>
      <w:proofErr w:type="spellEnd"/>
      <w:r w:rsidRPr="006D4CB5">
        <w:rPr>
          <w:color w:val="000000" w:themeColor="text1"/>
          <w:shd w:val="clear" w:color="auto" w:fill="FFFFFF"/>
        </w:rPr>
        <w:t xml:space="preserve">, A. (2021). Religious faith </w:t>
      </w:r>
    </w:p>
    <w:p w14:paraId="7A2B93A0" w14:textId="3B4B5661" w:rsidR="002A7759" w:rsidRPr="006D4CB5" w:rsidRDefault="002A7759" w:rsidP="00F14E18">
      <w:pPr>
        <w:spacing w:line="259" w:lineRule="auto"/>
        <w:ind w:left="720"/>
        <w:jc w:val="both"/>
        <w:rPr>
          <w:color w:val="000000" w:themeColor="text1"/>
          <w:shd w:val="clear" w:color="auto" w:fill="FFFFFF"/>
        </w:rPr>
      </w:pPr>
      <w:r w:rsidRPr="006D4CB5">
        <w:rPr>
          <w:color w:val="000000" w:themeColor="text1"/>
          <w:shd w:val="clear" w:color="auto" w:fill="FFFFFF"/>
        </w:rPr>
        <w:t>and sexual risk taking among adolescents and emerging adults: A meta-analytic review. </w:t>
      </w:r>
      <w:r w:rsidRPr="006D4CB5">
        <w:rPr>
          <w:i/>
          <w:iCs/>
          <w:color w:val="000000" w:themeColor="text1"/>
          <w:shd w:val="clear" w:color="auto" w:fill="FFFFFF"/>
        </w:rPr>
        <w:t>Social science &amp; medicine</w:t>
      </w:r>
      <w:r w:rsidRPr="006D4CB5">
        <w:rPr>
          <w:color w:val="000000" w:themeColor="text1"/>
          <w:shd w:val="clear" w:color="auto" w:fill="FFFFFF"/>
        </w:rPr>
        <w:t>, </w:t>
      </w:r>
      <w:r w:rsidRPr="006D4CB5">
        <w:rPr>
          <w:i/>
          <w:iCs/>
          <w:color w:val="000000" w:themeColor="text1"/>
          <w:shd w:val="clear" w:color="auto" w:fill="FFFFFF"/>
        </w:rPr>
        <w:t>291</w:t>
      </w:r>
      <w:r w:rsidRPr="006D4CB5">
        <w:rPr>
          <w:color w:val="000000" w:themeColor="text1"/>
          <w:shd w:val="clear" w:color="auto" w:fill="FFFFFF"/>
        </w:rPr>
        <w:t>, 114488.</w:t>
      </w:r>
    </w:p>
    <w:p w14:paraId="74CB55B6" w14:textId="77777777" w:rsidR="002A7759" w:rsidRPr="006D4CB5" w:rsidRDefault="002A7759" w:rsidP="002A7759">
      <w:pPr>
        <w:ind w:left="720" w:hanging="720"/>
        <w:rPr>
          <w:rFonts w:eastAsia="Aptos"/>
          <w:color w:val="000000" w:themeColor="text1"/>
        </w:rPr>
      </w:pPr>
      <w:r w:rsidRPr="006D4CB5">
        <w:rPr>
          <w:color w:val="000000" w:themeColor="text1"/>
          <w:shd w:val="clear" w:color="auto" w:fill="FFFFFF"/>
        </w:rPr>
        <w:t xml:space="preserve">Kong, A., Thorleifsson, G., Frigge, M. L., Vilhjalmsson, B. J., Young, A. I., </w:t>
      </w:r>
      <w:proofErr w:type="spellStart"/>
      <w:r w:rsidRPr="006D4CB5">
        <w:rPr>
          <w:color w:val="000000" w:themeColor="text1"/>
          <w:shd w:val="clear" w:color="auto" w:fill="FFFFFF"/>
        </w:rPr>
        <w:t>Thorgeirsson</w:t>
      </w:r>
      <w:proofErr w:type="spellEnd"/>
      <w:r w:rsidRPr="006D4CB5">
        <w:rPr>
          <w:color w:val="000000" w:themeColor="text1"/>
          <w:shd w:val="clear" w:color="auto" w:fill="FFFFFF"/>
        </w:rPr>
        <w:t>, T. E., ... &amp; Stefansson, K. (2018). The nature of nurture: Effects of parental genotypes. </w:t>
      </w:r>
      <w:r w:rsidRPr="006D4CB5">
        <w:rPr>
          <w:i/>
          <w:iCs/>
          <w:color w:val="000000" w:themeColor="text1"/>
          <w:shd w:val="clear" w:color="auto" w:fill="FFFFFF"/>
        </w:rPr>
        <w:t>Science</w:t>
      </w:r>
      <w:r w:rsidRPr="006D4CB5">
        <w:rPr>
          <w:color w:val="000000" w:themeColor="text1"/>
          <w:shd w:val="clear" w:color="auto" w:fill="FFFFFF"/>
        </w:rPr>
        <w:t>, </w:t>
      </w:r>
      <w:r w:rsidRPr="006D4CB5">
        <w:rPr>
          <w:i/>
          <w:iCs/>
          <w:color w:val="000000" w:themeColor="text1"/>
          <w:shd w:val="clear" w:color="auto" w:fill="FFFFFF"/>
        </w:rPr>
        <w:t>359</w:t>
      </w:r>
      <w:r w:rsidRPr="006D4CB5">
        <w:rPr>
          <w:color w:val="000000" w:themeColor="text1"/>
          <w:shd w:val="clear" w:color="auto" w:fill="FFFFFF"/>
        </w:rPr>
        <w:t>(6374), 424-428.</w:t>
      </w:r>
    </w:p>
    <w:p w14:paraId="37A4193C"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Koning, I. M., Van den Eijnden, R. J., Engels, R. C., </w:t>
      </w:r>
      <w:proofErr w:type="spellStart"/>
      <w:r w:rsidRPr="006D4CB5">
        <w:rPr>
          <w:color w:val="000000" w:themeColor="text1"/>
          <w:shd w:val="clear" w:color="auto" w:fill="FFFFFF"/>
        </w:rPr>
        <w:t>Verdurmen</w:t>
      </w:r>
      <w:proofErr w:type="spellEnd"/>
      <w:r w:rsidRPr="006D4CB5">
        <w:rPr>
          <w:color w:val="000000" w:themeColor="text1"/>
          <w:shd w:val="clear" w:color="auto" w:fill="FFFFFF"/>
        </w:rPr>
        <w:t xml:space="preserve">, J. E., &amp; </w:t>
      </w:r>
      <w:proofErr w:type="spellStart"/>
      <w:r w:rsidRPr="006D4CB5">
        <w:rPr>
          <w:color w:val="000000" w:themeColor="text1"/>
          <w:shd w:val="clear" w:color="auto" w:fill="FFFFFF"/>
        </w:rPr>
        <w:t>Vollebergh</w:t>
      </w:r>
      <w:proofErr w:type="spellEnd"/>
      <w:r w:rsidRPr="006D4CB5">
        <w:rPr>
          <w:color w:val="000000" w:themeColor="text1"/>
          <w:shd w:val="clear" w:color="auto" w:fill="FFFFFF"/>
        </w:rPr>
        <w:t xml:space="preserve">, W. A. (2011). Why target early adolescents and parents in alcohol prevention? The mediating effects of self‐control, rules and attitudes about alcohol use. </w:t>
      </w:r>
      <w:r w:rsidRPr="006D4CB5">
        <w:rPr>
          <w:i/>
          <w:iCs/>
          <w:color w:val="000000" w:themeColor="text1"/>
          <w:shd w:val="clear" w:color="auto" w:fill="FFFFFF"/>
        </w:rPr>
        <w:t>Addiction</w:t>
      </w:r>
      <w:r w:rsidRPr="006D4CB5">
        <w:rPr>
          <w:color w:val="000000" w:themeColor="text1"/>
          <w:shd w:val="clear" w:color="auto" w:fill="FFFFFF"/>
        </w:rPr>
        <w:t xml:space="preserve">, </w:t>
      </w:r>
      <w:r w:rsidRPr="006D4CB5">
        <w:rPr>
          <w:i/>
          <w:iCs/>
          <w:color w:val="000000" w:themeColor="text1"/>
          <w:shd w:val="clear" w:color="auto" w:fill="FFFFFF"/>
        </w:rPr>
        <w:t>106</w:t>
      </w:r>
      <w:r w:rsidRPr="006D4CB5">
        <w:rPr>
          <w:color w:val="000000" w:themeColor="text1"/>
          <w:shd w:val="clear" w:color="auto" w:fill="FFFFFF"/>
        </w:rPr>
        <w:t>(3), 538-546.</w:t>
      </w:r>
    </w:p>
    <w:p w14:paraId="62BAF9B8"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Kroencke, L., </w:t>
      </w:r>
      <w:proofErr w:type="spellStart"/>
      <w:r w:rsidRPr="006D4CB5">
        <w:rPr>
          <w:color w:val="000000" w:themeColor="text1"/>
          <w:shd w:val="clear" w:color="auto" w:fill="FFFFFF"/>
        </w:rPr>
        <w:t>Humberg</w:t>
      </w:r>
      <w:proofErr w:type="spellEnd"/>
      <w:r w:rsidRPr="006D4CB5">
        <w:rPr>
          <w:color w:val="000000" w:themeColor="text1"/>
          <w:shd w:val="clear" w:color="auto" w:fill="FFFFFF"/>
        </w:rPr>
        <w:t xml:space="preserve">, S., Breil, S. M., Geukes, K., </w:t>
      </w:r>
      <w:proofErr w:type="spellStart"/>
      <w:r w:rsidRPr="006D4CB5">
        <w:rPr>
          <w:color w:val="000000" w:themeColor="text1"/>
          <w:shd w:val="clear" w:color="auto" w:fill="FFFFFF"/>
        </w:rPr>
        <w:t>Zoppolat</w:t>
      </w:r>
      <w:proofErr w:type="spellEnd"/>
      <w:r w:rsidRPr="006D4CB5">
        <w:rPr>
          <w:color w:val="000000" w:themeColor="text1"/>
          <w:shd w:val="clear" w:color="auto" w:fill="FFFFFF"/>
        </w:rPr>
        <w:t xml:space="preserve">, G., Balzarini, R. N., ... &amp; </w:t>
      </w:r>
      <w:proofErr w:type="gramStart"/>
      <w:r w:rsidRPr="006D4CB5">
        <w:rPr>
          <w:color w:val="000000" w:themeColor="text1"/>
          <w:shd w:val="clear" w:color="auto" w:fill="FFFFFF"/>
        </w:rPr>
        <w:t>Back</w:t>
      </w:r>
      <w:proofErr w:type="gramEnd"/>
      <w:r w:rsidRPr="006D4CB5">
        <w:rPr>
          <w:color w:val="000000" w:themeColor="text1"/>
          <w:shd w:val="clear" w:color="auto" w:fill="FFFFFF"/>
        </w:rPr>
        <w:t xml:space="preserve">, </w:t>
      </w:r>
    </w:p>
    <w:p w14:paraId="2D68DEDA" w14:textId="51EA966B" w:rsidR="002A7759" w:rsidRPr="006D4CB5" w:rsidRDefault="002A7759" w:rsidP="00F14E18">
      <w:pPr>
        <w:spacing w:line="259" w:lineRule="auto"/>
        <w:ind w:left="720"/>
        <w:jc w:val="both"/>
        <w:rPr>
          <w:color w:val="000000" w:themeColor="text1"/>
          <w:shd w:val="clear" w:color="auto" w:fill="FFFFFF"/>
        </w:rPr>
      </w:pPr>
      <w:r w:rsidRPr="006D4CB5">
        <w:rPr>
          <w:color w:val="000000" w:themeColor="text1"/>
          <w:shd w:val="clear" w:color="auto" w:fill="FFFFFF"/>
        </w:rPr>
        <w:t xml:space="preserve">M. D. (2023). Extraversion, social interactions, and well-being during the COVID-19 pandemic: Did extraverts really suffer more than </w:t>
      </w:r>
      <w:proofErr w:type="gramStart"/>
      <w:r w:rsidRPr="006D4CB5">
        <w:rPr>
          <w:color w:val="000000" w:themeColor="text1"/>
          <w:shd w:val="clear" w:color="auto" w:fill="FFFFFF"/>
        </w:rPr>
        <w:t>introverts?.</w:t>
      </w:r>
      <w:proofErr w:type="gramEnd"/>
      <w:r w:rsidRPr="006D4CB5">
        <w:rPr>
          <w:color w:val="000000" w:themeColor="text1"/>
          <w:shd w:val="clear" w:color="auto" w:fill="FFFFFF"/>
        </w:rPr>
        <w:t> </w:t>
      </w:r>
      <w:r w:rsidRPr="006D4CB5">
        <w:rPr>
          <w:i/>
          <w:iCs/>
          <w:color w:val="000000" w:themeColor="text1"/>
          <w:shd w:val="clear" w:color="auto" w:fill="FFFFFF"/>
        </w:rPr>
        <w:t xml:space="preserve">Journal of </w:t>
      </w:r>
      <w:r w:rsidR="00EB3D6B" w:rsidRPr="006D4CB5">
        <w:rPr>
          <w:i/>
          <w:iCs/>
          <w:color w:val="000000" w:themeColor="text1"/>
          <w:shd w:val="clear" w:color="auto" w:fill="FFFFFF"/>
        </w:rPr>
        <w:t>p</w:t>
      </w:r>
      <w:r w:rsidRPr="006D4CB5">
        <w:rPr>
          <w:i/>
          <w:iCs/>
          <w:color w:val="000000" w:themeColor="text1"/>
          <w:shd w:val="clear" w:color="auto" w:fill="FFFFFF"/>
        </w:rPr>
        <w:t xml:space="preserve">ersonality and </w:t>
      </w:r>
      <w:r w:rsidR="00EB3D6B" w:rsidRPr="006D4CB5">
        <w:rPr>
          <w:i/>
          <w:iCs/>
          <w:color w:val="000000" w:themeColor="text1"/>
          <w:shd w:val="clear" w:color="auto" w:fill="FFFFFF"/>
        </w:rPr>
        <w:t>s</w:t>
      </w:r>
      <w:r w:rsidRPr="006D4CB5">
        <w:rPr>
          <w:i/>
          <w:iCs/>
          <w:color w:val="000000" w:themeColor="text1"/>
          <w:shd w:val="clear" w:color="auto" w:fill="FFFFFF"/>
        </w:rPr>
        <w:t xml:space="preserve">ocial </w:t>
      </w:r>
      <w:r w:rsidR="00EB3D6B" w:rsidRPr="006D4CB5">
        <w:rPr>
          <w:i/>
          <w:iCs/>
          <w:color w:val="000000" w:themeColor="text1"/>
          <w:shd w:val="clear" w:color="auto" w:fill="FFFFFF"/>
        </w:rPr>
        <w:t>p</w:t>
      </w:r>
      <w:r w:rsidRPr="006D4CB5">
        <w:rPr>
          <w:i/>
          <w:iCs/>
          <w:color w:val="000000" w:themeColor="text1"/>
          <w:shd w:val="clear" w:color="auto" w:fill="FFFFFF"/>
        </w:rPr>
        <w:t>sychology</w:t>
      </w:r>
      <w:r w:rsidRPr="006D4CB5">
        <w:rPr>
          <w:color w:val="000000" w:themeColor="text1"/>
          <w:shd w:val="clear" w:color="auto" w:fill="FFFFFF"/>
        </w:rPr>
        <w:t>, </w:t>
      </w:r>
      <w:r w:rsidRPr="006D4CB5">
        <w:rPr>
          <w:i/>
          <w:iCs/>
          <w:color w:val="000000" w:themeColor="text1"/>
          <w:shd w:val="clear" w:color="auto" w:fill="FFFFFF"/>
        </w:rPr>
        <w:t>125</w:t>
      </w:r>
      <w:r w:rsidRPr="006D4CB5">
        <w:rPr>
          <w:color w:val="000000" w:themeColor="text1"/>
          <w:shd w:val="clear" w:color="auto" w:fill="FFFFFF"/>
        </w:rPr>
        <w:t>(3), 649.</w:t>
      </w:r>
    </w:p>
    <w:p w14:paraId="2B3A12AF"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Lachman, M.E., &amp; Weaver, S.L. (1997). The Midlife Development Inventory (MIDI) </w:t>
      </w:r>
    </w:p>
    <w:p w14:paraId="01988D7B" w14:textId="36713020" w:rsidR="002A7759" w:rsidRPr="006D4CB5" w:rsidRDefault="002A7759" w:rsidP="00F14E18">
      <w:pPr>
        <w:autoSpaceDE w:val="0"/>
        <w:autoSpaceDN w:val="0"/>
        <w:adjustRightInd w:val="0"/>
        <w:ind w:left="720"/>
        <w:rPr>
          <w:color w:val="000000" w:themeColor="text1"/>
        </w:rPr>
      </w:pPr>
      <w:r w:rsidRPr="006D4CB5">
        <w:rPr>
          <w:color w:val="000000" w:themeColor="text1"/>
        </w:rPr>
        <w:t xml:space="preserve">personality scales: Scale construction and scoring. </w:t>
      </w:r>
      <w:r w:rsidRPr="006D4CB5">
        <w:rPr>
          <w:i/>
          <w:iCs/>
          <w:color w:val="000000" w:themeColor="text1"/>
        </w:rPr>
        <w:t>Waltham, MA: Brandeis University</w:t>
      </w:r>
      <w:r w:rsidRPr="006D4CB5">
        <w:rPr>
          <w:color w:val="000000" w:themeColor="text1"/>
        </w:rPr>
        <w:t>,</w:t>
      </w:r>
      <w:r w:rsidRPr="006D4CB5">
        <w:rPr>
          <w:i/>
          <w:iCs/>
          <w:color w:val="000000" w:themeColor="text1"/>
        </w:rPr>
        <w:t xml:space="preserve"> 7</w:t>
      </w:r>
      <w:r w:rsidRPr="006D4CB5">
        <w:rPr>
          <w:color w:val="000000" w:themeColor="text1"/>
        </w:rPr>
        <w:t>, 1-9</w:t>
      </w:r>
    </w:p>
    <w:p w14:paraId="6770CC56" w14:textId="77777777" w:rsidR="00BB1000" w:rsidRPr="006D4CB5" w:rsidRDefault="00BB1000" w:rsidP="002A7759">
      <w:pPr>
        <w:spacing w:line="259" w:lineRule="auto"/>
        <w:jc w:val="both"/>
        <w:rPr>
          <w:color w:val="000000" w:themeColor="text1"/>
          <w:shd w:val="clear" w:color="auto" w:fill="FFFFFF"/>
        </w:rPr>
      </w:pPr>
      <w:r w:rsidRPr="006D4CB5">
        <w:rPr>
          <w:color w:val="000000" w:themeColor="text1"/>
          <w:shd w:val="clear" w:color="auto" w:fill="FFFFFF"/>
        </w:rPr>
        <w:t xml:space="preserve">Lamp, S. J., &amp; MacKinnon, D. P. (2025). Correcting for collider effects and sample selection bias </w:t>
      </w:r>
    </w:p>
    <w:p w14:paraId="431FDB25" w14:textId="5A4091CD" w:rsidR="00BB1000" w:rsidRPr="006D4CB5" w:rsidRDefault="00BB1000" w:rsidP="00BB1000">
      <w:pPr>
        <w:spacing w:line="259" w:lineRule="auto"/>
        <w:ind w:firstLine="720"/>
        <w:jc w:val="both"/>
        <w:rPr>
          <w:color w:val="000000" w:themeColor="text1"/>
          <w:shd w:val="clear" w:color="auto" w:fill="FFFFFF"/>
        </w:rPr>
      </w:pPr>
      <w:r w:rsidRPr="006D4CB5">
        <w:rPr>
          <w:color w:val="000000" w:themeColor="text1"/>
          <w:shd w:val="clear" w:color="auto" w:fill="FFFFFF"/>
        </w:rPr>
        <w:t>in psychological research. </w:t>
      </w:r>
      <w:r w:rsidRPr="006D4CB5">
        <w:rPr>
          <w:rStyle w:val="Emphasis"/>
          <w:rFonts w:eastAsiaTheme="majorEastAsia"/>
          <w:color w:val="000000" w:themeColor="text1"/>
          <w:shd w:val="clear" w:color="auto" w:fill="FFFFFF"/>
        </w:rPr>
        <w:t xml:space="preserve">Psychological </w:t>
      </w:r>
      <w:r w:rsidR="00EB3D6B" w:rsidRPr="006D4CB5">
        <w:rPr>
          <w:rStyle w:val="Emphasis"/>
          <w:rFonts w:eastAsiaTheme="majorEastAsia"/>
          <w:color w:val="000000" w:themeColor="text1"/>
          <w:shd w:val="clear" w:color="auto" w:fill="FFFFFF"/>
        </w:rPr>
        <w:t>m</w:t>
      </w:r>
      <w:r w:rsidRPr="006D4CB5">
        <w:rPr>
          <w:rStyle w:val="Emphasis"/>
          <w:rFonts w:eastAsiaTheme="majorEastAsia"/>
          <w:color w:val="000000" w:themeColor="text1"/>
          <w:shd w:val="clear" w:color="auto" w:fill="FFFFFF"/>
        </w:rPr>
        <w:t>ethods, 30</w:t>
      </w:r>
      <w:r w:rsidRPr="006D4CB5">
        <w:rPr>
          <w:color w:val="000000" w:themeColor="text1"/>
          <w:shd w:val="clear" w:color="auto" w:fill="FFFFFF"/>
        </w:rPr>
        <w:t>(5), 1169–1184.</w:t>
      </w:r>
    </w:p>
    <w:p w14:paraId="19CEC258" w14:textId="77777777" w:rsidR="00BB1000" w:rsidRPr="006D4CB5" w:rsidRDefault="002A7759" w:rsidP="00BB1000">
      <w:pPr>
        <w:spacing w:line="259" w:lineRule="auto"/>
        <w:jc w:val="both"/>
        <w:rPr>
          <w:color w:val="000000" w:themeColor="text1"/>
          <w:shd w:val="clear" w:color="auto" w:fill="FFFFFF"/>
        </w:rPr>
      </w:pPr>
      <w:r w:rsidRPr="006D4CB5">
        <w:rPr>
          <w:color w:val="000000" w:themeColor="text1"/>
          <w:shd w:val="clear" w:color="auto" w:fill="FFFFFF"/>
        </w:rPr>
        <w:t xml:space="preserve">Lassi, G., Taylor, A. E., Timpson, N. J., Kenny, P. J., Mather, R. J., Eisen, T., &amp; </w:t>
      </w:r>
      <w:proofErr w:type="spellStart"/>
      <w:r w:rsidRPr="006D4CB5">
        <w:rPr>
          <w:color w:val="000000" w:themeColor="text1"/>
          <w:shd w:val="clear" w:color="auto" w:fill="FFFFFF"/>
        </w:rPr>
        <w:t>Munafò</w:t>
      </w:r>
      <w:proofErr w:type="spellEnd"/>
      <w:r w:rsidRPr="006D4CB5">
        <w:rPr>
          <w:color w:val="000000" w:themeColor="text1"/>
          <w:shd w:val="clear" w:color="auto" w:fill="FFFFFF"/>
        </w:rPr>
        <w:t xml:space="preserve">, M. R. </w:t>
      </w:r>
    </w:p>
    <w:p w14:paraId="547848E0" w14:textId="74631FFA" w:rsidR="002A7759" w:rsidRPr="006D4CB5" w:rsidRDefault="002A7759" w:rsidP="00BB1000">
      <w:pPr>
        <w:spacing w:line="259" w:lineRule="auto"/>
        <w:ind w:left="720"/>
        <w:jc w:val="both"/>
        <w:rPr>
          <w:color w:val="000000" w:themeColor="text1"/>
          <w:shd w:val="clear" w:color="auto" w:fill="FFFFFF"/>
        </w:rPr>
      </w:pPr>
      <w:r w:rsidRPr="006D4CB5">
        <w:rPr>
          <w:color w:val="000000" w:themeColor="text1"/>
          <w:shd w:val="clear" w:color="auto" w:fill="FFFFFF"/>
        </w:rPr>
        <w:t>(2016). The CHRNA5–A3–B4 gene cluster and smoking: from discovery to therapeutics. </w:t>
      </w:r>
      <w:r w:rsidRPr="006D4CB5">
        <w:rPr>
          <w:i/>
          <w:iCs/>
          <w:color w:val="000000" w:themeColor="text1"/>
          <w:shd w:val="clear" w:color="auto" w:fill="FFFFFF"/>
        </w:rPr>
        <w:t>Trends in neurosciences</w:t>
      </w:r>
      <w:r w:rsidRPr="006D4CB5">
        <w:rPr>
          <w:color w:val="000000" w:themeColor="text1"/>
          <w:shd w:val="clear" w:color="auto" w:fill="FFFFFF"/>
        </w:rPr>
        <w:t>, </w:t>
      </w:r>
      <w:r w:rsidRPr="006D4CB5">
        <w:rPr>
          <w:i/>
          <w:iCs/>
          <w:color w:val="000000" w:themeColor="text1"/>
          <w:shd w:val="clear" w:color="auto" w:fill="FFFFFF"/>
        </w:rPr>
        <w:t>39</w:t>
      </w:r>
      <w:r w:rsidRPr="006D4CB5">
        <w:rPr>
          <w:color w:val="000000" w:themeColor="text1"/>
          <w:shd w:val="clear" w:color="auto" w:fill="FFFFFF"/>
        </w:rPr>
        <w:t>(12), 851-861.</w:t>
      </w:r>
    </w:p>
    <w:p w14:paraId="3109CC84"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Le, K., Donnellan, M. B., &amp; Conger, R. (2014). Personality development at work: Workplace </w:t>
      </w:r>
    </w:p>
    <w:p w14:paraId="391B8335" w14:textId="45498896" w:rsidR="002A7759" w:rsidRPr="006D4CB5" w:rsidRDefault="002A7759" w:rsidP="00F14E18">
      <w:pPr>
        <w:spacing w:line="259" w:lineRule="auto"/>
        <w:ind w:left="720"/>
        <w:jc w:val="both"/>
        <w:rPr>
          <w:rFonts w:eastAsiaTheme="minorEastAsia"/>
          <w:color w:val="000000" w:themeColor="text1"/>
          <w:shd w:val="clear" w:color="auto" w:fill="FFFFFF"/>
        </w:rPr>
      </w:pPr>
      <w:r w:rsidRPr="006D4CB5">
        <w:rPr>
          <w:color w:val="000000" w:themeColor="text1"/>
          <w:shd w:val="clear" w:color="auto" w:fill="FFFFFF"/>
        </w:rPr>
        <w:t>conditions, personality changes, and the corresponsive principle. </w:t>
      </w:r>
      <w:r w:rsidRPr="006D4CB5">
        <w:rPr>
          <w:i/>
          <w:iCs/>
          <w:color w:val="000000" w:themeColor="text1"/>
          <w:shd w:val="clear" w:color="auto" w:fill="FFFFFF"/>
        </w:rPr>
        <w:t>Journal of personality</w:t>
      </w:r>
      <w:r w:rsidRPr="006D4CB5">
        <w:rPr>
          <w:color w:val="000000" w:themeColor="text1"/>
          <w:shd w:val="clear" w:color="auto" w:fill="FFFFFF"/>
        </w:rPr>
        <w:t>, </w:t>
      </w:r>
      <w:r w:rsidRPr="006D4CB5">
        <w:rPr>
          <w:i/>
          <w:iCs/>
          <w:color w:val="000000" w:themeColor="text1"/>
          <w:shd w:val="clear" w:color="auto" w:fill="FFFFFF"/>
        </w:rPr>
        <w:t>82</w:t>
      </w:r>
      <w:r w:rsidRPr="006D4CB5">
        <w:rPr>
          <w:color w:val="000000" w:themeColor="text1"/>
          <w:shd w:val="clear" w:color="auto" w:fill="FFFFFF"/>
        </w:rPr>
        <w:t>(1), 44-56.</w:t>
      </w:r>
    </w:p>
    <w:p w14:paraId="6F856623"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lastRenderedPageBreak/>
        <w:t>Lee, K., &amp; Ashton, M. C. (2004). Psychometric properties of the HEXACO personality inventory. </w:t>
      </w:r>
      <w:r w:rsidRPr="006D4CB5">
        <w:rPr>
          <w:i/>
          <w:iCs/>
          <w:color w:val="000000" w:themeColor="text1"/>
          <w:shd w:val="clear" w:color="auto" w:fill="FFFFFF"/>
        </w:rPr>
        <w:t>Multivariate behavioral research</w:t>
      </w:r>
      <w:r w:rsidRPr="006D4CB5">
        <w:rPr>
          <w:color w:val="000000" w:themeColor="text1"/>
          <w:shd w:val="clear" w:color="auto" w:fill="FFFFFF"/>
        </w:rPr>
        <w:t>, </w:t>
      </w:r>
      <w:r w:rsidRPr="006D4CB5">
        <w:rPr>
          <w:i/>
          <w:iCs/>
          <w:color w:val="000000" w:themeColor="text1"/>
          <w:shd w:val="clear" w:color="auto" w:fill="FFFFFF"/>
        </w:rPr>
        <w:t>39</w:t>
      </w:r>
      <w:r w:rsidRPr="006D4CB5">
        <w:rPr>
          <w:color w:val="000000" w:themeColor="text1"/>
          <w:shd w:val="clear" w:color="auto" w:fill="FFFFFF"/>
        </w:rPr>
        <w:t>(2), 329-358.</w:t>
      </w:r>
    </w:p>
    <w:p w14:paraId="6BAC3D68"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Levey, D. F., Gelernter, J., </w:t>
      </w:r>
      <w:proofErr w:type="spellStart"/>
      <w:r w:rsidRPr="006D4CB5">
        <w:rPr>
          <w:color w:val="000000" w:themeColor="text1"/>
          <w:shd w:val="clear" w:color="auto" w:fill="FFFFFF"/>
        </w:rPr>
        <w:t>Polimanti</w:t>
      </w:r>
      <w:proofErr w:type="spellEnd"/>
      <w:r w:rsidRPr="006D4CB5">
        <w:rPr>
          <w:color w:val="000000" w:themeColor="text1"/>
          <w:shd w:val="clear" w:color="auto" w:fill="FFFFFF"/>
        </w:rPr>
        <w:t xml:space="preserve">, R., Zhou, H., Cheng, Z., Aslan, M., ... &amp; Stein, M. B. </w:t>
      </w:r>
    </w:p>
    <w:p w14:paraId="49BC9FD0" w14:textId="4B753897" w:rsidR="002A7759" w:rsidRPr="006D4CB5" w:rsidRDefault="002A7759" w:rsidP="002A7759">
      <w:pPr>
        <w:ind w:left="720"/>
        <w:rPr>
          <w:color w:val="000000" w:themeColor="text1"/>
          <w:shd w:val="clear" w:color="auto" w:fill="FFFFFF"/>
        </w:rPr>
      </w:pPr>
      <w:r w:rsidRPr="006D4CB5">
        <w:rPr>
          <w:color w:val="000000" w:themeColor="text1"/>
          <w:shd w:val="clear" w:color="auto" w:fill="FFFFFF"/>
        </w:rPr>
        <w:t>(2020). Reproducible genetic risk loci for anxiety: results from</w:t>
      </w:r>
      <w:r w:rsidRPr="006D4CB5">
        <w:rPr>
          <w:rFonts w:ascii="Cambria Math" w:hAnsi="Cambria Math" w:cs="Cambria Math"/>
          <w:color w:val="000000" w:themeColor="text1"/>
          <w:shd w:val="clear" w:color="auto" w:fill="FFFFFF"/>
        </w:rPr>
        <w:t>∼</w:t>
      </w:r>
      <w:r w:rsidRPr="006D4CB5">
        <w:rPr>
          <w:color w:val="000000" w:themeColor="text1"/>
          <w:shd w:val="clear" w:color="auto" w:fill="FFFFFF"/>
        </w:rPr>
        <w:t xml:space="preserve"> 200,000 participants in the Million Veteran Program. </w:t>
      </w:r>
      <w:r w:rsidRPr="006D4CB5">
        <w:rPr>
          <w:i/>
          <w:iCs/>
          <w:color w:val="000000" w:themeColor="text1"/>
          <w:shd w:val="clear" w:color="auto" w:fill="FFFFFF"/>
        </w:rPr>
        <w:t xml:space="preserve">American </w:t>
      </w:r>
      <w:r w:rsidR="00EB3D6B" w:rsidRPr="006D4CB5">
        <w:rPr>
          <w:i/>
          <w:iCs/>
          <w:color w:val="000000" w:themeColor="text1"/>
          <w:shd w:val="clear" w:color="auto" w:fill="FFFFFF"/>
        </w:rPr>
        <w:t>j</w:t>
      </w:r>
      <w:r w:rsidRPr="006D4CB5">
        <w:rPr>
          <w:i/>
          <w:iCs/>
          <w:color w:val="000000" w:themeColor="text1"/>
          <w:shd w:val="clear" w:color="auto" w:fill="FFFFFF"/>
        </w:rPr>
        <w:t xml:space="preserve">ournal of </w:t>
      </w:r>
      <w:r w:rsidR="00EB3D6B" w:rsidRPr="006D4CB5">
        <w:rPr>
          <w:i/>
          <w:iCs/>
          <w:color w:val="000000" w:themeColor="text1"/>
          <w:shd w:val="clear" w:color="auto" w:fill="FFFFFF"/>
        </w:rPr>
        <w:t>p</w:t>
      </w:r>
      <w:r w:rsidRPr="006D4CB5">
        <w:rPr>
          <w:i/>
          <w:iCs/>
          <w:color w:val="000000" w:themeColor="text1"/>
          <w:shd w:val="clear" w:color="auto" w:fill="FFFFFF"/>
        </w:rPr>
        <w:t>sychiatry</w:t>
      </w:r>
      <w:r w:rsidRPr="006D4CB5">
        <w:rPr>
          <w:color w:val="000000" w:themeColor="text1"/>
          <w:shd w:val="clear" w:color="auto" w:fill="FFFFFF"/>
        </w:rPr>
        <w:t>, </w:t>
      </w:r>
      <w:r w:rsidRPr="006D4CB5">
        <w:rPr>
          <w:i/>
          <w:iCs/>
          <w:color w:val="000000" w:themeColor="text1"/>
          <w:shd w:val="clear" w:color="auto" w:fill="FFFFFF"/>
        </w:rPr>
        <w:t>177</w:t>
      </w:r>
      <w:r w:rsidRPr="006D4CB5">
        <w:rPr>
          <w:color w:val="000000" w:themeColor="text1"/>
          <w:shd w:val="clear" w:color="auto" w:fill="FFFFFF"/>
        </w:rPr>
        <w:t>(3), 223-232.</w:t>
      </w:r>
    </w:p>
    <w:p w14:paraId="644BD117"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Lichtenstein, P., De Faire, U., </w:t>
      </w:r>
      <w:proofErr w:type="spellStart"/>
      <w:r w:rsidRPr="006D4CB5">
        <w:rPr>
          <w:color w:val="000000" w:themeColor="text1"/>
        </w:rPr>
        <w:t>Floderus</w:t>
      </w:r>
      <w:proofErr w:type="spellEnd"/>
      <w:r w:rsidRPr="006D4CB5">
        <w:rPr>
          <w:color w:val="000000" w:themeColor="text1"/>
        </w:rPr>
        <w:t xml:space="preserve">, B., </w:t>
      </w:r>
      <w:proofErr w:type="spellStart"/>
      <w:r w:rsidRPr="006D4CB5">
        <w:rPr>
          <w:color w:val="000000" w:themeColor="text1"/>
        </w:rPr>
        <w:t>Svartengren</w:t>
      </w:r>
      <w:proofErr w:type="spellEnd"/>
      <w:r w:rsidRPr="006D4CB5">
        <w:rPr>
          <w:color w:val="000000" w:themeColor="text1"/>
        </w:rPr>
        <w:t xml:space="preserve">, M., Svedberg, P., &amp; Pedersen, N. L. </w:t>
      </w:r>
    </w:p>
    <w:p w14:paraId="4BA15A16" w14:textId="35F18FC7" w:rsidR="002A7759" w:rsidRPr="006D4CB5" w:rsidRDefault="002A7759" w:rsidP="002A7759">
      <w:pPr>
        <w:autoSpaceDE w:val="0"/>
        <w:autoSpaceDN w:val="0"/>
        <w:adjustRightInd w:val="0"/>
        <w:ind w:left="720"/>
        <w:rPr>
          <w:color w:val="000000" w:themeColor="text1"/>
        </w:rPr>
      </w:pPr>
      <w:r w:rsidRPr="006D4CB5">
        <w:rPr>
          <w:color w:val="000000" w:themeColor="text1"/>
        </w:rPr>
        <w:t xml:space="preserve">(2002). The Swedish Twin Registry: a unique resource for clinical, epidemiological and genetic studies. </w:t>
      </w:r>
      <w:r w:rsidRPr="006D4CB5">
        <w:rPr>
          <w:i/>
          <w:iCs/>
          <w:color w:val="000000" w:themeColor="text1"/>
        </w:rPr>
        <w:t xml:space="preserve">Journal of </w:t>
      </w:r>
      <w:r w:rsidR="00EB3D6B" w:rsidRPr="006D4CB5">
        <w:rPr>
          <w:i/>
          <w:iCs/>
          <w:color w:val="000000" w:themeColor="text1"/>
        </w:rPr>
        <w:t>i</w:t>
      </w:r>
      <w:r w:rsidRPr="006D4CB5">
        <w:rPr>
          <w:i/>
          <w:iCs/>
          <w:color w:val="000000" w:themeColor="text1"/>
        </w:rPr>
        <w:t xml:space="preserve">nternal </w:t>
      </w:r>
      <w:r w:rsidR="00EB3D6B" w:rsidRPr="006D4CB5">
        <w:rPr>
          <w:i/>
          <w:iCs/>
          <w:color w:val="000000" w:themeColor="text1"/>
        </w:rPr>
        <w:t>m</w:t>
      </w:r>
      <w:r w:rsidRPr="006D4CB5">
        <w:rPr>
          <w:i/>
          <w:iCs/>
          <w:color w:val="000000" w:themeColor="text1"/>
        </w:rPr>
        <w:t>edicine</w:t>
      </w:r>
      <w:r w:rsidRPr="006D4CB5">
        <w:rPr>
          <w:color w:val="000000" w:themeColor="text1"/>
        </w:rPr>
        <w:t xml:space="preserve">, </w:t>
      </w:r>
      <w:r w:rsidRPr="006D4CB5">
        <w:rPr>
          <w:i/>
          <w:iCs/>
          <w:color w:val="000000" w:themeColor="text1"/>
        </w:rPr>
        <w:t>252</w:t>
      </w:r>
      <w:r w:rsidRPr="006D4CB5">
        <w:rPr>
          <w:color w:val="000000" w:themeColor="text1"/>
        </w:rPr>
        <w:t>(3), 184-205.</w:t>
      </w:r>
    </w:p>
    <w:p w14:paraId="0809EC11"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Lichtenstein, P., Sullivan, P. F., Cnattingius, S., Gatz, M., Johansson, S., </w:t>
      </w:r>
      <w:proofErr w:type="spellStart"/>
      <w:r w:rsidRPr="006D4CB5">
        <w:rPr>
          <w:color w:val="000000" w:themeColor="text1"/>
        </w:rPr>
        <w:t>Carlström</w:t>
      </w:r>
      <w:proofErr w:type="spellEnd"/>
      <w:r w:rsidRPr="006D4CB5">
        <w:rPr>
          <w:color w:val="000000" w:themeColor="text1"/>
        </w:rPr>
        <w:t xml:space="preserve">, E., Björk, </w:t>
      </w:r>
    </w:p>
    <w:p w14:paraId="6915F297" w14:textId="521B6FA9" w:rsidR="002A7759" w:rsidRPr="006D4CB5" w:rsidRDefault="002A7759" w:rsidP="00F14E18">
      <w:pPr>
        <w:autoSpaceDE w:val="0"/>
        <w:autoSpaceDN w:val="0"/>
        <w:adjustRightInd w:val="0"/>
        <w:ind w:left="720"/>
        <w:rPr>
          <w:color w:val="000000" w:themeColor="text1"/>
        </w:rPr>
      </w:pPr>
      <w:r w:rsidRPr="006D4CB5">
        <w:rPr>
          <w:color w:val="000000" w:themeColor="text1"/>
        </w:rPr>
        <w:t xml:space="preserve">C., </w:t>
      </w:r>
      <w:proofErr w:type="spellStart"/>
      <w:r w:rsidRPr="006D4CB5">
        <w:rPr>
          <w:color w:val="000000" w:themeColor="text1"/>
        </w:rPr>
        <w:t>Svartengren</w:t>
      </w:r>
      <w:proofErr w:type="spellEnd"/>
      <w:r w:rsidRPr="006D4CB5">
        <w:rPr>
          <w:color w:val="000000" w:themeColor="text1"/>
        </w:rPr>
        <w:t xml:space="preserve">, M., Wolk, A., </w:t>
      </w:r>
      <w:proofErr w:type="spellStart"/>
      <w:r w:rsidRPr="006D4CB5">
        <w:rPr>
          <w:color w:val="000000" w:themeColor="text1"/>
        </w:rPr>
        <w:t>Klareskog</w:t>
      </w:r>
      <w:proofErr w:type="spellEnd"/>
      <w:r w:rsidRPr="006D4CB5">
        <w:rPr>
          <w:color w:val="000000" w:themeColor="text1"/>
        </w:rPr>
        <w:t xml:space="preserve">, L., de Faire, Ul, </w:t>
      </w:r>
      <w:proofErr w:type="spellStart"/>
      <w:r w:rsidRPr="006D4CB5">
        <w:rPr>
          <w:color w:val="000000" w:themeColor="text1"/>
        </w:rPr>
        <w:t>Schalling</w:t>
      </w:r>
      <w:proofErr w:type="spellEnd"/>
      <w:r w:rsidRPr="006D4CB5">
        <w:rPr>
          <w:color w:val="000000" w:themeColor="text1"/>
        </w:rPr>
        <w:t xml:space="preserve">, M., Palmgren, J., &amp; Pedersen, N. L. (2006). The Swedish Twin Registry in the third millennium: an update. </w:t>
      </w:r>
      <w:r w:rsidRPr="006D4CB5">
        <w:rPr>
          <w:i/>
          <w:iCs/>
          <w:color w:val="000000" w:themeColor="text1"/>
        </w:rPr>
        <w:t>Twin</w:t>
      </w:r>
      <w:r w:rsidR="00EB3D6B" w:rsidRPr="006D4CB5">
        <w:rPr>
          <w:i/>
          <w:iCs/>
          <w:color w:val="000000" w:themeColor="text1"/>
        </w:rPr>
        <w:t xml:space="preserve"> r</w:t>
      </w:r>
      <w:r w:rsidRPr="006D4CB5">
        <w:rPr>
          <w:i/>
          <w:iCs/>
          <w:color w:val="000000" w:themeColor="text1"/>
        </w:rPr>
        <w:t xml:space="preserve">esearch and </w:t>
      </w:r>
      <w:r w:rsidR="00EB3D6B" w:rsidRPr="006D4CB5">
        <w:rPr>
          <w:i/>
          <w:iCs/>
          <w:color w:val="000000" w:themeColor="text1"/>
        </w:rPr>
        <w:t>h</w:t>
      </w:r>
      <w:r w:rsidRPr="006D4CB5">
        <w:rPr>
          <w:i/>
          <w:iCs/>
          <w:color w:val="000000" w:themeColor="text1"/>
        </w:rPr>
        <w:t xml:space="preserve">uman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9</w:t>
      </w:r>
      <w:r w:rsidRPr="006D4CB5">
        <w:rPr>
          <w:color w:val="000000" w:themeColor="text1"/>
        </w:rPr>
        <w:t>(6), 875-882.</w:t>
      </w:r>
    </w:p>
    <w:p w14:paraId="0A087196" w14:textId="77777777" w:rsidR="002A7759" w:rsidRPr="006D4CB5" w:rsidRDefault="002A7759" w:rsidP="002A7759">
      <w:pPr>
        <w:rPr>
          <w:color w:val="000000" w:themeColor="text1"/>
        </w:rPr>
      </w:pPr>
      <w:proofErr w:type="spellStart"/>
      <w:r w:rsidRPr="006D4CB5">
        <w:rPr>
          <w:color w:val="000000" w:themeColor="text1"/>
        </w:rPr>
        <w:t>Ligthart</w:t>
      </w:r>
      <w:proofErr w:type="spellEnd"/>
      <w:r w:rsidRPr="006D4CB5">
        <w:rPr>
          <w:color w:val="000000" w:themeColor="text1"/>
        </w:rPr>
        <w:t xml:space="preserve">, L., van </w:t>
      </w:r>
      <w:proofErr w:type="spellStart"/>
      <w:r w:rsidRPr="006D4CB5">
        <w:rPr>
          <w:color w:val="000000" w:themeColor="text1"/>
        </w:rPr>
        <w:t>Beijsterveldt</w:t>
      </w:r>
      <w:proofErr w:type="spellEnd"/>
      <w:r w:rsidRPr="006D4CB5">
        <w:rPr>
          <w:color w:val="000000" w:themeColor="text1"/>
        </w:rPr>
        <w:t xml:space="preserve">, C. E., </w:t>
      </w:r>
      <w:proofErr w:type="spellStart"/>
      <w:r w:rsidRPr="006D4CB5">
        <w:rPr>
          <w:color w:val="000000" w:themeColor="text1"/>
        </w:rPr>
        <w:t>Kevenaar</w:t>
      </w:r>
      <w:proofErr w:type="spellEnd"/>
      <w:r w:rsidRPr="006D4CB5">
        <w:rPr>
          <w:color w:val="000000" w:themeColor="text1"/>
        </w:rPr>
        <w:t xml:space="preserve">, S. T., de Zeeuw, E., van Bergen, E., Bruins, S., </w:t>
      </w:r>
    </w:p>
    <w:p w14:paraId="1AE02BD4" w14:textId="417E7B9C" w:rsidR="002A7759" w:rsidRPr="006D4CB5" w:rsidRDefault="002A7759" w:rsidP="00F14E18">
      <w:pPr>
        <w:ind w:left="720"/>
        <w:rPr>
          <w:color w:val="000000" w:themeColor="text1"/>
        </w:rPr>
      </w:pPr>
      <w:r w:rsidRPr="006D4CB5">
        <w:rPr>
          <w:color w:val="000000" w:themeColor="text1"/>
        </w:rPr>
        <w:t>... &amp; Boomsma, D. I. (2019). The Netherlands twin register: Longitudinal research based on twin and twin-family designs. </w:t>
      </w:r>
      <w:r w:rsidRPr="006D4CB5">
        <w:rPr>
          <w:i/>
          <w:iCs/>
          <w:color w:val="000000" w:themeColor="text1"/>
        </w:rPr>
        <w:t>Twin research and human genetics</w:t>
      </w:r>
      <w:r w:rsidRPr="006D4CB5">
        <w:rPr>
          <w:color w:val="000000" w:themeColor="text1"/>
        </w:rPr>
        <w:t>, 22(6), 623-636.</w:t>
      </w:r>
    </w:p>
    <w:p w14:paraId="24FE25F5" w14:textId="77777777" w:rsidR="002A7759" w:rsidRPr="006D4CB5" w:rsidRDefault="002A7759" w:rsidP="002A7759">
      <w:pPr>
        <w:rPr>
          <w:color w:val="000000" w:themeColor="text1"/>
          <w:lang w:eastAsia="de-DE"/>
        </w:rPr>
      </w:pPr>
      <w:r w:rsidRPr="006D4CB5">
        <w:rPr>
          <w:color w:val="000000" w:themeColor="text1"/>
          <w:lang w:eastAsia="de-DE"/>
        </w:rPr>
        <w:t xml:space="preserve">Linnemann P., Friedrich N., Nauck M., </w:t>
      </w:r>
      <w:proofErr w:type="spellStart"/>
      <w:r w:rsidRPr="006D4CB5">
        <w:rPr>
          <w:color w:val="000000" w:themeColor="text1"/>
          <w:lang w:eastAsia="de-DE"/>
        </w:rPr>
        <w:t>Teismann</w:t>
      </w:r>
      <w:proofErr w:type="spellEnd"/>
      <w:r w:rsidRPr="006D4CB5">
        <w:rPr>
          <w:color w:val="000000" w:themeColor="text1"/>
          <w:lang w:eastAsia="de-DE"/>
        </w:rPr>
        <w:t xml:space="preserve"> H., &amp; Berger K. (2022). The relationship </w:t>
      </w:r>
    </w:p>
    <w:p w14:paraId="4502E0FD" w14:textId="0534F697" w:rsidR="002A7759" w:rsidRPr="006D4CB5" w:rsidRDefault="002A7759" w:rsidP="002A7759">
      <w:pPr>
        <w:ind w:left="720"/>
        <w:rPr>
          <w:color w:val="000000" w:themeColor="text1"/>
          <w:lang w:eastAsia="de-DE"/>
        </w:rPr>
      </w:pPr>
      <w:r w:rsidRPr="006D4CB5">
        <w:rPr>
          <w:color w:val="000000" w:themeColor="text1"/>
          <w:lang w:eastAsia="de-DE"/>
        </w:rPr>
        <w:t>between cortisol awakening response and trait resilience in two patient cohorts and one population-based cohort</w:t>
      </w:r>
      <w:r w:rsidRPr="006D4CB5">
        <w:rPr>
          <w:color w:val="000000" w:themeColor="text1"/>
          <w:u w:val="single"/>
          <w:lang w:eastAsia="de-DE"/>
        </w:rPr>
        <w:t xml:space="preserve">. </w:t>
      </w:r>
      <w:r w:rsidRPr="006D4CB5">
        <w:rPr>
          <w:i/>
          <w:iCs/>
          <w:color w:val="000000" w:themeColor="text1"/>
          <w:lang w:eastAsia="de-DE"/>
        </w:rPr>
        <w:t xml:space="preserve">World </w:t>
      </w:r>
      <w:r w:rsidR="00EB3D6B" w:rsidRPr="006D4CB5">
        <w:rPr>
          <w:i/>
          <w:iCs/>
          <w:color w:val="000000" w:themeColor="text1"/>
          <w:lang w:eastAsia="de-DE"/>
        </w:rPr>
        <w:t>j</w:t>
      </w:r>
      <w:r w:rsidRPr="006D4CB5">
        <w:rPr>
          <w:i/>
          <w:iCs/>
          <w:color w:val="000000" w:themeColor="text1"/>
          <w:lang w:eastAsia="de-DE"/>
        </w:rPr>
        <w:t xml:space="preserve">ournal of </w:t>
      </w:r>
      <w:r w:rsidR="00EB3D6B" w:rsidRPr="006D4CB5">
        <w:rPr>
          <w:i/>
          <w:iCs/>
          <w:color w:val="000000" w:themeColor="text1"/>
          <w:lang w:eastAsia="de-DE"/>
        </w:rPr>
        <w:t>b</w:t>
      </w:r>
      <w:r w:rsidRPr="006D4CB5">
        <w:rPr>
          <w:i/>
          <w:iCs/>
          <w:color w:val="000000" w:themeColor="text1"/>
          <w:lang w:eastAsia="de-DE"/>
        </w:rPr>
        <w:t xml:space="preserve">iological </w:t>
      </w:r>
      <w:r w:rsidR="00EB3D6B" w:rsidRPr="006D4CB5">
        <w:rPr>
          <w:i/>
          <w:iCs/>
          <w:color w:val="000000" w:themeColor="text1"/>
          <w:lang w:eastAsia="de-DE"/>
        </w:rPr>
        <w:t>p</w:t>
      </w:r>
      <w:r w:rsidRPr="006D4CB5">
        <w:rPr>
          <w:i/>
          <w:iCs/>
          <w:color w:val="000000" w:themeColor="text1"/>
          <w:lang w:eastAsia="de-DE"/>
        </w:rPr>
        <w:t>sychiatry, 14</w:t>
      </w:r>
      <w:r w:rsidRPr="006D4CB5">
        <w:rPr>
          <w:color w:val="000000" w:themeColor="text1"/>
          <w:lang w:eastAsia="de-DE"/>
        </w:rPr>
        <w:t xml:space="preserve">, 1-10. </w:t>
      </w:r>
    </w:p>
    <w:p w14:paraId="1A7E15DA" w14:textId="77777777" w:rsidR="002A7759" w:rsidRPr="006D4CB5" w:rsidRDefault="002A7759" w:rsidP="002A7759">
      <w:pPr>
        <w:rPr>
          <w:color w:val="000000" w:themeColor="text1"/>
          <w:lang w:eastAsia="ko-KR"/>
        </w:rPr>
      </w:pPr>
      <w:r w:rsidRPr="006D4CB5">
        <w:rPr>
          <w:color w:val="000000" w:themeColor="text1"/>
          <w:lang w:eastAsia="ko-KR"/>
        </w:rPr>
        <w:t xml:space="preserve">Liu, MZ, Rea-Sandin G, Foerster J, Fritsche L, Brieger K, Clark C, Li K, Pandit A, Zajac G, </w:t>
      </w:r>
    </w:p>
    <w:p w14:paraId="477F13D7" w14:textId="29AE966F" w:rsidR="002A7759" w:rsidRPr="006D4CB5" w:rsidRDefault="002A7759">
      <w:pPr>
        <w:ind w:left="720"/>
        <w:rPr>
          <w:color w:val="000000" w:themeColor="text1"/>
          <w:lang w:eastAsia="ko-KR"/>
        </w:rPr>
      </w:pPr>
      <w:proofErr w:type="spellStart"/>
      <w:r w:rsidRPr="006D4CB5">
        <w:rPr>
          <w:color w:val="000000" w:themeColor="text1"/>
          <w:lang w:eastAsia="ko-KR"/>
        </w:rPr>
        <w:t>Abecasis</w:t>
      </w:r>
      <w:proofErr w:type="spellEnd"/>
      <w:r w:rsidRPr="006D4CB5">
        <w:rPr>
          <w:color w:val="000000" w:themeColor="text1"/>
          <w:lang w:eastAsia="ko-KR"/>
        </w:rPr>
        <w:t xml:space="preserve"> GR, Vrieze S (2020). Validating online measures of cognitive ability in Genes for Good, a genetic study of health and behavior. </w:t>
      </w:r>
      <w:r w:rsidRPr="006D4CB5">
        <w:rPr>
          <w:i/>
          <w:iCs/>
          <w:color w:val="000000" w:themeColor="text1"/>
          <w:lang w:eastAsia="ko-KR"/>
        </w:rPr>
        <w:t>Assessment, 27</w:t>
      </w:r>
      <w:r w:rsidRPr="006D4CB5">
        <w:rPr>
          <w:color w:val="000000" w:themeColor="text1"/>
          <w:lang w:eastAsia="ko-KR"/>
        </w:rPr>
        <w:t>, 136-148.</w:t>
      </w:r>
    </w:p>
    <w:p w14:paraId="6B12642A" w14:textId="77777777" w:rsidR="007D37B6" w:rsidRPr="006D4CB5" w:rsidRDefault="007D37B6" w:rsidP="007D37B6">
      <w:pPr>
        <w:rPr>
          <w:color w:val="000000" w:themeColor="text1"/>
          <w:shd w:val="clear" w:color="auto" w:fill="FFFFFF"/>
        </w:rPr>
      </w:pPr>
      <w:r w:rsidRPr="006D4CB5">
        <w:rPr>
          <w:color w:val="000000" w:themeColor="text1"/>
          <w:shd w:val="clear" w:color="auto" w:fill="FFFFFF"/>
        </w:rPr>
        <w:t xml:space="preserve">Luciano, M., Davies, G., Summers, K. M., Hill, W. D., Hayward, C., Liewald, D. C., ... &amp; Deary, </w:t>
      </w:r>
    </w:p>
    <w:p w14:paraId="38073735" w14:textId="2AED423A" w:rsidR="007D37B6" w:rsidRPr="006D4CB5" w:rsidRDefault="007D37B6" w:rsidP="00F14E18">
      <w:pPr>
        <w:ind w:left="720"/>
        <w:rPr>
          <w:color w:val="000000" w:themeColor="text1"/>
          <w:lang w:eastAsia="ko-KR"/>
        </w:rPr>
      </w:pPr>
      <w:r w:rsidRPr="006D4CB5">
        <w:rPr>
          <w:color w:val="000000" w:themeColor="text1"/>
          <w:shd w:val="clear" w:color="auto" w:fill="FFFFFF"/>
        </w:rPr>
        <w:t>I. J. (2021). The influence of X chromosome variants on trait neuroticism. </w:t>
      </w:r>
      <w:r w:rsidRPr="006D4CB5">
        <w:rPr>
          <w:i/>
          <w:iCs/>
          <w:color w:val="000000" w:themeColor="text1"/>
          <w:shd w:val="clear" w:color="auto" w:fill="FFFFFF"/>
        </w:rPr>
        <w:t>Molecular psychiatry</w:t>
      </w:r>
      <w:r w:rsidRPr="006D4CB5">
        <w:rPr>
          <w:color w:val="000000" w:themeColor="text1"/>
          <w:shd w:val="clear" w:color="auto" w:fill="FFFFFF"/>
        </w:rPr>
        <w:t>, </w:t>
      </w:r>
      <w:r w:rsidRPr="006D4CB5">
        <w:rPr>
          <w:i/>
          <w:iCs/>
          <w:color w:val="000000" w:themeColor="text1"/>
          <w:shd w:val="clear" w:color="auto" w:fill="FFFFFF"/>
        </w:rPr>
        <w:t>26</w:t>
      </w:r>
      <w:r w:rsidRPr="006D4CB5">
        <w:rPr>
          <w:color w:val="000000" w:themeColor="text1"/>
          <w:shd w:val="clear" w:color="auto" w:fill="FFFFFF"/>
        </w:rPr>
        <w:t>(2), 483-491.</w:t>
      </w:r>
    </w:p>
    <w:p w14:paraId="1932A32B"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Ludeke, S. G., Vitriol, J. A., Larsen, E. G., &amp; </w:t>
      </w:r>
      <w:proofErr w:type="spellStart"/>
      <w:r w:rsidRPr="006D4CB5">
        <w:rPr>
          <w:color w:val="000000" w:themeColor="text1"/>
          <w:shd w:val="clear" w:color="auto" w:fill="FFFFFF"/>
        </w:rPr>
        <w:t>Gensowski</w:t>
      </w:r>
      <w:proofErr w:type="spellEnd"/>
      <w:r w:rsidRPr="006D4CB5">
        <w:rPr>
          <w:color w:val="000000" w:themeColor="text1"/>
          <w:shd w:val="clear" w:color="auto" w:fill="FFFFFF"/>
        </w:rPr>
        <w:t xml:space="preserve">, M. (2021). Personality in a pandemic: </w:t>
      </w:r>
    </w:p>
    <w:p w14:paraId="712905AE" w14:textId="6BE2D7B2" w:rsidR="002A7759" w:rsidRPr="006D4CB5" w:rsidRDefault="002A7759" w:rsidP="00F14E18">
      <w:pPr>
        <w:spacing w:line="259" w:lineRule="auto"/>
        <w:ind w:left="720"/>
        <w:jc w:val="both"/>
        <w:rPr>
          <w:color w:val="000000" w:themeColor="text1"/>
        </w:rPr>
      </w:pPr>
      <w:r w:rsidRPr="006D4CB5">
        <w:rPr>
          <w:color w:val="000000" w:themeColor="text1"/>
          <w:shd w:val="clear" w:color="auto" w:fill="FFFFFF"/>
        </w:rPr>
        <w:t>Social norms moderate associations between personality and social distancing behaviors. </w:t>
      </w:r>
      <w:r w:rsidRPr="006D4CB5">
        <w:rPr>
          <w:i/>
          <w:iCs/>
          <w:color w:val="000000" w:themeColor="text1"/>
          <w:shd w:val="clear" w:color="auto" w:fill="FFFFFF"/>
        </w:rPr>
        <w:t xml:space="preserve">Personality and </w:t>
      </w:r>
      <w:r w:rsidR="00EB3D6B" w:rsidRPr="006D4CB5">
        <w:rPr>
          <w:i/>
          <w:iCs/>
          <w:color w:val="000000" w:themeColor="text1"/>
          <w:shd w:val="clear" w:color="auto" w:fill="FFFFFF"/>
        </w:rPr>
        <w:t>i</w:t>
      </w:r>
      <w:r w:rsidRPr="006D4CB5">
        <w:rPr>
          <w:i/>
          <w:iCs/>
          <w:color w:val="000000" w:themeColor="text1"/>
          <w:shd w:val="clear" w:color="auto" w:fill="FFFFFF"/>
        </w:rPr>
        <w:t xml:space="preserve">ndividual </w:t>
      </w:r>
      <w:r w:rsidR="00EB3D6B" w:rsidRPr="006D4CB5">
        <w:rPr>
          <w:i/>
          <w:iCs/>
          <w:color w:val="000000" w:themeColor="text1"/>
          <w:shd w:val="clear" w:color="auto" w:fill="FFFFFF"/>
        </w:rPr>
        <w:t>d</w:t>
      </w:r>
      <w:r w:rsidRPr="006D4CB5">
        <w:rPr>
          <w:i/>
          <w:iCs/>
          <w:color w:val="000000" w:themeColor="text1"/>
          <w:shd w:val="clear" w:color="auto" w:fill="FFFFFF"/>
        </w:rPr>
        <w:t>ifferences</w:t>
      </w:r>
      <w:r w:rsidRPr="006D4CB5">
        <w:rPr>
          <w:color w:val="000000" w:themeColor="text1"/>
          <w:shd w:val="clear" w:color="auto" w:fill="FFFFFF"/>
        </w:rPr>
        <w:t>, </w:t>
      </w:r>
      <w:r w:rsidRPr="006D4CB5">
        <w:rPr>
          <w:i/>
          <w:iCs/>
          <w:color w:val="000000" w:themeColor="text1"/>
          <w:shd w:val="clear" w:color="auto" w:fill="FFFFFF"/>
        </w:rPr>
        <w:t>177</w:t>
      </w:r>
      <w:r w:rsidRPr="006D4CB5">
        <w:rPr>
          <w:color w:val="000000" w:themeColor="text1"/>
          <w:shd w:val="clear" w:color="auto" w:fill="FFFFFF"/>
        </w:rPr>
        <w:t>, 110828.</w:t>
      </w:r>
      <w:r w:rsidRPr="006D4CB5">
        <w:rPr>
          <w:color w:val="000000" w:themeColor="text1"/>
        </w:rPr>
        <w:t xml:space="preserve">     </w:t>
      </w:r>
    </w:p>
    <w:p w14:paraId="4DCBD79A"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Lüdtke, O., Roberts, B. W., Trautwein, U., &amp; Nagy, G. (2011). A random walk down university avenue: life paths, life events, and personality trait change at the transition to university life. </w:t>
      </w:r>
      <w:r w:rsidRPr="006D4CB5">
        <w:rPr>
          <w:i/>
          <w:iCs/>
          <w:color w:val="000000" w:themeColor="text1"/>
          <w:shd w:val="clear" w:color="auto" w:fill="FFFFFF"/>
        </w:rPr>
        <w:t>Journal of personality and social psychology</w:t>
      </w:r>
      <w:r w:rsidRPr="006D4CB5">
        <w:rPr>
          <w:color w:val="000000" w:themeColor="text1"/>
          <w:shd w:val="clear" w:color="auto" w:fill="FFFFFF"/>
        </w:rPr>
        <w:t xml:space="preserve">, </w:t>
      </w:r>
      <w:r w:rsidRPr="006D4CB5">
        <w:rPr>
          <w:i/>
          <w:iCs/>
          <w:color w:val="000000" w:themeColor="text1"/>
          <w:shd w:val="clear" w:color="auto" w:fill="FFFFFF"/>
        </w:rPr>
        <w:t>101</w:t>
      </w:r>
      <w:r w:rsidRPr="006D4CB5">
        <w:rPr>
          <w:color w:val="000000" w:themeColor="text1"/>
          <w:shd w:val="clear" w:color="auto" w:fill="FFFFFF"/>
        </w:rPr>
        <w:t>(3), 620-637.</w:t>
      </w:r>
    </w:p>
    <w:p w14:paraId="201AFE4C"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Lupton, M.K., Robinson, G.A., Adam, R.J., Rose, S., Byrne, G.J., Salvado, O., </w:t>
      </w:r>
      <w:proofErr w:type="spellStart"/>
      <w:r w:rsidRPr="006D4CB5">
        <w:rPr>
          <w:color w:val="000000" w:themeColor="text1"/>
          <w:shd w:val="clear" w:color="auto" w:fill="FFFFFF"/>
        </w:rPr>
        <w:t>Pachana</w:t>
      </w:r>
      <w:proofErr w:type="spellEnd"/>
      <w:r w:rsidRPr="006D4CB5">
        <w:rPr>
          <w:color w:val="000000" w:themeColor="text1"/>
          <w:shd w:val="clear" w:color="auto" w:fill="FFFFFF"/>
        </w:rPr>
        <w:t xml:space="preserve">, N.A., </w:t>
      </w:r>
    </w:p>
    <w:p w14:paraId="2CFFEF00" w14:textId="2D24EFF0" w:rsidR="002A7759" w:rsidRPr="006D4CB5" w:rsidRDefault="002A7759" w:rsidP="00F14E18">
      <w:pPr>
        <w:ind w:left="720"/>
        <w:rPr>
          <w:color w:val="000000" w:themeColor="text1"/>
          <w:shd w:val="clear" w:color="auto" w:fill="FFFFFF"/>
        </w:rPr>
      </w:pPr>
      <w:r w:rsidRPr="006D4CB5">
        <w:rPr>
          <w:color w:val="000000" w:themeColor="text1"/>
          <w:shd w:val="clear" w:color="auto" w:fill="FFFFFF"/>
        </w:rPr>
        <w:t xml:space="preserve">Almeida, O.P., McAloney, K., Gordon, S.D., Raniga, P., Fazlollahi, A., Xia, Y., </w:t>
      </w:r>
      <w:proofErr w:type="spellStart"/>
      <w:r w:rsidRPr="006D4CB5">
        <w:rPr>
          <w:color w:val="000000" w:themeColor="text1"/>
          <w:shd w:val="clear" w:color="auto" w:fill="FFFFFF"/>
        </w:rPr>
        <w:t>Ceslis</w:t>
      </w:r>
      <w:proofErr w:type="spellEnd"/>
      <w:r w:rsidRPr="006D4CB5">
        <w:rPr>
          <w:color w:val="000000" w:themeColor="text1"/>
          <w:shd w:val="clear" w:color="auto" w:fill="FFFFFF"/>
        </w:rPr>
        <w:t xml:space="preserve">, A., </w:t>
      </w:r>
      <w:proofErr w:type="spellStart"/>
      <w:r w:rsidRPr="006D4CB5">
        <w:rPr>
          <w:color w:val="000000" w:themeColor="text1"/>
          <w:shd w:val="clear" w:color="auto" w:fill="FFFFFF"/>
        </w:rPr>
        <w:t>Sonkusare</w:t>
      </w:r>
      <w:proofErr w:type="spellEnd"/>
      <w:r w:rsidRPr="006D4CB5">
        <w:rPr>
          <w:color w:val="000000" w:themeColor="text1"/>
          <w:shd w:val="clear" w:color="auto" w:fill="FFFFFF"/>
        </w:rPr>
        <w:t xml:space="preserve">, S., Zhang, Q., </w:t>
      </w:r>
      <w:proofErr w:type="spellStart"/>
      <w:r w:rsidRPr="006D4CB5">
        <w:rPr>
          <w:color w:val="000000" w:themeColor="text1"/>
          <w:shd w:val="clear" w:color="auto" w:fill="FFFFFF"/>
        </w:rPr>
        <w:t>Kholghi</w:t>
      </w:r>
      <w:proofErr w:type="spellEnd"/>
      <w:r w:rsidRPr="006D4CB5">
        <w:rPr>
          <w:color w:val="000000" w:themeColor="text1"/>
          <w:shd w:val="clear" w:color="auto" w:fill="FFFFFF"/>
        </w:rPr>
        <w:t xml:space="preserve">, M., </w:t>
      </w:r>
      <w:proofErr w:type="spellStart"/>
      <w:r w:rsidRPr="006D4CB5">
        <w:rPr>
          <w:color w:val="000000" w:themeColor="text1"/>
          <w:shd w:val="clear" w:color="auto" w:fill="FFFFFF"/>
        </w:rPr>
        <w:t>Karunanithi</w:t>
      </w:r>
      <w:proofErr w:type="spellEnd"/>
      <w:r w:rsidRPr="006D4CB5">
        <w:rPr>
          <w:color w:val="000000" w:themeColor="text1"/>
          <w:shd w:val="clear" w:color="auto" w:fill="FFFFFF"/>
        </w:rPr>
        <w:t xml:space="preserve">, M., Mosley, P.E., ... Breakspear, M.A. (2021). A prospective cohort study of prodromal Alzheimer's disease: Prospective Imaging Study of Ageing: Genes, Brain and </w:t>
      </w:r>
      <w:proofErr w:type="spellStart"/>
      <w:r w:rsidRPr="006D4CB5">
        <w:rPr>
          <w:color w:val="000000" w:themeColor="text1"/>
          <w:shd w:val="clear" w:color="auto" w:fill="FFFFFF"/>
        </w:rPr>
        <w:t>Behaviour</w:t>
      </w:r>
      <w:proofErr w:type="spellEnd"/>
      <w:r w:rsidRPr="006D4CB5">
        <w:rPr>
          <w:color w:val="000000" w:themeColor="text1"/>
          <w:shd w:val="clear" w:color="auto" w:fill="FFFFFF"/>
        </w:rPr>
        <w:t xml:space="preserve"> (PISA). </w:t>
      </w:r>
      <w:r w:rsidRPr="006D4CB5">
        <w:rPr>
          <w:i/>
          <w:iCs/>
          <w:color w:val="000000" w:themeColor="text1"/>
          <w:shd w:val="clear" w:color="auto" w:fill="FFFFFF"/>
        </w:rPr>
        <w:t>Neuroimage: Clinical</w:t>
      </w:r>
      <w:r w:rsidRPr="006D4CB5">
        <w:rPr>
          <w:color w:val="000000" w:themeColor="text1"/>
          <w:shd w:val="clear" w:color="auto" w:fill="FFFFFF"/>
        </w:rPr>
        <w:t>,</w:t>
      </w:r>
      <w:r w:rsidRPr="006D4CB5">
        <w:rPr>
          <w:i/>
          <w:iCs/>
          <w:color w:val="000000" w:themeColor="text1"/>
          <w:shd w:val="clear" w:color="auto" w:fill="FFFFFF"/>
        </w:rPr>
        <w:t xml:space="preserve"> 29</w:t>
      </w:r>
      <w:r w:rsidRPr="006D4CB5">
        <w:rPr>
          <w:color w:val="000000" w:themeColor="text1"/>
          <w:shd w:val="clear" w:color="auto" w:fill="FFFFFF"/>
        </w:rPr>
        <w:t>, 102527.</w:t>
      </w:r>
    </w:p>
    <w:p w14:paraId="71809323" w14:textId="77777777" w:rsidR="002A7759" w:rsidRPr="006D4CB5" w:rsidRDefault="002A7759" w:rsidP="002A7759">
      <w:pPr>
        <w:rPr>
          <w:color w:val="000000" w:themeColor="text1"/>
        </w:rPr>
      </w:pPr>
      <w:r w:rsidRPr="006D4CB5">
        <w:rPr>
          <w:color w:val="000000" w:themeColor="text1"/>
        </w:rPr>
        <w:t xml:space="preserve">Magnus, P., Birke, C., Vejrup, K., Haugan, A., </w:t>
      </w:r>
      <w:proofErr w:type="spellStart"/>
      <w:r w:rsidRPr="006D4CB5">
        <w:rPr>
          <w:color w:val="000000" w:themeColor="text1"/>
        </w:rPr>
        <w:t>Alasker</w:t>
      </w:r>
      <w:proofErr w:type="spellEnd"/>
      <w:r w:rsidRPr="006D4CB5">
        <w:rPr>
          <w:color w:val="000000" w:themeColor="text1"/>
        </w:rPr>
        <w:t xml:space="preserve">, E., </w:t>
      </w:r>
      <w:proofErr w:type="spellStart"/>
      <w:r w:rsidRPr="006D4CB5">
        <w:rPr>
          <w:color w:val="000000" w:themeColor="text1"/>
        </w:rPr>
        <w:t>Daltveit</w:t>
      </w:r>
      <w:proofErr w:type="spellEnd"/>
      <w:r w:rsidRPr="006D4CB5">
        <w:rPr>
          <w:color w:val="000000" w:themeColor="text1"/>
        </w:rPr>
        <w:t xml:space="preserve">, A.K., Handal, M., Haugen, </w:t>
      </w:r>
    </w:p>
    <w:p w14:paraId="6C999222" w14:textId="03CCF54A" w:rsidR="002A7759" w:rsidRPr="006D4CB5" w:rsidRDefault="002A7759" w:rsidP="002A7759">
      <w:pPr>
        <w:ind w:left="720"/>
        <w:rPr>
          <w:color w:val="000000" w:themeColor="text1"/>
        </w:rPr>
      </w:pPr>
      <w:r w:rsidRPr="006D4CB5">
        <w:rPr>
          <w:color w:val="000000" w:themeColor="text1"/>
        </w:rPr>
        <w:t>M.</w:t>
      </w:r>
      <w:proofErr w:type="gramStart"/>
      <w:r w:rsidRPr="006D4CB5">
        <w:rPr>
          <w:color w:val="000000" w:themeColor="text1"/>
        </w:rPr>
        <w:t>,  Høiseth</w:t>
      </w:r>
      <w:proofErr w:type="gramEnd"/>
      <w:r w:rsidRPr="006D4CB5">
        <w:rPr>
          <w:color w:val="000000" w:themeColor="text1"/>
        </w:rPr>
        <w:t>, G., Knudsen, G.P., Paltiel, L., Schreuder, P., Tambs, K, Vold, L., &amp; Stoltenberg, C. (2016). Cohort Profile Update: The Norwegian Mother and Child Cohort Study (</w:t>
      </w:r>
      <w:proofErr w:type="spellStart"/>
      <w:r w:rsidRPr="006D4CB5">
        <w:rPr>
          <w:color w:val="000000" w:themeColor="text1"/>
        </w:rPr>
        <w:t>MoBa</w:t>
      </w:r>
      <w:proofErr w:type="spellEnd"/>
      <w:r w:rsidRPr="006D4CB5">
        <w:rPr>
          <w:color w:val="000000" w:themeColor="text1"/>
        </w:rPr>
        <w:t>). I</w:t>
      </w:r>
      <w:r w:rsidRPr="006D4CB5">
        <w:rPr>
          <w:i/>
          <w:iCs/>
          <w:color w:val="000000" w:themeColor="text1"/>
        </w:rPr>
        <w:t xml:space="preserve">nternational </w:t>
      </w:r>
      <w:r w:rsidR="00EB3D6B" w:rsidRPr="006D4CB5">
        <w:rPr>
          <w:i/>
          <w:iCs/>
          <w:color w:val="000000" w:themeColor="text1"/>
        </w:rPr>
        <w:t>j</w:t>
      </w:r>
      <w:r w:rsidRPr="006D4CB5">
        <w:rPr>
          <w:i/>
          <w:iCs/>
          <w:color w:val="000000" w:themeColor="text1"/>
        </w:rPr>
        <w:t xml:space="preserve">ournal of </w:t>
      </w:r>
      <w:r w:rsidR="00EB3D6B" w:rsidRPr="006D4CB5">
        <w:rPr>
          <w:i/>
          <w:iCs/>
          <w:color w:val="000000" w:themeColor="text1"/>
        </w:rPr>
        <w:t>e</w:t>
      </w:r>
      <w:r w:rsidRPr="006D4CB5">
        <w:rPr>
          <w:i/>
          <w:iCs/>
          <w:color w:val="000000" w:themeColor="text1"/>
        </w:rPr>
        <w:t>pidemiology</w:t>
      </w:r>
      <w:r w:rsidRPr="006D4CB5">
        <w:rPr>
          <w:color w:val="000000" w:themeColor="text1"/>
        </w:rPr>
        <w:t xml:space="preserve">, </w:t>
      </w:r>
      <w:r w:rsidRPr="006D4CB5">
        <w:rPr>
          <w:i/>
          <w:iCs/>
          <w:color w:val="000000" w:themeColor="text1"/>
        </w:rPr>
        <w:t>45</w:t>
      </w:r>
      <w:r w:rsidRPr="006D4CB5">
        <w:rPr>
          <w:color w:val="000000" w:themeColor="text1"/>
        </w:rPr>
        <w:t>(2), 382-388.</w:t>
      </w:r>
    </w:p>
    <w:p w14:paraId="5A881C42"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Magnusson, P. K., Almqvist, C., Rahman, I., Ganna, A., Viktorin, A., </w:t>
      </w:r>
      <w:proofErr w:type="spellStart"/>
      <w:r w:rsidRPr="006D4CB5">
        <w:rPr>
          <w:color w:val="000000" w:themeColor="text1"/>
        </w:rPr>
        <w:t>Walum</w:t>
      </w:r>
      <w:proofErr w:type="spellEnd"/>
      <w:r w:rsidRPr="006D4CB5">
        <w:rPr>
          <w:color w:val="000000" w:themeColor="text1"/>
        </w:rPr>
        <w:t xml:space="preserve">, H., </w:t>
      </w:r>
      <w:proofErr w:type="spellStart"/>
      <w:r w:rsidRPr="006D4CB5">
        <w:rPr>
          <w:color w:val="000000" w:themeColor="text1"/>
        </w:rPr>
        <w:t>Halldner</w:t>
      </w:r>
      <w:proofErr w:type="spellEnd"/>
      <w:r w:rsidRPr="006D4CB5">
        <w:rPr>
          <w:color w:val="000000" w:themeColor="text1"/>
        </w:rPr>
        <w:t xml:space="preserve">, L., </w:t>
      </w:r>
    </w:p>
    <w:p w14:paraId="4B14A56C" w14:textId="3C78978D" w:rsidR="002A7759" w:rsidRPr="006D4CB5" w:rsidRDefault="002A7759" w:rsidP="00F14E18">
      <w:pPr>
        <w:autoSpaceDE w:val="0"/>
        <w:autoSpaceDN w:val="0"/>
        <w:adjustRightInd w:val="0"/>
        <w:ind w:left="720"/>
        <w:rPr>
          <w:color w:val="000000" w:themeColor="text1"/>
        </w:rPr>
      </w:pPr>
      <w:r w:rsidRPr="006D4CB5">
        <w:rPr>
          <w:color w:val="000000" w:themeColor="text1"/>
        </w:rPr>
        <w:t xml:space="preserve">Lundström, S., </w:t>
      </w:r>
      <w:proofErr w:type="spellStart"/>
      <w:r w:rsidRPr="006D4CB5">
        <w:rPr>
          <w:color w:val="000000" w:themeColor="text1"/>
        </w:rPr>
        <w:t>Ullén</w:t>
      </w:r>
      <w:proofErr w:type="spellEnd"/>
      <w:r w:rsidRPr="006D4CB5">
        <w:rPr>
          <w:color w:val="000000" w:themeColor="text1"/>
        </w:rPr>
        <w:t xml:space="preserve">, F., </w:t>
      </w:r>
      <w:proofErr w:type="spellStart"/>
      <w:r w:rsidRPr="006D4CB5">
        <w:rPr>
          <w:color w:val="000000" w:themeColor="text1"/>
        </w:rPr>
        <w:t>Långström</w:t>
      </w:r>
      <w:proofErr w:type="spellEnd"/>
      <w:r w:rsidRPr="006D4CB5">
        <w:rPr>
          <w:color w:val="000000" w:themeColor="text1"/>
        </w:rPr>
        <w:t xml:space="preserve">, N., Larsson, H., Nyman, A., Hellner Gumpert, C., </w:t>
      </w:r>
      <w:proofErr w:type="spellStart"/>
      <w:r w:rsidRPr="006D4CB5">
        <w:rPr>
          <w:color w:val="000000" w:themeColor="text1"/>
        </w:rPr>
        <w:t>Råstam</w:t>
      </w:r>
      <w:proofErr w:type="spellEnd"/>
      <w:r w:rsidRPr="006D4CB5">
        <w:rPr>
          <w:color w:val="000000" w:themeColor="text1"/>
        </w:rPr>
        <w:t xml:space="preserve">, M., </w:t>
      </w:r>
      <w:proofErr w:type="spellStart"/>
      <w:r w:rsidRPr="006D4CB5">
        <w:rPr>
          <w:color w:val="000000" w:themeColor="text1"/>
        </w:rPr>
        <w:t>Anckarsäter</w:t>
      </w:r>
      <w:proofErr w:type="spellEnd"/>
      <w:r w:rsidRPr="006D4CB5">
        <w:rPr>
          <w:color w:val="000000" w:themeColor="text1"/>
        </w:rPr>
        <w:t xml:space="preserve">, H., </w:t>
      </w:r>
      <w:proofErr w:type="spellStart"/>
      <w:r w:rsidRPr="006D4CB5">
        <w:rPr>
          <w:color w:val="000000" w:themeColor="text1"/>
        </w:rPr>
        <w:t>Cnattingius</w:t>
      </w:r>
      <w:proofErr w:type="spellEnd"/>
      <w:r w:rsidRPr="006D4CB5">
        <w:rPr>
          <w:color w:val="000000" w:themeColor="text1"/>
        </w:rPr>
        <w:t xml:space="preserve">, S. Johannesson, M., Ingelsson, E., </w:t>
      </w:r>
      <w:proofErr w:type="spellStart"/>
      <w:r w:rsidRPr="006D4CB5">
        <w:rPr>
          <w:color w:val="000000" w:themeColor="text1"/>
        </w:rPr>
        <w:t>Klareskog</w:t>
      </w:r>
      <w:proofErr w:type="spellEnd"/>
      <w:r w:rsidRPr="006D4CB5">
        <w:rPr>
          <w:color w:val="000000" w:themeColor="text1"/>
        </w:rPr>
        <w:t xml:space="preserve">., ... Lichtenstein, P. (2013). The Swedish Twin Registry: establishment of a biobank and other recent developments. </w:t>
      </w:r>
      <w:r w:rsidRPr="006D4CB5">
        <w:rPr>
          <w:i/>
          <w:iCs/>
          <w:color w:val="000000" w:themeColor="text1"/>
        </w:rPr>
        <w:t xml:space="preserve">Twin </w:t>
      </w:r>
      <w:r w:rsidR="00EB3D6B" w:rsidRPr="006D4CB5">
        <w:rPr>
          <w:i/>
          <w:iCs/>
          <w:color w:val="000000" w:themeColor="text1"/>
        </w:rPr>
        <w:t>r</w:t>
      </w:r>
      <w:r w:rsidRPr="006D4CB5">
        <w:rPr>
          <w:i/>
          <w:iCs/>
          <w:color w:val="000000" w:themeColor="text1"/>
        </w:rPr>
        <w:t xml:space="preserve">esearch and </w:t>
      </w:r>
      <w:r w:rsidR="00EB3D6B" w:rsidRPr="006D4CB5">
        <w:rPr>
          <w:i/>
          <w:iCs/>
          <w:color w:val="000000" w:themeColor="text1"/>
        </w:rPr>
        <w:t>h</w:t>
      </w:r>
      <w:r w:rsidRPr="006D4CB5">
        <w:rPr>
          <w:i/>
          <w:iCs/>
          <w:color w:val="000000" w:themeColor="text1"/>
        </w:rPr>
        <w:t xml:space="preserve">uman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16</w:t>
      </w:r>
      <w:r w:rsidRPr="006D4CB5">
        <w:rPr>
          <w:color w:val="000000" w:themeColor="text1"/>
        </w:rPr>
        <w:t>(1), 317-329.</w:t>
      </w:r>
    </w:p>
    <w:p w14:paraId="721AF13B" w14:textId="169432C5"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lastRenderedPageBreak/>
        <w:t xml:space="preserve">McCrae, R. R., Martin, T. A., </w:t>
      </w:r>
      <w:proofErr w:type="spellStart"/>
      <w:r w:rsidRPr="006D4CB5">
        <w:rPr>
          <w:color w:val="000000" w:themeColor="text1"/>
          <w:shd w:val="clear" w:color="auto" w:fill="FFFFFF"/>
        </w:rPr>
        <w:t>Hrebícková</w:t>
      </w:r>
      <w:proofErr w:type="spellEnd"/>
      <w:r w:rsidRPr="006D4CB5">
        <w:rPr>
          <w:color w:val="000000" w:themeColor="text1"/>
          <w:shd w:val="clear" w:color="auto" w:fill="FFFFFF"/>
        </w:rPr>
        <w:t>, M., Urbánek</w:t>
      </w:r>
      <w:r w:rsidR="00EB3D6B" w:rsidRPr="006D4CB5">
        <w:rPr>
          <w:color w:val="000000" w:themeColor="text1"/>
          <w:shd w:val="clear" w:color="auto" w:fill="FFFFFF"/>
        </w:rPr>
        <w:t>,</w:t>
      </w:r>
      <w:r w:rsidRPr="006D4CB5">
        <w:rPr>
          <w:color w:val="000000" w:themeColor="text1"/>
          <w:shd w:val="clear" w:color="auto" w:fill="FFFFFF"/>
        </w:rPr>
        <w:t xml:space="preserve"> T., Boomsma, D. I., Willemsen, G., &amp; Costa Jr, P. T. (2008). Personality trait similarity between spouses in four cultures. </w:t>
      </w:r>
      <w:r w:rsidRPr="006D4CB5">
        <w:rPr>
          <w:i/>
          <w:iCs/>
          <w:color w:val="000000" w:themeColor="text1"/>
          <w:shd w:val="clear" w:color="auto" w:fill="FFFFFF"/>
        </w:rPr>
        <w:t>Journal of personality</w:t>
      </w:r>
      <w:r w:rsidRPr="006D4CB5">
        <w:rPr>
          <w:color w:val="000000" w:themeColor="text1"/>
          <w:shd w:val="clear" w:color="auto" w:fill="FFFFFF"/>
        </w:rPr>
        <w:t>, </w:t>
      </w:r>
      <w:r w:rsidRPr="006D4CB5">
        <w:rPr>
          <w:i/>
          <w:iCs/>
          <w:color w:val="000000" w:themeColor="text1"/>
          <w:shd w:val="clear" w:color="auto" w:fill="FFFFFF"/>
        </w:rPr>
        <w:t>76</w:t>
      </w:r>
      <w:r w:rsidRPr="006D4CB5">
        <w:rPr>
          <w:color w:val="000000" w:themeColor="text1"/>
          <w:shd w:val="clear" w:color="auto" w:fill="FFFFFF"/>
        </w:rPr>
        <w:t>(5), 1137-1164.</w:t>
      </w:r>
    </w:p>
    <w:p w14:paraId="0EA54BD7"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McCrae, R. R., Terracciano, A., &amp; 78 Members of the Personality Profiles of Cultures Project. (2005). Universal features of personality traits </w:t>
      </w:r>
      <w:proofErr w:type="gramStart"/>
      <w:r w:rsidRPr="006D4CB5">
        <w:rPr>
          <w:color w:val="000000" w:themeColor="text1"/>
          <w:shd w:val="clear" w:color="auto" w:fill="FFFFFF"/>
        </w:rPr>
        <w:t>From</w:t>
      </w:r>
      <w:proofErr w:type="gramEnd"/>
      <w:r w:rsidRPr="006D4CB5">
        <w:rPr>
          <w:color w:val="000000" w:themeColor="text1"/>
          <w:shd w:val="clear" w:color="auto" w:fill="FFFFFF"/>
        </w:rPr>
        <w:t xml:space="preserve"> the observer's perspective: Data from 50 cultures. </w:t>
      </w:r>
      <w:r w:rsidRPr="006D4CB5">
        <w:rPr>
          <w:rStyle w:val="Emphasis"/>
          <w:color w:val="000000" w:themeColor="text1"/>
          <w:shd w:val="clear" w:color="auto" w:fill="FFFFFF"/>
        </w:rPr>
        <w:t>Journal of personality and social psychology, 88</w:t>
      </w:r>
      <w:r w:rsidRPr="006D4CB5">
        <w:rPr>
          <w:color w:val="000000" w:themeColor="text1"/>
          <w:shd w:val="clear" w:color="auto" w:fill="FFFFFF"/>
        </w:rPr>
        <w:t>(3), 547–561.</w:t>
      </w:r>
    </w:p>
    <w:p w14:paraId="765B1DB1" w14:textId="77777777" w:rsidR="002A7759" w:rsidRPr="006D4CB5" w:rsidRDefault="002A7759" w:rsidP="002A7759">
      <w:pPr>
        <w:rPr>
          <w:color w:val="000000" w:themeColor="text1"/>
        </w:rPr>
      </w:pPr>
      <w:r w:rsidRPr="006D4CB5">
        <w:rPr>
          <w:color w:val="000000" w:themeColor="text1"/>
        </w:rPr>
        <w:t xml:space="preserve">Milani, L., Alver, M., Laur, S., Reisberg, S., Haller, T., Aasmets, O., ... &amp; </w:t>
      </w:r>
      <w:proofErr w:type="spellStart"/>
      <w:r w:rsidRPr="006D4CB5">
        <w:rPr>
          <w:color w:val="000000" w:themeColor="text1"/>
        </w:rPr>
        <w:t>Metspalu</w:t>
      </w:r>
      <w:proofErr w:type="spellEnd"/>
      <w:r w:rsidRPr="006D4CB5">
        <w:rPr>
          <w:color w:val="000000" w:themeColor="text1"/>
        </w:rPr>
        <w:t xml:space="preserve">, A. (2024). </w:t>
      </w:r>
    </w:p>
    <w:p w14:paraId="208EFE0C" w14:textId="77777777" w:rsidR="002A7759" w:rsidRPr="006D4CB5" w:rsidRDefault="002A7759" w:rsidP="002A7759">
      <w:pPr>
        <w:ind w:left="720"/>
        <w:rPr>
          <w:color w:val="000000" w:themeColor="text1"/>
        </w:rPr>
      </w:pPr>
      <w:r w:rsidRPr="006D4CB5">
        <w:rPr>
          <w:color w:val="000000" w:themeColor="text1"/>
        </w:rPr>
        <w:t>From Biobanking to Personalized Medicine: the journey of the Estonian Biobank. </w:t>
      </w:r>
      <w:proofErr w:type="spellStart"/>
      <w:r w:rsidRPr="006D4CB5">
        <w:rPr>
          <w:i/>
          <w:iCs/>
          <w:color w:val="000000" w:themeColor="text1"/>
        </w:rPr>
        <w:t>medRxiv</w:t>
      </w:r>
      <w:proofErr w:type="spellEnd"/>
      <w:r w:rsidRPr="006D4CB5">
        <w:rPr>
          <w:i/>
          <w:iCs/>
          <w:color w:val="000000" w:themeColor="text1"/>
        </w:rPr>
        <w:t>,</w:t>
      </w:r>
      <w:r w:rsidRPr="006D4CB5">
        <w:rPr>
          <w:color w:val="000000" w:themeColor="text1"/>
        </w:rPr>
        <w:t xml:space="preserve"> 2024-09.</w:t>
      </w:r>
    </w:p>
    <w:p w14:paraId="28B4D7AB" w14:textId="77777777" w:rsidR="002A7759" w:rsidRPr="006D4CB5" w:rsidRDefault="002A7759" w:rsidP="002A7759">
      <w:pPr>
        <w:rPr>
          <w:color w:val="000000" w:themeColor="text1"/>
        </w:rPr>
      </w:pPr>
      <w:r w:rsidRPr="006D4CB5">
        <w:rPr>
          <w:color w:val="000000" w:themeColor="text1"/>
        </w:rPr>
        <w:t xml:space="preserve">Miller, M. B., Basu, S., Cunningham, J., Eskin, E., Malone, S. M., Oetting, W. S., Schork, N., </w:t>
      </w:r>
    </w:p>
    <w:p w14:paraId="0FF351E1" w14:textId="36B2BA07" w:rsidR="002A7759" w:rsidRPr="006D4CB5" w:rsidRDefault="002A7759" w:rsidP="002A7759">
      <w:pPr>
        <w:ind w:left="720"/>
        <w:rPr>
          <w:color w:val="000000" w:themeColor="text1"/>
        </w:rPr>
      </w:pPr>
      <w:r w:rsidRPr="006D4CB5">
        <w:rPr>
          <w:color w:val="000000" w:themeColor="text1"/>
        </w:rPr>
        <w:t xml:space="preserve">Sul, J. H., Iacono, W. G., &amp; McGue, M. (2012). The Minnesota Center for Twin and Family Research genome-wide association study. </w:t>
      </w:r>
      <w:r w:rsidRPr="006D4CB5">
        <w:rPr>
          <w:i/>
          <w:iCs/>
          <w:color w:val="000000" w:themeColor="text1"/>
        </w:rPr>
        <w:t>Twin research and human genetics</w:t>
      </w:r>
      <w:r w:rsidRPr="006D4CB5">
        <w:rPr>
          <w:color w:val="000000" w:themeColor="text1"/>
        </w:rPr>
        <w:t>, 15(6), 767–774.</w:t>
      </w:r>
    </w:p>
    <w:p w14:paraId="0498D90B"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Mitchell, B.L., Campos, A.I., </w:t>
      </w:r>
      <w:proofErr w:type="spellStart"/>
      <w:r w:rsidRPr="006D4CB5">
        <w:rPr>
          <w:color w:val="000000" w:themeColor="text1"/>
          <w:shd w:val="clear" w:color="auto" w:fill="FFFFFF"/>
        </w:rPr>
        <w:t>Rentería</w:t>
      </w:r>
      <w:proofErr w:type="spellEnd"/>
      <w:r w:rsidRPr="006D4CB5">
        <w:rPr>
          <w:color w:val="000000" w:themeColor="text1"/>
          <w:shd w:val="clear" w:color="auto" w:fill="FFFFFF"/>
        </w:rPr>
        <w:t xml:space="preserve">, M.E., Parker, R., Sullivan, L., McAloney, K., </w:t>
      </w:r>
      <w:proofErr w:type="spellStart"/>
      <w:r w:rsidRPr="006D4CB5">
        <w:rPr>
          <w:color w:val="000000" w:themeColor="text1"/>
          <w:shd w:val="clear" w:color="auto" w:fill="FFFFFF"/>
        </w:rPr>
        <w:t>Couvy</w:t>
      </w:r>
      <w:proofErr w:type="spellEnd"/>
      <w:r w:rsidRPr="006D4CB5">
        <w:rPr>
          <w:color w:val="000000" w:themeColor="text1"/>
          <w:shd w:val="clear" w:color="auto" w:fill="FFFFFF"/>
        </w:rPr>
        <w:t>-</w:t>
      </w:r>
    </w:p>
    <w:p w14:paraId="6A8677DA" w14:textId="40F9BA13" w:rsidR="002A7759" w:rsidRPr="006D4CB5" w:rsidRDefault="002A7759" w:rsidP="00F14E18">
      <w:pPr>
        <w:ind w:left="720"/>
        <w:rPr>
          <w:color w:val="000000" w:themeColor="text1"/>
          <w:shd w:val="clear" w:color="auto" w:fill="FFFFFF"/>
        </w:rPr>
      </w:pPr>
      <w:r w:rsidRPr="006D4CB5">
        <w:rPr>
          <w:color w:val="000000" w:themeColor="text1"/>
          <w:shd w:val="clear" w:color="auto" w:fill="FFFFFF"/>
        </w:rPr>
        <w:t xml:space="preserve">Duchesne, B., Medland, S.E., Gillespie, N.A., Scott, J., </w:t>
      </w:r>
      <w:proofErr w:type="spellStart"/>
      <w:r w:rsidRPr="006D4CB5">
        <w:rPr>
          <w:color w:val="000000" w:themeColor="text1"/>
          <w:shd w:val="clear" w:color="auto" w:fill="FFFFFF"/>
        </w:rPr>
        <w:t>Zietsch</w:t>
      </w:r>
      <w:proofErr w:type="spellEnd"/>
      <w:r w:rsidRPr="006D4CB5">
        <w:rPr>
          <w:color w:val="000000" w:themeColor="text1"/>
          <w:shd w:val="clear" w:color="auto" w:fill="FFFFFF"/>
        </w:rPr>
        <w:t xml:space="preserve">, B.P., Lind, P.A., Martin, N.G., &amp; Hickie, I.B. (2019). Twenty-Five and Up (25Up) Study: A New Wave of the Brisbane Longitudinal Twin Study. </w:t>
      </w:r>
      <w:r w:rsidRPr="006D4CB5">
        <w:rPr>
          <w:i/>
          <w:iCs/>
          <w:color w:val="000000" w:themeColor="text1"/>
          <w:shd w:val="clear" w:color="auto" w:fill="FFFFFF"/>
        </w:rPr>
        <w:t>T</w:t>
      </w:r>
      <w:r w:rsidRPr="006D4CB5">
        <w:rPr>
          <w:i/>
          <w:iCs/>
          <w:color w:val="000000" w:themeColor="text1"/>
        </w:rPr>
        <w:t xml:space="preserve">win </w:t>
      </w:r>
      <w:r w:rsidR="00EB3D6B" w:rsidRPr="006D4CB5">
        <w:rPr>
          <w:i/>
          <w:iCs/>
          <w:color w:val="000000" w:themeColor="text1"/>
        </w:rPr>
        <w:t>r</w:t>
      </w:r>
      <w:r w:rsidRPr="006D4CB5">
        <w:rPr>
          <w:i/>
          <w:iCs/>
          <w:color w:val="000000" w:themeColor="text1"/>
        </w:rPr>
        <w:t xml:space="preserve">esearch and </w:t>
      </w:r>
      <w:r w:rsidR="00EB3D6B" w:rsidRPr="006D4CB5">
        <w:rPr>
          <w:i/>
          <w:iCs/>
          <w:color w:val="000000" w:themeColor="text1"/>
        </w:rPr>
        <w:t>h</w:t>
      </w:r>
      <w:r w:rsidRPr="006D4CB5">
        <w:rPr>
          <w:i/>
          <w:iCs/>
          <w:color w:val="000000" w:themeColor="text1"/>
        </w:rPr>
        <w:t xml:space="preserve">uman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2</w:t>
      </w:r>
      <w:r w:rsidRPr="006D4CB5">
        <w:rPr>
          <w:i/>
          <w:iCs/>
          <w:color w:val="000000" w:themeColor="text1"/>
          <w:shd w:val="clear" w:color="auto" w:fill="FFFFFF"/>
        </w:rPr>
        <w:t>2</w:t>
      </w:r>
      <w:r w:rsidRPr="006D4CB5">
        <w:rPr>
          <w:color w:val="000000" w:themeColor="text1"/>
          <w:shd w:val="clear" w:color="auto" w:fill="FFFFFF"/>
        </w:rPr>
        <w:t>(3), 154-163. </w:t>
      </w:r>
    </w:p>
    <w:p w14:paraId="43B0DEE8"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Morrison, J., Knoblauch, N., Marcus, J. H., Stephens, M., &amp; He, X. (2020). Mendelian randomization accounting for correlated and uncorrelated pleiotropic effects using genome-wide summary statistics. </w:t>
      </w:r>
      <w:r w:rsidRPr="006D4CB5">
        <w:rPr>
          <w:i/>
          <w:iCs/>
          <w:color w:val="000000" w:themeColor="text1"/>
          <w:shd w:val="clear" w:color="auto" w:fill="FFFFFF"/>
        </w:rPr>
        <w:t>Nature genetics</w:t>
      </w:r>
      <w:r w:rsidRPr="006D4CB5">
        <w:rPr>
          <w:color w:val="000000" w:themeColor="text1"/>
          <w:shd w:val="clear" w:color="auto" w:fill="FFFFFF"/>
        </w:rPr>
        <w:t xml:space="preserve">, </w:t>
      </w:r>
      <w:r w:rsidRPr="006D4CB5">
        <w:rPr>
          <w:i/>
          <w:iCs/>
          <w:color w:val="000000" w:themeColor="text1"/>
          <w:shd w:val="clear" w:color="auto" w:fill="FFFFFF"/>
        </w:rPr>
        <w:t>52</w:t>
      </w:r>
      <w:r w:rsidRPr="006D4CB5">
        <w:rPr>
          <w:color w:val="000000" w:themeColor="text1"/>
          <w:shd w:val="clear" w:color="auto" w:fill="FFFFFF"/>
        </w:rPr>
        <w:t>(7), 740-747.</w:t>
      </w:r>
    </w:p>
    <w:p w14:paraId="736435A8" w14:textId="77777777" w:rsidR="002A7759" w:rsidRPr="006D4CB5" w:rsidRDefault="002A7759" w:rsidP="002A7759">
      <w:pPr>
        <w:rPr>
          <w:color w:val="000000" w:themeColor="text1"/>
          <w:lang w:val="de-DE"/>
        </w:rPr>
      </w:pPr>
      <w:proofErr w:type="spellStart"/>
      <w:r w:rsidRPr="006D4CB5">
        <w:rPr>
          <w:color w:val="000000" w:themeColor="text1"/>
          <w:lang w:val="de-DE"/>
        </w:rPr>
        <w:t>Moshagen</w:t>
      </w:r>
      <w:proofErr w:type="spellEnd"/>
      <w:r w:rsidRPr="006D4CB5">
        <w:rPr>
          <w:color w:val="000000" w:themeColor="text1"/>
          <w:lang w:val="de-DE"/>
        </w:rPr>
        <w:t xml:space="preserve">, M., Hilbig, B.E., &amp; Zettler, I. (2014). Faktorenstruktur, psychometrische </w:t>
      </w:r>
    </w:p>
    <w:p w14:paraId="666B63E4" w14:textId="77777777" w:rsidR="002A7759" w:rsidRPr="006D4CB5" w:rsidRDefault="002A7759" w:rsidP="002A7759">
      <w:pPr>
        <w:ind w:left="720"/>
        <w:rPr>
          <w:color w:val="000000" w:themeColor="text1"/>
        </w:rPr>
      </w:pPr>
      <w:r w:rsidRPr="006D4CB5">
        <w:rPr>
          <w:color w:val="000000" w:themeColor="text1"/>
          <w:lang w:val="de-DE"/>
        </w:rPr>
        <w:t xml:space="preserve">Eigenschaften und Messinvarianz der deutschsprachigen Version des 60-item HEXACO Persönlichkeitsinventars. </w:t>
      </w:r>
      <w:r w:rsidRPr="006D4CB5">
        <w:rPr>
          <w:i/>
          <w:iCs/>
          <w:color w:val="000000" w:themeColor="text1"/>
        </w:rPr>
        <w:t>Diagnostica</w:t>
      </w:r>
      <w:r w:rsidRPr="006D4CB5">
        <w:rPr>
          <w:color w:val="000000" w:themeColor="text1"/>
        </w:rPr>
        <w:t xml:space="preserve">. </w:t>
      </w:r>
    </w:p>
    <w:p w14:paraId="40E41764" w14:textId="77777777" w:rsidR="002A7759" w:rsidRPr="006D4CB5" w:rsidRDefault="002A7759" w:rsidP="002A7759">
      <w:pPr>
        <w:rPr>
          <w:color w:val="000000" w:themeColor="text1"/>
        </w:rPr>
      </w:pPr>
      <w:r w:rsidRPr="006D4CB5">
        <w:rPr>
          <w:color w:val="000000" w:themeColor="text1"/>
        </w:rPr>
        <w:t>Mõttus, R., Briley, D.A., Mann, F.D., Tackett, J.L., Harden, K.P., &amp; Tucker-</w:t>
      </w:r>
      <w:proofErr w:type="spellStart"/>
      <w:proofErr w:type="gramStart"/>
      <w:r w:rsidRPr="006D4CB5">
        <w:rPr>
          <w:color w:val="000000" w:themeColor="text1"/>
        </w:rPr>
        <w:t>Drob,E</w:t>
      </w:r>
      <w:proofErr w:type="spellEnd"/>
      <w:r w:rsidRPr="006D4CB5">
        <w:rPr>
          <w:color w:val="000000" w:themeColor="text1"/>
        </w:rPr>
        <w:t>.</w:t>
      </w:r>
      <w:proofErr w:type="gramEnd"/>
      <w:r w:rsidRPr="006D4CB5">
        <w:rPr>
          <w:color w:val="000000" w:themeColor="text1"/>
        </w:rPr>
        <w:t xml:space="preserve"> M. (2019). </w:t>
      </w:r>
    </w:p>
    <w:p w14:paraId="16FC70AF" w14:textId="6103B662" w:rsidR="002A7759" w:rsidRPr="006D4CB5" w:rsidRDefault="002A7759" w:rsidP="00F14E18">
      <w:pPr>
        <w:ind w:left="720"/>
        <w:rPr>
          <w:color w:val="000000" w:themeColor="text1"/>
        </w:rPr>
      </w:pPr>
      <w:r w:rsidRPr="006D4CB5">
        <w:rPr>
          <w:color w:val="000000" w:themeColor="text1"/>
        </w:rPr>
        <w:t xml:space="preserve">Kids becoming less alike: A behavioral genetic decomposition of developmental increases in personality variance from childhood to adolescence. </w:t>
      </w:r>
      <w:r w:rsidRPr="006D4CB5">
        <w:rPr>
          <w:i/>
          <w:iCs/>
          <w:color w:val="000000" w:themeColor="text1"/>
        </w:rPr>
        <w:t xml:space="preserve">Journal of </w:t>
      </w:r>
      <w:r w:rsidR="00EB3D6B" w:rsidRPr="006D4CB5">
        <w:rPr>
          <w:i/>
          <w:iCs/>
          <w:color w:val="000000" w:themeColor="text1"/>
        </w:rPr>
        <w:t>p</w:t>
      </w:r>
      <w:r w:rsidRPr="006D4CB5">
        <w:rPr>
          <w:i/>
          <w:iCs/>
          <w:color w:val="000000" w:themeColor="text1"/>
        </w:rPr>
        <w:t xml:space="preserve">ersonality and </w:t>
      </w:r>
      <w:r w:rsidR="00EB3D6B" w:rsidRPr="006D4CB5">
        <w:rPr>
          <w:i/>
          <w:iCs/>
          <w:color w:val="000000" w:themeColor="text1"/>
        </w:rPr>
        <w:t>s</w:t>
      </w:r>
      <w:r w:rsidRPr="006D4CB5">
        <w:rPr>
          <w:i/>
          <w:iCs/>
          <w:color w:val="000000" w:themeColor="text1"/>
        </w:rPr>
        <w:t xml:space="preserve">ocial </w:t>
      </w:r>
      <w:r w:rsidR="00EB3D6B" w:rsidRPr="006D4CB5">
        <w:rPr>
          <w:i/>
          <w:iCs/>
          <w:color w:val="000000" w:themeColor="text1"/>
        </w:rPr>
        <w:t>p</w:t>
      </w:r>
      <w:r w:rsidRPr="006D4CB5">
        <w:rPr>
          <w:i/>
          <w:iCs/>
          <w:color w:val="000000" w:themeColor="text1"/>
        </w:rPr>
        <w:t>sychology, 117,</w:t>
      </w:r>
      <w:r w:rsidRPr="006D4CB5">
        <w:rPr>
          <w:color w:val="000000" w:themeColor="text1"/>
        </w:rPr>
        <w:t xml:space="preserve"> 635-638.</w:t>
      </w:r>
    </w:p>
    <w:p w14:paraId="6D7BA8F6"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Munafo, M. R., </w:t>
      </w:r>
      <w:proofErr w:type="spellStart"/>
      <w:r w:rsidRPr="006D4CB5">
        <w:rPr>
          <w:color w:val="000000" w:themeColor="text1"/>
          <w:shd w:val="clear" w:color="auto" w:fill="FFFFFF"/>
        </w:rPr>
        <w:t>Zetteler</w:t>
      </w:r>
      <w:proofErr w:type="spellEnd"/>
      <w:r w:rsidRPr="006D4CB5">
        <w:rPr>
          <w:color w:val="000000" w:themeColor="text1"/>
          <w:shd w:val="clear" w:color="auto" w:fill="FFFFFF"/>
        </w:rPr>
        <w:t xml:space="preserve">, J. I., &amp; Clark, T. G. (2007). Personality and smoking status: A meta-analysis. </w:t>
      </w:r>
      <w:r w:rsidRPr="006D4CB5">
        <w:rPr>
          <w:i/>
          <w:iCs/>
          <w:color w:val="000000" w:themeColor="text1"/>
          <w:shd w:val="clear" w:color="auto" w:fill="FFFFFF"/>
        </w:rPr>
        <w:t>Nicotine &amp; tobacco research</w:t>
      </w:r>
      <w:r w:rsidRPr="006D4CB5">
        <w:rPr>
          <w:color w:val="000000" w:themeColor="text1"/>
          <w:shd w:val="clear" w:color="auto" w:fill="FFFFFF"/>
        </w:rPr>
        <w:t xml:space="preserve">, </w:t>
      </w:r>
      <w:r w:rsidRPr="006D4CB5">
        <w:rPr>
          <w:i/>
          <w:iCs/>
          <w:color w:val="000000" w:themeColor="text1"/>
          <w:shd w:val="clear" w:color="auto" w:fill="FFFFFF"/>
        </w:rPr>
        <w:t>9</w:t>
      </w:r>
      <w:r w:rsidRPr="006D4CB5">
        <w:rPr>
          <w:color w:val="000000" w:themeColor="text1"/>
          <w:shd w:val="clear" w:color="auto" w:fill="FFFFFF"/>
        </w:rPr>
        <w:t>(3), 405-413.</w:t>
      </w:r>
    </w:p>
    <w:p w14:paraId="06F515D8" w14:textId="060CFFAD" w:rsidR="00617830" w:rsidRPr="006D4CB5" w:rsidRDefault="00617830" w:rsidP="002A7759">
      <w:pPr>
        <w:ind w:left="720" w:hanging="720"/>
        <w:rPr>
          <w:color w:val="000000" w:themeColor="text1"/>
          <w:shd w:val="clear" w:color="auto" w:fill="FFFFFF"/>
        </w:rPr>
      </w:pPr>
      <w:r w:rsidRPr="006D4CB5">
        <w:rPr>
          <w:color w:val="000000" w:themeColor="text1"/>
          <w:shd w:val="clear" w:color="auto" w:fill="FFFFFF"/>
        </w:rPr>
        <w:t>Murray, A. L., Johnson, W., McGue, M., &amp; Iacono, W. G. (2014). How are conscientiousness and cognitive ability related to one another? A re-examination of the intelligence compensation hypothesis. </w:t>
      </w:r>
      <w:r w:rsidRPr="006D4CB5">
        <w:rPr>
          <w:i/>
          <w:iCs/>
          <w:color w:val="000000" w:themeColor="text1"/>
          <w:shd w:val="clear" w:color="auto" w:fill="FFFFFF"/>
        </w:rPr>
        <w:t>Personality and individual differences</w:t>
      </w:r>
      <w:r w:rsidRPr="006D4CB5">
        <w:rPr>
          <w:color w:val="000000" w:themeColor="text1"/>
          <w:shd w:val="clear" w:color="auto" w:fill="FFFFFF"/>
        </w:rPr>
        <w:t>, </w:t>
      </w:r>
      <w:r w:rsidRPr="006D4CB5">
        <w:rPr>
          <w:i/>
          <w:iCs/>
          <w:color w:val="000000" w:themeColor="text1"/>
          <w:shd w:val="clear" w:color="auto" w:fill="FFFFFF"/>
        </w:rPr>
        <w:t>70</w:t>
      </w:r>
      <w:r w:rsidRPr="006D4CB5">
        <w:rPr>
          <w:color w:val="000000" w:themeColor="text1"/>
          <w:shd w:val="clear" w:color="auto" w:fill="FFFFFF"/>
        </w:rPr>
        <w:t>, 17-22.</w:t>
      </w:r>
    </w:p>
    <w:p w14:paraId="3C0DD8D5" w14:textId="77777777" w:rsidR="002A7759" w:rsidRPr="006D4CB5" w:rsidRDefault="002A7759" w:rsidP="002A7759">
      <w:pPr>
        <w:rPr>
          <w:color w:val="000000" w:themeColor="text1"/>
        </w:rPr>
      </w:pPr>
      <w:r w:rsidRPr="006D4CB5">
        <w:rPr>
          <w:color w:val="000000" w:themeColor="text1"/>
        </w:rPr>
        <w:t xml:space="preserve">Nagy, R., Boutin, T.S., Marten, J. Huffman, J.E., Kerr, S.M., Campbell, A., Evenden, L., </w:t>
      </w:r>
    </w:p>
    <w:p w14:paraId="7A4439C5" w14:textId="7D3E2E46" w:rsidR="002A7759" w:rsidRPr="006D4CB5" w:rsidRDefault="002A7759" w:rsidP="002A7759">
      <w:pPr>
        <w:ind w:left="720"/>
        <w:rPr>
          <w:color w:val="000000" w:themeColor="text1"/>
        </w:rPr>
      </w:pPr>
      <w:r w:rsidRPr="006D4CB5">
        <w:rPr>
          <w:color w:val="000000" w:themeColor="text1"/>
        </w:rPr>
        <w:t>Gibson, J., Amador, C., Howard, D.M., Navarro, P., Morris, A., Deary, I.J., Hocking, L.J., Padmanabhan, S., Smith, B.H., Joshi, P., Wilson, J.F., Hastie, N.D., … Hayward, C. (2017). Exploration of haplotype research consortium imputation for genome-wide association studies in 20,032 Generation Scotland participants. </w:t>
      </w:r>
      <w:r w:rsidRPr="006D4CB5">
        <w:rPr>
          <w:i/>
          <w:iCs/>
          <w:color w:val="000000" w:themeColor="text1"/>
        </w:rPr>
        <w:t xml:space="preserve">Genome </w:t>
      </w:r>
      <w:r w:rsidR="00EB3D6B" w:rsidRPr="006D4CB5">
        <w:rPr>
          <w:i/>
          <w:iCs/>
          <w:color w:val="000000" w:themeColor="text1"/>
        </w:rPr>
        <w:t>m</w:t>
      </w:r>
      <w:r w:rsidRPr="006D4CB5">
        <w:rPr>
          <w:i/>
          <w:iCs/>
          <w:color w:val="000000" w:themeColor="text1"/>
        </w:rPr>
        <w:t>edicine, 9</w:t>
      </w:r>
      <w:r w:rsidRPr="006D4CB5">
        <w:rPr>
          <w:color w:val="000000" w:themeColor="text1"/>
        </w:rPr>
        <w:t xml:space="preserve">, 23. </w:t>
      </w:r>
    </w:p>
    <w:p w14:paraId="266924F7" w14:textId="77777777" w:rsidR="002A7759" w:rsidRPr="006D4CB5" w:rsidRDefault="002A7759" w:rsidP="002A7759">
      <w:pPr>
        <w:pBdr>
          <w:top w:val="nil"/>
          <w:left w:val="nil"/>
          <w:bottom w:val="nil"/>
          <w:right w:val="nil"/>
          <w:between w:val="nil"/>
        </w:pBdr>
        <w:rPr>
          <w:color w:val="000000" w:themeColor="text1"/>
        </w:rPr>
      </w:pPr>
      <w:r w:rsidRPr="006D4CB5">
        <w:rPr>
          <w:color w:val="000000" w:themeColor="text1"/>
        </w:rPr>
        <w:t xml:space="preserve">Nenadić, I., Meller, T., Schmitt, S., Stein, F., Brosch, K., Mosebach, J., Ettinger, U., Grant, P., </w:t>
      </w:r>
    </w:p>
    <w:p w14:paraId="06C7C45F" w14:textId="62765FE5" w:rsidR="002A7759" w:rsidRPr="006D4CB5" w:rsidRDefault="002A7759" w:rsidP="00F14E18">
      <w:pPr>
        <w:pBdr>
          <w:top w:val="nil"/>
          <w:left w:val="nil"/>
          <w:bottom w:val="nil"/>
          <w:right w:val="nil"/>
          <w:between w:val="nil"/>
        </w:pBdr>
        <w:ind w:left="720"/>
        <w:rPr>
          <w:color w:val="000000" w:themeColor="text1"/>
        </w:rPr>
      </w:pPr>
      <w:r w:rsidRPr="006D4CB5">
        <w:rPr>
          <w:color w:val="000000" w:themeColor="text1"/>
        </w:rPr>
        <w:t xml:space="preserve">Meinert, S., Opel, N., Lemke, H., </w:t>
      </w:r>
      <w:proofErr w:type="spellStart"/>
      <w:r w:rsidRPr="006D4CB5">
        <w:rPr>
          <w:color w:val="000000" w:themeColor="text1"/>
        </w:rPr>
        <w:t>Fingas</w:t>
      </w:r>
      <w:proofErr w:type="spellEnd"/>
      <w:r w:rsidRPr="006D4CB5">
        <w:rPr>
          <w:color w:val="000000" w:themeColor="text1"/>
        </w:rPr>
        <w:t xml:space="preserve">, S., Förster, K., Hahn, T., Jansen, A., Andlauer, T.F.M., Forstner, A.J., Heilmann-Heimbach, S., Hall, A.S.M., … Kircher, T. (2022). Polygenic risk for schizophrenia and schizotypal traits in non-clinical subjects. </w:t>
      </w:r>
      <w:r w:rsidRPr="006D4CB5">
        <w:rPr>
          <w:i/>
          <w:color w:val="000000" w:themeColor="text1"/>
        </w:rPr>
        <w:t xml:space="preserve">Psychological </w:t>
      </w:r>
      <w:r w:rsidR="00EB3D6B" w:rsidRPr="006D4CB5">
        <w:rPr>
          <w:i/>
          <w:color w:val="000000" w:themeColor="text1"/>
        </w:rPr>
        <w:t>m</w:t>
      </w:r>
      <w:r w:rsidRPr="006D4CB5">
        <w:rPr>
          <w:i/>
          <w:color w:val="000000" w:themeColor="text1"/>
        </w:rPr>
        <w:t>edicine</w:t>
      </w:r>
      <w:r w:rsidRPr="006D4CB5">
        <w:rPr>
          <w:color w:val="000000" w:themeColor="text1"/>
        </w:rPr>
        <w:t xml:space="preserve">, </w:t>
      </w:r>
      <w:r w:rsidRPr="006D4CB5">
        <w:rPr>
          <w:i/>
          <w:color w:val="000000" w:themeColor="text1"/>
        </w:rPr>
        <w:t>52</w:t>
      </w:r>
      <w:r w:rsidRPr="006D4CB5">
        <w:rPr>
          <w:color w:val="000000" w:themeColor="text1"/>
        </w:rPr>
        <w:t>(6), 1069-1079.</w:t>
      </w:r>
    </w:p>
    <w:p w14:paraId="306244F2" w14:textId="77777777" w:rsidR="00AA6306" w:rsidRPr="006D4CB5" w:rsidRDefault="00AA6306" w:rsidP="00AA6306">
      <w:pPr>
        <w:pBdr>
          <w:top w:val="nil"/>
          <w:left w:val="nil"/>
          <w:bottom w:val="nil"/>
          <w:right w:val="nil"/>
          <w:between w:val="nil"/>
        </w:pBdr>
        <w:rPr>
          <w:color w:val="000000" w:themeColor="text1"/>
          <w:shd w:val="clear" w:color="auto" w:fill="FFFFFF"/>
        </w:rPr>
      </w:pPr>
      <w:r w:rsidRPr="006D4CB5">
        <w:rPr>
          <w:color w:val="000000" w:themeColor="text1"/>
          <w:shd w:val="clear" w:color="auto" w:fill="FFFFFF"/>
        </w:rPr>
        <w:t xml:space="preserve">Noftle, E. E., &amp; Robins, R. W. (2007). Personality predictors of academic outcomes: big five </w:t>
      </w:r>
    </w:p>
    <w:p w14:paraId="126EBBAB" w14:textId="06276535" w:rsidR="00AA6306" w:rsidRPr="006D4CB5" w:rsidRDefault="00AA6306" w:rsidP="00AA6306">
      <w:pPr>
        <w:pBdr>
          <w:top w:val="nil"/>
          <w:left w:val="nil"/>
          <w:bottom w:val="nil"/>
          <w:right w:val="nil"/>
          <w:between w:val="nil"/>
        </w:pBdr>
        <w:ind w:left="720"/>
        <w:rPr>
          <w:color w:val="000000" w:themeColor="text1"/>
          <w:shd w:val="clear" w:color="auto" w:fill="FFFFFF"/>
        </w:rPr>
      </w:pPr>
      <w:r w:rsidRPr="006D4CB5">
        <w:rPr>
          <w:color w:val="000000" w:themeColor="text1"/>
          <w:shd w:val="clear" w:color="auto" w:fill="FFFFFF"/>
        </w:rPr>
        <w:t>correlates of GPA and SAT scores. </w:t>
      </w:r>
      <w:r w:rsidRPr="006D4CB5">
        <w:rPr>
          <w:i/>
          <w:iCs/>
          <w:color w:val="000000" w:themeColor="text1"/>
          <w:shd w:val="clear" w:color="auto" w:fill="FFFFFF"/>
        </w:rPr>
        <w:t>Journal of personality and social psychology</w:t>
      </w:r>
      <w:r w:rsidRPr="006D4CB5">
        <w:rPr>
          <w:color w:val="000000" w:themeColor="text1"/>
          <w:shd w:val="clear" w:color="auto" w:fill="FFFFFF"/>
        </w:rPr>
        <w:t>, </w:t>
      </w:r>
      <w:r w:rsidRPr="006D4CB5">
        <w:rPr>
          <w:i/>
          <w:iCs/>
          <w:color w:val="000000" w:themeColor="text1"/>
          <w:shd w:val="clear" w:color="auto" w:fill="FFFFFF"/>
        </w:rPr>
        <w:t>93</w:t>
      </w:r>
      <w:r w:rsidRPr="006D4CB5">
        <w:rPr>
          <w:color w:val="000000" w:themeColor="text1"/>
          <w:shd w:val="clear" w:color="auto" w:fill="FFFFFF"/>
        </w:rPr>
        <w:t>(1), 116-130.</w:t>
      </w:r>
    </w:p>
    <w:p w14:paraId="38C51E72" w14:textId="77777777" w:rsidR="002A7759" w:rsidRPr="006D4CB5" w:rsidRDefault="002A7759" w:rsidP="002A7759">
      <w:pPr>
        <w:rPr>
          <w:color w:val="000000" w:themeColor="text1"/>
        </w:rPr>
      </w:pPr>
      <w:proofErr w:type="spellStart"/>
      <w:r w:rsidRPr="006D4CB5">
        <w:rPr>
          <w:color w:val="000000" w:themeColor="text1"/>
        </w:rPr>
        <w:t>Northstone</w:t>
      </w:r>
      <w:proofErr w:type="spellEnd"/>
      <w:r w:rsidRPr="006D4CB5">
        <w:rPr>
          <w:color w:val="000000" w:themeColor="text1"/>
        </w:rPr>
        <w:t xml:space="preserve">, K., </w:t>
      </w:r>
      <w:proofErr w:type="spellStart"/>
      <w:r w:rsidRPr="006D4CB5">
        <w:rPr>
          <w:color w:val="000000" w:themeColor="text1"/>
        </w:rPr>
        <w:t>Lewcock</w:t>
      </w:r>
      <w:proofErr w:type="spellEnd"/>
      <w:r w:rsidRPr="006D4CB5">
        <w:rPr>
          <w:color w:val="000000" w:themeColor="text1"/>
        </w:rPr>
        <w:t xml:space="preserve">, M., Groom, A., Boyd, A., Macleod, J., Timpson, N., &amp; Wells, N. </w:t>
      </w:r>
    </w:p>
    <w:p w14:paraId="5E97FB9C" w14:textId="783BE34C" w:rsidR="002A7759" w:rsidRPr="006D4CB5" w:rsidRDefault="002A7759" w:rsidP="00F14E18">
      <w:pPr>
        <w:ind w:left="720"/>
        <w:rPr>
          <w:color w:val="000000" w:themeColor="text1"/>
        </w:rPr>
      </w:pPr>
      <w:r w:rsidRPr="006D4CB5">
        <w:rPr>
          <w:color w:val="000000" w:themeColor="text1"/>
        </w:rPr>
        <w:lastRenderedPageBreak/>
        <w:t>(2019). The Avon Longitudinal Study of Parents and Children (ALSPAC): An update on the enrolled sample of index children in 2019. </w:t>
      </w:r>
      <w:proofErr w:type="spellStart"/>
      <w:r w:rsidRPr="006D4CB5">
        <w:rPr>
          <w:i/>
          <w:iCs/>
          <w:color w:val="000000" w:themeColor="text1"/>
        </w:rPr>
        <w:t>Wellcome</w:t>
      </w:r>
      <w:proofErr w:type="spellEnd"/>
      <w:r w:rsidRPr="006D4CB5">
        <w:rPr>
          <w:i/>
          <w:iCs/>
          <w:color w:val="000000" w:themeColor="text1"/>
        </w:rPr>
        <w:t xml:space="preserve"> </w:t>
      </w:r>
      <w:r w:rsidR="00EB3D6B" w:rsidRPr="006D4CB5">
        <w:rPr>
          <w:i/>
          <w:iCs/>
          <w:color w:val="000000" w:themeColor="text1"/>
        </w:rPr>
        <w:t>o</w:t>
      </w:r>
      <w:r w:rsidRPr="006D4CB5">
        <w:rPr>
          <w:i/>
          <w:iCs/>
          <w:color w:val="000000" w:themeColor="text1"/>
        </w:rPr>
        <w:t xml:space="preserve">pen </w:t>
      </w:r>
      <w:r w:rsidR="00EB3D6B" w:rsidRPr="006D4CB5">
        <w:rPr>
          <w:i/>
          <w:iCs/>
          <w:color w:val="000000" w:themeColor="text1"/>
        </w:rPr>
        <w:t>r</w:t>
      </w:r>
      <w:r w:rsidRPr="006D4CB5">
        <w:rPr>
          <w:i/>
          <w:iCs/>
          <w:color w:val="000000" w:themeColor="text1"/>
        </w:rPr>
        <w:t>esearch</w:t>
      </w:r>
      <w:r w:rsidRPr="006D4CB5">
        <w:rPr>
          <w:color w:val="000000" w:themeColor="text1"/>
        </w:rPr>
        <w:t>, </w:t>
      </w:r>
      <w:r w:rsidRPr="006D4CB5">
        <w:rPr>
          <w:i/>
          <w:iCs/>
          <w:color w:val="000000" w:themeColor="text1"/>
        </w:rPr>
        <w:t>4</w:t>
      </w:r>
      <w:r w:rsidRPr="006D4CB5">
        <w:rPr>
          <w:color w:val="000000" w:themeColor="text1"/>
        </w:rPr>
        <w:t>.</w:t>
      </w:r>
    </w:p>
    <w:p w14:paraId="079C689E"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Novick, M. R., Jackson, P. H., &amp; Thayer, D. T. (1971). Bayesian inference and the classical test theory model: Reliability and true scores.</w:t>
      </w:r>
      <w:r w:rsidRPr="006D4CB5">
        <w:rPr>
          <w:rFonts w:eastAsia="Arial"/>
          <w:color w:val="000000" w:themeColor="text1"/>
        </w:rPr>
        <w:t> </w:t>
      </w:r>
      <w:r w:rsidRPr="006D4CB5">
        <w:rPr>
          <w:rFonts w:eastAsia="Aptos"/>
          <w:i/>
          <w:iCs/>
          <w:color w:val="000000" w:themeColor="text1"/>
        </w:rPr>
        <w:t>Psychometrika</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36</w:t>
      </w:r>
      <w:r w:rsidRPr="006D4CB5">
        <w:rPr>
          <w:rFonts w:eastAsia="Aptos"/>
          <w:color w:val="000000" w:themeColor="text1"/>
        </w:rPr>
        <w:t xml:space="preserve">(3), 261-288. </w:t>
      </w:r>
    </w:p>
    <w:p w14:paraId="166619D1" w14:textId="77777777" w:rsidR="002A7759" w:rsidRPr="006D4CB5" w:rsidRDefault="002A7759" w:rsidP="002A7759">
      <w:pPr>
        <w:rPr>
          <w:color w:val="000000" w:themeColor="text1"/>
        </w:rPr>
      </w:pPr>
      <w:r w:rsidRPr="006D4CB5">
        <w:rPr>
          <w:color w:val="000000" w:themeColor="text1"/>
        </w:rPr>
        <w:t xml:space="preserve">Nutile, T., Ruggiero, D., Herzig, A. F., Tirozzi, A., Nappo, S., Sorice, R., </w:t>
      </w:r>
      <w:proofErr w:type="spellStart"/>
      <w:r w:rsidRPr="006D4CB5">
        <w:rPr>
          <w:color w:val="000000" w:themeColor="text1"/>
        </w:rPr>
        <w:t>Marangio</w:t>
      </w:r>
      <w:proofErr w:type="spellEnd"/>
      <w:r w:rsidRPr="006D4CB5">
        <w:rPr>
          <w:color w:val="000000" w:themeColor="text1"/>
        </w:rPr>
        <w:t xml:space="preserve">, F., </w:t>
      </w:r>
    </w:p>
    <w:p w14:paraId="65F9250A" w14:textId="77777777" w:rsidR="002A7759" w:rsidRPr="006D4CB5" w:rsidRDefault="002A7759" w:rsidP="002A7759">
      <w:pPr>
        <w:ind w:left="720"/>
        <w:rPr>
          <w:color w:val="000000" w:themeColor="text1"/>
        </w:rPr>
      </w:pPr>
      <w:proofErr w:type="spellStart"/>
      <w:r w:rsidRPr="006D4CB5">
        <w:rPr>
          <w:color w:val="000000" w:themeColor="text1"/>
        </w:rPr>
        <w:t>Bellenguez</w:t>
      </w:r>
      <w:proofErr w:type="spellEnd"/>
      <w:r w:rsidRPr="006D4CB5">
        <w:rPr>
          <w:color w:val="000000" w:themeColor="text1"/>
        </w:rPr>
        <w:t xml:space="preserve">, C., </w:t>
      </w:r>
      <w:proofErr w:type="spellStart"/>
      <w:r w:rsidRPr="006D4CB5">
        <w:rPr>
          <w:color w:val="000000" w:themeColor="text1"/>
        </w:rPr>
        <w:t>Leutenegger</w:t>
      </w:r>
      <w:proofErr w:type="spellEnd"/>
      <w:r w:rsidRPr="006D4CB5">
        <w:rPr>
          <w:color w:val="000000" w:themeColor="text1"/>
        </w:rPr>
        <w:t>, A.L., &amp; Ciullo, M. (2019). Whole-exome sequencing in the isolated populations of Cilento from South Italy. Scientific Reports, 9(1), 4059.</w:t>
      </w:r>
    </w:p>
    <w:p w14:paraId="220EE0BA" w14:textId="77777777" w:rsidR="002A7759" w:rsidRPr="006D4CB5" w:rsidRDefault="002A7759" w:rsidP="002A7759">
      <w:pPr>
        <w:rPr>
          <w:color w:val="000000" w:themeColor="text1"/>
          <w:lang w:val="nl-NL"/>
        </w:rPr>
      </w:pPr>
      <w:proofErr w:type="spellStart"/>
      <w:r w:rsidRPr="006D4CB5">
        <w:rPr>
          <w:color w:val="000000" w:themeColor="text1"/>
          <w:lang w:val="nl-NL"/>
        </w:rPr>
        <w:t>Oldehinkel</w:t>
      </w:r>
      <w:proofErr w:type="spellEnd"/>
      <w:r w:rsidRPr="006D4CB5">
        <w:rPr>
          <w:color w:val="000000" w:themeColor="text1"/>
          <w:lang w:val="nl-NL"/>
        </w:rPr>
        <w:t xml:space="preserve">, A.J., Rosmalen, J.G.M., Buitelaar, J.K., Hoek, H.W., Ormel, J., Raven, D., </w:t>
      </w:r>
    </w:p>
    <w:p w14:paraId="5BE4B467" w14:textId="60A5EFD0" w:rsidR="002A7759" w:rsidRPr="006D4CB5" w:rsidRDefault="002A7759" w:rsidP="00F14E18">
      <w:pPr>
        <w:ind w:left="720"/>
        <w:rPr>
          <w:color w:val="000000" w:themeColor="text1"/>
        </w:rPr>
      </w:pPr>
      <w:proofErr w:type="spellStart"/>
      <w:r w:rsidRPr="006D4CB5">
        <w:rPr>
          <w:color w:val="000000" w:themeColor="text1"/>
          <w:lang w:val="nl-NL"/>
        </w:rPr>
        <w:t>Reijneveld</w:t>
      </w:r>
      <w:proofErr w:type="spellEnd"/>
      <w:r w:rsidRPr="006D4CB5">
        <w:rPr>
          <w:color w:val="000000" w:themeColor="text1"/>
          <w:lang w:val="nl-NL"/>
        </w:rPr>
        <w:t xml:space="preserve">, S.A., Veenstra, R., Verhulst, F.C., </w:t>
      </w:r>
      <w:proofErr w:type="spellStart"/>
      <w:r w:rsidRPr="006D4CB5">
        <w:rPr>
          <w:color w:val="000000" w:themeColor="text1"/>
          <w:lang w:val="nl-NL"/>
        </w:rPr>
        <w:t>Vollebergh</w:t>
      </w:r>
      <w:proofErr w:type="spellEnd"/>
      <w:r w:rsidRPr="006D4CB5">
        <w:rPr>
          <w:color w:val="000000" w:themeColor="text1"/>
          <w:lang w:val="nl-NL"/>
        </w:rPr>
        <w:t xml:space="preserve">, W.A.M., &amp; Hartman, C.A. (2015). </w:t>
      </w:r>
      <w:r w:rsidRPr="006D4CB5">
        <w:rPr>
          <w:color w:val="000000" w:themeColor="text1"/>
        </w:rPr>
        <w:t xml:space="preserve">Cohort Profile update. The </w:t>
      </w:r>
      <w:proofErr w:type="spellStart"/>
      <w:r w:rsidRPr="006D4CB5">
        <w:rPr>
          <w:color w:val="000000" w:themeColor="text1"/>
        </w:rPr>
        <w:t>TRacking</w:t>
      </w:r>
      <w:proofErr w:type="spellEnd"/>
      <w:r w:rsidRPr="006D4CB5">
        <w:rPr>
          <w:color w:val="000000" w:themeColor="text1"/>
        </w:rPr>
        <w:t xml:space="preserve"> Adolescents’ Individual Lives Survey (TRAILS). </w:t>
      </w:r>
      <w:r w:rsidRPr="006D4CB5">
        <w:rPr>
          <w:i/>
          <w:iCs/>
          <w:color w:val="000000" w:themeColor="text1"/>
          <w:lang w:val="nl-NL"/>
        </w:rPr>
        <w:t xml:space="preserve">International </w:t>
      </w:r>
      <w:proofErr w:type="spellStart"/>
      <w:r w:rsidR="00EB3D6B" w:rsidRPr="006D4CB5">
        <w:rPr>
          <w:i/>
          <w:iCs/>
          <w:color w:val="000000" w:themeColor="text1"/>
          <w:lang w:val="nl-NL"/>
        </w:rPr>
        <w:t>j</w:t>
      </w:r>
      <w:r w:rsidRPr="006D4CB5">
        <w:rPr>
          <w:i/>
          <w:iCs/>
          <w:color w:val="000000" w:themeColor="text1"/>
          <w:lang w:val="nl-NL"/>
        </w:rPr>
        <w:t>ournal</w:t>
      </w:r>
      <w:proofErr w:type="spellEnd"/>
      <w:r w:rsidRPr="006D4CB5">
        <w:rPr>
          <w:i/>
          <w:iCs/>
          <w:color w:val="000000" w:themeColor="text1"/>
          <w:lang w:val="nl-NL"/>
        </w:rPr>
        <w:t xml:space="preserve"> of </w:t>
      </w:r>
      <w:proofErr w:type="spellStart"/>
      <w:r w:rsidR="00EB3D6B" w:rsidRPr="006D4CB5">
        <w:rPr>
          <w:i/>
          <w:iCs/>
          <w:color w:val="000000" w:themeColor="text1"/>
          <w:lang w:val="nl-NL"/>
        </w:rPr>
        <w:t>e</w:t>
      </w:r>
      <w:r w:rsidRPr="006D4CB5">
        <w:rPr>
          <w:i/>
          <w:iCs/>
          <w:color w:val="000000" w:themeColor="text1"/>
          <w:lang w:val="nl-NL"/>
        </w:rPr>
        <w:t>pidemiology</w:t>
      </w:r>
      <w:proofErr w:type="spellEnd"/>
      <w:r w:rsidRPr="006D4CB5">
        <w:rPr>
          <w:color w:val="000000" w:themeColor="text1"/>
          <w:lang w:val="nl-NL"/>
        </w:rPr>
        <w:t xml:space="preserve">, </w:t>
      </w:r>
      <w:r w:rsidRPr="006D4CB5">
        <w:rPr>
          <w:i/>
          <w:iCs/>
          <w:color w:val="000000" w:themeColor="text1"/>
        </w:rPr>
        <w:t>44</w:t>
      </w:r>
      <w:r w:rsidRPr="006D4CB5">
        <w:rPr>
          <w:color w:val="000000" w:themeColor="text1"/>
        </w:rPr>
        <w:t>(1), 76-76n.</w:t>
      </w:r>
    </w:p>
    <w:p w14:paraId="6FE9C42F" w14:textId="77777777" w:rsidR="002A7759" w:rsidRPr="006D4CB5" w:rsidRDefault="002A7759" w:rsidP="002A7759">
      <w:pPr>
        <w:ind w:left="720" w:hanging="720"/>
        <w:rPr>
          <w:color w:val="000000" w:themeColor="text1"/>
          <w:shd w:val="clear" w:color="auto" w:fill="FFFFFF"/>
        </w:rPr>
      </w:pPr>
      <w:proofErr w:type="spellStart"/>
      <w:r w:rsidRPr="006D4CB5">
        <w:rPr>
          <w:color w:val="000000" w:themeColor="text1"/>
          <w:shd w:val="clear" w:color="auto" w:fill="FFFFFF"/>
        </w:rPr>
        <w:t>Okbay</w:t>
      </w:r>
      <w:proofErr w:type="spellEnd"/>
      <w:r w:rsidRPr="006D4CB5">
        <w:rPr>
          <w:color w:val="000000" w:themeColor="text1"/>
          <w:shd w:val="clear" w:color="auto" w:fill="FFFFFF"/>
        </w:rPr>
        <w:t xml:space="preserve">, A., </w:t>
      </w:r>
      <w:proofErr w:type="spellStart"/>
      <w:r w:rsidRPr="006D4CB5">
        <w:rPr>
          <w:color w:val="000000" w:themeColor="text1"/>
          <w:shd w:val="clear" w:color="auto" w:fill="FFFFFF"/>
        </w:rPr>
        <w:t>Baselmans</w:t>
      </w:r>
      <w:proofErr w:type="spellEnd"/>
      <w:r w:rsidRPr="006D4CB5">
        <w:rPr>
          <w:color w:val="000000" w:themeColor="text1"/>
          <w:shd w:val="clear" w:color="auto" w:fill="FFFFFF"/>
        </w:rPr>
        <w:t>, B. M., De Neve, J. E., Turley, P., Nivard, M. G., Fontana, M. A., ... &amp; Power, C. (2016). Genetic variants associated with subjective well-being, depressive symptoms, and neuroticism identified through genome-wide analyses. </w:t>
      </w:r>
      <w:r w:rsidRPr="006D4CB5">
        <w:rPr>
          <w:i/>
          <w:iCs/>
          <w:color w:val="000000" w:themeColor="text1"/>
          <w:shd w:val="clear" w:color="auto" w:fill="FFFFFF"/>
        </w:rPr>
        <w:t>Nature genetics</w:t>
      </w:r>
      <w:r w:rsidRPr="006D4CB5">
        <w:rPr>
          <w:color w:val="000000" w:themeColor="text1"/>
          <w:shd w:val="clear" w:color="auto" w:fill="FFFFFF"/>
        </w:rPr>
        <w:t>, </w:t>
      </w:r>
      <w:r w:rsidRPr="006D4CB5">
        <w:rPr>
          <w:i/>
          <w:iCs/>
          <w:color w:val="000000" w:themeColor="text1"/>
          <w:shd w:val="clear" w:color="auto" w:fill="FFFFFF"/>
        </w:rPr>
        <w:t>48</w:t>
      </w:r>
      <w:r w:rsidRPr="006D4CB5">
        <w:rPr>
          <w:color w:val="000000" w:themeColor="text1"/>
          <w:shd w:val="clear" w:color="auto" w:fill="FFFFFF"/>
        </w:rPr>
        <w:t>(6), 624-633.</w:t>
      </w:r>
    </w:p>
    <w:p w14:paraId="76182712" w14:textId="77777777" w:rsidR="002A7759" w:rsidRPr="006D4CB5" w:rsidRDefault="002A7759" w:rsidP="002A7759">
      <w:pPr>
        <w:rPr>
          <w:color w:val="000000" w:themeColor="text1"/>
        </w:rPr>
      </w:pPr>
      <w:proofErr w:type="spellStart"/>
      <w:r w:rsidRPr="006D4CB5">
        <w:rPr>
          <w:color w:val="000000" w:themeColor="text1"/>
        </w:rPr>
        <w:t>Orrù</w:t>
      </w:r>
      <w:proofErr w:type="spellEnd"/>
      <w:r w:rsidRPr="006D4CB5">
        <w:rPr>
          <w:color w:val="000000" w:themeColor="text1"/>
        </w:rPr>
        <w:t xml:space="preserve">, V., Steri, M., Sole, G., </w:t>
      </w:r>
      <w:proofErr w:type="spellStart"/>
      <w:r w:rsidRPr="006D4CB5">
        <w:rPr>
          <w:color w:val="000000" w:themeColor="text1"/>
        </w:rPr>
        <w:t>Sidore</w:t>
      </w:r>
      <w:proofErr w:type="spellEnd"/>
      <w:r w:rsidRPr="006D4CB5">
        <w:rPr>
          <w:color w:val="000000" w:themeColor="text1"/>
        </w:rPr>
        <w:t xml:space="preserve">, C., Virdis, F., Dei, M., Lai, S., </w:t>
      </w:r>
      <w:proofErr w:type="spellStart"/>
      <w:r w:rsidRPr="006D4CB5">
        <w:rPr>
          <w:color w:val="000000" w:themeColor="text1"/>
        </w:rPr>
        <w:t>Zoledziewska</w:t>
      </w:r>
      <w:proofErr w:type="spellEnd"/>
      <w:r w:rsidRPr="006D4CB5">
        <w:rPr>
          <w:color w:val="000000" w:themeColor="text1"/>
        </w:rPr>
        <w:t xml:space="preserve">, M., </w:t>
      </w:r>
    </w:p>
    <w:p w14:paraId="6BB70C02" w14:textId="1A40838A" w:rsidR="002A7759" w:rsidRPr="006D4CB5" w:rsidRDefault="002A7759" w:rsidP="00F14E18">
      <w:pPr>
        <w:ind w:left="720"/>
        <w:rPr>
          <w:color w:val="000000" w:themeColor="text1"/>
        </w:rPr>
      </w:pPr>
      <w:proofErr w:type="spellStart"/>
      <w:r w:rsidRPr="006D4CB5">
        <w:rPr>
          <w:color w:val="000000" w:themeColor="text1"/>
        </w:rPr>
        <w:t>Busonero</w:t>
      </w:r>
      <w:proofErr w:type="spellEnd"/>
      <w:r w:rsidRPr="006D4CB5">
        <w:rPr>
          <w:color w:val="000000" w:themeColor="text1"/>
        </w:rPr>
        <w:t xml:space="preserve">, F., Mulas, A., Floris, M., </w:t>
      </w:r>
      <w:proofErr w:type="spellStart"/>
      <w:r w:rsidRPr="006D4CB5">
        <w:rPr>
          <w:color w:val="000000" w:themeColor="text1"/>
        </w:rPr>
        <w:t>Mentzen</w:t>
      </w:r>
      <w:proofErr w:type="spellEnd"/>
      <w:r w:rsidRPr="006D4CB5">
        <w:rPr>
          <w:color w:val="000000" w:themeColor="text1"/>
        </w:rPr>
        <w:t xml:space="preserve">, W.I., </w:t>
      </w:r>
      <w:proofErr w:type="spellStart"/>
      <w:r w:rsidRPr="006D4CB5">
        <w:rPr>
          <w:color w:val="000000" w:themeColor="text1"/>
        </w:rPr>
        <w:t>Urru</w:t>
      </w:r>
      <w:proofErr w:type="spellEnd"/>
      <w:r w:rsidRPr="006D4CB5">
        <w:rPr>
          <w:color w:val="000000" w:themeColor="text1"/>
        </w:rPr>
        <w:t xml:space="preserve">, S.A.M., Olla, S., Marongiu, M., </w:t>
      </w:r>
      <w:proofErr w:type="spellStart"/>
      <w:r w:rsidRPr="006D4CB5">
        <w:rPr>
          <w:color w:val="000000" w:themeColor="text1"/>
        </w:rPr>
        <w:t>Piras</w:t>
      </w:r>
      <w:proofErr w:type="spellEnd"/>
      <w:r w:rsidRPr="006D4CB5">
        <w:rPr>
          <w:color w:val="000000" w:themeColor="text1"/>
        </w:rPr>
        <w:t xml:space="preserve">, M.G., </w:t>
      </w:r>
      <w:proofErr w:type="spellStart"/>
      <w:r w:rsidRPr="006D4CB5">
        <w:rPr>
          <w:color w:val="000000" w:themeColor="text1"/>
        </w:rPr>
        <w:t>Lobina</w:t>
      </w:r>
      <w:proofErr w:type="spellEnd"/>
      <w:r w:rsidRPr="006D4CB5">
        <w:rPr>
          <w:color w:val="000000" w:themeColor="text1"/>
        </w:rPr>
        <w:t xml:space="preserve">, M., Maschio, A., </w:t>
      </w:r>
      <w:proofErr w:type="spellStart"/>
      <w:r w:rsidRPr="006D4CB5">
        <w:rPr>
          <w:color w:val="000000" w:themeColor="text1"/>
        </w:rPr>
        <w:t>Pitzalis</w:t>
      </w:r>
      <w:proofErr w:type="spellEnd"/>
      <w:r w:rsidRPr="006D4CB5">
        <w:rPr>
          <w:color w:val="000000" w:themeColor="text1"/>
        </w:rPr>
        <w:t xml:space="preserve">, M., … </w:t>
      </w:r>
      <w:proofErr w:type="spellStart"/>
      <w:r w:rsidRPr="006D4CB5">
        <w:rPr>
          <w:color w:val="000000" w:themeColor="text1"/>
        </w:rPr>
        <w:t>Cucca</w:t>
      </w:r>
      <w:proofErr w:type="spellEnd"/>
      <w:r w:rsidRPr="006D4CB5">
        <w:rPr>
          <w:color w:val="000000" w:themeColor="text1"/>
        </w:rPr>
        <w:t xml:space="preserve">, F. (2013).  Genetic variants regulating immune cell levels in health and disease. </w:t>
      </w:r>
      <w:r w:rsidRPr="006D4CB5">
        <w:rPr>
          <w:i/>
          <w:iCs/>
          <w:color w:val="000000" w:themeColor="text1"/>
        </w:rPr>
        <w:t>Cell</w:t>
      </w:r>
      <w:r w:rsidRPr="006D4CB5">
        <w:rPr>
          <w:color w:val="000000" w:themeColor="text1"/>
        </w:rPr>
        <w:t xml:space="preserve">, </w:t>
      </w:r>
      <w:r w:rsidRPr="006D4CB5">
        <w:rPr>
          <w:i/>
          <w:iCs/>
          <w:color w:val="000000" w:themeColor="text1"/>
        </w:rPr>
        <w:t>155</w:t>
      </w:r>
      <w:r w:rsidRPr="006D4CB5">
        <w:rPr>
          <w:color w:val="000000" w:themeColor="text1"/>
        </w:rPr>
        <w:t>, 242–256.</w:t>
      </w:r>
    </w:p>
    <w:p w14:paraId="1F9F4E8A"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Osborne, D., &amp; Sibley, C. G. (2020). Does openness to experience predict changes in </w:t>
      </w:r>
    </w:p>
    <w:p w14:paraId="68549E5D" w14:textId="081C5486" w:rsidR="002A7759" w:rsidRPr="006D4CB5" w:rsidRDefault="002A7759" w:rsidP="00F14E18">
      <w:pPr>
        <w:spacing w:line="259" w:lineRule="auto"/>
        <w:ind w:left="720"/>
        <w:jc w:val="both"/>
        <w:rPr>
          <w:color w:val="000000" w:themeColor="text1"/>
          <w:shd w:val="clear" w:color="auto" w:fill="FFFFFF"/>
        </w:rPr>
      </w:pPr>
      <w:r w:rsidRPr="006D4CB5">
        <w:rPr>
          <w:color w:val="000000" w:themeColor="text1"/>
          <w:shd w:val="clear" w:color="auto" w:fill="FFFFFF"/>
        </w:rPr>
        <w:t>conservatism? A nine-wave longitudinal investigation into the personality roots to ideology. </w:t>
      </w:r>
      <w:r w:rsidRPr="006D4CB5">
        <w:rPr>
          <w:i/>
          <w:iCs/>
          <w:color w:val="000000" w:themeColor="text1"/>
          <w:shd w:val="clear" w:color="auto" w:fill="FFFFFF"/>
        </w:rPr>
        <w:t xml:space="preserve">Journal of </w:t>
      </w:r>
      <w:r w:rsidR="00EB3D6B" w:rsidRPr="006D4CB5">
        <w:rPr>
          <w:i/>
          <w:iCs/>
          <w:color w:val="000000" w:themeColor="text1"/>
          <w:shd w:val="clear" w:color="auto" w:fill="FFFFFF"/>
        </w:rPr>
        <w:t>r</w:t>
      </w:r>
      <w:r w:rsidRPr="006D4CB5">
        <w:rPr>
          <w:i/>
          <w:iCs/>
          <w:color w:val="000000" w:themeColor="text1"/>
          <w:shd w:val="clear" w:color="auto" w:fill="FFFFFF"/>
        </w:rPr>
        <w:t xml:space="preserve">esearch in </w:t>
      </w:r>
      <w:r w:rsidR="00EB3D6B" w:rsidRPr="006D4CB5">
        <w:rPr>
          <w:i/>
          <w:iCs/>
          <w:color w:val="000000" w:themeColor="text1"/>
          <w:shd w:val="clear" w:color="auto" w:fill="FFFFFF"/>
        </w:rPr>
        <w:t>p</w:t>
      </w:r>
      <w:r w:rsidRPr="006D4CB5">
        <w:rPr>
          <w:i/>
          <w:iCs/>
          <w:color w:val="000000" w:themeColor="text1"/>
          <w:shd w:val="clear" w:color="auto" w:fill="FFFFFF"/>
        </w:rPr>
        <w:t>ersonality</w:t>
      </w:r>
      <w:r w:rsidRPr="006D4CB5">
        <w:rPr>
          <w:color w:val="000000" w:themeColor="text1"/>
          <w:shd w:val="clear" w:color="auto" w:fill="FFFFFF"/>
        </w:rPr>
        <w:t>, </w:t>
      </w:r>
      <w:r w:rsidRPr="006D4CB5">
        <w:rPr>
          <w:i/>
          <w:iCs/>
          <w:color w:val="000000" w:themeColor="text1"/>
          <w:shd w:val="clear" w:color="auto" w:fill="FFFFFF"/>
        </w:rPr>
        <w:t>87</w:t>
      </w:r>
      <w:r w:rsidRPr="006D4CB5">
        <w:rPr>
          <w:color w:val="000000" w:themeColor="text1"/>
          <w:shd w:val="clear" w:color="auto" w:fill="FFFFFF"/>
        </w:rPr>
        <w:t>, 103979.</w:t>
      </w:r>
    </w:p>
    <w:p w14:paraId="114C365F" w14:textId="77777777" w:rsidR="002A7759" w:rsidRPr="006D4CB5" w:rsidRDefault="002A7759" w:rsidP="002A7759">
      <w:pPr>
        <w:rPr>
          <w:i/>
          <w:iCs/>
          <w:noProof/>
          <w:color w:val="000000" w:themeColor="text1"/>
        </w:rPr>
      </w:pPr>
      <w:r w:rsidRPr="006D4CB5">
        <w:rPr>
          <w:noProof/>
          <w:color w:val="000000" w:themeColor="text1"/>
        </w:rPr>
        <w:t xml:space="preserve">Ostendorf, F. &amp; Angleitner, A. (2004). </w:t>
      </w:r>
      <w:r w:rsidRPr="006D4CB5">
        <w:rPr>
          <w:i/>
          <w:iCs/>
          <w:noProof/>
          <w:color w:val="000000" w:themeColor="text1"/>
        </w:rPr>
        <w:t xml:space="preserve">NEO-Persönlichkeitsinventar nach Costa und McCrae, </w:t>
      </w:r>
    </w:p>
    <w:p w14:paraId="1B935BFA" w14:textId="00789629" w:rsidR="002A7759" w:rsidRPr="006D4CB5" w:rsidRDefault="002A7759" w:rsidP="00F14E18">
      <w:pPr>
        <w:ind w:firstLine="720"/>
        <w:rPr>
          <w:color w:val="000000" w:themeColor="text1"/>
        </w:rPr>
      </w:pPr>
      <w:r w:rsidRPr="006D4CB5">
        <w:rPr>
          <w:i/>
          <w:iCs/>
          <w:noProof/>
          <w:color w:val="000000" w:themeColor="text1"/>
        </w:rPr>
        <w:t>Revidierte Fassung (NEO-PI-R)</w:t>
      </w:r>
      <w:r w:rsidRPr="006D4CB5">
        <w:rPr>
          <w:noProof/>
          <w:color w:val="000000" w:themeColor="text1"/>
        </w:rPr>
        <w:t>: Hogrefe Göttingen.</w:t>
      </w:r>
    </w:p>
    <w:p w14:paraId="7F3C4787"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Peters, H., Götz, F. M., Ebert, T., Müller, S. R., Rentfrow, P. J., Gosling, S. D., ... &amp; Matz, S. C. (2023). Regional personality differences predict variation in early COVID-19 infections and mobility patterns indicative of social distancing. </w:t>
      </w:r>
      <w:r w:rsidRPr="006D4CB5">
        <w:rPr>
          <w:i/>
          <w:iCs/>
          <w:color w:val="000000" w:themeColor="text1"/>
          <w:shd w:val="clear" w:color="auto" w:fill="FFFFFF"/>
        </w:rPr>
        <w:t>Journal of personality and social psychology</w:t>
      </w:r>
      <w:r w:rsidRPr="006D4CB5">
        <w:rPr>
          <w:color w:val="000000" w:themeColor="text1"/>
          <w:shd w:val="clear" w:color="auto" w:fill="FFFFFF"/>
        </w:rPr>
        <w:t xml:space="preserve">, </w:t>
      </w:r>
      <w:r w:rsidRPr="006D4CB5">
        <w:rPr>
          <w:i/>
          <w:iCs/>
          <w:color w:val="000000" w:themeColor="text1"/>
          <w:shd w:val="clear" w:color="auto" w:fill="FFFFFF"/>
        </w:rPr>
        <w:t>124</w:t>
      </w:r>
      <w:r w:rsidRPr="006D4CB5">
        <w:rPr>
          <w:color w:val="000000" w:themeColor="text1"/>
          <w:shd w:val="clear" w:color="auto" w:fill="FFFFFF"/>
        </w:rPr>
        <w:t>(4), 848-872.</w:t>
      </w:r>
    </w:p>
    <w:p w14:paraId="469111B6" w14:textId="77777777" w:rsidR="002A7759" w:rsidRPr="006D4CB5" w:rsidRDefault="002A7759" w:rsidP="002A7759">
      <w:pPr>
        <w:ind w:left="720" w:hanging="720"/>
        <w:rPr>
          <w:color w:val="000000" w:themeColor="text1"/>
          <w:shd w:val="clear" w:color="auto" w:fill="FFFFFF"/>
        </w:rPr>
      </w:pPr>
      <w:proofErr w:type="spellStart"/>
      <w:r w:rsidRPr="006D4CB5">
        <w:rPr>
          <w:color w:val="000000" w:themeColor="text1"/>
          <w:shd w:val="clear" w:color="auto" w:fill="FFFFFF"/>
        </w:rPr>
        <w:t>Polderman</w:t>
      </w:r>
      <w:proofErr w:type="spellEnd"/>
      <w:r w:rsidRPr="006D4CB5">
        <w:rPr>
          <w:color w:val="000000" w:themeColor="text1"/>
          <w:shd w:val="clear" w:color="auto" w:fill="FFFFFF"/>
        </w:rPr>
        <w:t>, T. J., Benyamin, B., De Leeuw, C. A., Sullivan, P. F., Van Bochoven, A., Visscher, P. M., &amp; Posthuma, D. (2015). Meta-analysis of the heritability of human traits based on fifty years of twin studies. </w:t>
      </w:r>
      <w:r w:rsidRPr="006D4CB5">
        <w:rPr>
          <w:i/>
          <w:iCs/>
          <w:color w:val="000000" w:themeColor="text1"/>
          <w:shd w:val="clear" w:color="auto" w:fill="FFFFFF"/>
        </w:rPr>
        <w:t>Nature genetics</w:t>
      </w:r>
      <w:r w:rsidRPr="006D4CB5">
        <w:rPr>
          <w:color w:val="000000" w:themeColor="text1"/>
          <w:shd w:val="clear" w:color="auto" w:fill="FFFFFF"/>
        </w:rPr>
        <w:t>, </w:t>
      </w:r>
      <w:r w:rsidRPr="006D4CB5">
        <w:rPr>
          <w:i/>
          <w:iCs/>
          <w:color w:val="000000" w:themeColor="text1"/>
          <w:shd w:val="clear" w:color="auto" w:fill="FFFFFF"/>
        </w:rPr>
        <w:t>47</w:t>
      </w:r>
      <w:r w:rsidRPr="006D4CB5">
        <w:rPr>
          <w:color w:val="000000" w:themeColor="text1"/>
          <w:shd w:val="clear" w:color="auto" w:fill="FFFFFF"/>
        </w:rPr>
        <w:t>(7), 702-709.</w:t>
      </w:r>
    </w:p>
    <w:p w14:paraId="7EE4AAD9"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Poore, H. E., &amp; Waldman, I. D. (2025). Associations among externalizing psychopathology, </w:t>
      </w:r>
    </w:p>
    <w:p w14:paraId="46613CC6" w14:textId="1A6EB988" w:rsidR="002A7759" w:rsidRPr="006D4CB5" w:rsidRDefault="002A7759" w:rsidP="00F14E18">
      <w:pPr>
        <w:spacing w:line="259" w:lineRule="auto"/>
        <w:ind w:left="720"/>
        <w:jc w:val="both"/>
        <w:rPr>
          <w:color w:val="000000" w:themeColor="text1"/>
          <w:shd w:val="clear" w:color="auto" w:fill="FFFFFF"/>
        </w:rPr>
      </w:pPr>
      <w:r w:rsidRPr="006D4CB5">
        <w:rPr>
          <w:color w:val="000000" w:themeColor="text1"/>
          <w:shd w:val="clear" w:color="auto" w:fill="FFFFFF"/>
        </w:rPr>
        <w:t>personality, and behavioral traits: Models of an externalizing spectrum in youth. </w:t>
      </w:r>
      <w:r w:rsidRPr="006D4CB5">
        <w:rPr>
          <w:i/>
          <w:iCs/>
          <w:color w:val="000000" w:themeColor="text1"/>
          <w:shd w:val="clear" w:color="auto" w:fill="FFFFFF"/>
        </w:rPr>
        <w:t xml:space="preserve">Personality </w:t>
      </w:r>
      <w:r w:rsidR="00EB3D6B" w:rsidRPr="006D4CB5">
        <w:rPr>
          <w:i/>
          <w:iCs/>
          <w:color w:val="000000" w:themeColor="text1"/>
          <w:shd w:val="clear" w:color="auto" w:fill="FFFFFF"/>
        </w:rPr>
        <w:t>d</w:t>
      </w:r>
      <w:r w:rsidRPr="006D4CB5">
        <w:rPr>
          <w:i/>
          <w:iCs/>
          <w:color w:val="000000" w:themeColor="text1"/>
          <w:shd w:val="clear" w:color="auto" w:fill="FFFFFF"/>
        </w:rPr>
        <w:t xml:space="preserve">isorders: Theory, </w:t>
      </w:r>
      <w:r w:rsidR="00EB3D6B" w:rsidRPr="006D4CB5">
        <w:rPr>
          <w:i/>
          <w:iCs/>
          <w:color w:val="000000" w:themeColor="text1"/>
          <w:shd w:val="clear" w:color="auto" w:fill="FFFFFF"/>
        </w:rPr>
        <w:t>r</w:t>
      </w:r>
      <w:r w:rsidRPr="006D4CB5">
        <w:rPr>
          <w:i/>
          <w:iCs/>
          <w:color w:val="000000" w:themeColor="text1"/>
          <w:shd w:val="clear" w:color="auto" w:fill="FFFFFF"/>
        </w:rPr>
        <w:t xml:space="preserve">esearch, and </w:t>
      </w:r>
      <w:r w:rsidR="00EB3D6B" w:rsidRPr="006D4CB5">
        <w:rPr>
          <w:i/>
          <w:iCs/>
          <w:color w:val="000000" w:themeColor="text1"/>
          <w:shd w:val="clear" w:color="auto" w:fill="FFFFFF"/>
        </w:rPr>
        <w:t>t</w:t>
      </w:r>
      <w:r w:rsidRPr="006D4CB5">
        <w:rPr>
          <w:i/>
          <w:iCs/>
          <w:color w:val="000000" w:themeColor="text1"/>
          <w:shd w:val="clear" w:color="auto" w:fill="FFFFFF"/>
        </w:rPr>
        <w:t>reatment</w:t>
      </w:r>
      <w:r w:rsidRPr="006D4CB5">
        <w:rPr>
          <w:color w:val="000000" w:themeColor="text1"/>
          <w:shd w:val="clear" w:color="auto" w:fill="FFFFFF"/>
        </w:rPr>
        <w:t>, </w:t>
      </w:r>
      <w:r w:rsidRPr="006D4CB5">
        <w:rPr>
          <w:i/>
          <w:iCs/>
          <w:color w:val="000000" w:themeColor="text1"/>
          <w:shd w:val="clear" w:color="auto" w:fill="FFFFFF"/>
        </w:rPr>
        <w:t>16</w:t>
      </w:r>
      <w:r w:rsidRPr="006D4CB5">
        <w:rPr>
          <w:color w:val="000000" w:themeColor="text1"/>
          <w:shd w:val="clear" w:color="auto" w:fill="FFFFFF"/>
        </w:rPr>
        <w:t>(1), 8.</w:t>
      </w:r>
    </w:p>
    <w:p w14:paraId="1B65409D" w14:textId="77777777" w:rsidR="002A7759" w:rsidRPr="006D4CB5" w:rsidRDefault="002A7759" w:rsidP="002A7759">
      <w:pPr>
        <w:rPr>
          <w:color w:val="000000" w:themeColor="text1"/>
        </w:rPr>
      </w:pPr>
      <w:r w:rsidRPr="006D4CB5">
        <w:rPr>
          <w:color w:val="000000" w:themeColor="text1"/>
        </w:rPr>
        <w:t xml:space="preserve">Pulver A., Allik J., Pulkkinen L., &amp; Hämäläinen M. The Big Five Personality Inventory in two </w:t>
      </w:r>
    </w:p>
    <w:p w14:paraId="166C81DB" w14:textId="77777777" w:rsidR="002A7759" w:rsidRPr="006D4CB5" w:rsidRDefault="002A7759" w:rsidP="002A7759">
      <w:pPr>
        <w:ind w:firstLine="720"/>
        <w:rPr>
          <w:color w:val="000000" w:themeColor="text1"/>
        </w:rPr>
      </w:pPr>
      <w:r w:rsidRPr="006D4CB5">
        <w:rPr>
          <w:color w:val="000000" w:themeColor="text1"/>
        </w:rPr>
        <w:t xml:space="preserve">non-Indo-European languages. </w:t>
      </w:r>
      <w:r w:rsidRPr="006D4CB5">
        <w:rPr>
          <w:i/>
          <w:iCs/>
          <w:color w:val="000000" w:themeColor="text1"/>
        </w:rPr>
        <w:t>European Journal of Personality</w:t>
      </w:r>
      <w:r w:rsidRPr="006D4CB5">
        <w:rPr>
          <w:color w:val="000000" w:themeColor="text1"/>
        </w:rPr>
        <w:t xml:space="preserve">, </w:t>
      </w:r>
      <w:r w:rsidRPr="006D4CB5">
        <w:rPr>
          <w:i/>
          <w:iCs/>
          <w:color w:val="000000" w:themeColor="text1"/>
        </w:rPr>
        <w:t>9</w:t>
      </w:r>
      <w:r w:rsidRPr="006D4CB5">
        <w:rPr>
          <w:color w:val="000000" w:themeColor="text1"/>
        </w:rPr>
        <w:t>(2), 109–124.</w:t>
      </w:r>
    </w:p>
    <w:p w14:paraId="5BBE7896" w14:textId="77777777" w:rsidR="002A7759" w:rsidRPr="006D4CB5" w:rsidRDefault="002A7759" w:rsidP="002A7759">
      <w:pPr>
        <w:widowControl w:val="0"/>
        <w:shd w:val="clear" w:color="auto" w:fill="FFFFFF" w:themeFill="background1"/>
        <w:rPr>
          <w:color w:val="000000" w:themeColor="text1"/>
        </w:rPr>
      </w:pPr>
      <w:r w:rsidRPr="006D4CB5">
        <w:rPr>
          <w:color w:val="000000" w:themeColor="text1"/>
        </w:rPr>
        <w:t xml:space="preserve">Radler, B.T. (2014). The Midlife in the United States (MIDUS) Series: A National Longitudinal </w:t>
      </w:r>
    </w:p>
    <w:p w14:paraId="6731AC07" w14:textId="1AF92EBF" w:rsidR="002A7759" w:rsidRPr="006D4CB5" w:rsidRDefault="002A7759" w:rsidP="00F14E18">
      <w:pPr>
        <w:widowControl w:val="0"/>
        <w:shd w:val="clear" w:color="auto" w:fill="FFFFFF" w:themeFill="background1"/>
        <w:ind w:firstLine="720"/>
        <w:rPr>
          <w:color w:val="000000" w:themeColor="text1"/>
        </w:rPr>
      </w:pPr>
      <w:r w:rsidRPr="006D4CB5">
        <w:rPr>
          <w:color w:val="000000" w:themeColor="text1"/>
        </w:rPr>
        <w:t xml:space="preserve">Study of Health and Well-being. </w:t>
      </w:r>
      <w:r w:rsidRPr="006D4CB5">
        <w:rPr>
          <w:i/>
          <w:iCs/>
          <w:color w:val="000000" w:themeColor="text1"/>
        </w:rPr>
        <w:t xml:space="preserve">Open </w:t>
      </w:r>
      <w:r w:rsidR="00EB3D6B" w:rsidRPr="006D4CB5">
        <w:rPr>
          <w:i/>
          <w:iCs/>
          <w:color w:val="000000" w:themeColor="text1"/>
        </w:rPr>
        <w:t>h</w:t>
      </w:r>
      <w:r w:rsidRPr="006D4CB5">
        <w:rPr>
          <w:i/>
          <w:iCs/>
          <w:color w:val="000000" w:themeColor="text1"/>
        </w:rPr>
        <w:t xml:space="preserve">ealth </w:t>
      </w:r>
      <w:r w:rsidR="00EB3D6B" w:rsidRPr="006D4CB5">
        <w:rPr>
          <w:i/>
          <w:iCs/>
          <w:color w:val="000000" w:themeColor="text1"/>
        </w:rPr>
        <w:t>d</w:t>
      </w:r>
      <w:r w:rsidRPr="006D4CB5">
        <w:rPr>
          <w:i/>
          <w:iCs/>
          <w:color w:val="000000" w:themeColor="text1"/>
        </w:rPr>
        <w:t>ata</w:t>
      </w:r>
      <w:r w:rsidRPr="006D4CB5">
        <w:rPr>
          <w:color w:val="000000" w:themeColor="text1"/>
        </w:rPr>
        <w:t xml:space="preserve">, </w:t>
      </w:r>
      <w:r w:rsidRPr="006D4CB5">
        <w:rPr>
          <w:i/>
          <w:iCs/>
          <w:color w:val="000000" w:themeColor="text1"/>
        </w:rPr>
        <w:t>2</w:t>
      </w:r>
      <w:r w:rsidRPr="006D4CB5">
        <w:rPr>
          <w:color w:val="000000" w:themeColor="text1"/>
        </w:rPr>
        <w:t xml:space="preserve">(1). </w:t>
      </w:r>
    </w:p>
    <w:p w14:paraId="77A17ACE" w14:textId="77777777" w:rsidR="002A7759" w:rsidRPr="006D4CB5" w:rsidRDefault="002A7759" w:rsidP="002A7759">
      <w:pPr>
        <w:rPr>
          <w:color w:val="000000" w:themeColor="text1"/>
          <w:shd w:val="clear" w:color="auto" w:fill="FFFFFF"/>
        </w:rPr>
      </w:pPr>
      <w:proofErr w:type="spellStart"/>
      <w:r w:rsidRPr="006D4CB5">
        <w:rPr>
          <w:color w:val="000000" w:themeColor="text1"/>
          <w:shd w:val="clear" w:color="auto" w:fill="FFFFFF"/>
        </w:rPr>
        <w:t>Raikkönen</w:t>
      </w:r>
      <w:proofErr w:type="spellEnd"/>
      <w:r w:rsidRPr="006D4CB5">
        <w:rPr>
          <w:color w:val="000000" w:themeColor="text1"/>
          <w:shd w:val="clear" w:color="auto" w:fill="FFFFFF"/>
        </w:rPr>
        <w:t xml:space="preserve">, K., Pesonen, A. K., Heinonen, K., Lahti, J., </w:t>
      </w:r>
      <w:proofErr w:type="spellStart"/>
      <w:r w:rsidRPr="006D4CB5">
        <w:rPr>
          <w:color w:val="000000" w:themeColor="text1"/>
          <w:shd w:val="clear" w:color="auto" w:fill="FFFFFF"/>
        </w:rPr>
        <w:t>Kajantie</w:t>
      </w:r>
      <w:proofErr w:type="spellEnd"/>
      <w:r w:rsidRPr="006D4CB5">
        <w:rPr>
          <w:color w:val="000000" w:themeColor="text1"/>
          <w:shd w:val="clear" w:color="auto" w:fill="FFFFFF"/>
        </w:rPr>
        <w:t xml:space="preserve">, E., </w:t>
      </w:r>
      <w:proofErr w:type="spellStart"/>
      <w:r w:rsidRPr="006D4CB5">
        <w:rPr>
          <w:color w:val="000000" w:themeColor="text1"/>
          <w:shd w:val="clear" w:color="auto" w:fill="FFFFFF"/>
        </w:rPr>
        <w:t>Forsén</w:t>
      </w:r>
      <w:proofErr w:type="spellEnd"/>
      <w:r w:rsidRPr="006D4CB5">
        <w:rPr>
          <w:color w:val="000000" w:themeColor="text1"/>
          <w:shd w:val="clear" w:color="auto" w:fill="FFFFFF"/>
        </w:rPr>
        <w:t xml:space="preserve">, T., ... &amp; Eriksson, </w:t>
      </w:r>
    </w:p>
    <w:p w14:paraId="08F1311E" w14:textId="6A92E59D" w:rsidR="002A7759" w:rsidRPr="006D4CB5" w:rsidRDefault="002A7759" w:rsidP="002A7759">
      <w:pPr>
        <w:ind w:left="720"/>
        <w:rPr>
          <w:b/>
          <w:bCs/>
          <w:color w:val="000000" w:themeColor="text1"/>
        </w:rPr>
      </w:pPr>
      <w:r w:rsidRPr="006D4CB5">
        <w:rPr>
          <w:color w:val="000000" w:themeColor="text1"/>
          <w:shd w:val="clear" w:color="auto" w:fill="FFFFFF"/>
        </w:rPr>
        <w:t>J. G. (2008). Infant growth and hostility in adult life. </w:t>
      </w:r>
      <w:r w:rsidRPr="006D4CB5">
        <w:rPr>
          <w:i/>
          <w:iCs/>
          <w:color w:val="000000" w:themeColor="text1"/>
          <w:shd w:val="clear" w:color="auto" w:fill="FFFFFF"/>
        </w:rPr>
        <w:t xml:space="preserve">Biopsychosocial </w:t>
      </w:r>
      <w:r w:rsidR="00EB3D6B" w:rsidRPr="006D4CB5">
        <w:rPr>
          <w:i/>
          <w:iCs/>
          <w:color w:val="000000" w:themeColor="text1"/>
          <w:shd w:val="clear" w:color="auto" w:fill="FFFFFF"/>
        </w:rPr>
        <w:t>s</w:t>
      </w:r>
      <w:r w:rsidRPr="006D4CB5">
        <w:rPr>
          <w:i/>
          <w:iCs/>
          <w:color w:val="000000" w:themeColor="text1"/>
          <w:shd w:val="clear" w:color="auto" w:fill="FFFFFF"/>
        </w:rPr>
        <w:t xml:space="preserve">cience and </w:t>
      </w:r>
      <w:r w:rsidR="00EB3D6B" w:rsidRPr="006D4CB5">
        <w:rPr>
          <w:i/>
          <w:iCs/>
          <w:color w:val="000000" w:themeColor="text1"/>
          <w:shd w:val="clear" w:color="auto" w:fill="FFFFFF"/>
        </w:rPr>
        <w:t>m</w:t>
      </w:r>
      <w:r w:rsidRPr="006D4CB5">
        <w:rPr>
          <w:i/>
          <w:iCs/>
          <w:color w:val="000000" w:themeColor="text1"/>
          <w:shd w:val="clear" w:color="auto" w:fill="FFFFFF"/>
        </w:rPr>
        <w:t>edicine</w:t>
      </w:r>
      <w:r w:rsidRPr="006D4CB5">
        <w:rPr>
          <w:color w:val="000000" w:themeColor="text1"/>
          <w:shd w:val="clear" w:color="auto" w:fill="FFFFFF"/>
        </w:rPr>
        <w:t>, </w:t>
      </w:r>
      <w:r w:rsidRPr="006D4CB5">
        <w:rPr>
          <w:i/>
          <w:iCs/>
          <w:color w:val="000000" w:themeColor="text1"/>
          <w:shd w:val="clear" w:color="auto" w:fill="FFFFFF"/>
        </w:rPr>
        <w:t>70</w:t>
      </w:r>
      <w:r w:rsidRPr="006D4CB5">
        <w:rPr>
          <w:color w:val="000000" w:themeColor="text1"/>
          <w:shd w:val="clear" w:color="auto" w:fill="FFFFFF"/>
        </w:rPr>
        <w:t>(3), 306-313.</w:t>
      </w:r>
    </w:p>
    <w:p w14:paraId="27F5FE2D" w14:textId="77777777" w:rsidR="002A7759" w:rsidRPr="006D4CB5" w:rsidRDefault="002A7759" w:rsidP="002A7759">
      <w:pPr>
        <w:rPr>
          <w:color w:val="000000" w:themeColor="text1"/>
        </w:rPr>
      </w:pPr>
      <w:proofErr w:type="spellStart"/>
      <w:r w:rsidRPr="006D4CB5">
        <w:rPr>
          <w:color w:val="000000" w:themeColor="text1"/>
        </w:rPr>
        <w:t>Raitakari</w:t>
      </w:r>
      <w:proofErr w:type="spellEnd"/>
      <w:r w:rsidRPr="006D4CB5">
        <w:rPr>
          <w:color w:val="000000" w:themeColor="text1"/>
        </w:rPr>
        <w:t xml:space="preserve">, O.T., </w:t>
      </w:r>
      <w:proofErr w:type="spellStart"/>
      <w:r w:rsidRPr="006D4CB5">
        <w:rPr>
          <w:color w:val="000000" w:themeColor="text1"/>
        </w:rPr>
        <w:t>Juonala</w:t>
      </w:r>
      <w:proofErr w:type="spellEnd"/>
      <w:r w:rsidRPr="006D4CB5">
        <w:rPr>
          <w:color w:val="000000" w:themeColor="text1"/>
        </w:rPr>
        <w:t xml:space="preserve">, M., </w:t>
      </w:r>
      <w:proofErr w:type="spellStart"/>
      <w:r w:rsidRPr="006D4CB5">
        <w:rPr>
          <w:color w:val="000000" w:themeColor="text1"/>
        </w:rPr>
        <w:t>Rönnemaa</w:t>
      </w:r>
      <w:proofErr w:type="spellEnd"/>
      <w:r w:rsidRPr="006D4CB5">
        <w:rPr>
          <w:color w:val="000000" w:themeColor="text1"/>
        </w:rPr>
        <w:t xml:space="preserve">, T., </w:t>
      </w:r>
      <w:proofErr w:type="spellStart"/>
      <w:r w:rsidRPr="006D4CB5">
        <w:rPr>
          <w:color w:val="000000" w:themeColor="text1"/>
        </w:rPr>
        <w:t>Keltikangas</w:t>
      </w:r>
      <w:proofErr w:type="spellEnd"/>
      <w:r w:rsidRPr="006D4CB5">
        <w:rPr>
          <w:color w:val="000000" w:themeColor="text1"/>
        </w:rPr>
        <w:t xml:space="preserve">-Järvinen, L., Räsänen, L., </w:t>
      </w:r>
    </w:p>
    <w:p w14:paraId="2324D99E" w14:textId="463FE908" w:rsidR="002A7759" w:rsidRPr="006D4CB5" w:rsidRDefault="002A7759" w:rsidP="002A7759">
      <w:pPr>
        <w:ind w:left="720"/>
        <w:rPr>
          <w:color w:val="000000" w:themeColor="text1"/>
          <w:lang w:val="en-GB"/>
        </w:rPr>
      </w:pPr>
      <w:r w:rsidRPr="006D4CB5">
        <w:rPr>
          <w:color w:val="000000" w:themeColor="text1"/>
        </w:rPr>
        <w:t>Pietikäinen, M., Hutri-</w:t>
      </w:r>
      <w:proofErr w:type="spellStart"/>
      <w:r w:rsidRPr="006D4CB5">
        <w:rPr>
          <w:color w:val="000000" w:themeColor="text1"/>
        </w:rPr>
        <w:t>Kähönen</w:t>
      </w:r>
      <w:proofErr w:type="spellEnd"/>
      <w:r w:rsidRPr="006D4CB5">
        <w:rPr>
          <w:color w:val="000000" w:themeColor="text1"/>
        </w:rPr>
        <w:t xml:space="preserve">, N., </w:t>
      </w:r>
      <w:proofErr w:type="spellStart"/>
      <w:r w:rsidRPr="006D4CB5">
        <w:rPr>
          <w:color w:val="000000" w:themeColor="text1"/>
        </w:rPr>
        <w:t>Taittonen</w:t>
      </w:r>
      <w:proofErr w:type="spellEnd"/>
      <w:r w:rsidRPr="006D4CB5">
        <w:rPr>
          <w:color w:val="000000" w:themeColor="text1"/>
        </w:rPr>
        <w:t xml:space="preserve">, L., Jokinen, E., </w:t>
      </w:r>
      <w:proofErr w:type="spellStart"/>
      <w:r w:rsidRPr="006D4CB5">
        <w:rPr>
          <w:color w:val="000000" w:themeColor="text1"/>
        </w:rPr>
        <w:t>Marniemi</w:t>
      </w:r>
      <w:proofErr w:type="spellEnd"/>
      <w:r w:rsidRPr="006D4CB5">
        <w:rPr>
          <w:color w:val="000000" w:themeColor="text1"/>
        </w:rPr>
        <w:t xml:space="preserve">, J., Jula, A., </w:t>
      </w:r>
      <w:proofErr w:type="spellStart"/>
      <w:r w:rsidRPr="006D4CB5">
        <w:rPr>
          <w:color w:val="000000" w:themeColor="text1"/>
        </w:rPr>
        <w:t>Telama</w:t>
      </w:r>
      <w:proofErr w:type="spellEnd"/>
      <w:r w:rsidRPr="006D4CB5">
        <w:rPr>
          <w:color w:val="000000" w:themeColor="text1"/>
        </w:rPr>
        <w:t xml:space="preserve">, R., </w:t>
      </w:r>
      <w:proofErr w:type="spellStart"/>
      <w:r w:rsidRPr="006D4CB5">
        <w:rPr>
          <w:color w:val="000000" w:themeColor="text1"/>
        </w:rPr>
        <w:t>Kähönen</w:t>
      </w:r>
      <w:proofErr w:type="spellEnd"/>
      <w:r w:rsidRPr="006D4CB5">
        <w:rPr>
          <w:color w:val="000000" w:themeColor="text1"/>
        </w:rPr>
        <w:t xml:space="preserve">, M., Lehtimäki, T., Åkerblom, H.K., &amp; </w:t>
      </w:r>
      <w:proofErr w:type="spellStart"/>
      <w:r w:rsidRPr="006D4CB5">
        <w:rPr>
          <w:color w:val="000000" w:themeColor="text1"/>
          <w:lang w:val="en-GB"/>
        </w:rPr>
        <w:t>Viikari</w:t>
      </w:r>
      <w:proofErr w:type="spellEnd"/>
      <w:r w:rsidRPr="006D4CB5">
        <w:rPr>
          <w:color w:val="000000" w:themeColor="text1"/>
          <w:lang w:val="en-GB"/>
        </w:rPr>
        <w:t xml:space="preserve">, J.S.A. (2008). Cohort profile: The Cardiovascular Risk in Young Finns study. </w:t>
      </w:r>
      <w:r w:rsidRPr="006D4CB5">
        <w:rPr>
          <w:i/>
          <w:iCs/>
          <w:color w:val="000000" w:themeColor="text1"/>
          <w:lang w:val="en-GB"/>
        </w:rPr>
        <w:t xml:space="preserve">International </w:t>
      </w:r>
      <w:r w:rsidR="00EB3D6B" w:rsidRPr="006D4CB5">
        <w:rPr>
          <w:i/>
          <w:iCs/>
          <w:color w:val="000000" w:themeColor="text1"/>
          <w:lang w:val="en-GB"/>
        </w:rPr>
        <w:t>j</w:t>
      </w:r>
      <w:r w:rsidRPr="006D4CB5">
        <w:rPr>
          <w:i/>
          <w:iCs/>
          <w:color w:val="000000" w:themeColor="text1"/>
          <w:lang w:val="en-GB"/>
        </w:rPr>
        <w:t xml:space="preserve">ournal of </w:t>
      </w:r>
      <w:r w:rsidR="00EB3D6B" w:rsidRPr="006D4CB5">
        <w:rPr>
          <w:i/>
          <w:iCs/>
          <w:color w:val="000000" w:themeColor="text1"/>
          <w:lang w:val="en-GB"/>
        </w:rPr>
        <w:t>e</w:t>
      </w:r>
      <w:r w:rsidRPr="006D4CB5">
        <w:rPr>
          <w:i/>
          <w:iCs/>
          <w:color w:val="000000" w:themeColor="text1"/>
          <w:lang w:val="en-GB"/>
        </w:rPr>
        <w:t>pidemiology</w:t>
      </w:r>
      <w:r w:rsidRPr="006D4CB5">
        <w:rPr>
          <w:color w:val="000000" w:themeColor="text1"/>
          <w:lang w:val="en-GB"/>
        </w:rPr>
        <w:t xml:space="preserve">, </w:t>
      </w:r>
      <w:r w:rsidRPr="006D4CB5">
        <w:rPr>
          <w:i/>
          <w:iCs/>
          <w:color w:val="000000" w:themeColor="text1"/>
          <w:lang w:val="en-GB"/>
        </w:rPr>
        <w:t>37</w:t>
      </w:r>
      <w:r w:rsidRPr="006D4CB5">
        <w:rPr>
          <w:color w:val="000000" w:themeColor="text1"/>
          <w:lang w:val="en-GB"/>
        </w:rPr>
        <w:t>(6), 1220–1226.</w:t>
      </w:r>
    </w:p>
    <w:p w14:paraId="412E6F47" w14:textId="77777777" w:rsidR="00F14E18" w:rsidRPr="006D4CB5" w:rsidRDefault="00F14E18" w:rsidP="00F14E18">
      <w:pPr>
        <w:rPr>
          <w:color w:val="000000" w:themeColor="text1"/>
        </w:rPr>
      </w:pPr>
      <w:proofErr w:type="spellStart"/>
      <w:r w:rsidRPr="006D4CB5">
        <w:rPr>
          <w:color w:val="000000" w:themeColor="text1"/>
          <w:lang w:val="sv-SE"/>
        </w:rPr>
        <w:lastRenderedPageBreak/>
        <w:t>Rawlik</w:t>
      </w:r>
      <w:proofErr w:type="spellEnd"/>
      <w:r w:rsidRPr="006D4CB5">
        <w:rPr>
          <w:color w:val="000000" w:themeColor="text1"/>
          <w:lang w:val="sv-SE"/>
        </w:rPr>
        <w:t xml:space="preserve">, K., </w:t>
      </w:r>
      <w:proofErr w:type="spellStart"/>
      <w:r w:rsidRPr="006D4CB5">
        <w:rPr>
          <w:color w:val="000000" w:themeColor="text1"/>
          <w:lang w:val="sv-SE"/>
        </w:rPr>
        <w:t>Canela-Xandri</w:t>
      </w:r>
      <w:proofErr w:type="spellEnd"/>
      <w:r w:rsidRPr="006D4CB5">
        <w:rPr>
          <w:color w:val="000000" w:themeColor="text1"/>
          <w:lang w:val="sv-SE"/>
        </w:rPr>
        <w:t xml:space="preserve">, O., &amp; </w:t>
      </w:r>
      <w:proofErr w:type="spellStart"/>
      <w:r w:rsidRPr="006D4CB5">
        <w:rPr>
          <w:color w:val="000000" w:themeColor="text1"/>
          <w:lang w:val="sv-SE"/>
        </w:rPr>
        <w:t>Tenesa</w:t>
      </w:r>
      <w:proofErr w:type="spellEnd"/>
      <w:r w:rsidRPr="006D4CB5">
        <w:rPr>
          <w:color w:val="000000" w:themeColor="text1"/>
          <w:lang w:val="sv-SE"/>
        </w:rPr>
        <w:t xml:space="preserve">, A. (2019). </w:t>
      </w:r>
      <w:r w:rsidRPr="006D4CB5">
        <w:rPr>
          <w:color w:val="000000" w:themeColor="text1"/>
        </w:rPr>
        <w:t xml:space="preserve">Indirect assortative mating for human </w:t>
      </w:r>
    </w:p>
    <w:p w14:paraId="46376D01" w14:textId="22033033" w:rsidR="00F14E18" w:rsidRPr="006D4CB5" w:rsidRDefault="00F14E18" w:rsidP="00F14E18">
      <w:pPr>
        <w:ind w:firstLine="720"/>
        <w:rPr>
          <w:color w:val="000000" w:themeColor="text1"/>
        </w:rPr>
      </w:pPr>
      <w:r w:rsidRPr="006D4CB5">
        <w:rPr>
          <w:color w:val="000000" w:themeColor="text1"/>
        </w:rPr>
        <w:t xml:space="preserve">disease and longevity. </w:t>
      </w:r>
      <w:r w:rsidRPr="006D4CB5">
        <w:rPr>
          <w:i/>
          <w:iCs/>
          <w:color w:val="000000" w:themeColor="text1"/>
        </w:rPr>
        <w:t>Heredity</w:t>
      </w:r>
      <w:r w:rsidRPr="006D4CB5">
        <w:rPr>
          <w:color w:val="000000" w:themeColor="text1"/>
        </w:rPr>
        <w:t xml:space="preserve">, </w:t>
      </w:r>
      <w:r w:rsidRPr="006D4CB5">
        <w:rPr>
          <w:i/>
          <w:iCs/>
          <w:color w:val="000000" w:themeColor="text1"/>
        </w:rPr>
        <w:t>123</w:t>
      </w:r>
      <w:r w:rsidRPr="006D4CB5">
        <w:rPr>
          <w:color w:val="000000" w:themeColor="text1"/>
        </w:rPr>
        <w:t xml:space="preserve">(2), 106–116. </w:t>
      </w:r>
    </w:p>
    <w:p w14:paraId="57BD50FF" w14:textId="77777777" w:rsidR="002A7759" w:rsidRPr="006D4CB5" w:rsidRDefault="002A7759" w:rsidP="002A7759">
      <w:pPr>
        <w:rPr>
          <w:color w:val="000000" w:themeColor="text1"/>
          <w:lang w:eastAsia="fi-FI"/>
        </w:rPr>
      </w:pPr>
      <w:r w:rsidRPr="006D4CB5">
        <w:rPr>
          <w:color w:val="000000" w:themeColor="text1"/>
          <w:lang w:eastAsia="fi-FI"/>
        </w:rPr>
        <w:t xml:space="preserve">Rantanen, J., </w:t>
      </w:r>
      <w:proofErr w:type="spellStart"/>
      <w:r w:rsidRPr="006D4CB5">
        <w:rPr>
          <w:color w:val="000000" w:themeColor="text1"/>
          <w:lang w:eastAsia="fi-FI"/>
        </w:rPr>
        <w:t>Metsäpelto</w:t>
      </w:r>
      <w:proofErr w:type="spellEnd"/>
      <w:r w:rsidRPr="006D4CB5">
        <w:rPr>
          <w:color w:val="000000" w:themeColor="text1"/>
          <w:lang w:eastAsia="fi-FI"/>
        </w:rPr>
        <w:t xml:space="preserve">, R., Feldt, T., Pulkkinen, L., &amp; Kokko, K. (2007). Long-term stability </w:t>
      </w:r>
    </w:p>
    <w:p w14:paraId="707FB260" w14:textId="743A1DD1" w:rsidR="002A7759" w:rsidRPr="006D4CB5" w:rsidRDefault="002A7759" w:rsidP="00F14E18">
      <w:pPr>
        <w:ind w:left="720"/>
        <w:rPr>
          <w:color w:val="000000" w:themeColor="text1"/>
          <w:lang w:eastAsia="fi-FI"/>
        </w:rPr>
      </w:pPr>
      <w:r w:rsidRPr="006D4CB5">
        <w:rPr>
          <w:color w:val="000000" w:themeColor="text1"/>
          <w:lang w:eastAsia="fi-FI"/>
        </w:rPr>
        <w:t xml:space="preserve">in the big five personality traits in adulthood. </w:t>
      </w:r>
      <w:r w:rsidRPr="006D4CB5">
        <w:rPr>
          <w:i/>
          <w:iCs/>
          <w:color w:val="000000" w:themeColor="text1"/>
          <w:lang w:eastAsia="fi-FI"/>
        </w:rPr>
        <w:t xml:space="preserve">Scandinavian Journal of </w:t>
      </w:r>
      <w:r w:rsidR="00EB3D6B" w:rsidRPr="006D4CB5">
        <w:rPr>
          <w:i/>
          <w:iCs/>
          <w:color w:val="000000" w:themeColor="text1"/>
          <w:lang w:eastAsia="fi-FI"/>
        </w:rPr>
        <w:t>p</w:t>
      </w:r>
      <w:r w:rsidRPr="006D4CB5">
        <w:rPr>
          <w:i/>
          <w:iCs/>
          <w:color w:val="000000" w:themeColor="text1"/>
          <w:lang w:eastAsia="fi-FI"/>
        </w:rPr>
        <w:t>sychology</w:t>
      </w:r>
      <w:r w:rsidRPr="006D4CB5">
        <w:rPr>
          <w:color w:val="000000" w:themeColor="text1"/>
          <w:lang w:eastAsia="fi-FI"/>
        </w:rPr>
        <w:t xml:space="preserve">, </w:t>
      </w:r>
      <w:r w:rsidRPr="006D4CB5">
        <w:rPr>
          <w:i/>
          <w:iCs/>
          <w:color w:val="000000" w:themeColor="text1"/>
          <w:lang w:eastAsia="fi-FI"/>
        </w:rPr>
        <w:t>48</w:t>
      </w:r>
      <w:r w:rsidRPr="006D4CB5">
        <w:rPr>
          <w:color w:val="000000" w:themeColor="text1"/>
          <w:lang w:eastAsia="fi-FI"/>
        </w:rPr>
        <w:t>, 511–518.</w:t>
      </w:r>
    </w:p>
    <w:p w14:paraId="1004AFC3"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Reich, D. E., Cargill, M., Bolk, S., Ireland, J., Sabeti, P. C., Richter, D. J., ... &amp; Lander, E. S. </w:t>
      </w:r>
    </w:p>
    <w:p w14:paraId="69F1F195" w14:textId="6652C2B6" w:rsidR="002A7759" w:rsidRPr="006D4CB5" w:rsidRDefault="002A7759" w:rsidP="00F14E18">
      <w:pPr>
        <w:spacing w:line="259" w:lineRule="auto"/>
        <w:ind w:firstLine="720"/>
        <w:jc w:val="both"/>
        <w:rPr>
          <w:color w:val="000000" w:themeColor="text1"/>
          <w:shd w:val="clear" w:color="auto" w:fill="FFFFFF"/>
        </w:rPr>
      </w:pPr>
      <w:r w:rsidRPr="006D4CB5">
        <w:rPr>
          <w:color w:val="000000" w:themeColor="text1"/>
          <w:shd w:val="clear" w:color="auto" w:fill="FFFFFF"/>
        </w:rPr>
        <w:t>(2001). Linkage disequilibrium in the human genome. </w:t>
      </w:r>
      <w:r w:rsidRPr="006D4CB5">
        <w:rPr>
          <w:i/>
          <w:iCs/>
          <w:color w:val="000000" w:themeColor="text1"/>
          <w:shd w:val="clear" w:color="auto" w:fill="FFFFFF"/>
        </w:rPr>
        <w:t>Nature</w:t>
      </w:r>
      <w:r w:rsidRPr="006D4CB5">
        <w:rPr>
          <w:color w:val="000000" w:themeColor="text1"/>
          <w:shd w:val="clear" w:color="auto" w:fill="FFFFFF"/>
        </w:rPr>
        <w:t>, </w:t>
      </w:r>
      <w:r w:rsidRPr="006D4CB5">
        <w:rPr>
          <w:i/>
          <w:iCs/>
          <w:color w:val="000000" w:themeColor="text1"/>
          <w:shd w:val="clear" w:color="auto" w:fill="FFFFFF"/>
        </w:rPr>
        <w:t>411</w:t>
      </w:r>
      <w:r w:rsidRPr="006D4CB5">
        <w:rPr>
          <w:color w:val="000000" w:themeColor="text1"/>
          <w:shd w:val="clear" w:color="auto" w:fill="FFFFFF"/>
        </w:rPr>
        <w:t>(6834), 199-204.</w:t>
      </w:r>
    </w:p>
    <w:p w14:paraId="01CDE2FC"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Revelle, W. R. (2017). psych: Procedures for personality and psychological research. </w:t>
      </w:r>
    </w:p>
    <w:p w14:paraId="528988B4" w14:textId="77777777" w:rsidR="002A7759" w:rsidRPr="006D4CB5" w:rsidRDefault="002A7759" w:rsidP="002A7759">
      <w:pPr>
        <w:rPr>
          <w:color w:val="000000" w:themeColor="text1"/>
        </w:rPr>
      </w:pPr>
      <w:r w:rsidRPr="006D4CB5">
        <w:rPr>
          <w:color w:val="000000" w:themeColor="text1"/>
        </w:rPr>
        <w:t xml:space="preserve">Rimfeld, K., </w:t>
      </w:r>
      <w:proofErr w:type="spellStart"/>
      <w:r w:rsidRPr="006D4CB5">
        <w:rPr>
          <w:color w:val="000000" w:themeColor="text1"/>
        </w:rPr>
        <w:t>Malanchini</w:t>
      </w:r>
      <w:proofErr w:type="spellEnd"/>
      <w:r w:rsidRPr="006D4CB5">
        <w:rPr>
          <w:color w:val="000000" w:themeColor="text1"/>
        </w:rPr>
        <w:t xml:space="preserve">, M., Spargo, T., </w:t>
      </w:r>
      <w:proofErr w:type="spellStart"/>
      <w:r w:rsidRPr="006D4CB5">
        <w:rPr>
          <w:color w:val="000000" w:themeColor="text1"/>
        </w:rPr>
        <w:t>Spickernell</w:t>
      </w:r>
      <w:proofErr w:type="spellEnd"/>
      <w:r w:rsidRPr="006D4CB5">
        <w:rPr>
          <w:color w:val="000000" w:themeColor="text1"/>
        </w:rPr>
        <w:t xml:space="preserve">, G., Selzam, S., McMillan, A., Dale, P.S., </w:t>
      </w:r>
    </w:p>
    <w:p w14:paraId="34DB05BA" w14:textId="0CDFD7E3" w:rsidR="002A7759" w:rsidRPr="006D4CB5" w:rsidRDefault="002A7759" w:rsidP="00F14E18">
      <w:pPr>
        <w:ind w:left="720"/>
        <w:rPr>
          <w:b/>
          <w:bCs/>
          <w:color w:val="000000" w:themeColor="text1"/>
        </w:rPr>
      </w:pPr>
      <w:r w:rsidRPr="006D4CB5">
        <w:rPr>
          <w:color w:val="000000" w:themeColor="text1"/>
        </w:rPr>
        <w:t xml:space="preserve">Eley, T.C., &amp; Plomin, R. (2019). </w:t>
      </w:r>
      <w:proofErr w:type="gramStart"/>
      <w:r w:rsidRPr="006D4CB5">
        <w:rPr>
          <w:color w:val="000000" w:themeColor="text1"/>
        </w:rPr>
        <w:t>Twins</w:t>
      </w:r>
      <w:proofErr w:type="gramEnd"/>
      <w:r w:rsidRPr="006D4CB5">
        <w:rPr>
          <w:color w:val="000000" w:themeColor="text1"/>
        </w:rPr>
        <w:t xml:space="preserve"> early development study: A genetically sensitive investigation into behavioral and cognitive development from infancy to emerging adulthood. </w:t>
      </w:r>
      <w:r w:rsidRPr="006D4CB5">
        <w:rPr>
          <w:i/>
          <w:iCs/>
          <w:color w:val="000000" w:themeColor="text1"/>
        </w:rPr>
        <w:t xml:space="preserve">Twin </w:t>
      </w:r>
      <w:r w:rsidR="00EB3D6B" w:rsidRPr="006D4CB5">
        <w:rPr>
          <w:i/>
          <w:iCs/>
          <w:color w:val="000000" w:themeColor="text1"/>
        </w:rPr>
        <w:t>r</w:t>
      </w:r>
      <w:r w:rsidRPr="006D4CB5">
        <w:rPr>
          <w:i/>
          <w:iCs/>
          <w:color w:val="000000" w:themeColor="text1"/>
        </w:rPr>
        <w:t>esearch and</w:t>
      </w:r>
      <w:r w:rsidR="00EB3D6B" w:rsidRPr="006D4CB5">
        <w:rPr>
          <w:i/>
          <w:iCs/>
          <w:color w:val="000000" w:themeColor="text1"/>
        </w:rPr>
        <w:t xml:space="preserve"> h</w:t>
      </w:r>
      <w:r w:rsidRPr="006D4CB5">
        <w:rPr>
          <w:i/>
          <w:iCs/>
          <w:color w:val="000000" w:themeColor="text1"/>
        </w:rPr>
        <w:t xml:space="preserve">uman </w:t>
      </w:r>
      <w:r w:rsidR="00EB3D6B" w:rsidRPr="006D4CB5">
        <w:rPr>
          <w:i/>
          <w:iCs/>
          <w:color w:val="000000" w:themeColor="text1"/>
        </w:rPr>
        <w:t>g</w:t>
      </w:r>
      <w:r w:rsidRPr="006D4CB5">
        <w:rPr>
          <w:i/>
          <w:iCs/>
          <w:color w:val="000000" w:themeColor="text1"/>
        </w:rPr>
        <w:t>enetics</w:t>
      </w:r>
      <w:r w:rsidRPr="006D4CB5">
        <w:rPr>
          <w:color w:val="000000" w:themeColor="text1"/>
        </w:rPr>
        <w:t xml:space="preserve">, </w:t>
      </w:r>
      <w:r w:rsidRPr="006D4CB5">
        <w:rPr>
          <w:i/>
          <w:iCs/>
          <w:color w:val="000000" w:themeColor="text1"/>
        </w:rPr>
        <w:t>22</w:t>
      </w:r>
      <w:r w:rsidRPr="006D4CB5">
        <w:rPr>
          <w:color w:val="000000" w:themeColor="text1"/>
        </w:rPr>
        <w:t>(6), 508-513.</w:t>
      </w:r>
      <w:r w:rsidRPr="006D4CB5">
        <w:rPr>
          <w:color w:val="000000" w:themeColor="text1"/>
        </w:rPr>
        <w:fldChar w:fldCharType="begin"/>
      </w:r>
      <w:r w:rsidRPr="006D4CB5">
        <w:rPr>
          <w:color w:val="000000" w:themeColor="text1"/>
        </w:rPr>
        <w:instrText>ADDIN EN.REFLIST</w:instrText>
      </w:r>
      <w:r w:rsidRPr="006D4CB5">
        <w:rPr>
          <w:color w:val="000000" w:themeColor="text1"/>
        </w:rPr>
        <w:fldChar w:fldCharType="separate"/>
      </w:r>
      <w:r w:rsidRPr="006D4CB5">
        <w:rPr>
          <w:color w:val="000000" w:themeColor="text1"/>
        </w:rPr>
        <w:t xml:space="preserve"> </w:t>
      </w:r>
      <w:r w:rsidRPr="006D4CB5">
        <w:rPr>
          <w:color w:val="000000" w:themeColor="text1"/>
        </w:rPr>
        <w:fldChar w:fldCharType="end"/>
      </w:r>
      <w:r w:rsidRPr="006D4CB5">
        <w:rPr>
          <w:b/>
          <w:bCs/>
          <w:color w:val="000000" w:themeColor="text1"/>
        </w:rPr>
        <w:t xml:space="preserve"> </w:t>
      </w:r>
    </w:p>
    <w:p w14:paraId="74CCB6A1"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Roberts, B. W., Caspi, A., &amp; Moffitt, T. E. (2003). Work experiences and personality development </w:t>
      </w:r>
    </w:p>
    <w:p w14:paraId="6E70C492" w14:textId="62A87CE8" w:rsidR="002A7759" w:rsidRPr="006D4CB5" w:rsidRDefault="002A7759" w:rsidP="00F14E18">
      <w:pPr>
        <w:spacing w:line="259" w:lineRule="auto"/>
        <w:ind w:firstLine="720"/>
        <w:jc w:val="both"/>
        <w:rPr>
          <w:color w:val="000000" w:themeColor="text1"/>
          <w:shd w:val="clear" w:color="auto" w:fill="FFFFFF"/>
        </w:rPr>
      </w:pPr>
      <w:r w:rsidRPr="006D4CB5">
        <w:rPr>
          <w:color w:val="000000" w:themeColor="text1"/>
          <w:shd w:val="clear" w:color="auto" w:fill="FFFFFF"/>
        </w:rPr>
        <w:t>in young adulthood. </w:t>
      </w:r>
      <w:r w:rsidRPr="006D4CB5">
        <w:rPr>
          <w:i/>
          <w:iCs/>
          <w:color w:val="000000" w:themeColor="text1"/>
          <w:shd w:val="clear" w:color="auto" w:fill="FFFFFF"/>
        </w:rPr>
        <w:t>Journal of personality and social psychology</w:t>
      </w:r>
      <w:r w:rsidRPr="006D4CB5">
        <w:rPr>
          <w:color w:val="000000" w:themeColor="text1"/>
          <w:shd w:val="clear" w:color="auto" w:fill="FFFFFF"/>
        </w:rPr>
        <w:t>, </w:t>
      </w:r>
      <w:r w:rsidRPr="006D4CB5">
        <w:rPr>
          <w:i/>
          <w:iCs/>
          <w:color w:val="000000" w:themeColor="text1"/>
          <w:shd w:val="clear" w:color="auto" w:fill="FFFFFF"/>
        </w:rPr>
        <w:t>84</w:t>
      </w:r>
      <w:r w:rsidRPr="006D4CB5">
        <w:rPr>
          <w:color w:val="000000" w:themeColor="text1"/>
          <w:shd w:val="clear" w:color="auto" w:fill="FFFFFF"/>
        </w:rPr>
        <w:t>(3), 582.</w:t>
      </w:r>
    </w:p>
    <w:p w14:paraId="1CD054C4" w14:textId="77777777" w:rsidR="00F14E18" w:rsidRPr="006D4CB5" w:rsidRDefault="00F14E18" w:rsidP="00F14E18">
      <w:pPr>
        <w:rPr>
          <w:color w:val="000000" w:themeColor="text1"/>
        </w:rPr>
      </w:pPr>
      <w:r w:rsidRPr="006D4CB5">
        <w:rPr>
          <w:color w:val="000000" w:themeColor="text1"/>
        </w:rPr>
        <w:t xml:space="preserve">Robinson, M. R., Kleinman, A., Graff, M., </w:t>
      </w:r>
      <w:proofErr w:type="spellStart"/>
      <w:r w:rsidRPr="006D4CB5">
        <w:rPr>
          <w:color w:val="000000" w:themeColor="text1"/>
        </w:rPr>
        <w:t>Vinkhuyzen</w:t>
      </w:r>
      <w:proofErr w:type="spellEnd"/>
      <w:r w:rsidRPr="006D4CB5">
        <w:rPr>
          <w:color w:val="000000" w:themeColor="text1"/>
        </w:rPr>
        <w:t xml:space="preserve">, A. A. E., Couper, D., Miller, M. B., … </w:t>
      </w:r>
    </w:p>
    <w:p w14:paraId="18DBB505" w14:textId="74D8E583" w:rsidR="00F14E18" w:rsidRPr="006D4CB5" w:rsidRDefault="00F14E18" w:rsidP="00F14E18">
      <w:pPr>
        <w:ind w:left="720"/>
        <w:rPr>
          <w:color w:val="000000" w:themeColor="text1"/>
        </w:rPr>
      </w:pPr>
      <w:r w:rsidRPr="006D4CB5">
        <w:rPr>
          <w:color w:val="000000" w:themeColor="text1"/>
        </w:rPr>
        <w:t xml:space="preserve">Visscher, P. M. (2017). Genetic evidence of assortative mating in humans. </w:t>
      </w:r>
      <w:r w:rsidRPr="006D4CB5">
        <w:rPr>
          <w:i/>
          <w:iCs/>
          <w:color w:val="000000" w:themeColor="text1"/>
        </w:rPr>
        <w:t xml:space="preserve">Nature </w:t>
      </w:r>
      <w:r w:rsidR="00EB3D6B" w:rsidRPr="006D4CB5">
        <w:rPr>
          <w:i/>
          <w:iCs/>
          <w:color w:val="000000" w:themeColor="text1"/>
        </w:rPr>
        <w:t>h</w:t>
      </w:r>
      <w:r w:rsidRPr="006D4CB5">
        <w:rPr>
          <w:i/>
          <w:iCs/>
          <w:color w:val="000000" w:themeColor="text1"/>
        </w:rPr>
        <w:t xml:space="preserve">uman </w:t>
      </w:r>
      <w:proofErr w:type="spellStart"/>
      <w:r w:rsidR="00EB3D6B" w:rsidRPr="006D4CB5">
        <w:rPr>
          <w:i/>
          <w:iCs/>
          <w:color w:val="000000" w:themeColor="text1"/>
        </w:rPr>
        <w:t>b</w:t>
      </w:r>
      <w:r w:rsidRPr="006D4CB5">
        <w:rPr>
          <w:i/>
          <w:iCs/>
          <w:color w:val="000000" w:themeColor="text1"/>
        </w:rPr>
        <w:t>ehaviour</w:t>
      </w:r>
      <w:proofErr w:type="spellEnd"/>
      <w:r w:rsidRPr="006D4CB5">
        <w:rPr>
          <w:color w:val="000000" w:themeColor="text1"/>
        </w:rPr>
        <w:t xml:space="preserve">, </w:t>
      </w:r>
      <w:r w:rsidRPr="006D4CB5">
        <w:rPr>
          <w:i/>
          <w:iCs/>
          <w:color w:val="000000" w:themeColor="text1"/>
        </w:rPr>
        <w:t>1</w:t>
      </w:r>
      <w:r w:rsidRPr="006D4CB5">
        <w:rPr>
          <w:color w:val="000000" w:themeColor="text1"/>
        </w:rPr>
        <w:t xml:space="preserve">(1). </w:t>
      </w:r>
    </w:p>
    <w:p w14:paraId="694DCFFB"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Rosoff, D. B., </w:t>
      </w:r>
      <w:proofErr w:type="spellStart"/>
      <w:r w:rsidRPr="006D4CB5">
        <w:rPr>
          <w:color w:val="000000" w:themeColor="text1"/>
          <w:shd w:val="clear" w:color="auto" w:fill="FFFFFF"/>
        </w:rPr>
        <w:t>Hamandi</w:t>
      </w:r>
      <w:proofErr w:type="spellEnd"/>
      <w:r w:rsidRPr="006D4CB5">
        <w:rPr>
          <w:color w:val="000000" w:themeColor="text1"/>
          <w:shd w:val="clear" w:color="auto" w:fill="FFFFFF"/>
        </w:rPr>
        <w:t xml:space="preserve">, A. M., Bell, A. S., Mavromatis, L. A., Park, L. M., Jung, J., ... &amp; Lohoff, </w:t>
      </w:r>
    </w:p>
    <w:p w14:paraId="52B7002B" w14:textId="39360AEC" w:rsidR="002A7759" w:rsidRPr="006D4CB5" w:rsidRDefault="002A7759" w:rsidP="00F14E18">
      <w:pPr>
        <w:spacing w:line="259" w:lineRule="auto"/>
        <w:ind w:left="720"/>
        <w:jc w:val="both"/>
        <w:rPr>
          <w:color w:val="000000" w:themeColor="text1"/>
          <w:shd w:val="clear" w:color="auto" w:fill="FFFFFF"/>
        </w:rPr>
      </w:pPr>
      <w:r w:rsidRPr="006D4CB5">
        <w:rPr>
          <w:color w:val="000000" w:themeColor="text1"/>
          <w:shd w:val="clear" w:color="auto" w:fill="FFFFFF"/>
        </w:rPr>
        <w:t>F. W. (2024). Major psychiatric disorders, substance use behaviors, and longevity. </w:t>
      </w:r>
      <w:r w:rsidRPr="006D4CB5">
        <w:rPr>
          <w:i/>
          <w:iCs/>
          <w:color w:val="000000" w:themeColor="text1"/>
          <w:shd w:val="clear" w:color="auto" w:fill="FFFFFF"/>
        </w:rPr>
        <w:t>JAMA psychiatry</w:t>
      </w:r>
      <w:r w:rsidRPr="006D4CB5">
        <w:rPr>
          <w:color w:val="000000" w:themeColor="text1"/>
          <w:shd w:val="clear" w:color="auto" w:fill="FFFFFF"/>
        </w:rPr>
        <w:t>, </w:t>
      </w:r>
      <w:r w:rsidRPr="006D4CB5">
        <w:rPr>
          <w:i/>
          <w:iCs/>
          <w:color w:val="000000" w:themeColor="text1"/>
          <w:shd w:val="clear" w:color="auto" w:fill="FFFFFF"/>
        </w:rPr>
        <w:t>81</w:t>
      </w:r>
      <w:r w:rsidRPr="006D4CB5">
        <w:rPr>
          <w:color w:val="000000" w:themeColor="text1"/>
          <w:shd w:val="clear" w:color="auto" w:fill="FFFFFF"/>
        </w:rPr>
        <w:t>(9), 889-901.</w:t>
      </w:r>
    </w:p>
    <w:p w14:paraId="07F83EA0" w14:textId="77777777" w:rsidR="00BB1000"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Santos, I., Petroska-Beska, V., Carneiro, P., </w:t>
      </w:r>
      <w:proofErr w:type="spellStart"/>
      <w:r w:rsidRPr="006D4CB5">
        <w:rPr>
          <w:color w:val="000000" w:themeColor="text1"/>
          <w:shd w:val="clear" w:color="auto" w:fill="FFFFFF"/>
        </w:rPr>
        <w:t>Eskreis</w:t>
      </w:r>
      <w:proofErr w:type="spellEnd"/>
      <w:r w:rsidRPr="006D4CB5">
        <w:rPr>
          <w:color w:val="000000" w:themeColor="text1"/>
          <w:shd w:val="clear" w:color="auto" w:fill="FFFFFF"/>
        </w:rPr>
        <w:t xml:space="preserve">-Winkler, L., Boudet, A. M. M., Berniell, I., </w:t>
      </w:r>
    </w:p>
    <w:p w14:paraId="5DDD1DEA" w14:textId="2ADC329A" w:rsidR="002A7759" w:rsidRPr="006D4CB5" w:rsidRDefault="002A7759" w:rsidP="00BB1000">
      <w:pPr>
        <w:spacing w:line="259" w:lineRule="auto"/>
        <w:ind w:left="720"/>
        <w:jc w:val="both"/>
        <w:rPr>
          <w:color w:val="000000" w:themeColor="text1"/>
          <w:shd w:val="clear" w:color="auto" w:fill="FFFFFF"/>
        </w:rPr>
      </w:pPr>
      <w:r w:rsidRPr="006D4CB5">
        <w:rPr>
          <w:color w:val="000000" w:themeColor="text1"/>
          <w:shd w:val="clear" w:color="auto" w:fill="FFFFFF"/>
        </w:rPr>
        <w:t>... &amp; Duckworth, A. L. (2022). </w:t>
      </w:r>
      <w:r w:rsidRPr="006D4CB5">
        <w:rPr>
          <w:i/>
          <w:iCs/>
          <w:color w:val="000000" w:themeColor="text1"/>
          <w:shd w:val="clear" w:color="auto" w:fill="FFFFFF"/>
        </w:rPr>
        <w:t>Can grit be taught? Lessons from a nationwide field experiment with middle-school students</w:t>
      </w:r>
      <w:r w:rsidRPr="006D4CB5">
        <w:rPr>
          <w:color w:val="000000" w:themeColor="text1"/>
          <w:shd w:val="clear" w:color="auto" w:fill="FFFFFF"/>
        </w:rPr>
        <w:t> (No. 15588). IZA Discussion Papers.</w:t>
      </w:r>
    </w:p>
    <w:p w14:paraId="06D17619" w14:textId="3391FF22" w:rsidR="002A7759" w:rsidRPr="006D4CB5" w:rsidRDefault="002A7759" w:rsidP="002A7759">
      <w:pPr>
        <w:ind w:left="720" w:hanging="720"/>
        <w:rPr>
          <w:rFonts w:eastAsia="Aptos"/>
          <w:color w:val="000000" w:themeColor="text1"/>
        </w:rPr>
      </w:pPr>
      <w:r w:rsidRPr="006D4CB5">
        <w:rPr>
          <w:rFonts w:eastAsia="Aptos"/>
          <w:color w:val="000000" w:themeColor="text1"/>
        </w:rPr>
        <w:t>Saucier, G., Thalmayer, A. G., Payne, D. L., Carlson, R., Sanogo, L., Ole</w:t>
      </w:r>
      <w:r w:rsidRPr="006D4CB5">
        <w:rPr>
          <w:rFonts w:eastAsia="Cambria Math"/>
          <w:color w:val="000000" w:themeColor="text1"/>
        </w:rPr>
        <w:t>‐</w:t>
      </w:r>
      <w:proofErr w:type="spellStart"/>
      <w:r w:rsidRPr="006D4CB5">
        <w:rPr>
          <w:rFonts w:eastAsia="Aptos"/>
          <w:color w:val="000000" w:themeColor="text1"/>
        </w:rPr>
        <w:t>Kotikash</w:t>
      </w:r>
      <w:proofErr w:type="spellEnd"/>
      <w:r w:rsidRPr="006D4CB5">
        <w:rPr>
          <w:rFonts w:eastAsia="Aptos"/>
          <w:color w:val="000000" w:themeColor="text1"/>
        </w:rPr>
        <w:t>, L., ... &amp; Zhou, X. (2014). A basic bivariate structure of personality attributes evident across nine languages.</w:t>
      </w:r>
      <w:r w:rsidRPr="006D4CB5">
        <w:rPr>
          <w:rFonts w:eastAsia="Arial"/>
          <w:color w:val="000000" w:themeColor="text1"/>
        </w:rPr>
        <w:t> </w:t>
      </w:r>
      <w:r w:rsidRPr="006D4CB5">
        <w:rPr>
          <w:rFonts w:eastAsia="Aptos"/>
          <w:i/>
          <w:iCs/>
          <w:color w:val="000000" w:themeColor="text1"/>
        </w:rPr>
        <w:t xml:space="preserve">Journal of </w:t>
      </w:r>
      <w:r w:rsidR="00EB3D6B" w:rsidRPr="006D4CB5">
        <w:rPr>
          <w:rFonts w:eastAsia="Aptos"/>
          <w:i/>
          <w:iCs/>
          <w:color w:val="000000" w:themeColor="text1"/>
        </w:rPr>
        <w:t>p</w:t>
      </w:r>
      <w:r w:rsidRPr="006D4CB5">
        <w:rPr>
          <w:rFonts w:eastAsia="Aptos"/>
          <w:i/>
          <w:iCs/>
          <w:color w:val="000000" w:themeColor="text1"/>
        </w:rPr>
        <w:t>ersonality</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82</w:t>
      </w:r>
      <w:r w:rsidRPr="006D4CB5">
        <w:rPr>
          <w:rFonts w:eastAsia="Aptos"/>
          <w:color w:val="000000" w:themeColor="text1"/>
        </w:rPr>
        <w:t xml:space="preserve">(1), 1-14. </w:t>
      </w:r>
    </w:p>
    <w:p w14:paraId="2CAC59A0" w14:textId="77777777" w:rsidR="002A7759" w:rsidRPr="006D4CB5" w:rsidRDefault="002A7759" w:rsidP="002A7759">
      <w:pPr>
        <w:rPr>
          <w:color w:val="000000" w:themeColor="text1"/>
        </w:rPr>
      </w:pPr>
      <w:r w:rsidRPr="006D4CB5">
        <w:rPr>
          <w:color w:val="000000" w:themeColor="text1"/>
        </w:rPr>
        <w:t xml:space="preserve">Schlüter, C., Fraenz, C., Friedrich, P., </w:t>
      </w:r>
      <w:proofErr w:type="spellStart"/>
      <w:r w:rsidRPr="006D4CB5">
        <w:rPr>
          <w:color w:val="000000" w:themeColor="text1"/>
        </w:rPr>
        <w:t>Güntürkün</w:t>
      </w:r>
      <w:proofErr w:type="spellEnd"/>
      <w:r w:rsidRPr="006D4CB5">
        <w:rPr>
          <w:color w:val="000000" w:themeColor="text1"/>
        </w:rPr>
        <w:t xml:space="preserve">, O., &amp; Genç, E. (2022). Neurite density </w:t>
      </w:r>
    </w:p>
    <w:p w14:paraId="25926CEC" w14:textId="4A26D28B" w:rsidR="002A7759" w:rsidRPr="006D4CB5" w:rsidRDefault="002A7759" w:rsidP="00F14E18">
      <w:pPr>
        <w:ind w:left="720"/>
        <w:rPr>
          <w:color w:val="000000" w:themeColor="text1"/>
        </w:rPr>
      </w:pPr>
      <w:r w:rsidRPr="006D4CB5">
        <w:rPr>
          <w:color w:val="000000" w:themeColor="text1"/>
        </w:rPr>
        <w:t xml:space="preserve">imaging in amygdala nuclei reveals interindividual differences in neuroticism. </w:t>
      </w:r>
      <w:r w:rsidRPr="006D4CB5">
        <w:rPr>
          <w:i/>
          <w:iCs/>
          <w:color w:val="000000" w:themeColor="text1"/>
        </w:rPr>
        <w:t xml:space="preserve">Human </w:t>
      </w:r>
      <w:r w:rsidR="00EB3D6B" w:rsidRPr="006D4CB5">
        <w:rPr>
          <w:i/>
          <w:iCs/>
          <w:color w:val="000000" w:themeColor="text1"/>
        </w:rPr>
        <w:t>b</w:t>
      </w:r>
      <w:r w:rsidRPr="006D4CB5">
        <w:rPr>
          <w:i/>
          <w:iCs/>
          <w:color w:val="000000" w:themeColor="text1"/>
        </w:rPr>
        <w:t xml:space="preserve">rain </w:t>
      </w:r>
      <w:r w:rsidR="00EB3D6B" w:rsidRPr="006D4CB5">
        <w:rPr>
          <w:i/>
          <w:iCs/>
          <w:color w:val="000000" w:themeColor="text1"/>
        </w:rPr>
        <w:t>m</w:t>
      </w:r>
      <w:r w:rsidRPr="006D4CB5">
        <w:rPr>
          <w:i/>
          <w:iCs/>
          <w:color w:val="000000" w:themeColor="text1"/>
        </w:rPr>
        <w:t>apping</w:t>
      </w:r>
      <w:r w:rsidRPr="006D4CB5">
        <w:rPr>
          <w:color w:val="000000" w:themeColor="text1"/>
        </w:rPr>
        <w:t xml:space="preserve">, </w:t>
      </w:r>
      <w:r w:rsidRPr="006D4CB5">
        <w:rPr>
          <w:i/>
          <w:iCs/>
          <w:color w:val="000000" w:themeColor="text1"/>
        </w:rPr>
        <w:t>43</w:t>
      </w:r>
      <w:r w:rsidRPr="006D4CB5">
        <w:rPr>
          <w:color w:val="000000" w:themeColor="text1"/>
        </w:rPr>
        <w:t>(6), 2051-2063.</w:t>
      </w:r>
    </w:p>
    <w:p w14:paraId="7D696EED"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Schmahl, C., </w:t>
      </w:r>
      <w:proofErr w:type="spellStart"/>
      <w:r w:rsidRPr="006D4CB5">
        <w:rPr>
          <w:color w:val="000000" w:themeColor="text1"/>
          <w:shd w:val="clear" w:color="auto" w:fill="FFFFFF"/>
        </w:rPr>
        <w:t>Herpertz</w:t>
      </w:r>
      <w:proofErr w:type="spellEnd"/>
      <w:r w:rsidRPr="006D4CB5">
        <w:rPr>
          <w:color w:val="000000" w:themeColor="text1"/>
          <w:shd w:val="clear" w:color="auto" w:fill="FFFFFF"/>
        </w:rPr>
        <w:t>, S.C., Bertsch, K., Ende, G., Flor, H., Kirsch, P., Lis, S., Meyer-</w:t>
      </w:r>
    </w:p>
    <w:p w14:paraId="0C932D13" w14:textId="7650F35B" w:rsidR="002A7759" w:rsidRPr="006D4CB5" w:rsidRDefault="002A7759" w:rsidP="00F14E18">
      <w:pPr>
        <w:ind w:left="720"/>
        <w:rPr>
          <w:rFonts w:eastAsiaTheme="minorEastAsia"/>
          <w:color w:val="000000" w:themeColor="text1"/>
        </w:rPr>
      </w:pPr>
      <w:r w:rsidRPr="006D4CB5">
        <w:rPr>
          <w:color w:val="000000" w:themeColor="text1"/>
          <w:shd w:val="clear" w:color="auto" w:fill="FFFFFF"/>
        </w:rPr>
        <w:t xml:space="preserve">Lindenberg, A., Rietschel, M., Schneider, M., </w:t>
      </w:r>
      <w:proofErr w:type="spellStart"/>
      <w:r w:rsidRPr="006D4CB5">
        <w:rPr>
          <w:color w:val="000000" w:themeColor="text1"/>
          <w:shd w:val="clear" w:color="auto" w:fill="FFFFFF"/>
        </w:rPr>
        <w:t>Spanagel</w:t>
      </w:r>
      <w:proofErr w:type="spellEnd"/>
      <w:r w:rsidRPr="006D4CB5">
        <w:rPr>
          <w:color w:val="000000" w:themeColor="text1"/>
          <w:shd w:val="clear" w:color="auto" w:fill="FFFFFF"/>
        </w:rPr>
        <w:t xml:space="preserve">, R., </w:t>
      </w:r>
      <w:proofErr w:type="spellStart"/>
      <w:r w:rsidRPr="006D4CB5">
        <w:rPr>
          <w:color w:val="000000" w:themeColor="text1"/>
          <w:shd w:val="clear" w:color="auto" w:fill="FFFFFF"/>
        </w:rPr>
        <w:t>Treede</w:t>
      </w:r>
      <w:proofErr w:type="spellEnd"/>
      <w:r w:rsidRPr="006D4CB5">
        <w:rPr>
          <w:color w:val="000000" w:themeColor="text1"/>
          <w:shd w:val="clear" w:color="auto" w:fill="FFFFFF"/>
        </w:rPr>
        <w:t xml:space="preserve">, R., &amp; Bohus, M. (2014). Mechanisms of disturbed emotion processing and social interaction in borderline personality disorder: state of knowledge and research agenda of the German Clinical Research Unit. </w:t>
      </w:r>
      <w:r w:rsidRPr="006D4CB5">
        <w:rPr>
          <w:i/>
          <w:iCs/>
          <w:color w:val="000000" w:themeColor="text1"/>
          <w:shd w:val="clear" w:color="auto" w:fill="FFFFFF"/>
        </w:rPr>
        <w:t xml:space="preserve">Borderline </w:t>
      </w:r>
      <w:r w:rsidR="00EB3D6B" w:rsidRPr="006D4CB5">
        <w:rPr>
          <w:i/>
          <w:iCs/>
          <w:color w:val="000000" w:themeColor="text1"/>
          <w:shd w:val="clear" w:color="auto" w:fill="FFFFFF"/>
        </w:rPr>
        <w:t>p</w:t>
      </w:r>
      <w:r w:rsidRPr="006D4CB5">
        <w:rPr>
          <w:i/>
          <w:iCs/>
          <w:color w:val="000000" w:themeColor="text1"/>
          <w:shd w:val="clear" w:color="auto" w:fill="FFFFFF"/>
        </w:rPr>
        <w:t xml:space="preserve">ersonality </w:t>
      </w:r>
      <w:r w:rsidR="00EB3D6B" w:rsidRPr="006D4CB5">
        <w:rPr>
          <w:i/>
          <w:iCs/>
          <w:color w:val="000000" w:themeColor="text1"/>
          <w:shd w:val="clear" w:color="auto" w:fill="FFFFFF"/>
        </w:rPr>
        <w:t>d</w:t>
      </w:r>
      <w:r w:rsidRPr="006D4CB5">
        <w:rPr>
          <w:i/>
          <w:iCs/>
          <w:color w:val="000000" w:themeColor="text1"/>
          <w:shd w:val="clear" w:color="auto" w:fill="FFFFFF"/>
        </w:rPr>
        <w:t xml:space="preserve">isorder and </w:t>
      </w:r>
      <w:r w:rsidR="00EB3D6B" w:rsidRPr="006D4CB5">
        <w:rPr>
          <w:i/>
          <w:iCs/>
          <w:color w:val="000000" w:themeColor="text1"/>
          <w:shd w:val="clear" w:color="auto" w:fill="FFFFFF"/>
        </w:rPr>
        <w:t>e</w:t>
      </w:r>
      <w:r w:rsidRPr="006D4CB5">
        <w:rPr>
          <w:i/>
          <w:iCs/>
          <w:color w:val="000000" w:themeColor="text1"/>
          <w:shd w:val="clear" w:color="auto" w:fill="FFFFFF"/>
        </w:rPr>
        <w:t xml:space="preserve">motion </w:t>
      </w:r>
      <w:r w:rsidR="00EB3D6B" w:rsidRPr="006D4CB5">
        <w:rPr>
          <w:i/>
          <w:iCs/>
          <w:color w:val="000000" w:themeColor="text1"/>
          <w:shd w:val="clear" w:color="auto" w:fill="FFFFFF"/>
        </w:rPr>
        <w:t>d</w:t>
      </w:r>
      <w:r w:rsidRPr="006D4CB5">
        <w:rPr>
          <w:i/>
          <w:iCs/>
          <w:color w:val="000000" w:themeColor="text1"/>
          <w:shd w:val="clear" w:color="auto" w:fill="FFFFFF"/>
        </w:rPr>
        <w:t>ysregulation</w:t>
      </w:r>
      <w:r w:rsidRPr="006D4CB5">
        <w:rPr>
          <w:color w:val="000000" w:themeColor="text1"/>
          <w:shd w:val="clear" w:color="auto" w:fill="FFFFFF"/>
        </w:rPr>
        <w:t>,</w:t>
      </w:r>
      <w:r w:rsidRPr="006D4CB5">
        <w:rPr>
          <w:i/>
          <w:iCs/>
          <w:color w:val="000000" w:themeColor="text1"/>
          <w:shd w:val="clear" w:color="auto" w:fill="FFFFFF"/>
        </w:rPr>
        <w:t xml:space="preserve"> 1</w:t>
      </w:r>
      <w:r w:rsidRPr="006D4CB5">
        <w:rPr>
          <w:color w:val="000000" w:themeColor="text1"/>
          <w:shd w:val="clear" w:color="auto" w:fill="FFFFFF"/>
        </w:rPr>
        <w:t>(1), 1-17.</w:t>
      </w:r>
    </w:p>
    <w:p w14:paraId="0534E8E7" w14:textId="77777777" w:rsidR="002A7759" w:rsidRPr="006D4CB5" w:rsidRDefault="002A7759" w:rsidP="002A7759">
      <w:pPr>
        <w:rPr>
          <w:color w:val="000000" w:themeColor="text1"/>
        </w:rPr>
      </w:pPr>
      <w:r w:rsidRPr="006D4CB5">
        <w:rPr>
          <w:color w:val="000000" w:themeColor="text1"/>
        </w:rPr>
        <w:t xml:space="preserve">Schneider, G., Köhnke, C., Teismann, H., &amp; Berger, K. (2021). Childhood trauma and </w:t>
      </w:r>
    </w:p>
    <w:p w14:paraId="59D7A5D5" w14:textId="08BC29AF" w:rsidR="002A7759" w:rsidRPr="006D4CB5" w:rsidRDefault="002A7759" w:rsidP="002A7759">
      <w:pPr>
        <w:ind w:left="720"/>
        <w:rPr>
          <w:color w:val="000000" w:themeColor="text1"/>
        </w:rPr>
      </w:pPr>
      <w:r w:rsidRPr="006D4CB5">
        <w:rPr>
          <w:color w:val="000000" w:themeColor="text1"/>
        </w:rPr>
        <w:t xml:space="preserve">personality explain more variance in depression scores than sociodemographic and lifestyle factors - Results from the </w:t>
      </w:r>
      <w:proofErr w:type="spellStart"/>
      <w:r w:rsidRPr="006D4CB5">
        <w:rPr>
          <w:color w:val="000000" w:themeColor="text1"/>
        </w:rPr>
        <w:t>BiDirect</w:t>
      </w:r>
      <w:proofErr w:type="spellEnd"/>
      <w:r w:rsidRPr="006D4CB5">
        <w:rPr>
          <w:color w:val="000000" w:themeColor="text1"/>
        </w:rPr>
        <w:t xml:space="preserve"> Study. </w:t>
      </w:r>
      <w:r w:rsidRPr="006D4CB5">
        <w:rPr>
          <w:i/>
          <w:iCs/>
          <w:color w:val="000000" w:themeColor="text1"/>
        </w:rPr>
        <w:t xml:space="preserve">Journal of </w:t>
      </w:r>
      <w:r w:rsidR="00EB3D6B" w:rsidRPr="006D4CB5">
        <w:rPr>
          <w:i/>
          <w:iCs/>
          <w:color w:val="000000" w:themeColor="text1"/>
        </w:rPr>
        <w:t>p</w:t>
      </w:r>
      <w:r w:rsidRPr="006D4CB5">
        <w:rPr>
          <w:i/>
          <w:iCs/>
          <w:color w:val="000000" w:themeColor="text1"/>
        </w:rPr>
        <w:t xml:space="preserve">sychosomatic </w:t>
      </w:r>
      <w:r w:rsidR="00EB3D6B" w:rsidRPr="006D4CB5">
        <w:rPr>
          <w:i/>
          <w:iCs/>
          <w:color w:val="000000" w:themeColor="text1"/>
        </w:rPr>
        <w:t>r</w:t>
      </w:r>
      <w:r w:rsidRPr="006D4CB5">
        <w:rPr>
          <w:i/>
          <w:iCs/>
          <w:color w:val="000000" w:themeColor="text1"/>
        </w:rPr>
        <w:t>esearch,</w:t>
      </w:r>
      <w:r w:rsidRPr="006D4CB5">
        <w:rPr>
          <w:color w:val="000000" w:themeColor="text1"/>
        </w:rPr>
        <w:t xml:space="preserve"> </w:t>
      </w:r>
      <w:r w:rsidRPr="006D4CB5">
        <w:rPr>
          <w:i/>
          <w:iCs/>
          <w:color w:val="000000" w:themeColor="text1"/>
        </w:rPr>
        <w:t xml:space="preserve">147, </w:t>
      </w:r>
      <w:r w:rsidRPr="006D4CB5">
        <w:rPr>
          <w:color w:val="000000" w:themeColor="text1"/>
        </w:rPr>
        <w:t>110513.</w:t>
      </w:r>
    </w:p>
    <w:p w14:paraId="4101B3E5" w14:textId="77777777" w:rsidR="002A7759" w:rsidRPr="006D4CB5" w:rsidRDefault="002A7759" w:rsidP="002A7759">
      <w:pPr>
        <w:rPr>
          <w:color w:val="000000" w:themeColor="text1"/>
        </w:rPr>
      </w:pPr>
      <w:r w:rsidRPr="006D4CB5">
        <w:rPr>
          <w:color w:val="000000" w:themeColor="text1"/>
        </w:rPr>
        <w:t xml:space="preserve">Scholtens, S., Smidt, N., </w:t>
      </w:r>
      <w:proofErr w:type="spellStart"/>
      <w:r w:rsidRPr="006D4CB5">
        <w:rPr>
          <w:color w:val="000000" w:themeColor="text1"/>
        </w:rPr>
        <w:t>Swertz</w:t>
      </w:r>
      <w:proofErr w:type="spellEnd"/>
      <w:r w:rsidRPr="006D4CB5">
        <w:rPr>
          <w:color w:val="000000" w:themeColor="text1"/>
        </w:rPr>
        <w:t xml:space="preserve">, M.A., Bakker, S.J.L., </w:t>
      </w:r>
      <w:proofErr w:type="spellStart"/>
      <w:r w:rsidRPr="006D4CB5">
        <w:rPr>
          <w:color w:val="000000" w:themeColor="text1"/>
        </w:rPr>
        <w:t>Dotinga</w:t>
      </w:r>
      <w:proofErr w:type="spellEnd"/>
      <w:r w:rsidRPr="006D4CB5">
        <w:rPr>
          <w:color w:val="000000" w:themeColor="text1"/>
        </w:rPr>
        <w:t xml:space="preserve">, A., Vonk, J.M., van Dijk, F., </w:t>
      </w:r>
    </w:p>
    <w:p w14:paraId="5B7BD468" w14:textId="0EE227D2" w:rsidR="002A7759" w:rsidRPr="006D4CB5" w:rsidRDefault="002A7759" w:rsidP="00F14E18">
      <w:pPr>
        <w:ind w:left="720"/>
        <w:rPr>
          <w:rFonts w:eastAsiaTheme="minorEastAsia"/>
          <w:color w:val="000000" w:themeColor="text1"/>
        </w:rPr>
      </w:pPr>
      <w:r w:rsidRPr="006D4CB5">
        <w:rPr>
          <w:color w:val="000000" w:themeColor="text1"/>
        </w:rPr>
        <w:t xml:space="preserve">van Zon, S.K.R., </w:t>
      </w:r>
      <w:proofErr w:type="spellStart"/>
      <w:r w:rsidRPr="006D4CB5">
        <w:rPr>
          <w:color w:val="000000" w:themeColor="text1"/>
        </w:rPr>
        <w:t>Wijmenga</w:t>
      </w:r>
      <w:proofErr w:type="spellEnd"/>
      <w:r w:rsidRPr="006D4CB5">
        <w:rPr>
          <w:color w:val="000000" w:themeColor="text1"/>
        </w:rPr>
        <w:t xml:space="preserve">, C., </w:t>
      </w:r>
      <w:proofErr w:type="spellStart"/>
      <w:r w:rsidRPr="006D4CB5">
        <w:rPr>
          <w:color w:val="000000" w:themeColor="text1"/>
        </w:rPr>
        <w:t>Wolffenbuttel</w:t>
      </w:r>
      <w:proofErr w:type="spellEnd"/>
      <w:r w:rsidRPr="006D4CB5">
        <w:rPr>
          <w:color w:val="000000" w:themeColor="text1"/>
        </w:rPr>
        <w:t xml:space="preserve">, B.H.R., &amp; Stolk, R.P. (2015). Cohort Profile: </w:t>
      </w:r>
      <w:proofErr w:type="spellStart"/>
      <w:r w:rsidRPr="006D4CB5">
        <w:rPr>
          <w:color w:val="000000" w:themeColor="text1"/>
        </w:rPr>
        <w:t>LifeLines</w:t>
      </w:r>
      <w:proofErr w:type="spellEnd"/>
      <w:r w:rsidRPr="006D4CB5">
        <w:rPr>
          <w:color w:val="000000" w:themeColor="text1"/>
        </w:rPr>
        <w:t xml:space="preserve">, a three-generation cohort study and biobank. </w:t>
      </w:r>
      <w:r w:rsidRPr="006D4CB5">
        <w:rPr>
          <w:i/>
          <w:iCs/>
          <w:color w:val="000000" w:themeColor="text1"/>
        </w:rPr>
        <w:t xml:space="preserve">International </w:t>
      </w:r>
      <w:r w:rsidR="00EB3D6B" w:rsidRPr="006D4CB5">
        <w:rPr>
          <w:i/>
          <w:iCs/>
          <w:color w:val="000000" w:themeColor="text1"/>
        </w:rPr>
        <w:t>j</w:t>
      </w:r>
      <w:r w:rsidRPr="006D4CB5">
        <w:rPr>
          <w:i/>
          <w:iCs/>
          <w:color w:val="000000" w:themeColor="text1"/>
        </w:rPr>
        <w:t xml:space="preserve">ournal of </w:t>
      </w:r>
      <w:r w:rsidR="00EB3D6B" w:rsidRPr="006D4CB5">
        <w:rPr>
          <w:i/>
          <w:iCs/>
          <w:color w:val="000000" w:themeColor="text1"/>
        </w:rPr>
        <w:t>e</w:t>
      </w:r>
      <w:r w:rsidRPr="006D4CB5">
        <w:rPr>
          <w:i/>
          <w:iCs/>
          <w:color w:val="000000" w:themeColor="text1"/>
        </w:rPr>
        <w:t>pidemiology</w:t>
      </w:r>
      <w:r w:rsidRPr="006D4CB5">
        <w:rPr>
          <w:color w:val="000000" w:themeColor="text1"/>
        </w:rPr>
        <w:t xml:space="preserve">, </w:t>
      </w:r>
      <w:r w:rsidRPr="006D4CB5">
        <w:rPr>
          <w:i/>
          <w:iCs/>
          <w:color w:val="000000" w:themeColor="text1"/>
        </w:rPr>
        <w:t>44</w:t>
      </w:r>
      <w:r w:rsidRPr="006D4CB5">
        <w:rPr>
          <w:color w:val="000000" w:themeColor="text1"/>
        </w:rPr>
        <w:t xml:space="preserve">(4), 1172–1180. </w:t>
      </w:r>
    </w:p>
    <w:p w14:paraId="1B70ACC0" w14:textId="1FA4A326" w:rsidR="002A7759" w:rsidRPr="006D4CB5" w:rsidRDefault="002A7759" w:rsidP="002A7759">
      <w:pPr>
        <w:ind w:left="720" w:hanging="720"/>
        <w:rPr>
          <w:rFonts w:eastAsia="Aptos"/>
          <w:color w:val="000000" w:themeColor="text1"/>
        </w:rPr>
      </w:pPr>
      <w:r w:rsidRPr="006D4CB5">
        <w:rPr>
          <w:color w:val="000000" w:themeColor="text1"/>
          <w:shd w:val="clear" w:color="auto" w:fill="FFFFFF"/>
        </w:rPr>
        <w:t xml:space="preserve">Schwaba, T., Denissen, J. J., Luhmann, M., Hopwood, C. J., &amp; </w:t>
      </w:r>
      <w:proofErr w:type="spellStart"/>
      <w:r w:rsidRPr="006D4CB5">
        <w:rPr>
          <w:color w:val="000000" w:themeColor="text1"/>
          <w:shd w:val="clear" w:color="auto" w:fill="FFFFFF"/>
        </w:rPr>
        <w:t>Bleidorn</w:t>
      </w:r>
      <w:proofErr w:type="spellEnd"/>
      <w:r w:rsidRPr="006D4CB5">
        <w:rPr>
          <w:color w:val="000000" w:themeColor="text1"/>
          <w:shd w:val="clear" w:color="auto" w:fill="FFFFFF"/>
        </w:rPr>
        <w:t>, W. (2023). Subjective experiences of life events match individual differences in personality development. </w:t>
      </w:r>
      <w:r w:rsidRPr="006D4CB5">
        <w:rPr>
          <w:i/>
          <w:iCs/>
          <w:color w:val="000000" w:themeColor="text1"/>
          <w:shd w:val="clear" w:color="auto" w:fill="FFFFFF"/>
        </w:rPr>
        <w:t xml:space="preserve">Journal of </w:t>
      </w:r>
      <w:r w:rsidR="00EB3D6B" w:rsidRPr="006D4CB5">
        <w:rPr>
          <w:i/>
          <w:iCs/>
          <w:color w:val="000000" w:themeColor="text1"/>
          <w:shd w:val="clear" w:color="auto" w:fill="FFFFFF"/>
        </w:rPr>
        <w:t>p</w:t>
      </w:r>
      <w:r w:rsidRPr="006D4CB5">
        <w:rPr>
          <w:i/>
          <w:iCs/>
          <w:color w:val="000000" w:themeColor="text1"/>
          <w:shd w:val="clear" w:color="auto" w:fill="FFFFFF"/>
        </w:rPr>
        <w:t xml:space="preserve">ersonality and </w:t>
      </w:r>
      <w:r w:rsidR="00EB3D6B" w:rsidRPr="006D4CB5">
        <w:rPr>
          <w:i/>
          <w:iCs/>
          <w:color w:val="000000" w:themeColor="text1"/>
          <w:shd w:val="clear" w:color="auto" w:fill="FFFFFF"/>
        </w:rPr>
        <w:t>s</w:t>
      </w:r>
      <w:r w:rsidRPr="006D4CB5">
        <w:rPr>
          <w:i/>
          <w:iCs/>
          <w:color w:val="000000" w:themeColor="text1"/>
          <w:shd w:val="clear" w:color="auto" w:fill="FFFFFF"/>
        </w:rPr>
        <w:t xml:space="preserve">ocial </w:t>
      </w:r>
      <w:r w:rsidR="00EB3D6B" w:rsidRPr="006D4CB5">
        <w:rPr>
          <w:i/>
          <w:iCs/>
          <w:color w:val="000000" w:themeColor="text1"/>
          <w:shd w:val="clear" w:color="auto" w:fill="FFFFFF"/>
        </w:rPr>
        <w:t>p</w:t>
      </w:r>
      <w:r w:rsidRPr="006D4CB5">
        <w:rPr>
          <w:i/>
          <w:iCs/>
          <w:color w:val="000000" w:themeColor="text1"/>
          <w:shd w:val="clear" w:color="auto" w:fill="FFFFFF"/>
        </w:rPr>
        <w:t>sychology</w:t>
      </w:r>
      <w:r w:rsidRPr="006D4CB5">
        <w:rPr>
          <w:color w:val="000000" w:themeColor="text1"/>
          <w:shd w:val="clear" w:color="auto" w:fill="FFFFFF"/>
        </w:rPr>
        <w:t>, </w:t>
      </w:r>
      <w:r w:rsidRPr="006D4CB5">
        <w:rPr>
          <w:i/>
          <w:iCs/>
          <w:color w:val="000000" w:themeColor="text1"/>
          <w:shd w:val="clear" w:color="auto" w:fill="FFFFFF"/>
        </w:rPr>
        <w:t>125</w:t>
      </w:r>
      <w:r w:rsidRPr="006D4CB5">
        <w:rPr>
          <w:color w:val="000000" w:themeColor="text1"/>
          <w:shd w:val="clear" w:color="auto" w:fill="FFFFFF"/>
        </w:rPr>
        <w:t>(5), 1136.</w:t>
      </w:r>
    </w:p>
    <w:p w14:paraId="4CA00EED"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lastRenderedPageBreak/>
        <w:t xml:space="preserve">Schwaba, T., Robins, R. W., Grijalva, E., &amp; </w:t>
      </w:r>
      <w:proofErr w:type="spellStart"/>
      <w:r w:rsidRPr="006D4CB5">
        <w:rPr>
          <w:color w:val="000000" w:themeColor="text1"/>
          <w:shd w:val="clear" w:color="auto" w:fill="FFFFFF"/>
        </w:rPr>
        <w:t>Bleidorn</w:t>
      </w:r>
      <w:proofErr w:type="spellEnd"/>
      <w:r w:rsidRPr="006D4CB5">
        <w:rPr>
          <w:color w:val="000000" w:themeColor="text1"/>
          <w:shd w:val="clear" w:color="auto" w:fill="FFFFFF"/>
        </w:rPr>
        <w:t>, W. (2019). Does openness to experience matter in love and work? Domain, facet, and developmental evidence from a 24‐year longitudinal study. </w:t>
      </w:r>
      <w:r w:rsidRPr="006D4CB5">
        <w:rPr>
          <w:i/>
          <w:iCs/>
          <w:color w:val="000000" w:themeColor="text1"/>
          <w:shd w:val="clear" w:color="auto" w:fill="FFFFFF"/>
        </w:rPr>
        <w:t>Journal of personality</w:t>
      </w:r>
      <w:r w:rsidRPr="006D4CB5">
        <w:rPr>
          <w:color w:val="000000" w:themeColor="text1"/>
          <w:shd w:val="clear" w:color="auto" w:fill="FFFFFF"/>
        </w:rPr>
        <w:t>, </w:t>
      </w:r>
      <w:r w:rsidRPr="006D4CB5">
        <w:rPr>
          <w:i/>
          <w:iCs/>
          <w:color w:val="000000" w:themeColor="text1"/>
          <w:shd w:val="clear" w:color="auto" w:fill="FFFFFF"/>
        </w:rPr>
        <w:t>87</w:t>
      </w:r>
      <w:r w:rsidRPr="006D4CB5">
        <w:rPr>
          <w:color w:val="000000" w:themeColor="text1"/>
          <w:shd w:val="clear" w:color="auto" w:fill="FFFFFF"/>
        </w:rPr>
        <w:t>(5), 1074-1092.</w:t>
      </w:r>
    </w:p>
    <w:p w14:paraId="33697762" w14:textId="77777777" w:rsidR="002A7759" w:rsidRPr="006D4CB5" w:rsidRDefault="002A7759" w:rsidP="002A7759">
      <w:pPr>
        <w:pBdr>
          <w:top w:val="nil"/>
          <w:left w:val="nil"/>
          <w:bottom w:val="nil"/>
          <w:right w:val="nil"/>
          <w:between w:val="nil"/>
        </w:pBdr>
        <w:rPr>
          <w:color w:val="000000" w:themeColor="text1"/>
        </w:rPr>
      </w:pPr>
      <w:r w:rsidRPr="006D4CB5">
        <w:rPr>
          <w:color w:val="000000" w:themeColor="text1"/>
        </w:rPr>
        <w:t xml:space="preserve">Send, T.S., Gilles, M., Codd, V., Wolf, I., </w:t>
      </w:r>
      <w:proofErr w:type="spellStart"/>
      <w:r w:rsidRPr="006D4CB5">
        <w:rPr>
          <w:color w:val="000000" w:themeColor="text1"/>
        </w:rPr>
        <w:t>Bardtke</w:t>
      </w:r>
      <w:proofErr w:type="spellEnd"/>
      <w:r w:rsidRPr="006D4CB5">
        <w:rPr>
          <w:color w:val="000000" w:themeColor="text1"/>
        </w:rPr>
        <w:t xml:space="preserve">, S., Streit, F., Strohmaier, J., Frank, J., </w:t>
      </w:r>
    </w:p>
    <w:p w14:paraId="7015C9E8" w14:textId="77777777" w:rsidR="002A7759" w:rsidRPr="006D4CB5" w:rsidRDefault="002A7759" w:rsidP="002A7759">
      <w:pPr>
        <w:pBdr>
          <w:top w:val="nil"/>
          <w:left w:val="nil"/>
          <w:bottom w:val="nil"/>
          <w:right w:val="nil"/>
          <w:between w:val="nil"/>
        </w:pBdr>
        <w:ind w:left="720"/>
        <w:rPr>
          <w:color w:val="000000" w:themeColor="text1"/>
        </w:rPr>
      </w:pPr>
      <w:r w:rsidRPr="006D4CB5">
        <w:rPr>
          <w:color w:val="000000" w:themeColor="text1"/>
        </w:rPr>
        <w:t xml:space="preserve">Schendel, D., </w:t>
      </w:r>
      <w:proofErr w:type="spellStart"/>
      <w:r w:rsidRPr="006D4CB5">
        <w:rPr>
          <w:color w:val="000000" w:themeColor="text1"/>
        </w:rPr>
        <w:t>Sütterlin</w:t>
      </w:r>
      <w:proofErr w:type="spellEnd"/>
      <w:r w:rsidRPr="006D4CB5">
        <w:rPr>
          <w:color w:val="000000" w:themeColor="text1"/>
        </w:rPr>
        <w:t xml:space="preserve">, M.W., Denniff, M., </w:t>
      </w:r>
      <w:proofErr w:type="spellStart"/>
      <w:r w:rsidRPr="006D4CB5">
        <w:rPr>
          <w:color w:val="000000" w:themeColor="text1"/>
        </w:rPr>
        <w:t>Laucht</w:t>
      </w:r>
      <w:proofErr w:type="spellEnd"/>
      <w:r w:rsidRPr="006D4CB5">
        <w:rPr>
          <w:color w:val="000000" w:themeColor="text1"/>
        </w:rPr>
        <w:t xml:space="preserve">, M., </w:t>
      </w:r>
      <w:proofErr w:type="spellStart"/>
      <w:r w:rsidRPr="006D4CB5">
        <w:rPr>
          <w:color w:val="000000" w:themeColor="text1"/>
        </w:rPr>
        <w:t>Samarni</w:t>
      </w:r>
      <w:proofErr w:type="spellEnd"/>
      <w:r w:rsidRPr="006D4CB5">
        <w:rPr>
          <w:color w:val="000000" w:themeColor="text1"/>
        </w:rPr>
        <w:t xml:space="preserve">, N.J., Deuschle, M, Rietschel, M., &amp; Witt, S. H. (2017). Telomere length in newborns is related to maternal stress during pregnancy. </w:t>
      </w:r>
      <w:r w:rsidRPr="006D4CB5">
        <w:rPr>
          <w:i/>
          <w:iCs/>
          <w:color w:val="000000" w:themeColor="text1"/>
        </w:rPr>
        <w:t>Neuropsychopharmacology</w:t>
      </w:r>
      <w:r w:rsidRPr="006D4CB5">
        <w:rPr>
          <w:color w:val="000000" w:themeColor="text1"/>
        </w:rPr>
        <w:t xml:space="preserve">, </w:t>
      </w:r>
      <w:r w:rsidRPr="006D4CB5">
        <w:rPr>
          <w:i/>
          <w:iCs/>
          <w:color w:val="000000" w:themeColor="text1"/>
        </w:rPr>
        <w:t>42</w:t>
      </w:r>
      <w:r w:rsidRPr="006D4CB5">
        <w:rPr>
          <w:color w:val="000000" w:themeColor="text1"/>
        </w:rPr>
        <w:t>(12), 2407-2413.</w:t>
      </w:r>
    </w:p>
    <w:p w14:paraId="0EEFCB49" w14:textId="77777777" w:rsidR="002A7759" w:rsidRPr="006D4CB5" w:rsidRDefault="002A7759" w:rsidP="002A7759">
      <w:pPr>
        <w:pBdr>
          <w:top w:val="nil"/>
          <w:left w:val="nil"/>
          <w:bottom w:val="nil"/>
          <w:right w:val="nil"/>
          <w:between w:val="nil"/>
        </w:pBdr>
        <w:rPr>
          <w:color w:val="000000" w:themeColor="text1"/>
        </w:rPr>
      </w:pPr>
      <w:r w:rsidRPr="006D4CB5">
        <w:rPr>
          <w:color w:val="000000" w:themeColor="text1"/>
        </w:rPr>
        <w:t xml:space="preserve">Send, T.S., </w:t>
      </w:r>
      <w:proofErr w:type="spellStart"/>
      <w:r w:rsidRPr="006D4CB5">
        <w:rPr>
          <w:color w:val="000000" w:themeColor="text1"/>
        </w:rPr>
        <w:t>Bardtke</w:t>
      </w:r>
      <w:proofErr w:type="spellEnd"/>
      <w:r w:rsidRPr="006D4CB5">
        <w:rPr>
          <w:color w:val="000000" w:themeColor="text1"/>
        </w:rPr>
        <w:t xml:space="preserve">, S., Gilles, M., Wolf, I.A.C., </w:t>
      </w:r>
      <w:proofErr w:type="spellStart"/>
      <w:r w:rsidRPr="006D4CB5">
        <w:rPr>
          <w:color w:val="000000" w:themeColor="text1"/>
        </w:rPr>
        <w:t>Sütterlin</w:t>
      </w:r>
      <w:proofErr w:type="spellEnd"/>
      <w:r w:rsidRPr="006D4CB5">
        <w:rPr>
          <w:color w:val="000000" w:themeColor="text1"/>
        </w:rPr>
        <w:t xml:space="preserve">, M.W., Kirschbaum, C., </w:t>
      </w:r>
      <w:proofErr w:type="spellStart"/>
      <w:r w:rsidRPr="006D4CB5">
        <w:rPr>
          <w:color w:val="000000" w:themeColor="text1"/>
        </w:rPr>
        <w:t>Laucht</w:t>
      </w:r>
      <w:proofErr w:type="spellEnd"/>
      <w:r w:rsidRPr="006D4CB5">
        <w:rPr>
          <w:color w:val="000000" w:themeColor="text1"/>
        </w:rPr>
        <w:t xml:space="preserve">, M., </w:t>
      </w:r>
    </w:p>
    <w:p w14:paraId="205668B1" w14:textId="77777777" w:rsidR="002A7759" w:rsidRPr="006D4CB5" w:rsidRDefault="002A7759" w:rsidP="002A7759">
      <w:pPr>
        <w:pBdr>
          <w:top w:val="nil"/>
          <w:left w:val="nil"/>
          <w:bottom w:val="nil"/>
          <w:right w:val="nil"/>
          <w:between w:val="nil"/>
        </w:pBdr>
        <w:ind w:left="720"/>
        <w:rPr>
          <w:color w:val="000000" w:themeColor="text1"/>
        </w:rPr>
      </w:pPr>
      <w:r w:rsidRPr="006D4CB5">
        <w:rPr>
          <w:color w:val="000000" w:themeColor="text1"/>
        </w:rPr>
        <w:t xml:space="preserve">Witt, S.H., </w:t>
      </w:r>
      <w:proofErr w:type="spellStart"/>
      <w:r w:rsidRPr="006D4CB5">
        <w:rPr>
          <w:color w:val="000000" w:themeColor="text1"/>
        </w:rPr>
        <w:t>Rietschel</w:t>
      </w:r>
      <w:proofErr w:type="spellEnd"/>
      <w:r w:rsidRPr="006D4CB5">
        <w:rPr>
          <w:color w:val="000000" w:themeColor="text1"/>
        </w:rPr>
        <w:t xml:space="preserve">, M., Streit, F., &amp; Deuschle, M. (2019). Stress reactivity in preschool-aged children: Evaluation of a social stress paradigm and investigation of the impact of prenatal maternal stress. </w:t>
      </w:r>
      <w:proofErr w:type="spellStart"/>
      <w:r w:rsidRPr="006D4CB5">
        <w:rPr>
          <w:i/>
          <w:iCs/>
          <w:color w:val="000000" w:themeColor="text1"/>
        </w:rPr>
        <w:t>Psychoneuroendocrinology</w:t>
      </w:r>
      <w:proofErr w:type="spellEnd"/>
      <w:r w:rsidRPr="006D4CB5">
        <w:rPr>
          <w:color w:val="000000" w:themeColor="text1"/>
        </w:rPr>
        <w:t xml:space="preserve">, </w:t>
      </w:r>
      <w:r w:rsidRPr="006D4CB5">
        <w:rPr>
          <w:i/>
          <w:iCs/>
          <w:color w:val="000000" w:themeColor="text1"/>
        </w:rPr>
        <w:t>101</w:t>
      </w:r>
      <w:r w:rsidRPr="006D4CB5">
        <w:rPr>
          <w:color w:val="000000" w:themeColor="text1"/>
        </w:rPr>
        <w:t>, 223-231.</w:t>
      </w:r>
    </w:p>
    <w:p w14:paraId="2DFB187B" w14:textId="77777777" w:rsidR="002A7759" w:rsidRPr="006D4CB5" w:rsidRDefault="002A7759" w:rsidP="002A7759">
      <w:pPr>
        <w:rPr>
          <w:color w:val="000000" w:themeColor="text1"/>
        </w:rPr>
      </w:pPr>
      <w:r w:rsidRPr="006D4CB5">
        <w:rPr>
          <w:color w:val="000000" w:themeColor="text1"/>
        </w:rPr>
        <w:t xml:space="preserve">Sherva, R., Wang, Q., Kranzler, H., Zhao, H., Koesterer, R., Herman, A., Farrer, L.A., &amp; </w:t>
      </w:r>
    </w:p>
    <w:p w14:paraId="07CFA9EE" w14:textId="13956CF9" w:rsidR="002A7759" w:rsidRPr="006D4CB5" w:rsidRDefault="002A7759" w:rsidP="00F14E18">
      <w:pPr>
        <w:ind w:left="720"/>
        <w:rPr>
          <w:noProof/>
          <w:color w:val="000000" w:themeColor="text1"/>
          <w:vertAlign w:val="superscript"/>
        </w:rPr>
      </w:pPr>
      <w:r w:rsidRPr="006D4CB5">
        <w:rPr>
          <w:color w:val="000000" w:themeColor="text1"/>
        </w:rPr>
        <w:t xml:space="preserve">Gelernter, J. (2016). Genome-wide association study of cannabis dependence severity, novel risk variants, and shared genetic risks. </w:t>
      </w:r>
      <w:r w:rsidRPr="006D4CB5">
        <w:rPr>
          <w:i/>
          <w:iCs/>
          <w:color w:val="000000" w:themeColor="text1"/>
        </w:rPr>
        <w:t xml:space="preserve">JAMA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73</w:t>
      </w:r>
      <w:r w:rsidRPr="006D4CB5">
        <w:rPr>
          <w:color w:val="000000" w:themeColor="text1"/>
        </w:rPr>
        <w:t xml:space="preserve">(5), 472-480. </w:t>
      </w:r>
      <w:r w:rsidRPr="006D4CB5">
        <w:rPr>
          <w:color w:val="000000" w:themeColor="text1"/>
        </w:rPr>
        <w:fldChar w:fldCharType="begin">
          <w:fldData xml:space="preserve">PEVuZE5vdGU+PENpdGU+PEF1dGhvcj5HZWxlcm50ZXI8L0F1dGhvcj48WWVhcj4yMDE0PC9ZZWFy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</w:fldData>
        </w:fldChar>
      </w:r>
      <w:r w:rsidRPr="006D4CB5">
        <w:rPr>
          <w:color w:val="000000" w:themeColor="text1"/>
        </w:rPr>
        <w:instrText xml:space="preserve"> ADDIN EN.CITE </w:instrText>
      </w:r>
      <w:r w:rsidRPr="006D4CB5">
        <w:rPr>
          <w:color w:val="000000" w:themeColor="text1"/>
        </w:rPr>
        <w:fldChar w:fldCharType="begin">
          <w:fldData xml:space="preserve">PEVuZE5vdGU+PENpdGU+PEF1dGhvcj5HZWxlcm50ZXI8L0F1dGhvcj48WWVhcj4yMDE0PC9ZZWFy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</w:fldData>
        </w:fldChar>
      </w:r>
      <w:r w:rsidRPr="006D4CB5">
        <w:rPr>
          <w:color w:val="000000" w:themeColor="text1"/>
        </w:rPr>
        <w:instrText xml:space="preserve"> ADDIN EN.CITE.DATA </w:instrText>
      </w:r>
      <w:r w:rsidRPr="006D4CB5">
        <w:rPr>
          <w:color w:val="000000" w:themeColor="text1"/>
        </w:rPr>
      </w:r>
      <w:r w:rsidRPr="006D4CB5">
        <w:rPr>
          <w:color w:val="000000" w:themeColor="text1"/>
        </w:rPr>
        <w:fldChar w:fldCharType="end"/>
      </w:r>
      <w:r w:rsidRPr="006D4CB5">
        <w:rPr>
          <w:color w:val="000000" w:themeColor="text1"/>
        </w:rPr>
      </w:r>
      <w:r w:rsidRPr="006D4CB5">
        <w:rPr>
          <w:color w:val="000000" w:themeColor="text1"/>
        </w:rPr>
        <w:fldChar w:fldCharType="separate"/>
      </w:r>
      <w:r w:rsidRPr="006D4CB5">
        <w:rPr>
          <w:noProof/>
          <w:color w:val="000000" w:themeColor="text1"/>
          <w:vertAlign w:val="superscript"/>
        </w:rPr>
        <w:t xml:space="preserve"> </w:t>
      </w:r>
      <w:r w:rsidRPr="006D4CB5">
        <w:rPr>
          <w:color w:val="000000" w:themeColor="text1"/>
        </w:rPr>
        <w:fldChar w:fldCharType="end"/>
      </w:r>
    </w:p>
    <w:p w14:paraId="44B6BC0B" w14:textId="77777777" w:rsidR="002A7759" w:rsidRPr="006D4CB5" w:rsidRDefault="002A7759" w:rsidP="002A7759">
      <w:pPr>
        <w:rPr>
          <w:color w:val="000000" w:themeColor="text1"/>
        </w:rPr>
      </w:pPr>
      <w:r w:rsidRPr="006D4CB5">
        <w:rPr>
          <w:color w:val="000000" w:themeColor="text1"/>
        </w:rPr>
        <w:t xml:space="preserve">Smith, B.H., Campbell, A., </w:t>
      </w:r>
      <w:proofErr w:type="spellStart"/>
      <w:r w:rsidRPr="006D4CB5">
        <w:rPr>
          <w:color w:val="000000" w:themeColor="text1"/>
        </w:rPr>
        <w:t>Linksted</w:t>
      </w:r>
      <w:proofErr w:type="spellEnd"/>
      <w:r w:rsidRPr="006D4CB5">
        <w:rPr>
          <w:color w:val="000000" w:themeColor="text1"/>
        </w:rPr>
        <w:t xml:space="preserve">, P., Fitzpatrick, B., Jackson, C., Kerr, S.M., Deary, I.J., </w:t>
      </w:r>
    </w:p>
    <w:p w14:paraId="3158CEC2" w14:textId="507DBCB4" w:rsidR="002A7759" w:rsidRPr="006D4CB5" w:rsidRDefault="002A7759" w:rsidP="002A7759">
      <w:pPr>
        <w:ind w:left="720"/>
        <w:rPr>
          <w:color w:val="000000" w:themeColor="text1"/>
        </w:rPr>
      </w:pPr>
      <w:r w:rsidRPr="006D4CB5">
        <w:rPr>
          <w:color w:val="000000" w:themeColor="text1"/>
        </w:rPr>
        <w:t xml:space="preserve">MacIntyre, D.J., Campbell, H., McGilchrist, M., Hocking, L.J., Wisely, L., Ford, I., Lindsay, R.S., Morton, R, Palmer, C.N.A., </w:t>
      </w:r>
      <w:proofErr w:type="spellStart"/>
      <w:r w:rsidRPr="006D4CB5">
        <w:rPr>
          <w:color w:val="000000" w:themeColor="text1"/>
        </w:rPr>
        <w:t>Dominiczak</w:t>
      </w:r>
      <w:proofErr w:type="spellEnd"/>
      <w:r w:rsidRPr="006D4CB5">
        <w:rPr>
          <w:color w:val="000000" w:themeColor="text1"/>
        </w:rPr>
        <w:t xml:space="preserve">, A.F., Porteous, D.J, &amp; Morris, A.D. (2012). Cohort Profile: Generation Scotland: Scottish Family Health Study (GS: SFHS). The study, its participants and their potential for genetic research on health and illness. </w:t>
      </w:r>
      <w:r w:rsidRPr="006D4CB5">
        <w:rPr>
          <w:i/>
          <w:iCs/>
          <w:color w:val="000000" w:themeColor="text1"/>
        </w:rPr>
        <w:t xml:space="preserve">International </w:t>
      </w:r>
      <w:r w:rsidR="00EB3D6B" w:rsidRPr="006D4CB5">
        <w:rPr>
          <w:i/>
          <w:iCs/>
          <w:color w:val="000000" w:themeColor="text1"/>
        </w:rPr>
        <w:t>j</w:t>
      </w:r>
      <w:r w:rsidRPr="006D4CB5">
        <w:rPr>
          <w:i/>
          <w:iCs/>
          <w:color w:val="000000" w:themeColor="text1"/>
        </w:rPr>
        <w:t xml:space="preserve">ournal of </w:t>
      </w:r>
      <w:r w:rsidR="00EB3D6B" w:rsidRPr="006D4CB5">
        <w:rPr>
          <w:i/>
          <w:iCs/>
          <w:color w:val="000000" w:themeColor="text1"/>
        </w:rPr>
        <w:t>e</w:t>
      </w:r>
      <w:r w:rsidRPr="006D4CB5">
        <w:rPr>
          <w:i/>
          <w:iCs/>
          <w:color w:val="000000" w:themeColor="text1"/>
        </w:rPr>
        <w:t>pidemiology</w:t>
      </w:r>
      <w:r w:rsidRPr="006D4CB5">
        <w:rPr>
          <w:color w:val="000000" w:themeColor="text1"/>
        </w:rPr>
        <w:t xml:space="preserve">, </w:t>
      </w:r>
      <w:r w:rsidRPr="006D4CB5">
        <w:rPr>
          <w:i/>
          <w:iCs/>
          <w:color w:val="000000" w:themeColor="text1"/>
        </w:rPr>
        <w:t>42</w:t>
      </w:r>
      <w:r w:rsidRPr="006D4CB5">
        <w:rPr>
          <w:color w:val="000000" w:themeColor="text1"/>
        </w:rPr>
        <w:t>(3), 689–700.</w:t>
      </w:r>
    </w:p>
    <w:p w14:paraId="3700BD5F" w14:textId="77777777" w:rsidR="002A7759" w:rsidRPr="006D4CB5" w:rsidRDefault="002A7759" w:rsidP="002A7759">
      <w:pPr>
        <w:autoSpaceDE w:val="0"/>
        <w:autoSpaceDN w:val="0"/>
        <w:adjustRightInd w:val="0"/>
        <w:rPr>
          <w:color w:val="000000" w:themeColor="text1"/>
        </w:rPr>
      </w:pPr>
      <w:r w:rsidRPr="006D4CB5">
        <w:rPr>
          <w:color w:val="000000" w:themeColor="text1"/>
        </w:rPr>
        <w:t xml:space="preserve">Smith, J., Ryan, L., Fisher, G.G., </w:t>
      </w:r>
      <w:proofErr w:type="spellStart"/>
      <w:r w:rsidRPr="006D4CB5">
        <w:rPr>
          <w:color w:val="000000" w:themeColor="text1"/>
        </w:rPr>
        <w:t>Sonnega</w:t>
      </w:r>
      <w:proofErr w:type="spellEnd"/>
      <w:r w:rsidRPr="006D4CB5">
        <w:rPr>
          <w:color w:val="000000" w:themeColor="text1"/>
        </w:rPr>
        <w:t xml:space="preserve">, A., &amp; Weir, D. (2017). HRS psychosocial and </w:t>
      </w:r>
    </w:p>
    <w:p w14:paraId="362A9EB0" w14:textId="6430B9B2" w:rsidR="002A7759" w:rsidRPr="006D4CB5" w:rsidRDefault="002A7759" w:rsidP="00F14E18">
      <w:pPr>
        <w:autoSpaceDE w:val="0"/>
        <w:autoSpaceDN w:val="0"/>
        <w:adjustRightInd w:val="0"/>
        <w:ind w:left="720"/>
        <w:rPr>
          <w:color w:val="000000" w:themeColor="text1"/>
        </w:rPr>
      </w:pPr>
      <w:r w:rsidRPr="006D4CB5">
        <w:rPr>
          <w:color w:val="000000" w:themeColor="text1"/>
        </w:rPr>
        <w:t xml:space="preserve">lifestyle questionnaire 2006–2016: Documentation report core section LB. </w:t>
      </w:r>
      <w:r w:rsidRPr="006D4CB5">
        <w:rPr>
          <w:i/>
          <w:iCs/>
          <w:color w:val="000000" w:themeColor="text1"/>
        </w:rPr>
        <w:t>Health and Retirement Study. Retrieved Mar 14</w:t>
      </w:r>
      <w:r w:rsidRPr="006D4CB5">
        <w:rPr>
          <w:color w:val="000000" w:themeColor="text1"/>
        </w:rPr>
        <w:t>(2022), 202006-2016.</w:t>
      </w:r>
    </w:p>
    <w:p w14:paraId="085E8DBB" w14:textId="77777777" w:rsidR="002A7759" w:rsidRPr="006D4CB5" w:rsidRDefault="002A7759" w:rsidP="002A7759">
      <w:pPr>
        <w:spacing w:line="259" w:lineRule="auto"/>
        <w:jc w:val="both"/>
        <w:rPr>
          <w:i/>
          <w:iCs/>
          <w:color w:val="000000" w:themeColor="text1"/>
          <w:shd w:val="clear" w:color="auto" w:fill="FFFFFF"/>
        </w:rPr>
      </w:pPr>
      <w:r w:rsidRPr="006D4CB5">
        <w:rPr>
          <w:color w:val="000000" w:themeColor="text1"/>
          <w:shd w:val="clear" w:color="auto" w:fill="FFFFFF"/>
        </w:rPr>
        <w:t>Smith, T. W., &amp; MacKenzie, J. (2006). Personality and risk of physical illness. </w:t>
      </w:r>
      <w:r w:rsidRPr="006D4CB5">
        <w:rPr>
          <w:i/>
          <w:iCs/>
          <w:color w:val="000000" w:themeColor="text1"/>
          <w:shd w:val="clear" w:color="auto" w:fill="FFFFFF"/>
        </w:rPr>
        <w:t xml:space="preserve">Annu. Rev. Clin. </w:t>
      </w:r>
    </w:p>
    <w:p w14:paraId="1C16A1CD" w14:textId="6BFDF2F5" w:rsidR="002A7759" w:rsidRPr="006D4CB5" w:rsidRDefault="002A7759" w:rsidP="00F14E18">
      <w:pPr>
        <w:spacing w:line="259" w:lineRule="auto"/>
        <w:ind w:firstLine="720"/>
        <w:jc w:val="both"/>
        <w:rPr>
          <w:color w:val="000000" w:themeColor="text1"/>
          <w:shd w:val="clear" w:color="auto" w:fill="FFFFFF"/>
        </w:rPr>
      </w:pPr>
      <w:r w:rsidRPr="006D4CB5">
        <w:rPr>
          <w:i/>
          <w:iCs/>
          <w:color w:val="000000" w:themeColor="text1"/>
          <w:shd w:val="clear" w:color="auto" w:fill="FFFFFF"/>
        </w:rPr>
        <w:t>Psychol.</w:t>
      </w:r>
      <w:r w:rsidRPr="006D4CB5">
        <w:rPr>
          <w:color w:val="000000" w:themeColor="text1"/>
          <w:shd w:val="clear" w:color="auto" w:fill="FFFFFF"/>
        </w:rPr>
        <w:t>, </w:t>
      </w:r>
      <w:r w:rsidRPr="006D4CB5">
        <w:rPr>
          <w:i/>
          <w:iCs/>
          <w:color w:val="000000" w:themeColor="text1"/>
          <w:shd w:val="clear" w:color="auto" w:fill="FFFFFF"/>
        </w:rPr>
        <w:t>2</w:t>
      </w:r>
      <w:r w:rsidRPr="006D4CB5">
        <w:rPr>
          <w:color w:val="000000" w:themeColor="text1"/>
          <w:shd w:val="clear" w:color="auto" w:fill="FFFFFF"/>
        </w:rPr>
        <w:t>, 435-467.</w:t>
      </w:r>
    </w:p>
    <w:p w14:paraId="2B4A0379" w14:textId="77777777" w:rsidR="002A7759" w:rsidRPr="006D4CB5" w:rsidRDefault="002A7759" w:rsidP="002A7759">
      <w:pPr>
        <w:rPr>
          <w:color w:val="000000" w:themeColor="text1"/>
        </w:rPr>
      </w:pPr>
      <w:proofErr w:type="spellStart"/>
      <w:r w:rsidRPr="006D4CB5">
        <w:rPr>
          <w:color w:val="000000" w:themeColor="text1"/>
        </w:rPr>
        <w:t>Sonnega</w:t>
      </w:r>
      <w:proofErr w:type="spellEnd"/>
      <w:r w:rsidRPr="006D4CB5">
        <w:rPr>
          <w:color w:val="000000" w:themeColor="text1"/>
        </w:rPr>
        <w:t xml:space="preserve">, A., Faul, J. D., </w:t>
      </w:r>
      <w:proofErr w:type="spellStart"/>
      <w:r w:rsidRPr="006D4CB5">
        <w:rPr>
          <w:color w:val="000000" w:themeColor="text1"/>
        </w:rPr>
        <w:t>Ofstedal</w:t>
      </w:r>
      <w:proofErr w:type="spellEnd"/>
      <w:r w:rsidRPr="006D4CB5">
        <w:rPr>
          <w:color w:val="000000" w:themeColor="text1"/>
        </w:rPr>
        <w:t xml:space="preserve">, M. B., Langa, K. M., Phillips, J. W., &amp; Weir, D. R. (2014). </w:t>
      </w:r>
    </w:p>
    <w:p w14:paraId="6D8347F6" w14:textId="21F41453" w:rsidR="002A7759" w:rsidRPr="006D4CB5" w:rsidRDefault="002A7759" w:rsidP="00F14E18">
      <w:pPr>
        <w:ind w:left="720"/>
        <w:rPr>
          <w:color w:val="000000" w:themeColor="text1"/>
        </w:rPr>
      </w:pPr>
      <w:r w:rsidRPr="006D4CB5">
        <w:rPr>
          <w:color w:val="000000" w:themeColor="text1"/>
        </w:rPr>
        <w:t xml:space="preserve">Cohort profile: the health and retirement study (HRS). </w:t>
      </w:r>
      <w:r w:rsidRPr="006D4CB5">
        <w:rPr>
          <w:i/>
          <w:color w:val="000000" w:themeColor="text1"/>
        </w:rPr>
        <w:t>International</w:t>
      </w:r>
      <w:r w:rsidR="00EB3D6B" w:rsidRPr="006D4CB5">
        <w:rPr>
          <w:i/>
          <w:color w:val="000000" w:themeColor="text1"/>
        </w:rPr>
        <w:t xml:space="preserve"> </w:t>
      </w:r>
      <w:r w:rsidR="00EB3D6B" w:rsidRPr="006D4CB5">
        <w:rPr>
          <w:i/>
          <w:iCs/>
          <w:color w:val="000000" w:themeColor="text1"/>
        </w:rPr>
        <w:t>j</w:t>
      </w:r>
      <w:r w:rsidRPr="006D4CB5">
        <w:rPr>
          <w:i/>
          <w:iCs/>
          <w:color w:val="000000" w:themeColor="text1"/>
        </w:rPr>
        <w:t>ournal</w:t>
      </w:r>
      <w:r w:rsidRPr="006D4CB5">
        <w:rPr>
          <w:i/>
          <w:color w:val="000000" w:themeColor="text1"/>
        </w:rPr>
        <w:t xml:space="preserve"> of </w:t>
      </w:r>
      <w:r w:rsidR="00EB3D6B" w:rsidRPr="006D4CB5">
        <w:rPr>
          <w:i/>
          <w:iCs/>
          <w:color w:val="000000" w:themeColor="text1"/>
        </w:rPr>
        <w:t>e</w:t>
      </w:r>
      <w:r w:rsidRPr="006D4CB5">
        <w:rPr>
          <w:i/>
          <w:iCs/>
          <w:color w:val="000000" w:themeColor="text1"/>
        </w:rPr>
        <w:t>pidemiology</w:t>
      </w:r>
      <w:r w:rsidRPr="006D4CB5">
        <w:rPr>
          <w:color w:val="000000" w:themeColor="text1"/>
        </w:rPr>
        <w:t xml:space="preserve">, </w:t>
      </w:r>
      <w:r w:rsidRPr="006D4CB5">
        <w:rPr>
          <w:i/>
          <w:color w:val="000000" w:themeColor="text1"/>
        </w:rPr>
        <w:t>43</w:t>
      </w:r>
      <w:r w:rsidRPr="006D4CB5">
        <w:rPr>
          <w:color w:val="000000" w:themeColor="text1"/>
        </w:rPr>
        <w:t>(2), 576-585.</w:t>
      </w:r>
    </w:p>
    <w:p w14:paraId="02019F02" w14:textId="77777777" w:rsidR="00913A95" w:rsidRPr="006D4CB5" w:rsidRDefault="00913A95" w:rsidP="00913A95">
      <w:pPr>
        <w:rPr>
          <w:color w:val="000000" w:themeColor="text1"/>
          <w:shd w:val="clear" w:color="auto" w:fill="FFFFFF"/>
        </w:rPr>
      </w:pPr>
      <w:r w:rsidRPr="006D4CB5">
        <w:rPr>
          <w:color w:val="000000" w:themeColor="text1"/>
          <w:shd w:val="clear" w:color="auto" w:fill="FFFFFF"/>
        </w:rPr>
        <w:t xml:space="preserve">Spielmann, J., Yoon, H. J. R., Ayoub, M., Chen, Y., Eckland, N. S., Trautwein, U., ... &amp; Roberts, </w:t>
      </w:r>
    </w:p>
    <w:p w14:paraId="3933171C" w14:textId="6217E80A" w:rsidR="00913A95" w:rsidRPr="006D4CB5" w:rsidRDefault="00913A95" w:rsidP="00913A95">
      <w:pPr>
        <w:ind w:left="720"/>
        <w:rPr>
          <w:color w:val="000000" w:themeColor="text1"/>
        </w:rPr>
      </w:pPr>
      <w:r w:rsidRPr="006D4CB5">
        <w:rPr>
          <w:color w:val="000000" w:themeColor="text1"/>
          <w:shd w:val="clear" w:color="auto" w:fill="FFFFFF"/>
        </w:rPr>
        <w:t>B. W. (2022). An in-depth review of conscientiousness and educational issues. </w:t>
      </w:r>
      <w:r w:rsidRPr="006D4CB5">
        <w:rPr>
          <w:i/>
          <w:iCs/>
          <w:color w:val="000000" w:themeColor="text1"/>
          <w:shd w:val="clear" w:color="auto" w:fill="FFFFFF"/>
        </w:rPr>
        <w:t>Educational psychology review</w:t>
      </w:r>
      <w:r w:rsidRPr="006D4CB5">
        <w:rPr>
          <w:color w:val="000000" w:themeColor="text1"/>
          <w:shd w:val="clear" w:color="auto" w:fill="FFFFFF"/>
        </w:rPr>
        <w:t>, </w:t>
      </w:r>
      <w:r w:rsidRPr="006D4CB5">
        <w:rPr>
          <w:i/>
          <w:iCs/>
          <w:color w:val="000000" w:themeColor="text1"/>
          <w:shd w:val="clear" w:color="auto" w:fill="FFFFFF"/>
        </w:rPr>
        <w:t>34</w:t>
      </w:r>
      <w:r w:rsidRPr="006D4CB5">
        <w:rPr>
          <w:color w:val="000000" w:themeColor="text1"/>
          <w:shd w:val="clear" w:color="auto" w:fill="FFFFFF"/>
        </w:rPr>
        <w:t>(4), 2745-2781.</w:t>
      </w:r>
    </w:p>
    <w:p w14:paraId="606C8820" w14:textId="77777777" w:rsidR="002A7759" w:rsidRPr="006D4CB5" w:rsidRDefault="002A7759" w:rsidP="002A7759">
      <w:pPr>
        <w:rPr>
          <w:color w:val="000000" w:themeColor="text1"/>
        </w:rPr>
      </w:pPr>
      <w:proofErr w:type="spellStart"/>
      <w:r w:rsidRPr="006D4CB5">
        <w:rPr>
          <w:color w:val="000000" w:themeColor="text1"/>
        </w:rPr>
        <w:t>Steri</w:t>
      </w:r>
      <w:proofErr w:type="spellEnd"/>
      <w:r w:rsidRPr="006D4CB5">
        <w:rPr>
          <w:color w:val="000000" w:themeColor="text1"/>
        </w:rPr>
        <w:t xml:space="preserve">, M., </w:t>
      </w:r>
      <w:proofErr w:type="spellStart"/>
      <w:r w:rsidRPr="006D4CB5">
        <w:rPr>
          <w:color w:val="000000" w:themeColor="text1"/>
        </w:rPr>
        <w:t>Orrù</w:t>
      </w:r>
      <w:proofErr w:type="spellEnd"/>
      <w:r w:rsidRPr="006D4CB5">
        <w:rPr>
          <w:color w:val="000000" w:themeColor="text1"/>
        </w:rPr>
        <w:t xml:space="preserve">, V., Idda, M.L., Pitzalis, M., Pala, M., Zara, I., </w:t>
      </w:r>
      <w:proofErr w:type="spellStart"/>
      <w:r w:rsidRPr="006D4CB5">
        <w:rPr>
          <w:color w:val="000000" w:themeColor="text1"/>
        </w:rPr>
        <w:t>Sidore</w:t>
      </w:r>
      <w:proofErr w:type="spellEnd"/>
      <w:r w:rsidRPr="006D4CB5">
        <w:rPr>
          <w:color w:val="000000" w:themeColor="text1"/>
        </w:rPr>
        <w:t xml:space="preserve">, C., </w:t>
      </w:r>
      <w:proofErr w:type="spellStart"/>
      <w:r w:rsidRPr="006D4CB5">
        <w:rPr>
          <w:color w:val="000000" w:themeColor="text1"/>
        </w:rPr>
        <w:t>Faà</w:t>
      </w:r>
      <w:proofErr w:type="spellEnd"/>
      <w:r w:rsidRPr="006D4CB5">
        <w:rPr>
          <w:color w:val="000000" w:themeColor="text1"/>
        </w:rPr>
        <w:t xml:space="preserve">, V., Floris, M., </w:t>
      </w:r>
    </w:p>
    <w:p w14:paraId="5040EEA7" w14:textId="4E1B295D" w:rsidR="002A7759" w:rsidRPr="006D4CB5" w:rsidRDefault="002A7759" w:rsidP="00F14E18">
      <w:pPr>
        <w:ind w:left="720"/>
        <w:rPr>
          <w:rFonts w:eastAsiaTheme="minorEastAsia"/>
          <w:color w:val="000000" w:themeColor="text1"/>
        </w:rPr>
      </w:pPr>
      <w:r w:rsidRPr="006D4CB5">
        <w:rPr>
          <w:color w:val="000000" w:themeColor="text1"/>
        </w:rPr>
        <w:t xml:space="preserve">Deiana, M., Asunis, I., Porcu, E., Mulas, A., </w:t>
      </w:r>
      <w:proofErr w:type="spellStart"/>
      <w:r w:rsidRPr="006D4CB5">
        <w:rPr>
          <w:color w:val="000000" w:themeColor="text1"/>
        </w:rPr>
        <w:t>Piras</w:t>
      </w:r>
      <w:proofErr w:type="spellEnd"/>
      <w:r w:rsidRPr="006D4CB5">
        <w:rPr>
          <w:color w:val="000000" w:themeColor="text1"/>
        </w:rPr>
        <w:t xml:space="preserve">, M.G., </w:t>
      </w:r>
      <w:proofErr w:type="spellStart"/>
      <w:r w:rsidRPr="006D4CB5">
        <w:rPr>
          <w:color w:val="000000" w:themeColor="text1"/>
        </w:rPr>
        <w:t>Lobina</w:t>
      </w:r>
      <w:proofErr w:type="spellEnd"/>
      <w:r w:rsidRPr="006D4CB5">
        <w:rPr>
          <w:color w:val="000000" w:themeColor="text1"/>
        </w:rPr>
        <w:t xml:space="preserve">, M., Lai, S., Marongiu, M., Serra, V., Marongiu, M., … </w:t>
      </w:r>
      <w:proofErr w:type="spellStart"/>
      <w:r w:rsidRPr="006D4CB5">
        <w:rPr>
          <w:color w:val="000000" w:themeColor="text1"/>
        </w:rPr>
        <w:t>Cucca</w:t>
      </w:r>
      <w:proofErr w:type="spellEnd"/>
      <w:r w:rsidRPr="006D4CB5">
        <w:rPr>
          <w:color w:val="000000" w:themeColor="text1"/>
        </w:rPr>
        <w:t xml:space="preserve">, F. (2017). Overexpression of the cytokine BAFF and autoimmunity risk. </w:t>
      </w:r>
      <w:r w:rsidRPr="006D4CB5">
        <w:rPr>
          <w:i/>
          <w:iCs/>
          <w:color w:val="000000" w:themeColor="text1"/>
        </w:rPr>
        <w:t xml:space="preserve">New </w:t>
      </w:r>
      <w:proofErr w:type="spellStart"/>
      <w:r w:rsidR="00EB3D6B" w:rsidRPr="006D4CB5">
        <w:rPr>
          <w:i/>
          <w:iCs/>
          <w:color w:val="000000" w:themeColor="text1"/>
        </w:rPr>
        <w:t>e</w:t>
      </w:r>
      <w:r w:rsidRPr="006D4CB5">
        <w:rPr>
          <w:i/>
          <w:iCs/>
          <w:color w:val="000000" w:themeColor="text1"/>
        </w:rPr>
        <w:t>ngland</w:t>
      </w:r>
      <w:proofErr w:type="spellEnd"/>
      <w:r w:rsidRPr="006D4CB5">
        <w:rPr>
          <w:i/>
          <w:iCs/>
          <w:color w:val="000000" w:themeColor="text1"/>
        </w:rPr>
        <w:t xml:space="preserve"> </w:t>
      </w:r>
      <w:r w:rsidR="00EB3D6B" w:rsidRPr="006D4CB5">
        <w:rPr>
          <w:i/>
          <w:iCs/>
          <w:color w:val="000000" w:themeColor="text1"/>
        </w:rPr>
        <w:t>j</w:t>
      </w:r>
      <w:r w:rsidRPr="006D4CB5">
        <w:rPr>
          <w:i/>
          <w:iCs/>
          <w:color w:val="000000" w:themeColor="text1"/>
        </w:rPr>
        <w:t xml:space="preserve">ournal of </w:t>
      </w:r>
      <w:r w:rsidR="00EB3D6B" w:rsidRPr="006D4CB5">
        <w:rPr>
          <w:i/>
          <w:iCs/>
          <w:color w:val="000000" w:themeColor="text1"/>
        </w:rPr>
        <w:t>m</w:t>
      </w:r>
      <w:r w:rsidRPr="006D4CB5">
        <w:rPr>
          <w:i/>
          <w:iCs/>
          <w:color w:val="000000" w:themeColor="text1"/>
        </w:rPr>
        <w:t>edicine</w:t>
      </w:r>
      <w:r w:rsidRPr="006D4CB5">
        <w:rPr>
          <w:color w:val="000000" w:themeColor="text1"/>
        </w:rPr>
        <w:t xml:space="preserve">, </w:t>
      </w:r>
      <w:r w:rsidRPr="006D4CB5">
        <w:rPr>
          <w:i/>
          <w:iCs/>
          <w:color w:val="000000" w:themeColor="text1"/>
        </w:rPr>
        <w:t>376</w:t>
      </w:r>
      <w:r w:rsidRPr="006D4CB5">
        <w:rPr>
          <w:color w:val="000000" w:themeColor="text1"/>
        </w:rPr>
        <w:t>, 1615–1626.</w:t>
      </w:r>
    </w:p>
    <w:p w14:paraId="6610651E" w14:textId="77777777" w:rsidR="002A7759" w:rsidRPr="006D4CB5" w:rsidRDefault="002A7759" w:rsidP="002A7759">
      <w:pPr>
        <w:ind w:left="720" w:hanging="720"/>
        <w:rPr>
          <w:color w:val="000000" w:themeColor="text1"/>
          <w:shd w:val="clear" w:color="auto" w:fill="FFFFFF"/>
        </w:rPr>
      </w:pPr>
      <w:r w:rsidRPr="006D4CB5">
        <w:rPr>
          <w:color w:val="000000" w:themeColor="text1"/>
          <w:shd w:val="clear" w:color="auto" w:fill="FFFFFF"/>
        </w:rPr>
        <w:t xml:space="preserve">Streit, F., Awasthi, S., Hall, A. S., </w:t>
      </w:r>
      <w:proofErr w:type="spellStart"/>
      <w:r w:rsidRPr="006D4CB5">
        <w:rPr>
          <w:color w:val="000000" w:themeColor="text1"/>
          <w:shd w:val="clear" w:color="auto" w:fill="FFFFFF"/>
        </w:rPr>
        <w:t>Niarchou</w:t>
      </w:r>
      <w:proofErr w:type="spellEnd"/>
      <w:r w:rsidRPr="006D4CB5">
        <w:rPr>
          <w:color w:val="000000" w:themeColor="text1"/>
          <w:shd w:val="clear" w:color="auto" w:fill="FFFFFF"/>
        </w:rPr>
        <w:t xml:space="preserve">, M., </w:t>
      </w:r>
      <w:proofErr w:type="spellStart"/>
      <w:r w:rsidRPr="006D4CB5">
        <w:rPr>
          <w:color w:val="000000" w:themeColor="text1"/>
          <w:shd w:val="clear" w:color="auto" w:fill="FFFFFF"/>
        </w:rPr>
        <w:t>Marouli</w:t>
      </w:r>
      <w:proofErr w:type="spellEnd"/>
      <w:r w:rsidRPr="006D4CB5">
        <w:rPr>
          <w:color w:val="000000" w:themeColor="text1"/>
          <w:shd w:val="clear" w:color="auto" w:fill="FFFFFF"/>
        </w:rPr>
        <w:t>, E., Babajide, O., ... &amp; Witt, S. H. (2024). Genome-wide association study of borderline personality disorder identifies six loci and highlights shared risk with mental and somatic disorders. </w:t>
      </w:r>
      <w:proofErr w:type="spellStart"/>
      <w:r w:rsidRPr="006D4CB5">
        <w:rPr>
          <w:i/>
          <w:iCs/>
          <w:color w:val="000000" w:themeColor="text1"/>
          <w:shd w:val="clear" w:color="auto" w:fill="FFFFFF"/>
        </w:rPr>
        <w:t>medRxiv</w:t>
      </w:r>
      <w:proofErr w:type="spellEnd"/>
      <w:r w:rsidRPr="006D4CB5">
        <w:rPr>
          <w:color w:val="000000" w:themeColor="text1"/>
          <w:shd w:val="clear" w:color="auto" w:fill="FFFFFF"/>
        </w:rPr>
        <w:t>, 2024-11.</w:t>
      </w:r>
    </w:p>
    <w:p w14:paraId="1E0411AF" w14:textId="77777777" w:rsidR="002A7759" w:rsidRPr="006D4CB5" w:rsidRDefault="002A7759" w:rsidP="002A7759">
      <w:pPr>
        <w:pBdr>
          <w:top w:val="nil"/>
          <w:left w:val="nil"/>
          <w:bottom w:val="nil"/>
          <w:right w:val="nil"/>
          <w:between w:val="nil"/>
        </w:pBdr>
        <w:rPr>
          <w:color w:val="000000" w:themeColor="text1"/>
        </w:rPr>
      </w:pPr>
      <w:r w:rsidRPr="006D4CB5">
        <w:rPr>
          <w:color w:val="000000" w:themeColor="text1"/>
        </w:rPr>
        <w:t xml:space="preserve">Streit, F., Witt, S.H., Awasthi, S., Foo, J.C., </w:t>
      </w:r>
      <w:proofErr w:type="spellStart"/>
      <w:r w:rsidRPr="006D4CB5">
        <w:rPr>
          <w:color w:val="000000" w:themeColor="text1"/>
        </w:rPr>
        <w:t>Jungkunz</w:t>
      </w:r>
      <w:proofErr w:type="spellEnd"/>
      <w:r w:rsidRPr="006D4CB5">
        <w:rPr>
          <w:color w:val="000000" w:themeColor="text1"/>
        </w:rPr>
        <w:t xml:space="preserve">, M., Frank, J., </w:t>
      </w:r>
      <w:proofErr w:type="spellStart"/>
      <w:r w:rsidRPr="006D4CB5">
        <w:rPr>
          <w:color w:val="000000" w:themeColor="text1"/>
        </w:rPr>
        <w:t>Colodro</w:t>
      </w:r>
      <w:proofErr w:type="spellEnd"/>
      <w:r w:rsidRPr="006D4CB5">
        <w:rPr>
          <w:color w:val="000000" w:themeColor="text1"/>
        </w:rPr>
        <w:t xml:space="preserve">-Conde, L., </w:t>
      </w:r>
    </w:p>
    <w:p w14:paraId="005B93AF" w14:textId="304F3471" w:rsidR="002A7759" w:rsidRPr="006D4CB5" w:rsidRDefault="002A7759" w:rsidP="00F14E18">
      <w:pPr>
        <w:pBdr>
          <w:top w:val="nil"/>
          <w:left w:val="nil"/>
          <w:bottom w:val="nil"/>
          <w:right w:val="nil"/>
          <w:between w:val="nil"/>
        </w:pBdr>
        <w:ind w:left="720"/>
        <w:rPr>
          <w:color w:val="000000" w:themeColor="text1"/>
        </w:rPr>
      </w:pPr>
      <w:r w:rsidRPr="006D4CB5">
        <w:rPr>
          <w:color w:val="000000" w:themeColor="text1"/>
        </w:rPr>
        <w:t xml:space="preserve">Hindley, G., Smeland, O., </w:t>
      </w:r>
      <w:proofErr w:type="spellStart"/>
      <w:r w:rsidRPr="006D4CB5">
        <w:rPr>
          <w:color w:val="000000" w:themeColor="text1"/>
        </w:rPr>
        <w:t>Maslahati</w:t>
      </w:r>
      <w:proofErr w:type="spellEnd"/>
      <w:r w:rsidRPr="006D4CB5">
        <w:rPr>
          <w:color w:val="000000" w:themeColor="text1"/>
        </w:rPr>
        <w:t xml:space="preserve">, T., Schwarze, C., Schott, B., Hartmann, A., </w:t>
      </w:r>
      <w:proofErr w:type="spellStart"/>
      <w:r w:rsidRPr="006D4CB5">
        <w:rPr>
          <w:color w:val="000000" w:themeColor="text1"/>
        </w:rPr>
        <w:t>Giegling</w:t>
      </w:r>
      <w:proofErr w:type="spellEnd"/>
      <w:r w:rsidRPr="006D4CB5">
        <w:rPr>
          <w:color w:val="000000" w:themeColor="text1"/>
        </w:rPr>
        <w:t xml:space="preserve">, I., Zillich, L., Sirignano, L., Poisel, E., Chen, C., </w:t>
      </w:r>
      <w:proofErr w:type="spellStart"/>
      <w:r w:rsidRPr="006D4CB5">
        <w:rPr>
          <w:color w:val="000000" w:themeColor="text1"/>
        </w:rPr>
        <w:t>Nöthen</w:t>
      </w:r>
      <w:proofErr w:type="spellEnd"/>
      <w:r w:rsidRPr="006D4CB5">
        <w:rPr>
          <w:color w:val="000000" w:themeColor="text1"/>
        </w:rPr>
        <w:t xml:space="preserve">, M., ... Andreassen, O.A. (2022). Borderline personality disorder and the big five: molecular genetic analyses indicate shared genetic architecture with neuroticism and openness. </w:t>
      </w:r>
      <w:r w:rsidRPr="006D4CB5">
        <w:rPr>
          <w:i/>
          <w:iCs/>
          <w:color w:val="000000" w:themeColor="text1"/>
        </w:rPr>
        <w:t xml:space="preserve">Translational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12</w:t>
      </w:r>
      <w:r w:rsidRPr="006D4CB5">
        <w:rPr>
          <w:color w:val="000000" w:themeColor="text1"/>
        </w:rPr>
        <w:t>(1), 1-8.</w:t>
      </w:r>
    </w:p>
    <w:p w14:paraId="543D49C9"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Taylor, A.M., Pattie, A., Deary, I.J. (2018). Cohort profile update: the Lothian Birth Cohorts </w:t>
      </w:r>
    </w:p>
    <w:p w14:paraId="340D8773" w14:textId="72DC1060" w:rsidR="002A7759" w:rsidRPr="006D4CB5" w:rsidRDefault="002A7759" w:rsidP="00F14E18">
      <w:pPr>
        <w:ind w:firstLine="720"/>
        <w:rPr>
          <w:color w:val="000000" w:themeColor="text1"/>
          <w:shd w:val="clear" w:color="auto" w:fill="FFFFFF"/>
        </w:rPr>
      </w:pPr>
      <w:r w:rsidRPr="006D4CB5">
        <w:rPr>
          <w:color w:val="000000" w:themeColor="text1"/>
          <w:shd w:val="clear" w:color="auto" w:fill="FFFFFF"/>
        </w:rPr>
        <w:t>of 1921 and 1936. </w:t>
      </w:r>
      <w:r w:rsidRPr="006D4CB5">
        <w:rPr>
          <w:i/>
          <w:iCs/>
          <w:color w:val="000000" w:themeColor="text1"/>
          <w:shd w:val="clear" w:color="auto" w:fill="FFFFFF"/>
        </w:rPr>
        <w:t>International journal of epidemiology</w:t>
      </w:r>
      <w:r w:rsidRPr="006D4CB5">
        <w:rPr>
          <w:color w:val="000000" w:themeColor="text1"/>
          <w:shd w:val="clear" w:color="auto" w:fill="FFFFFF"/>
        </w:rPr>
        <w:t>, </w:t>
      </w:r>
      <w:r w:rsidRPr="006D4CB5">
        <w:rPr>
          <w:i/>
          <w:iCs/>
          <w:color w:val="000000" w:themeColor="text1"/>
          <w:shd w:val="clear" w:color="auto" w:fill="FFFFFF"/>
        </w:rPr>
        <w:t>47</w:t>
      </w:r>
      <w:r w:rsidRPr="006D4CB5">
        <w:rPr>
          <w:color w:val="000000" w:themeColor="text1"/>
          <w:shd w:val="clear" w:color="auto" w:fill="FFFFFF"/>
        </w:rPr>
        <w:t>(4), 1042-1042r.</w:t>
      </w:r>
    </w:p>
    <w:p w14:paraId="06120340" w14:textId="77777777" w:rsidR="002A7759" w:rsidRPr="006D4CB5" w:rsidRDefault="002A7759" w:rsidP="002A7759">
      <w:pPr>
        <w:rPr>
          <w:color w:val="000000" w:themeColor="text1"/>
          <w:lang w:val="en-GB"/>
        </w:rPr>
      </w:pPr>
      <w:r w:rsidRPr="006D4CB5">
        <w:rPr>
          <w:color w:val="000000" w:themeColor="text1"/>
          <w:lang w:val="en-GB"/>
        </w:rPr>
        <w:lastRenderedPageBreak/>
        <w:t xml:space="preserve">Teismann, H., Wersching, H., Nagel, M., </w:t>
      </w:r>
      <w:proofErr w:type="spellStart"/>
      <w:r w:rsidRPr="006D4CB5">
        <w:rPr>
          <w:color w:val="000000" w:themeColor="text1"/>
          <w:lang w:val="en-GB"/>
        </w:rPr>
        <w:t>Arolt</w:t>
      </w:r>
      <w:proofErr w:type="spellEnd"/>
      <w:r w:rsidRPr="006D4CB5">
        <w:rPr>
          <w:color w:val="000000" w:themeColor="text1"/>
          <w:lang w:val="en-GB"/>
        </w:rPr>
        <w:t xml:space="preserve">, V., Heindel, W., Baune, B.T., Wellmann, J., </w:t>
      </w:r>
    </w:p>
    <w:p w14:paraId="0C34A9CB" w14:textId="2D5F3472" w:rsidR="002A7759" w:rsidRPr="006D4CB5" w:rsidRDefault="002A7759" w:rsidP="00F14E18">
      <w:pPr>
        <w:ind w:left="720"/>
        <w:rPr>
          <w:color w:val="000000" w:themeColor="text1"/>
          <w:lang w:val="en-GB"/>
        </w:rPr>
      </w:pPr>
      <w:proofErr w:type="spellStart"/>
      <w:r w:rsidRPr="006D4CB5">
        <w:rPr>
          <w:color w:val="000000" w:themeColor="text1"/>
          <w:lang w:val="en-GB"/>
        </w:rPr>
        <w:t>Hense</w:t>
      </w:r>
      <w:proofErr w:type="spellEnd"/>
      <w:r w:rsidRPr="006D4CB5">
        <w:rPr>
          <w:color w:val="000000" w:themeColor="text1"/>
          <w:lang w:val="en-GB"/>
        </w:rPr>
        <w:t xml:space="preserve">, H.W., &amp; Berger, K. (2014). Establishing the bidirectional relationship between depression and subclinical arteriosclerosis – rationale, design, and characteristics of the </w:t>
      </w:r>
      <w:proofErr w:type="spellStart"/>
      <w:r w:rsidRPr="006D4CB5">
        <w:rPr>
          <w:color w:val="000000" w:themeColor="text1"/>
          <w:lang w:val="en-GB"/>
        </w:rPr>
        <w:t>BiDirect</w:t>
      </w:r>
      <w:proofErr w:type="spellEnd"/>
      <w:r w:rsidRPr="006D4CB5">
        <w:rPr>
          <w:color w:val="000000" w:themeColor="text1"/>
          <w:lang w:val="en-GB"/>
        </w:rPr>
        <w:t xml:space="preserve"> Study. </w:t>
      </w:r>
      <w:r w:rsidRPr="006D4CB5">
        <w:rPr>
          <w:i/>
          <w:iCs/>
          <w:color w:val="000000" w:themeColor="text1"/>
          <w:lang w:val="en-GB"/>
        </w:rPr>
        <w:t xml:space="preserve">BMC </w:t>
      </w:r>
      <w:r w:rsidR="00EB3D6B" w:rsidRPr="006D4CB5">
        <w:rPr>
          <w:i/>
          <w:iCs/>
          <w:color w:val="000000" w:themeColor="text1"/>
          <w:lang w:val="en-GB"/>
        </w:rPr>
        <w:t>p</w:t>
      </w:r>
      <w:r w:rsidRPr="006D4CB5">
        <w:rPr>
          <w:i/>
          <w:iCs/>
          <w:color w:val="000000" w:themeColor="text1"/>
          <w:lang w:val="en-GB"/>
        </w:rPr>
        <w:t>sychiatry</w:t>
      </w:r>
      <w:r w:rsidRPr="006D4CB5">
        <w:rPr>
          <w:color w:val="000000" w:themeColor="text1"/>
          <w:lang w:val="en-GB"/>
        </w:rPr>
        <w:t xml:space="preserve">, </w:t>
      </w:r>
      <w:r w:rsidRPr="006D4CB5">
        <w:rPr>
          <w:i/>
          <w:iCs/>
          <w:color w:val="000000" w:themeColor="text1"/>
          <w:lang w:val="en-GB"/>
        </w:rPr>
        <w:t>14</w:t>
      </w:r>
      <w:r w:rsidRPr="006D4CB5">
        <w:rPr>
          <w:color w:val="000000" w:themeColor="text1"/>
          <w:lang w:val="en-GB"/>
        </w:rPr>
        <w:t>,</w:t>
      </w:r>
      <w:r w:rsidRPr="006D4CB5">
        <w:rPr>
          <w:i/>
          <w:iCs/>
          <w:color w:val="000000" w:themeColor="text1"/>
          <w:lang w:val="en-GB"/>
        </w:rPr>
        <w:t xml:space="preserve"> </w:t>
      </w:r>
      <w:r w:rsidRPr="006D4CB5">
        <w:rPr>
          <w:color w:val="000000" w:themeColor="text1"/>
          <w:lang w:val="en-GB"/>
        </w:rPr>
        <w:t xml:space="preserve">174.  </w:t>
      </w:r>
    </w:p>
    <w:p w14:paraId="2CB6C243" w14:textId="77777777" w:rsidR="002A7759" w:rsidRPr="006D4CB5" w:rsidRDefault="002A7759" w:rsidP="002A7759">
      <w:pPr>
        <w:spacing w:line="259" w:lineRule="auto"/>
        <w:jc w:val="both"/>
        <w:rPr>
          <w:color w:val="000000" w:themeColor="text1"/>
          <w:shd w:val="clear" w:color="auto" w:fill="FFFFFF"/>
        </w:rPr>
      </w:pPr>
      <w:r w:rsidRPr="006D4CB5">
        <w:rPr>
          <w:color w:val="000000" w:themeColor="text1"/>
          <w:shd w:val="clear" w:color="auto" w:fill="FFFFFF"/>
        </w:rPr>
        <w:t xml:space="preserve">Terracciano, A., &amp; Sutin, A. R. (2019). Personality and Alzheimer’s disease: </w:t>
      </w:r>
      <w:proofErr w:type="gramStart"/>
      <w:r w:rsidRPr="006D4CB5">
        <w:rPr>
          <w:color w:val="000000" w:themeColor="text1"/>
          <w:shd w:val="clear" w:color="auto" w:fill="FFFFFF"/>
        </w:rPr>
        <w:t>An integrative</w:t>
      </w:r>
      <w:proofErr w:type="gramEnd"/>
      <w:r w:rsidRPr="006D4CB5">
        <w:rPr>
          <w:color w:val="000000" w:themeColor="text1"/>
          <w:shd w:val="clear" w:color="auto" w:fill="FFFFFF"/>
        </w:rPr>
        <w:t xml:space="preserve"> </w:t>
      </w:r>
    </w:p>
    <w:p w14:paraId="6CB998E9" w14:textId="21C28D40" w:rsidR="002A7759" w:rsidRPr="006D4CB5" w:rsidRDefault="002A7759" w:rsidP="00F14E18">
      <w:pPr>
        <w:spacing w:line="259" w:lineRule="auto"/>
        <w:ind w:firstLine="720"/>
        <w:jc w:val="both"/>
        <w:rPr>
          <w:color w:val="000000" w:themeColor="text1"/>
          <w:shd w:val="clear" w:color="auto" w:fill="FFFFFF"/>
        </w:rPr>
      </w:pPr>
      <w:r w:rsidRPr="006D4CB5">
        <w:rPr>
          <w:color w:val="000000" w:themeColor="text1"/>
          <w:shd w:val="clear" w:color="auto" w:fill="FFFFFF"/>
        </w:rPr>
        <w:t>review. </w:t>
      </w:r>
      <w:r w:rsidRPr="006D4CB5">
        <w:rPr>
          <w:i/>
          <w:iCs/>
          <w:color w:val="000000" w:themeColor="text1"/>
          <w:shd w:val="clear" w:color="auto" w:fill="FFFFFF"/>
        </w:rPr>
        <w:t xml:space="preserve">Personality </w:t>
      </w:r>
      <w:r w:rsidR="00EB3D6B" w:rsidRPr="006D4CB5">
        <w:rPr>
          <w:i/>
          <w:iCs/>
          <w:color w:val="000000" w:themeColor="text1"/>
          <w:shd w:val="clear" w:color="auto" w:fill="FFFFFF"/>
        </w:rPr>
        <w:t>d</w:t>
      </w:r>
      <w:r w:rsidRPr="006D4CB5">
        <w:rPr>
          <w:i/>
          <w:iCs/>
          <w:color w:val="000000" w:themeColor="text1"/>
          <w:shd w:val="clear" w:color="auto" w:fill="FFFFFF"/>
        </w:rPr>
        <w:t xml:space="preserve">isorders: </w:t>
      </w:r>
      <w:r w:rsidR="00EB3D6B" w:rsidRPr="006D4CB5">
        <w:rPr>
          <w:i/>
          <w:iCs/>
          <w:color w:val="000000" w:themeColor="text1"/>
          <w:shd w:val="clear" w:color="auto" w:fill="FFFFFF"/>
        </w:rPr>
        <w:t>t</w:t>
      </w:r>
      <w:r w:rsidRPr="006D4CB5">
        <w:rPr>
          <w:i/>
          <w:iCs/>
          <w:color w:val="000000" w:themeColor="text1"/>
          <w:shd w:val="clear" w:color="auto" w:fill="FFFFFF"/>
        </w:rPr>
        <w:t xml:space="preserve">heory, </w:t>
      </w:r>
      <w:r w:rsidR="00EB3D6B" w:rsidRPr="006D4CB5">
        <w:rPr>
          <w:i/>
          <w:iCs/>
          <w:color w:val="000000" w:themeColor="text1"/>
          <w:shd w:val="clear" w:color="auto" w:fill="FFFFFF"/>
        </w:rPr>
        <w:t>r</w:t>
      </w:r>
      <w:r w:rsidRPr="006D4CB5">
        <w:rPr>
          <w:i/>
          <w:iCs/>
          <w:color w:val="000000" w:themeColor="text1"/>
          <w:shd w:val="clear" w:color="auto" w:fill="FFFFFF"/>
        </w:rPr>
        <w:t xml:space="preserve">esearch, and </w:t>
      </w:r>
      <w:r w:rsidR="00EB3D6B" w:rsidRPr="006D4CB5">
        <w:rPr>
          <w:i/>
          <w:iCs/>
          <w:color w:val="000000" w:themeColor="text1"/>
          <w:shd w:val="clear" w:color="auto" w:fill="FFFFFF"/>
        </w:rPr>
        <w:t>t</w:t>
      </w:r>
      <w:r w:rsidRPr="006D4CB5">
        <w:rPr>
          <w:i/>
          <w:iCs/>
          <w:color w:val="000000" w:themeColor="text1"/>
          <w:shd w:val="clear" w:color="auto" w:fill="FFFFFF"/>
        </w:rPr>
        <w:t>reatment</w:t>
      </w:r>
      <w:r w:rsidRPr="006D4CB5">
        <w:rPr>
          <w:color w:val="000000" w:themeColor="text1"/>
          <w:shd w:val="clear" w:color="auto" w:fill="FFFFFF"/>
        </w:rPr>
        <w:t>, </w:t>
      </w:r>
      <w:r w:rsidRPr="006D4CB5">
        <w:rPr>
          <w:i/>
          <w:iCs/>
          <w:color w:val="000000" w:themeColor="text1"/>
          <w:shd w:val="clear" w:color="auto" w:fill="FFFFFF"/>
        </w:rPr>
        <w:t>10</w:t>
      </w:r>
      <w:r w:rsidRPr="006D4CB5">
        <w:rPr>
          <w:color w:val="000000" w:themeColor="text1"/>
          <w:shd w:val="clear" w:color="auto" w:fill="FFFFFF"/>
        </w:rPr>
        <w:t>(1), 4.</w:t>
      </w:r>
    </w:p>
    <w:p w14:paraId="272C25D9"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Thalmayer, A. G., Saucier, G., &amp; </w:t>
      </w:r>
      <w:proofErr w:type="spellStart"/>
      <w:r w:rsidRPr="006D4CB5">
        <w:rPr>
          <w:rFonts w:eastAsia="Aptos"/>
          <w:color w:val="000000" w:themeColor="text1"/>
        </w:rPr>
        <w:t>Eigenhuis</w:t>
      </w:r>
      <w:proofErr w:type="spellEnd"/>
      <w:r w:rsidRPr="006D4CB5">
        <w:rPr>
          <w:rFonts w:eastAsia="Aptos"/>
          <w:color w:val="000000" w:themeColor="text1"/>
        </w:rPr>
        <w:t xml:space="preserve">, A. (2011). Comparative validity of brief to medium-length Big Five and Big Six Personality Questionnaires. </w:t>
      </w:r>
      <w:r w:rsidRPr="006D4CB5">
        <w:rPr>
          <w:rFonts w:eastAsia="Aptos"/>
          <w:i/>
          <w:iCs/>
          <w:color w:val="000000" w:themeColor="text1"/>
        </w:rPr>
        <w:t>Psychological assessment</w:t>
      </w:r>
      <w:r w:rsidRPr="006D4CB5">
        <w:rPr>
          <w:rFonts w:eastAsia="Aptos"/>
          <w:color w:val="000000" w:themeColor="text1"/>
        </w:rPr>
        <w:t xml:space="preserve">, </w:t>
      </w:r>
      <w:r w:rsidRPr="006D4CB5">
        <w:rPr>
          <w:rFonts w:eastAsia="Aptos"/>
          <w:i/>
          <w:iCs/>
          <w:color w:val="000000" w:themeColor="text1"/>
        </w:rPr>
        <w:t>23</w:t>
      </w:r>
      <w:r w:rsidRPr="006D4CB5">
        <w:rPr>
          <w:rFonts w:eastAsia="Aptos"/>
          <w:color w:val="000000" w:themeColor="text1"/>
        </w:rPr>
        <w:t>(4), 995-1009.</w:t>
      </w:r>
    </w:p>
    <w:p w14:paraId="42D47006" w14:textId="3174D680" w:rsidR="00294CCD" w:rsidRPr="006D4CB5" w:rsidRDefault="00294CCD" w:rsidP="002A7759">
      <w:pPr>
        <w:ind w:left="720" w:hanging="720"/>
        <w:rPr>
          <w:rFonts w:eastAsia="Aptos"/>
          <w:color w:val="000000" w:themeColor="text1"/>
        </w:rPr>
      </w:pPr>
      <w:proofErr w:type="spellStart"/>
      <w:r w:rsidRPr="006D4CB5">
        <w:rPr>
          <w:color w:val="000000" w:themeColor="text1"/>
          <w:shd w:val="clear" w:color="auto" w:fill="FFFFFF"/>
        </w:rPr>
        <w:t>Thibord</w:t>
      </w:r>
      <w:proofErr w:type="spellEnd"/>
      <w:r w:rsidRPr="006D4CB5">
        <w:rPr>
          <w:color w:val="000000" w:themeColor="text1"/>
          <w:shd w:val="clear" w:color="auto" w:fill="FFFFFF"/>
        </w:rPr>
        <w:t>, F., Chan, M. V., Chen, M. H., &amp; Johnson, A. D. (2022). A year of COVID-19 GWAS results from the GRASP portal reveals potential genetic risk factors. </w:t>
      </w:r>
      <w:r w:rsidRPr="006D4CB5">
        <w:rPr>
          <w:i/>
          <w:iCs/>
          <w:color w:val="000000" w:themeColor="text1"/>
          <w:shd w:val="clear" w:color="auto" w:fill="FFFFFF"/>
        </w:rPr>
        <w:t>Human Genetics and Genomics Advances</w:t>
      </w:r>
      <w:r w:rsidRPr="006D4CB5">
        <w:rPr>
          <w:color w:val="000000" w:themeColor="text1"/>
          <w:shd w:val="clear" w:color="auto" w:fill="FFFFFF"/>
        </w:rPr>
        <w:t>, </w:t>
      </w:r>
      <w:r w:rsidRPr="006D4CB5">
        <w:rPr>
          <w:i/>
          <w:iCs/>
          <w:color w:val="000000" w:themeColor="text1"/>
          <w:shd w:val="clear" w:color="auto" w:fill="FFFFFF"/>
        </w:rPr>
        <w:t>3</w:t>
      </w:r>
      <w:r w:rsidRPr="006D4CB5">
        <w:rPr>
          <w:color w:val="000000" w:themeColor="text1"/>
          <w:shd w:val="clear" w:color="auto" w:fill="FFFFFF"/>
        </w:rPr>
        <w:t>(2).</w:t>
      </w:r>
    </w:p>
    <w:p w14:paraId="63B4AB67" w14:textId="77777777" w:rsidR="002A7759" w:rsidRPr="006D4CB5" w:rsidRDefault="002A7759" w:rsidP="002A7759">
      <w:pPr>
        <w:ind w:left="720" w:hanging="720"/>
        <w:rPr>
          <w:color w:val="000000" w:themeColor="text1"/>
        </w:rPr>
      </w:pPr>
      <w:proofErr w:type="spellStart"/>
      <w:r w:rsidRPr="006D4CB5">
        <w:rPr>
          <w:color w:val="000000" w:themeColor="text1"/>
          <w:shd w:val="clear" w:color="auto" w:fill="FFFFFF"/>
        </w:rPr>
        <w:t>Thorgeirsson</w:t>
      </w:r>
      <w:proofErr w:type="spellEnd"/>
      <w:r w:rsidRPr="006D4CB5">
        <w:rPr>
          <w:color w:val="000000" w:themeColor="text1"/>
          <w:shd w:val="clear" w:color="auto" w:fill="FFFFFF"/>
        </w:rPr>
        <w:t xml:space="preserve">, T. E., Geller, F., Sulem, P., Rafnar, T., Wiste, A., Magnusson, K. P., ... &amp; Stefansson, K. (2008). A variant associated with nicotine dependence, lung cancer and peripheral arterial disease. </w:t>
      </w:r>
      <w:r w:rsidRPr="006D4CB5">
        <w:rPr>
          <w:i/>
          <w:iCs/>
          <w:color w:val="000000" w:themeColor="text1"/>
          <w:shd w:val="clear" w:color="auto" w:fill="FFFFFF"/>
        </w:rPr>
        <w:t>Nature</w:t>
      </w:r>
      <w:r w:rsidRPr="006D4CB5">
        <w:rPr>
          <w:color w:val="000000" w:themeColor="text1"/>
          <w:shd w:val="clear" w:color="auto" w:fill="FFFFFF"/>
        </w:rPr>
        <w:t xml:space="preserve">, </w:t>
      </w:r>
      <w:r w:rsidRPr="006D4CB5">
        <w:rPr>
          <w:i/>
          <w:iCs/>
          <w:color w:val="000000" w:themeColor="text1"/>
          <w:shd w:val="clear" w:color="auto" w:fill="FFFFFF"/>
        </w:rPr>
        <w:t>452</w:t>
      </w:r>
      <w:r w:rsidRPr="006D4CB5">
        <w:rPr>
          <w:color w:val="000000" w:themeColor="text1"/>
          <w:shd w:val="clear" w:color="auto" w:fill="FFFFFF"/>
        </w:rPr>
        <w:t>(7187), 638-642.</w:t>
      </w:r>
    </w:p>
    <w:p w14:paraId="252089C0" w14:textId="77777777" w:rsidR="002A7759" w:rsidRPr="006D4CB5" w:rsidRDefault="002A7759" w:rsidP="002A7759">
      <w:pPr>
        <w:ind w:left="720" w:hanging="720"/>
        <w:rPr>
          <w:color w:val="000000" w:themeColor="text1"/>
        </w:rPr>
      </w:pPr>
      <w:r w:rsidRPr="006D4CB5">
        <w:rPr>
          <w:rFonts w:eastAsia="Aptos"/>
          <w:color w:val="000000" w:themeColor="text1"/>
        </w:rPr>
        <w:t xml:space="preserve">Tucker-Drob, E. M., &amp; Briley, D. A. (2014). Continuity of genetic and environmental influences on cognition across the life span: a meta-analysis of longitudinal twin and adoption studies. </w:t>
      </w:r>
      <w:r w:rsidRPr="006D4CB5">
        <w:rPr>
          <w:rFonts w:eastAsia="Aptos"/>
          <w:i/>
          <w:iCs/>
          <w:color w:val="000000" w:themeColor="text1"/>
        </w:rPr>
        <w:t>Psychological bulletin</w:t>
      </w:r>
      <w:r w:rsidRPr="006D4CB5">
        <w:rPr>
          <w:rFonts w:eastAsia="Aptos"/>
          <w:color w:val="000000" w:themeColor="text1"/>
        </w:rPr>
        <w:t xml:space="preserve">, </w:t>
      </w:r>
      <w:r w:rsidRPr="006D4CB5">
        <w:rPr>
          <w:rFonts w:eastAsia="Aptos"/>
          <w:i/>
          <w:iCs/>
          <w:color w:val="000000" w:themeColor="text1"/>
        </w:rPr>
        <w:t>140</w:t>
      </w:r>
      <w:r w:rsidRPr="006D4CB5">
        <w:rPr>
          <w:rFonts w:eastAsia="Aptos"/>
          <w:color w:val="000000" w:themeColor="text1"/>
        </w:rPr>
        <w:t xml:space="preserve">(4), 949. </w:t>
      </w:r>
    </w:p>
    <w:p w14:paraId="6C5163D6" w14:textId="77777777" w:rsidR="002A7759" w:rsidRPr="006D4CB5" w:rsidRDefault="002A7759" w:rsidP="002A7759">
      <w:pPr>
        <w:ind w:left="720" w:hanging="720"/>
        <w:rPr>
          <w:color w:val="000000" w:themeColor="text1"/>
        </w:rPr>
      </w:pPr>
      <w:proofErr w:type="spellStart"/>
      <w:r w:rsidRPr="006D4CB5">
        <w:rPr>
          <w:rFonts w:eastAsia="Aptos"/>
          <w:color w:val="000000" w:themeColor="text1"/>
        </w:rPr>
        <w:t>Turkheimer</w:t>
      </w:r>
      <w:proofErr w:type="spellEnd"/>
      <w:r w:rsidRPr="006D4CB5">
        <w:rPr>
          <w:rFonts w:eastAsia="Aptos"/>
          <w:color w:val="000000" w:themeColor="text1"/>
        </w:rPr>
        <w:t xml:space="preserve">, E., Pettersson, E., &amp; Horn, E. E. (2014). A phenotypic null hypothesis for the genetics of personality. </w:t>
      </w:r>
      <w:r w:rsidRPr="006D4CB5">
        <w:rPr>
          <w:rFonts w:eastAsia="Aptos"/>
          <w:i/>
          <w:iCs/>
          <w:color w:val="000000" w:themeColor="text1"/>
        </w:rPr>
        <w:t>Annual review of psychology</w:t>
      </w:r>
      <w:r w:rsidRPr="006D4CB5">
        <w:rPr>
          <w:rFonts w:eastAsia="Aptos"/>
          <w:color w:val="000000" w:themeColor="text1"/>
        </w:rPr>
        <w:t xml:space="preserve">, </w:t>
      </w:r>
      <w:r w:rsidRPr="006D4CB5">
        <w:rPr>
          <w:rFonts w:eastAsia="Aptos"/>
          <w:i/>
          <w:iCs/>
          <w:color w:val="000000" w:themeColor="text1"/>
        </w:rPr>
        <w:t>65</w:t>
      </w:r>
      <w:r w:rsidRPr="006D4CB5">
        <w:rPr>
          <w:rFonts w:eastAsia="Aptos"/>
          <w:color w:val="000000" w:themeColor="text1"/>
        </w:rPr>
        <w:t>(1), 515-540.</w:t>
      </w:r>
    </w:p>
    <w:p w14:paraId="097007D3"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Turner, S. D. (2014). </w:t>
      </w:r>
      <w:proofErr w:type="spellStart"/>
      <w:r w:rsidRPr="006D4CB5">
        <w:rPr>
          <w:rFonts w:eastAsia="Aptos"/>
          <w:color w:val="000000" w:themeColor="text1"/>
        </w:rPr>
        <w:t>qqman</w:t>
      </w:r>
      <w:proofErr w:type="spellEnd"/>
      <w:r w:rsidRPr="006D4CB5">
        <w:rPr>
          <w:rFonts w:eastAsia="Aptos"/>
          <w:color w:val="000000" w:themeColor="text1"/>
        </w:rPr>
        <w:t xml:space="preserve">: an R package for visualizing GWAS results using QQ and </w:t>
      </w:r>
      <w:proofErr w:type="spellStart"/>
      <w:r w:rsidRPr="006D4CB5">
        <w:rPr>
          <w:rFonts w:eastAsia="Aptos"/>
          <w:color w:val="000000" w:themeColor="text1"/>
        </w:rPr>
        <w:t>manhattan</w:t>
      </w:r>
      <w:proofErr w:type="spellEnd"/>
      <w:r w:rsidRPr="006D4CB5">
        <w:rPr>
          <w:rFonts w:eastAsia="Aptos"/>
          <w:color w:val="000000" w:themeColor="text1"/>
        </w:rPr>
        <w:t xml:space="preserve"> plots.</w:t>
      </w:r>
      <w:r w:rsidRPr="006D4CB5">
        <w:rPr>
          <w:rFonts w:eastAsia="Arial"/>
          <w:color w:val="000000" w:themeColor="text1"/>
        </w:rPr>
        <w:t> </w:t>
      </w:r>
      <w:proofErr w:type="spellStart"/>
      <w:r w:rsidRPr="006D4CB5">
        <w:rPr>
          <w:rFonts w:eastAsia="Aptos"/>
          <w:i/>
          <w:iCs/>
          <w:color w:val="000000" w:themeColor="text1"/>
        </w:rPr>
        <w:t>Biorxiv</w:t>
      </w:r>
      <w:proofErr w:type="spellEnd"/>
      <w:r w:rsidRPr="006D4CB5">
        <w:rPr>
          <w:rFonts w:eastAsia="Aptos"/>
          <w:color w:val="000000" w:themeColor="text1"/>
        </w:rPr>
        <w:t xml:space="preserve">, 005165.  </w:t>
      </w:r>
    </w:p>
    <w:p w14:paraId="29E8DF87" w14:textId="77777777" w:rsidR="002A7759" w:rsidRPr="006D4CB5" w:rsidRDefault="002A7759" w:rsidP="002A7759">
      <w:pPr>
        <w:rPr>
          <w:color w:val="000000" w:themeColor="text1"/>
        </w:rPr>
      </w:pPr>
      <w:r w:rsidRPr="006D4CB5">
        <w:rPr>
          <w:color w:val="000000" w:themeColor="text1"/>
        </w:rPr>
        <w:t xml:space="preserve">Vaht, M., Arumäe, K., Realo, A., Ausmees, L., Allik, J., Henry, S., ... &amp; </w:t>
      </w:r>
      <w:proofErr w:type="spellStart"/>
      <w:r w:rsidRPr="006D4CB5">
        <w:rPr>
          <w:color w:val="000000" w:themeColor="text1"/>
        </w:rPr>
        <w:t>Vainik</w:t>
      </w:r>
      <w:proofErr w:type="spellEnd"/>
      <w:r w:rsidRPr="006D4CB5">
        <w:rPr>
          <w:color w:val="000000" w:themeColor="text1"/>
        </w:rPr>
        <w:t xml:space="preserve">, U. (2024). </w:t>
      </w:r>
    </w:p>
    <w:p w14:paraId="1257C54A" w14:textId="1E42CA59" w:rsidR="002A7759" w:rsidRPr="006D4CB5" w:rsidRDefault="002A7759" w:rsidP="00F14E18">
      <w:pPr>
        <w:ind w:left="720"/>
        <w:rPr>
          <w:color w:val="000000" w:themeColor="text1"/>
        </w:rPr>
      </w:pPr>
      <w:r w:rsidRPr="006D4CB5">
        <w:rPr>
          <w:color w:val="000000" w:themeColor="text1"/>
        </w:rPr>
        <w:t>Cohort profile: personality measurements at the Estonian Biobank of the Estonian Genome Center, University of Tartu.</w:t>
      </w:r>
    </w:p>
    <w:p w14:paraId="7582333E" w14:textId="77777777" w:rsidR="003065B3" w:rsidRPr="006D4CB5" w:rsidRDefault="003065B3" w:rsidP="003065B3">
      <w:pPr>
        <w:rPr>
          <w:color w:val="000000" w:themeColor="text1"/>
          <w:shd w:val="clear" w:color="auto" w:fill="FFFFFF"/>
        </w:rPr>
      </w:pPr>
      <w:r w:rsidRPr="006D4CB5">
        <w:rPr>
          <w:color w:val="000000" w:themeColor="text1"/>
          <w:shd w:val="clear" w:color="auto" w:fill="FFFFFF"/>
        </w:rPr>
        <w:t xml:space="preserve">van </w:t>
      </w:r>
      <w:proofErr w:type="spellStart"/>
      <w:r w:rsidRPr="006D4CB5">
        <w:rPr>
          <w:color w:val="000000" w:themeColor="text1"/>
          <w:shd w:val="clear" w:color="auto" w:fill="FFFFFF"/>
        </w:rPr>
        <w:t>Alten</w:t>
      </w:r>
      <w:proofErr w:type="spellEnd"/>
      <w:r w:rsidRPr="006D4CB5">
        <w:rPr>
          <w:color w:val="000000" w:themeColor="text1"/>
          <w:shd w:val="clear" w:color="auto" w:fill="FFFFFF"/>
        </w:rPr>
        <w:t xml:space="preserve">, S., Domingue, B. W., Faul, J., Galama, T., &amp; </w:t>
      </w:r>
      <w:proofErr w:type="spellStart"/>
      <w:r w:rsidRPr="006D4CB5">
        <w:rPr>
          <w:color w:val="000000" w:themeColor="text1"/>
          <w:shd w:val="clear" w:color="auto" w:fill="FFFFFF"/>
        </w:rPr>
        <w:t>Marees</w:t>
      </w:r>
      <w:proofErr w:type="spellEnd"/>
      <w:r w:rsidRPr="006D4CB5">
        <w:rPr>
          <w:color w:val="000000" w:themeColor="text1"/>
          <w:shd w:val="clear" w:color="auto" w:fill="FFFFFF"/>
        </w:rPr>
        <w:t xml:space="preserve">, A. T. (2024). Reweighting UK </w:t>
      </w:r>
    </w:p>
    <w:p w14:paraId="0032D32B" w14:textId="77777777" w:rsidR="003065B3" w:rsidRPr="006D4CB5" w:rsidRDefault="003065B3" w:rsidP="003065B3">
      <w:pPr>
        <w:ind w:firstLine="720"/>
        <w:rPr>
          <w:i/>
          <w:iCs/>
          <w:color w:val="000000" w:themeColor="text1"/>
          <w:shd w:val="clear" w:color="auto" w:fill="FFFFFF"/>
        </w:rPr>
      </w:pPr>
      <w:r w:rsidRPr="006D4CB5">
        <w:rPr>
          <w:color w:val="000000" w:themeColor="text1"/>
          <w:shd w:val="clear" w:color="auto" w:fill="FFFFFF"/>
        </w:rPr>
        <w:t>Biobank corrects for pervasive selection bias due to volunteering. </w:t>
      </w:r>
      <w:r w:rsidRPr="006D4CB5">
        <w:rPr>
          <w:i/>
          <w:iCs/>
          <w:color w:val="000000" w:themeColor="text1"/>
          <w:shd w:val="clear" w:color="auto" w:fill="FFFFFF"/>
        </w:rPr>
        <w:t xml:space="preserve">International journal of </w:t>
      </w:r>
    </w:p>
    <w:p w14:paraId="2052A362" w14:textId="057F5028" w:rsidR="003065B3" w:rsidRPr="006D4CB5" w:rsidRDefault="003065B3" w:rsidP="003065B3">
      <w:pPr>
        <w:ind w:left="720"/>
        <w:rPr>
          <w:color w:val="000000" w:themeColor="text1"/>
          <w:shd w:val="clear" w:color="auto" w:fill="FFFFFF"/>
        </w:rPr>
      </w:pPr>
      <w:r w:rsidRPr="006D4CB5">
        <w:rPr>
          <w:i/>
          <w:iCs/>
          <w:color w:val="000000" w:themeColor="text1"/>
          <w:shd w:val="clear" w:color="auto" w:fill="FFFFFF"/>
        </w:rPr>
        <w:t>epidemiology</w:t>
      </w:r>
      <w:r w:rsidRPr="006D4CB5">
        <w:rPr>
          <w:color w:val="000000" w:themeColor="text1"/>
          <w:shd w:val="clear" w:color="auto" w:fill="FFFFFF"/>
        </w:rPr>
        <w:t>, </w:t>
      </w:r>
      <w:r w:rsidRPr="006D4CB5">
        <w:rPr>
          <w:i/>
          <w:iCs/>
          <w:color w:val="000000" w:themeColor="text1"/>
          <w:shd w:val="clear" w:color="auto" w:fill="FFFFFF"/>
        </w:rPr>
        <w:t>53</w:t>
      </w:r>
      <w:r w:rsidRPr="006D4CB5">
        <w:rPr>
          <w:color w:val="000000" w:themeColor="text1"/>
          <w:shd w:val="clear" w:color="auto" w:fill="FFFFFF"/>
        </w:rPr>
        <w:t>(3), dyae054.</w:t>
      </w:r>
    </w:p>
    <w:p w14:paraId="4C385BBC" w14:textId="77777777" w:rsidR="002A7759" w:rsidRPr="006D4CB5" w:rsidRDefault="002A7759" w:rsidP="002A7759">
      <w:pPr>
        <w:ind w:left="720" w:hanging="720"/>
        <w:rPr>
          <w:color w:val="000000" w:themeColor="text1"/>
        </w:rPr>
      </w:pPr>
      <w:r w:rsidRPr="006D4CB5">
        <w:rPr>
          <w:rFonts w:eastAsia="Aptos"/>
          <w:color w:val="000000" w:themeColor="text1"/>
        </w:rPr>
        <w:t>Van den Berg, S. M., de Moor, M. H., Verweij, K. J., Krueger, R. F., Luciano, M., Arias Vasquez, A., ... &amp; Boomsma, D. I. (2016). Meta-analysis of genome-wide association studies for extraversion: findings from the genetics of personality consortium.</w:t>
      </w:r>
      <w:r w:rsidRPr="006D4CB5">
        <w:rPr>
          <w:rFonts w:eastAsia="Arial"/>
          <w:color w:val="000000" w:themeColor="text1"/>
        </w:rPr>
        <w:t> </w:t>
      </w:r>
      <w:r w:rsidRPr="006D4CB5">
        <w:rPr>
          <w:rFonts w:eastAsia="Aptos"/>
          <w:i/>
          <w:iCs/>
          <w:color w:val="000000" w:themeColor="text1"/>
        </w:rPr>
        <w:t>Behavior genetics</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46</w:t>
      </w:r>
      <w:r w:rsidRPr="006D4CB5">
        <w:rPr>
          <w:rFonts w:eastAsia="Aptos"/>
          <w:color w:val="000000" w:themeColor="text1"/>
        </w:rPr>
        <w:t xml:space="preserve">, 170-182. </w:t>
      </w:r>
    </w:p>
    <w:p w14:paraId="29240973" w14:textId="77777777" w:rsidR="002A7759" w:rsidRPr="006D4CB5" w:rsidRDefault="002A7759" w:rsidP="002A7759">
      <w:pPr>
        <w:ind w:left="720" w:hanging="720"/>
        <w:rPr>
          <w:color w:val="000000" w:themeColor="text1"/>
        </w:rPr>
      </w:pPr>
      <w:r w:rsidRPr="006D4CB5">
        <w:rPr>
          <w:rFonts w:eastAsia="Aptos"/>
          <w:color w:val="000000" w:themeColor="text1"/>
        </w:rPr>
        <w:t>Vazire, S. (2010). Who knows what about a person? The self–</w:t>
      </w:r>
      <w:proofErr w:type="gramStart"/>
      <w:r w:rsidRPr="006D4CB5">
        <w:rPr>
          <w:rFonts w:eastAsia="Aptos"/>
          <w:color w:val="000000" w:themeColor="text1"/>
        </w:rPr>
        <w:t>other</w:t>
      </w:r>
      <w:proofErr w:type="gramEnd"/>
      <w:r w:rsidRPr="006D4CB5">
        <w:rPr>
          <w:rFonts w:eastAsia="Aptos"/>
          <w:color w:val="000000" w:themeColor="text1"/>
        </w:rPr>
        <w:t xml:space="preserve"> knowledge asymmetry (SOKA) model.</w:t>
      </w:r>
      <w:r w:rsidRPr="006D4CB5">
        <w:rPr>
          <w:rFonts w:eastAsia="Arial"/>
          <w:color w:val="000000" w:themeColor="text1"/>
        </w:rPr>
        <w:t> </w:t>
      </w:r>
      <w:r w:rsidRPr="006D4CB5">
        <w:rPr>
          <w:rFonts w:eastAsia="Aptos"/>
          <w:i/>
          <w:iCs/>
          <w:color w:val="000000" w:themeColor="text1"/>
        </w:rPr>
        <w:t>Journal of personality and social psychology</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98</w:t>
      </w:r>
      <w:r w:rsidRPr="006D4CB5">
        <w:rPr>
          <w:rFonts w:eastAsia="Aptos"/>
          <w:color w:val="000000" w:themeColor="text1"/>
        </w:rPr>
        <w:t xml:space="preserve">(2), 281-300. </w:t>
      </w:r>
    </w:p>
    <w:p w14:paraId="668B458F" w14:textId="77777777" w:rsidR="002A7759" w:rsidRPr="006D4CB5" w:rsidRDefault="002A7759" w:rsidP="002A7759">
      <w:pPr>
        <w:ind w:left="720" w:hanging="720"/>
        <w:rPr>
          <w:color w:val="000000" w:themeColor="text1"/>
        </w:rPr>
      </w:pPr>
      <w:r w:rsidRPr="006D4CB5">
        <w:rPr>
          <w:rFonts w:eastAsia="Aptos"/>
          <w:color w:val="000000" w:themeColor="text1"/>
        </w:rPr>
        <w:t>Wei, T., Simko, V., Levy, M., Xie, Y., Jin, Y., &amp; Zemla, J. (2017). Package ‘</w:t>
      </w:r>
      <w:proofErr w:type="spellStart"/>
      <w:r w:rsidRPr="006D4CB5">
        <w:rPr>
          <w:rFonts w:eastAsia="Aptos"/>
          <w:color w:val="000000" w:themeColor="text1"/>
        </w:rPr>
        <w:t>corrplot</w:t>
      </w:r>
      <w:proofErr w:type="spellEnd"/>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Statistician</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56</w:t>
      </w:r>
      <w:r w:rsidRPr="006D4CB5">
        <w:rPr>
          <w:rFonts w:eastAsia="Aptos"/>
          <w:color w:val="000000" w:themeColor="text1"/>
        </w:rPr>
        <w:t xml:space="preserve">(316), e24. </w:t>
      </w:r>
    </w:p>
    <w:p w14:paraId="07F8756A" w14:textId="77777777" w:rsidR="002A7759" w:rsidRPr="006D4CB5" w:rsidRDefault="002A7759" w:rsidP="002A7759">
      <w:pPr>
        <w:ind w:left="720" w:hanging="720"/>
        <w:rPr>
          <w:rFonts w:eastAsia="Aptos"/>
          <w:color w:val="000000" w:themeColor="text1"/>
        </w:rPr>
      </w:pPr>
      <w:r w:rsidRPr="006D4CB5">
        <w:rPr>
          <w:rFonts w:eastAsia="Aptos"/>
          <w:color w:val="000000" w:themeColor="text1"/>
        </w:rPr>
        <w:t xml:space="preserve">Wickham, H., Averick, M., Bryan, J., Chang, W., McGowan, L. D. A., François, R., ... &amp; Yutani, H. (2019). Welcome to the </w:t>
      </w:r>
      <w:proofErr w:type="spellStart"/>
      <w:r w:rsidRPr="006D4CB5">
        <w:rPr>
          <w:rFonts w:eastAsia="Aptos"/>
          <w:color w:val="000000" w:themeColor="text1"/>
        </w:rPr>
        <w:t>Tidyverse</w:t>
      </w:r>
      <w:proofErr w:type="spellEnd"/>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 xml:space="preserve">Journal of </w:t>
      </w:r>
      <w:proofErr w:type="gramStart"/>
      <w:r w:rsidRPr="006D4CB5">
        <w:rPr>
          <w:rFonts w:eastAsia="Aptos"/>
          <w:i/>
          <w:iCs/>
          <w:color w:val="000000" w:themeColor="text1"/>
        </w:rPr>
        <w:t>open source</w:t>
      </w:r>
      <w:proofErr w:type="gramEnd"/>
      <w:r w:rsidRPr="006D4CB5">
        <w:rPr>
          <w:rFonts w:eastAsia="Aptos"/>
          <w:i/>
          <w:iCs/>
          <w:color w:val="000000" w:themeColor="text1"/>
        </w:rPr>
        <w:t xml:space="preserve"> software</w:t>
      </w:r>
      <w:r w:rsidRPr="006D4CB5">
        <w:rPr>
          <w:rFonts w:eastAsia="Aptos"/>
          <w:color w:val="000000" w:themeColor="text1"/>
        </w:rPr>
        <w:t>,</w:t>
      </w:r>
      <w:r w:rsidRPr="006D4CB5">
        <w:rPr>
          <w:rFonts w:eastAsia="Arial"/>
          <w:color w:val="000000" w:themeColor="text1"/>
        </w:rPr>
        <w:t> </w:t>
      </w:r>
      <w:r w:rsidRPr="006D4CB5">
        <w:rPr>
          <w:rFonts w:eastAsia="Aptos"/>
          <w:i/>
          <w:iCs/>
          <w:color w:val="000000" w:themeColor="text1"/>
        </w:rPr>
        <w:t>4</w:t>
      </w:r>
      <w:r w:rsidRPr="006D4CB5">
        <w:rPr>
          <w:rFonts w:eastAsia="Aptos"/>
          <w:color w:val="000000" w:themeColor="text1"/>
        </w:rPr>
        <w:t xml:space="preserve">(43), 1686. </w:t>
      </w:r>
    </w:p>
    <w:p w14:paraId="61BD1DA7" w14:textId="77777777" w:rsidR="002A7759" w:rsidRPr="006D4CB5" w:rsidRDefault="002A7759" w:rsidP="002A7759">
      <w:pPr>
        <w:ind w:left="720" w:hanging="720"/>
        <w:rPr>
          <w:color w:val="000000" w:themeColor="text1"/>
          <w:shd w:val="clear" w:color="auto" w:fill="FFFFFF"/>
        </w:rPr>
      </w:pPr>
      <w:proofErr w:type="spellStart"/>
      <w:r w:rsidRPr="006D4CB5">
        <w:rPr>
          <w:color w:val="000000" w:themeColor="text1"/>
          <w:shd w:val="clear" w:color="auto" w:fill="FFFFFF"/>
        </w:rPr>
        <w:t>Willroth</w:t>
      </w:r>
      <w:proofErr w:type="spellEnd"/>
      <w:r w:rsidRPr="006D4CB5">
        <w:rPr>
          <w:color w:val="000000" w:themeColor="text1"/>
          <w:shd w:val="clear" w:color="auto" w:fill="FFFFFF"/>
        </w:rPr>
        <w:t xml:space="preserve">, E. C., Beck, E., Yoneda, T. B., Beam, C. R., Deary, I. J., </w:t>
      </w:r>
      <w:proofErr w:type="spellStart"/>
      <w:r w:rsidRPr="006D4CB5">
        <w:rPr>
          <w:color w:val="000000" w:themeColor="text1"/>
          <w:shd w:val="clear" w:color="auto" w:fill="FFFFFF"/>
        </w:rPr>
        <w:t>Drewelies</w:t>
      </w:r>
      <w:proofErr w:type="spellEnd"/>
      <w:r w:rsidRPr="006D4CB5">
        <w:rPr>
          <w:color w:val="000000" w:themeColor="text1"/>
          <w:shd w:val="clear" w:color="auto" w:fill="FFFFFF"/>
        </w:rPr>
        <w:t xml:space="preserve">, J., ... &amp; Graham, E. K. (2025). Associations of personality trait level and change with mortality risk in 11 longitudinal studies. </w:t>
      </w:r>
      <w:r w:rsidRPr="006D4CB5">
        <w:rPr>
          <w:i/>
          <w:iCs/>
          <w:color w:val="000000" w:themeColor="text1"/>
          <w:shd w:val="clear" w:color="auto" w:fill="FFFFFF"/>
        </w:rPr>
        <w:t>Journal of personality and social psychology</w:t>
      </w:r>
      <w:r w:rsidRPr="006D4CB5">
        <w:rPr>
          <w:color w:val="000000" w:themeColor="text1"/>
          <w:shd w:val="clear" w:color="auto" w:fill="FFFFFF"/>
        </w:rPr>
        <w:t>.</w:t>
      </w:r>
    </w:p>
    <w:p w14:paraId="2F2767B6" w14:textId="77777777" w:rsidR="002A7759" w:rsidRPr="006D4CB5" w:rsidRDefault="002A7759" w:rsidP="002A7759">
      <w:pPr>
        <w:pBdr>
          <w:top w:val="nil"/>
          <w:left w:val="nil"/>
          <w:bottom w:val="nil"/>
          <w:right w:val="nil"/>
          <w:between w:val="nil"/>
        </w:pBdr>
        <w:rPr>
          <w:color w:val="000000" w:themeColor="text1"/>
        </w:rPr>
      </w:pPr>
      <w:r w:rsidRPr="006D4CB5">
        <w:rPr>
          <w:color w:val="000000" w:themeColor="text1"/>
        </w:rPr>
        <w:t xml:space="preserve">Witt, S.H., Streit, F., </w:t>
      </w:r>
      <w:proofErr w:type="spellStart"/>
      <w:r w:rsidRPr="006D4CB5">
        <w:rPr>
          <w:color w:val="000000" w:themeColor="text1"/>
        </w:rPr>
        <w:t>Jungkunz</w:t>
      </w:r>
      <w:proofErr w:type="spellEnd"/>
      <w:r w:rsidRPr="006D4CB5">
        <w:rPr>
          <w:color w:val="000000" w:themeColor="text1"/>
        </w:rPr>
        <w:t xml:space="preserve">, M., Frank, J., Awasthi, S., Reinbold, C.S., </w:t>
      </w:r>
      <w:proofErr w:type="spellStart"/>
      <w:r w:rsidRPr="006D4CB5">
        <w:rPr>
          <w:color w:val="000000" w:themeColor="text1"/>
        </w:rPr>
        <w:t>Treutlein</w:t>
      </w:r>
      <w:proofErr w:type="spellEnd"/>
      <w:r w:rsidRPr="006D4CB5">
        <w:rPr>
          <w:color w:val="000000" w:themeColor="text1"/>
        </w:rPr>
        <w:t xml:space="preserve">, J., </w:t>
      </w:r>
    </w:p>
    <w:p w14:paraId="15C27501" w14:textId="4A7A6D80" w:rsidR="002A7759" w:rsidRPr="006D4CB5" w:rsidRDefault="002A7759" w:rsidP="002A7759">
      <w:pPr>
        <w:pBdr>
          <w:top w:val="nil"/>
          <w:left w:val="nil"/>
          <w:bottom w:val="nil"/>
          <w:right w:val="nil"/>
          <w:between w:val="nil"/>
        </w:pBdr>
        <w:ind w:left="720"/>
        <w:rPr>
          <w:color w:val="000000" w:themeColor="text1"/>
        </w:rPr>
      </w:pPr>
      <w:r w:rsidRPr="006D4CB5">
        <w:rPr>
          <w:color w:val="000000" w:themeColor="text1"/>
        </w:rPr>
        <w:t xml:space="preserve">Degenhardt, F., Forstner, A.J., Heilmann-Heimbach, S., Dietl, L., Schwarze, C.E., Schende, D.I., Strohmaier, J., Bethell, A., Craddock, N., Di Florio, A., Forty, E., Fraser, C., ... Lieb, K. (2017). Genome-wide association study of borderline personality disorder </w:t>
      </w:r>
      <w:r w:rsidRPr="006D4CB5">
        <w:rPr>
          <w:color w:val="000000" w:themeColor="text1"/>
        </w:rPr>
        <w:lastRenderedPageBreak/>
        <w:t xml:space="preserve">reveals genetic overlap with bipolar disorder, major depression and schizophrenia. </w:t>
      </w:r>
      <w:r w:rsidRPr="006D4CB5">
        <w:rPr>
          <w:i/>
          <w:iCs/>
          <w:color w:val="000000" w:themeColor="text1"/>
        </w:rPr>
        <w:t xml:space="preserve">Translational </w:t>
      </w:r>
      <w:r w:rsidR="00EB3D6B" w:rsidRPr="006D4CB5">
        <w:rPr>
          <w:i/>
          <w:iCs/>
          <w:color w:val="000000" w:themeColor="text1"/>
        </w:rPr>
        <w:t>p</w:t>
      </w:r>
      <w:r w:rsidRPr="006D4CB5">
        <w:rPr>
          <w:i/>
          <w:iCs/>
          <w:color w:val="000000" w:themeColor="text1"/>
        </w:rPr>
        <w:t>sychiatry</w:t>
      </w:r>
      <w:r w:rsidRPr="006D4CB5">
        <w:rPr>
          <w:color w:val="000000" w:themeColor="text1"/>
        </w:rPr>
        <w:t xml:space="preserve">, </w:t>
      </w:r>
      <w:r w:rsidRPr="006D4CB5">
        <w:rPr>
          <w:i/>
          <w:iCs/>
          <w:color w:val="000000" w:themeColor="text1"/>
        </w:rPr>
        <w:t>7</w:t>
      </w:r>
      <w:r w:rsidRPr="006D4CB5">
        <w:rPr>
          <w:color w:val="000000" w:themeColor="text1"/>
        </w:rPr>
        <w:t>(6), e1155-e1155.</w:t>
      </w:r>
    </w:p>
    <w:p w14:paraId="600F7091"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Wright, M.J., &amp; Martin, N.G. (2004). Brisbane Adolescent Twin Study: Outline of study </w:t>
      </w:r>
    </w:p>
    <w:p w14:paraId="4B5E5646" w14:textId="77297822" w:rsidR="002A7759" w:rsidRPr="006D4CB5" w:rsidRDefault="002A7759" w:rsidP="002A7759">
      <w:pPr>
        <w:ind w:firstLine="720"/>
        <w:rPr>
          <w:color w:val="000000" w:themeColor="text1"/>
          <w:shd w:val="clear" w:color="auto" w:fill="FFFFFF"/>
        </w:rPr>
      </w:pPr>
      <w:r w:rsidRPr="006D4CB5">
        <w:rPr>
          <w:color w:val="000000" w:themeColor="text1"/>
          <w:shd w:val="clear" w:color="auto" w:fill="FFFFFF"/>
        </w:rPr>
        <w:t xml:space="preserve">methods and research projects. </w:t>
      </w:r>
      <w:r w:rsidRPr="006D4CB5">
        <w:rPr>
          <w:i/>
          <w:iCs/>
          <w:color w:val="000000" w:themeColor="text1"/>
          <w:shd w:val="clear" w:color="auto" w:fill="FFFFFF"/>
        </w:rPr>
        <w:t xml:space="preserve">Australian </w:t>
      </w:r>
      <w:r w:rsidR="00EB3D6B" w:rsidRPr="006D4CB5">
        <w:rPr>
          <w:i/>
          <w:iCs/>
          <w:color w:val="000000" w:themeColor="text1"/>
          <w:shd w:val="clear" w:color="auto" w:fill="FFFFFF"/>
        </w:rPr>
        <w:t>j</w:t>
      </w:r>
      <w:r w:rsidRPr="006D4CB5">
        <w:rPr>
          <w:i/>
          <w:iCs/>
          <w:color w:val="000000" w:themeColor="text1"/>
          <w:shd w:val="clear" w:color="auto" w:fill="FFFFFF"/>
        </w:rPr>
        <w:t xml:space="preserve">ournal of </w:t>
      </w:r>
      <w:r w:rsidR="00EB3D6B" w:rsidRPr="006D4CB5">
        <w:rPr>
          <w:i/>
          <w:iCs/>
          <w:color w:val="000000" w:themeColor="text1"/>
          <w:shd w:val="clear" w:color="auto" w:fill="FFFFFF"/>
        </w:rPr>
        <w:t>p</w:t>
      </w:r>
      <w:r w:rsidRPr="006D4CB5">
        <w:rPr>
          <w:i/>
          <w:iCs/>
          <w:color w:val="000000" w:themeColor="text1"/>
          <w:shd w:val="clear" w:color="auto" w:fill="FFFFFF"/>
        </w:rPr>
        <w:t>sychology</w:t>
      </w:r>
      <w:r w:rsidRPr="006D4CB5">
        <w:rPr>
          <w:color w:val="000000" w:themeColor="text1"/>
          <w:shd w:val="clear" w:color="auto" w:fill="FFFFFF"/>
        </w:rPr>
        <w:t xml:space="preserve">, </w:t>
      </w:r>
      <w:r w:rsidRPr="006D4CB5">
        <w:rPr>
          <w:i/>
          <w:iCs/>
          <w:color w:val="000000" w:themeColor="text1"/>
          <w:shd w:val="clear" w:color="auto" w:fill="FFFFFF"/>
        </w:rPr>
        <w:t>56</w:t>
      </w:r>
      <w:r w:rsidRPr="006D4CB5">
        <w:rPr>
          <w:color w:val="000000" w:themeColor="text1"/>
          <w:shd w:val="clear" w:color="auto" w:fill="FFFFFF"/>
        </w:rPr>
        <w:t>,65-78.</w:t>
      </w:r>
    </w:p>
    <w:p w14:paraId="7D208EF9" w14:textId="77777777" w:rsidR="002A7759" w:rsidRPr="006D4CB5" w:rsidRDefault="002A7759" w:rsidP="002A7759">
      <w:pPr>
        <w:rPr>
          <w:color w:val="000000" w:themeColor="text1"/>
          <w:shd w:val="clear" w:color="auto" w:fill="FFFFFF"/>
        </w:rPr>
      </w:pPr>
      <w:r w:rsidRPr="006D4CB5">
        <w:rPr>
          <w:color w:val="000000" w:themeColor="text1"/>
          <w:shd w:val="clear" w:color="auto" w:fill="FFFFFF"/>
        </w:rPr>
        <w:t xml:space="preserve">Wright, M., De Geus, E., Ando, J., Luciano, M., Posthuma, D., Ono, Y., Hansell, N., Van </w:t>
      </w:r>
    </w:p>
    <w:p w14:paraId="2AFDF23C" w14:textId="49EFE1C3" w:rsidR="002A7759" w:rsidRPr="006D4CB5" w:rsidRDefault="002A7759" w:rsidP="00F14E18">
      <w:pPr>
        <w:ind w:left="720"/>
        <w:rPr>
          <w:color w:val="000000" w:themeColor="text1"/>
          <w:shd w:val="clear" w:color="auto" w:fill="FFFFFF"/>
        </w:rPr>
      </w:pPr>
      <w:r w:rsidRPr="006D4CB5">
        <w:rPr>
          <w:color w:val="000000" w:themeColor="text1"/>
          <w:shd w:val="clear" w:color="auto" w:fill="FFFFFF"/>
        </w:rPr>
        <w:t xml:space="preserve">Baal, C., Hiraishi, K., Hasegawa, T., Smith, G., Geffen, G., Geffen, L., </w:t>
      </w:r>
      <w:proofErr w:type="spellStart"/>
      <w:r w:rsidRPr="006D4CB5">
        <w:rPr>
          <w:color w:val="000000" w:themeColor="text1"/>
          <w:shd w:val="clear" w:color="auto" w:fill="FFFFFF"/>
        </w:rPr>
        <w:t>Kanba</w:t>
      </w:r>
      <w:proofErr w:type="spellEnd"/>
      <w:r w:rsidRPr="006D4CB5">
        <w:rPr>
          <w:color w:val="000000" w:themeColor="text1"/>
          <w:shd w:val="clear" w:color="auto" w:fill="FFFFFF"/>
        </w:rPr>
        <w:t xml:space="preserve">, S., Miyake, A., Martin, N., &amp; Boomsma, D. (2001). Genetics of cognition: outline of a collaborative twin study. </w:t>
      </w:r>
      <w:r w:rsidRPr="006D4CB5">
        <w:rPr>
          <w:i/>
          <w:iCs/>
          <w:color w:val="000000" w:themeColor="text1"/>
          <w:shd w:val="clear" w:color="auto" w:fill="FFFFFF"/>
        </w:rPr>
        <w:t xml:space="preserve">Twin </w:t>
      </w:r>
      <w:r w:rsidR="00EB3D6B" w:rsidRPr="006D4CB5">
        <w:rPr>
          <w:i/>
          <w:iCs/>
          <w:color w:val="000000" w:themeColor="text1"/>
          <w:shd w:val="clear" w:color="auto" w:fill="FFFFFF"/>
        </w:rPr>
        <w:t>r</w:t>
      </w:r>
      <w:r w:rsidRPr="006D4CB5">
        <w:rPr>
          <w:i/>
          <w:iCs/>
          <w:color w:val="000000" w:themeColor="text1"/>
          <w:shd w:val="clear" w:color="auto" w:fill="FFFFFF"/>
        </w:rPr>
        <w:t xml:space="preserve">esearch and </w:t>
      </w:r>
      <w:r w:rsidR="00EB3D6B" w:rsidRPr="006D4CB5">
        <w:rPr>
          <w:i/>
          <w:iCs/>
          <w:color w:val="000000" w:themeColor="text1"/>
          <w:shd w:val="clear" w:color="auto" w:fill="FFFFFF"/>
        </w:rPr>
        <w:t>h</w:t>
      </w:r>
      <w:r w:rsidRPr="006D4CB5">
        <w:rPr>
          <w:i/>
          <w:iCs/>
          <w:color w:val="000000" w:themeColor="text1"/>
          <w:shd w:val="clear" w:color="auto" w:fill="FFFFFF"/>
        </w:rPr>
        <w:t xml:space="preserve">uman </w:t>
      </w:r>
      <w:r w:rsidR="00EB3D6B" w:rsidRPr="006D4CB5">
        <w:rPr>
          <w:i/>
          <w:iCs/>
          <w:color w:val="000000" w:themeColor="text1"/>
          <w:shd w:val="clear" w:color="auto" w:fill="FFFFFF"/>
        </w:rPr>
        <w:t>g</w:t>
      </w:r>
      <w:r w:rsidRPr="006D4CB5">
        <w:rPr>
          <w:i/>
          <w:iCs/>
          <w:color w:val="000000" w:themeColor="text1"/>
          <w:shd w:val="clear" w:color="auto" w:fill="FFFFFF"/>
        </w:rPr>
        <w:t>enetics</w:t>
      </w:r>
      <w:r w:rsidRPr="006D4CB5">
        <w:rPr>
          <w:color w:val="000000" w:themeColor="text1"/>
          <w:shd w:val="clear" w:color="auto" w:fill="FFFFFF"/>
        </w:rPr>
        <w:t xml:space="preserve">, </w:t>
      </w:r>
      <w:r w:rsidRPr="006D4CB5">
        <w:rPr>
          <w:i/>
          <w:iCs/>
          <w:color w:val="000000" w:themeColor="text1"/>
          <w:shd w:val="clear" w:color="auto" w:fill="FFFFFF"/>
        </w:rPr>
        <w:t>4</w:t>
      </w:r>
      <w:r w:rsidRPr="006D4CB5">
        <w:rPr>
          <w:color w:val="000000" w:themeColor="text1"/>
          <w:shd w:val="clear" w:color="auto" w:fill="FFFFFF"/>
        </w:rPr>
        <w:t>(1), 48-56. </w:t>
      </w:r>
    </w:p>
    <w:p w14:paraId="6B42BCEA" w14:textId="77777777" w:rsidR="002A7759" w:rsidRPr="006D4CB5" w:rsidRDefault="002A7759" w:rsidP="002A7759">
      <w:pPr>
        <w:rPr>
          <w:color w:val="000000" w:themeColor="text1"/>
        </w:rPr>
      </w:pPr>
      <w:r w:rsidRPr="006D4CB5">
        <w:rPr>
          <w:color w:val="000000" w:themeColor="text1"/>
        </w:rPr>
        <w:t xml:space="preserve">Zakrisson, I. (2010). Big Five Inventory (BFI): </w:t>
      </w:r>
      <w:proofErr w:type="spellStart"/>
      <w:r w:rsidRPr="006D4CB5">
        <w:rPr>
          <w:color w:val="000000" w:themeColor="text1"/>
        </w:rPr>
        <w:t>Utprövning</w:t>
      </w:r>
      <w:proofErr w:type="spellEnd"/>
      <w:r w:rsidRPr="006D4CB5">
        <w:rPr>
          <w:color w:val="000000" w:themeColor="text1"/>
        </w:rPr>
        <w:t xml:space="preserve"> för </w:t>
      </w:r>
      <w:proofErr w:type="spellStart"/>
      <w:r w:rsidRPr="006D4CB5">
        <w:rPr>
          <w:color w:val="000000" w:themeColor="text1"/>
        </w:rPr>
        <w:t>svenska</w:t>
      </w:r>
      <w:proofErr w:type="spellEnd"/>
      <w:r w:rsidRPr="006D4CB5">
        <w:rPr>
          <w:color w:val="000000" w:themeColor="text1"/>
        </w:rPr>
        <w:t xml:space="preserve"> </w:t>
      </w:r>
      <w:proofErr w:type="spellStart"/>
      <w:r w:rsidRPr="006D4CB5">
        <w:rPr>
          <w:color w:val="000000" w:themeColor="text1"/>
        </w:rPr>
        <w:t>förhållanden</w:t>
      </w:r>
      <w:proofErr w:type="spellEnd"/>
      <w:r w:rsidRPr="006D4CB5">
        <w:rPr>
          <w:color w:val="000000" w:themeColor="text1"/>
        </w:rPr>
        <w:t xml:space="preserve">. Mid </w:t>
      </w:r>
    </w:p>
    <w:p w14:paraId="52980025" w14:textId="53D86DAD" w:rsidR="008E021C" w:rsidRPr="006D4CB5" w:rsidRDefault="002A7759" w:rsidP="00924393">
      <w:pPr>
        <w:ind w:firstLine="720"/>
        <w:rPr>
          <w:color w:val="000000" w:themeColor="text1"/>
        </w:rPr>
      </w:pPr>
      <w:r w:rsidRPr="006D4CB5">
        <w:rPr>
          <w:color w:val="000000" w:themeColor="text1"/>
        </w:rPr>
        <w:t>Sweden University.</w:t>
      </w:r>
      <w:r w:rsidRPr="006D4CB5">
        <w:rPr>
          <w:color w:val="000000" w:themeColor="text1"/>
        </w:rPr>
        <w:fldChar w:fldCharType="begin"/>
      </w:r>
      <w:r w:rsidRPr="006D4CB5">
        <w:rPr>
          <w:color w:val="000000" w:themeColor="text1"/>
          <w:lang w:val="de-DE"/>
        </w:rPr>
        <w:instrText xml:space="preserve"> ADDIN EN.REFLIST </w:instrText>
      </w:r>
      <w:r w:rsidRPr="006D4CB5">
        <w:rPr>
          <w:color w:val="000000" w:themeColor="text1"/>
        </w:rPr>
        <w:fldChar w:fldCharType="separate"/>
      </w:r>
      <w:r w:rsidRPr="006D4CB5">
        <w:rPr>
          <w:color w:val="000000" w:themeColor="text1"/>
          <w:lang w:val="de-DE"/>
        </w:rPr>
        <w:t xml:space="preserve"> </w:t>
      </w:r>
      <w:r w:rsidRPr="006D4CB5">
        <w:rPr>
          <w:color w:val="000000" w:themeColor="text1"/>
        </w:rPr>
        <w:fldChar w:fldCharType="end"/>
      </w:r>
    </w:p>
    <w:p w14:paraId="4A1E62BF" w14:textId="77777777" w:rsidR="008E021C" w:rsidRPr="006D4CB5" w:rsidRDefault="008E021C" w:rsidP="008E021C">
      <w:pPr>
        <w:rPr>
          <w:color w:val="000000" w:themeColor="text1"/>
        </w:rPr>
      </w:pPr>
    </w:p>
    <w:p w14:paraId="60ED6AD9" w14:textId="5F25B86D" w:rsidR="008E021C" w:rsidRDefault="00FD2004" w:rsidP="00FD2004">
      <w:pPr>
        <w:jc w:val="center"/>
        <w:rPr>
          <w:b/>
          <w:bCs/>
          <w:color w:val="000000" w:themeColor="text1"/>
        </w:rPr>
      </w:pPr>
      <w:r>
        <w:rPr>
          <w:b/>
          <w:bCs/>
          <w:color w:val="000000" w:themeColor="text1"/>
        </w:rPr>
        <w:t xml:space="preserve">Supplementary Note </w:t>
      </w:r>
      <w:r w:rsidR="008E021C" w:rsidRPr="006D4CB5">
        <w:rPr>
          <w:b/>
          <w:bCs/>
          <w:color w:val="000000" w:themeColor="text1"/>
        </w:rPr>
        <w:t>9. Consortium Acknowledgments</w:t>
      </w:r>
    </w:p>
    <w:p w14:paraId="21DB0F18" w14:textId="77777777" w:rsidR="001B218D" w:rsidRDefault="001B218D" w:rsidP="008E021C">
      <w:pPr>
        <w:rPr>
          <w:b/>
          <w:bCs/>
          <w:color w:val="000000" w:themeColor="text1"/>
        </w:rPr>
      </w:pPr>
    </w:p>
    <w:p w14:paraId="41C679EB" w14:textId="715718D8" w:rsidR="001B218D" w:rsidRDefault="001B218D" w:rsidP="008E021C">
      <w:pPr>
        <w:rPr>
          <w:b/>
          <w:bCs/>
          <w:color w:val="000000" w:themeColor="text1"/>
        </w:rPr>
      </w:pPr>
      <w:r>
        <w:rPr>
          <w:b/>
          <w:bCs/>
          <w:color w:val="000000" w:themeColor="text1"/>
        </w:rPr>
        <w:t>Estonian Biobank Research Team</w:t>
      </w:r>
    </w:p>
    <w:p w14:paraId="5FF7DE03" w14:textId="21BF0B58" w:rsidR="001B218D" w:rsidRPr="001B218D" w:rsidRDefault="001B218D" w:rsidP="008E021C">
      <w:pPr>
        <w:rPr>
          <w:color w:val="000000" w:themeColor="text1"/>
        </w:rPr>
      </w:pPr>
      <w:r>
        <w:rPr>
          <w:color w:val="000000" w:themeColor="text1"/>
        </w:rPr>
        <w:t>Lili Milani</w:t>
      </w:r>
      <w:r w:rsidRPr="001B218D">
        <w:rPr>
          <w:color w:val="000000" w:themeColor="text1"/>
          <w:vertAlign w:val="superscript"/>
        </w:rPr>
        <w:t>5</w:t>
      </w:r>
      <w:r>
        <w:rPr>
          <w:color w:val="000000" w:themeColor="text1"/>
        </w:rPr>
        <w:t>, Andres Metspalu</w:t>
      </w:r>
      <w:r w:rsidRPr="001B218D">
        <w:rPr>
          <w:color w:val="000000" w:themeColor="text1"/>
          <w:vertAlign w:val="superscript"/>
        </w:rPr>
        <w:t>5</w:t>
      </w:r>
      <w:r>
        <w:rPr>
          <w:color w:val="000000" w:themeColor="text1"/>
        </w:rPr>
        <w:t xml:space="preserve">, </w:t>
      </w:r>
      <w:proofErr w:type="spellStart"/>
      <w:r>
        <w:rPr>
          <w:color w:val="000000" w:themeColor="text1"/>
        </w:rPr>
        <w:t>Tõnu</w:t>
      </w:r>
      <w:proofErr w:type="spellEnd"/>
      <w:r>
        <w:rPr>
          <w:color w:val="000000" w:themeColor="text1"/>
        </w:rPr>
        <w:t xml:space="preserve"> Esko</w:t>
      </w:r>
      <w:r w:rsidRPr="001B218D">
        <w:rPr>
          <w:color w:val="000000" w:themeColor="text1"/>
          <w:vertAlign w:val="superscript"/>
        </w:rPr>
        <w:t>5</w:t>
      </w:r>
      <w:r>
        <w:rPr>
          <w:color w:val="000000" w:themeColor="text1"/>
        </w:rPr>
        <w:t xml:space="preserve">, </w:t>
      </w:r>
      <w:proofErr w:type="spellStart"/>
      <w:r>
        <w:rPr>
          <w:color w:val="000000" w:themeColor="text1"/>
        </w:rPr>
        <w:t>Reedik</w:t>
      </w:r>
      <w:proofErr w:type="spellEnd"/>
      <w:r>
        <w:rPr>
          <w:color w:val="000000" w:themeColor="text1"/>
        </w:rPr>
        <w:t xml:space="preserve"> Mägi</w:t>
      </w:r>
      <w:r w:rsidRPr="001B218D">
        <w:rPr>
          <w:color w:val="000000" w:themeColor="text1"/>
          <w:vertAlign w:val="superscript"/>
        </w:rPr>
        <w:t>5</w:t>
      </w:r>
      <w:r>
        <w:rPr>
          <w:color w:val="000000" w:themeColor="text1"/>
        </w:rPr>
        <w:t>, Mari Nelis</w:t>
      </w:r>
      <w:r w:rsidRPr="001B218D">
        <w:rPr>
          <w:color w:val="000000" w:themeColor="text1"/>
          <w:vertAlign w:val="superscript"/>
        </w:rPr>
        <w:t>5</w:t>
      </w:r>
    </w:p>
    <w:p w14:paraId="0F28FA13" w14:textId="77777777" w:rsidR="008E021C" w:rsidRDefault="008E021C" w:rsidP="008E021C">
      <w:pPr>
        <w:rPr>
          <w:b/>
          <w:bCs/>
          <w:color w:val="000000" w:themeColor="text1"/>
        </w:rPr>
      </w:pPr>
    </w:p>
    <w:p w14:paraId="3F97BE85" w14:textId="57031C20" w:rsidR="001B218D" w:rsidRPr="001B218D" w:rsidRDefault="001B218D" w:rsidP="001B218D">
      <w:pPr>
        <w:rPr>
          <w:color w:val="000000"/>
        </w:rPr>
      </w:pPr>
      <w:r w:rsidRPr="001B218D">
        <w:rPr>
          <w:color w:val="000000" w:themeColor="text1"/>
          <w:vertAlign w:val="superscript"/>
        </w:rPr>
        <w:t>5</w:t>
      </w:r>
      <w:r w:rsidRPr="001B218D">
        <w:rPr>
          <w:color w:val="000000"/>
        </w:rPr>
        <w:t xml:space="preserve"> </w:t>
      </w:r>
      <w:r w:rsidRPr="001B218D">
        <w:rPr>
          <w:color w:val="000000"/>
        </w:rPr>
        <w:t>Institute of Genomics, University of Tartu,</w:t>
      </w:r>
      <w:r w:rsidRPr="001B218D">
        <w:rPr>
          <w:color w:val="000000"/>
        </w:rPr>
        <w:t xml:space="preserve"> Tartu,</w:t>
      </w:r>
      <w:r w:rsidRPr="001B218D">
        <w:rPr>
          <w:color w:val="000000"/>
        </w:rPr>
        <w:t xml:space="preserve"> Estonia</w:t>
      </w:r>
      <w:r>
        <w:rPr>
          <w:color w:val="000000"/>
        </w:rPr>
        <w:t>.</w:t>
      </w:r>
    </w:p>
    <w:p w14:paraId="0BA9EBAF" w14:textId="3B74B907" w:rsidR="001B218D" w:rsidRPr="001B218D" w:rsidRDefault="001B218D" w:rsidP="008E021C">
      <w:pPr>
        <w:rPr>
          <w:color w:val="000000" w:themeColor="text1"/>
        </w:rPr>
      </w:pPr>
    </w:p>
    <w:p w14:paraId="320E6C51" w14:textId="77777777" w:rsidR="008E021C" w:rsidRPr="006D4CB5" w:rsidRDefault="008E021C" w:rsidP="008E021C">
      <w:pPr>
        <w:rPr>
          <w:b/>
          <w:bCs/>
          <w:color w:val="000000" w:themeColor="text1"/>
        </w:rPr>
      </w:pPr>
      <w:r w:rsidRPr="006D4CB5">
        <w:rPr>
          <w:b/>
          <w:bCs/>
          <w:color w:val="000000" w:themeColor="text1"/>
        </w:rPr>
        <w:t>COGA collaborators</w:t>
      </w:r>
    </w:p>
    <w:p w14:paraId="2D5233B3" w14:textId="7137FA8E" w:rsidR="008E021C" w:rsidRPr="006D4CB5" w:rsidRDefault="008E021C" w:rsidP="008E021C">
      <w:pPr>
        <w:rPr>
          <w:color w:val="000000" w:themeColor="text1"/>
        </w:rPr>
      </w:pPr>
      <w:r w:rsidRPr="006D4CB5">
        <w:rPr>
          <w:color w:val="000000" w:themeColor="text1"/>
        </w:rPr>
        <w:t>Bernice Porjesz</w:t>
      </w:r>
      <w:r w:rsidRPr="006D4CB5">
        <w:rPr>
          <w:color w:val="000000" w:themeColor="text1"/>
          <w:vertAlign w:val="superscript"/>
        </w:rPr>
        <w:t>98</w:t>
      </w:r>
      <w:r w:rsidRPr="006D4CB5">
        <w:rPr>
          <w:color w:val="000000" w:themeColor="text1"/>
        </w:rPr>
        <w:t>, Victor Hesselbrock</w:t>
      </w:r>
      <w:r w:rsidRPr="006D4CB5">
        <w:rPr>
          <w:color w:val="000000" w:themeColor="text1"/>
          <w:vertAlign w:val="superscript"/>
        </w:rPr>
        <w:t>99</w:t>
      </w:r>
      <w:r w:rsidRPr="006D4CB5">
        <w:rPr>
          <w:color w:val="000000" w:themeColor="text1"/>
        </w:rPr>
        <w:t>, Tatiana Foroud</w:t>
      </w:r>
      <w:r w:rsidRPr="006D4CB5">
        <w:rPr>
          <w:color w:val="000000" w:themeColor="text1"/>
          <w:vertAlign w:val="superscript"/>
        </w:rPr>
        <w:t>100</w:t>
      </w:r>
      <w:r w:rsidRPr="006D4CB5">
        <w:rPr>
          <w:color w:val="000000" w:themeColor="text1"/>
        </w:rPr>
        <w:t>, Arpana Agrawal</w:t>
      </w:r>
      <w:r w:rsidRPr="006D4CB5">
        <w:rPr>
          <w:color w:val="000000" w:themeColor="text1"/>
          <w:vertAlign w:val="superscript"/>
        </w:rPr>
        <w:t>101</w:t>
      </w:r>
      <w:r w:rsidRPr="006D4CB5">
        <w:rPr>
          <w:color w:val="000000" w:themeColor="text1"/>
        </w:rPr>
        <w:t>, Danielle Dick</w:t>
      </w:r>
      <w:r w:rsidRPr="006D4CB5">
        <w:rPr>
          <w:color w:val="000000" w:themeColor="text1"/>
          <w:vertAlign w:val="superscript"/>
        </w:rPr>
        <w:t>4</w:t>
      </w:r>
      <w:r w:rsidR="002C15EE">
        <w:rPr>
          <w:color w:val="000000" w:themeColor="text1"/>
          <w:vertAlign w:val="superscript"/>
        </w:rPr>
        <w:t>9</w:t>
      </w:r>
      <w:r w:rsidRPr="006D4CB5">
        <w:rPr>
          <w:color w:val="000000" w:themeColor="text1"/>
          <w:vertAlign w:val="superscript"/>
        </w:rPr>
        <w:t>,</w:t>
      </w:r>
      <w:r w:rsidR="002C15EE">
        <w:rPr>
          <w:color w:val="000000" w:themeColor="text1"/>
          <w:vertAlign w:val="superscript"/>
        </w:rPr>
        <w:t>50</w:t>
      </w:r>
      <w:r w:rsidRPr="006D4CB5">
        <w:rPr>
          <w:color w:val="000000" w:themeColor="text1"/>
        </w:rPr>
        <w:t>, Howard J. Edenberg</w:t>
      </w:r>
      <w:r w:rsidRPr="006D4CB5">
        <w:rPr>
          <w:color w:val="000000" w:themeColor="text1"/>
          <w:vertAlign w:val="superscript"/>
        </w:rPr>
        <w:t>100</w:t>
      </w:r>
      <w:r w:rsidRPr="006D4CB5">
        <w:rPr>
          <w:color w:val="000000" w:themeColor="text1"/>
        </w:rPr>
        <w:t>, John I. Nurnberger Jr.</w:t>
      </w:r>
      <w:r w:rsidRPr="006D4CB5">
        <w:rPr>
          <w:color w:val="000000" w:themeColor="text1"/>
          <w:vertAlign w:val="superscript"/>
        </w:rPr>
        <w:t xml:space="preserve"> 100</w:t>
      </w:r>
      <w:r w:rsidRPr="006D4CB5">
        <w:rPr>
          <w:color w:val="000000" w:themeColor="text1"/>
        </w:rPr>
        <w:t>, Yunlong Liu</w:t>
      </w:r>
      <w:r w:rsidRPr="006D4CB5">
        <w:rPr>
          <w:color w:val="000000" w:themeColor="text1"/>
          <w:vertAlign w:val="superscript"/>
        </w:rPr>
        <w:t>100</w:t>
      </w:r>
      <w:r w:rsidRPr="006D4CB5">
        <w:rPr>
          <w:color w:val="000000" w:themeColor="text1"/>
        </w:rPr>
        <w:t>, Samuel Kuperman</w:t>
      </w:r>
      <w:r w:rsidRPr="006D4CB5">
        <w:rPr>
          <w:color w:val="000000" w:themeColor="text1"/>
          <w:vertAlign w:val="superscript"/>
        </w:rPr>
        <w:t>102</w:t>
      </w:r>
      <w:r w:rsidRPr="006D4CB5">
        <w:rPr>
          <w:color w:val="000000" w:themeColor="text1"/>
        </w:rPr>
        <w:t>, John Kramer</w:t>
      </w:r>
      <w:r w:rsidRPr="006D4CB5">
        <w:rPr>
          <w:color w:val="000000" w:themeColor="text1"/>
          <w:vertAlign w:val="superscript"/>
        </w:rPr>
        <w:t>102</w:t>
      </w:r>
      <w:r w:rsidRPr="006D4CB5">
        <w:rPr>
          <w:color w:val="000000" w:themeColor="text1"/>
        </w:rPr>
        <w:t>, Jacquelyn Meyers</w:t>
      </w:r>
      <w:r w:rsidRPr="006D4CB5">
        <w:rPr>
          <w:color w:val="000000" w:themeColor="text1"/>
          <w:vertAlign w:val="superscript"/>
        </w:rPr>
        <w:t>98</w:t>
      </w:r>
      <w:r w:rsidRPr="006D4CB5">
        <w:rPr>
          <w:color w:val="000000" w:themeColor="text1"/>
        </w:rPr>
        <w:t>, Chella Kamarajan</w:t>
      </w:r>
      <w:r w:rsidRPr="006D4CB5">
        <w:rPr>
          <w:color w:val="000000" w:themeColor="text1"/>
          <w:vertAlign w:val="superscript"/>
        </w:rPr>
        <w:t>98</w:t>
      </w:r>
      <w:r w:rsidRPr="006D4CB5">
        <w:rPr>
          <w:color w:val="000000" w:themeColor="text1"/>
        </w:rPr>
        <w:t>, Ashwini Pandey</w:t>
      </w:r>
      <w:r w:rsidRPr="006D4CB5">
        <w:rPr>
          <w:color w:val="000000" w:themeColor="text1"/>
          <w:vertAlign w:val="superscript"/>
        </w:rPr>
        <w:t>98</w:t>
      </w:r>
      <w:r w:rsidRPr="006D4CB5">
        <w:rPr>
          <w:color w:val="000000" w:themeColor="text1"/>
        </w:rPr>
        <w:t>, Laura Bierut</w:t>
      </w:r>
      <w:r w:rsidRPr="006D4CB5">
        <w:rPr>
          <w:color w:val="000000" w:themeColor="text1"/>
          <w:vertAlign w:val="superscript"/>
        </w:rPr>
        <w:t>100</w:t>
      </w:r>
      <w:r w:rsidRPr="006D4CB5">
        <w:rPr>
          <w:color w:val="000000" w:themeColor="text1"/>
        </w:rPr>
        <w:t>, John Rice</w:t>
      </w:r>
      <w:r w:rsidRPr="006D4CB5">
        <w:rPr>
          <w:color w:val="000000" w:themeColor="text1"/>
          <w:vertAlign w:val="superscript"/>
        </w:rPr>
        <w:t>100</w:t>
      </w:r>
      <w:r w:rsidRPr="006D4CB5">
        <w:rPr>
          <w:color w:val="000000" w:themeColor="text1"/>
        </w:rPr>
        <w:t>, Kathleen Bucholz</w:t>
      </w:r>
      <w:r w:rsidRPr="006D4CB5">
        <w:rPr>
          <w:color w:val="000000" w:themeColor="text1"/>
          <w:vertAlign w:val="superscript"/>
        </w:rPr>
        <w:t>100</w:t>
      </w:r>
      <w:r w:rsidRPr="006D4CB5">
        <w:rPr>
          <w:color w:val="000000" w:themeColor="text1"/>
        </w:rPr>
        <w:t>, Marc Schuckit</w:t>
      </w:r>
      <w:r w:rsidRPr="006D4CB5">
        <w:rPr>
          <w:color w:val="000000" w:themeColor="text1"/>
          <w:vertAlign w:val="superscript"/>
        </w:rPr>
        <w:t>103</w:t>
      </w:r>
      <w:r w:rsidRPr="006D4CB5">
        <w:rPr>
          <w:color w:val="000000" w:themeColor="text1"/>
        </w:rPr>
        <w:t>, Jay Tischfield</w:t>
      </w:r>
      <w:r w:rsidR="002C15EE">
        <w:rPr>
          <w:color w:val="000000" w:themeColor="text1"/>
          <w:vertAlign w:val="superscript"/>
        </w:rPr>
        <w:t>50</w:t>
      </w:r>
      <w:r w:rsidRPr="006D4CB5">
        <w:rPr>
          <w:color w:val="000000" w:themeColor="text1"/>
        </w:rPr>
        <w:t>, Ronald Hart</w:t>
      </w:r>
      <w:r w:rsidR="002C15EE">
        <w:rPr>
          <w:color w:val="000000" w:themeColor="text1"/>
          <w:vertAlign w:val="superscript"/>
        </w:rPr>
        <w:t>50</w:t>
      </w:r>
      <w:r w:rsidRPr="006D4CB5">
        <w:rPr>
          <w:color w:val="000000" w:themeColor="text1"/>
        </w:rPr>
        <w:t>, Jessica Salvatore</w:t>
      </w:r>
      <w:r w:rsidR="002C15EE">
        <w:rPr>
          <w:color w:val="000000" w:themeColor="text1"/>
          <w:vertAlign w:val="superscript"/>
        </w:rPr>
        <w:t>50</w:t>
      </w:r>
      <w:r w:rsidRPr="006D4CB5">
        <w:rPr>
          <w:color w:val="000000" w:themeColor="text1"/>
        </w:rPr>
        <w:t>, Laura Almasy</w:t>
      </w:r>
      <w:r w:rsidRPr="006D4CB5">
        <w:rPr>
          <w:color w:val="000000" w:themeColor="text1"/>
          <w:vertAlign w:val="superscript"/>
        </w:rPr>
        <w:t>104</w:t>
      </w:r>
      <w:r w:rsidRPr="006D4CB5">
        <w:rPr>
          <w:color w:val="000000" w:themeColor="text1"/>
        </w:rPr>
        <w:t>, Alison Goate</w:t>
      </w:r>
      <w:r w:rsidRPr="006D4CB5">
        <w:rPr>
          <w:color w:val="000000" w:themeColor="text1"/>
          <w:vertAlign w:val="superscript"/>
        </w:rPr>
        <w:t>100</w:t>
      </w:r>
      <w:r w:rsidRPr="006D4CB5">
        <w:rPr>
          <w:color w:val="000000" w:themeColor="text1"/>
        </w:rPr>
        <w:t>, Manav Kapoor</w:t>
      </w:r>
      <w:r w:rsidRPr="006D4CB5">
        <w:rPr>
          <w:color w:val="000000" w:themeColor="text1"/>
          <w:vertAlign w:val="superscript"/>
        </w:rPr>
        <w:t>100</w:t>
      </w:r>
      <w:r w:rsidRPr="006D4CB5">
        <w:rPr>
          <w:color w:val="000000" w:themeColor="text1"/>
        </w:rPr>
        <w:t>, Paul Slesinger</w:t>
      </w:r>
      <w:r w:rsidRPr="006D4CB5">
        <w:rPr>
          <w:color w:val="000000" w:themeColor="text1"/>
          <w:vertAlign w:val="superscript"/>
        </w:rPr>
        <w:t>105</w:t>
      </w:r>
      <w:r w:rsidRPr="006D4CB5">
        <w:rPr>
          <w:color w:val="000000" w:themeColor="text1"/>
        </w:rPr>
        <w:t>, Denise Scott</w:t>
      </w:r>
      <w:r w:rsidRPr="006D4CB5">
        <w:rPr>
          <w:color w:val="000000" w:themeColor="text1"/>
          <w:vertAlign w:val="superscript"/>
        </w:rPr>
        <w:t>101</w:t>
      </w:r>
      <w:r w:rsidRPr="006D4CB5">
        <w:rPr>
          <w:color w:val="000000" w:themeColor="text1"/>
        </w:rPr>
        <w:t>, Lance Bauer</w:t>
      </w:r>
      <w:r w:rsidRPr="006D4CB5">
        <w:rPr>
          <w:color w:val="000000" w:themeColor="text1"/>
          <w:vertAlign w:val="superscript"/>
        </w:rPr>
        <w:t>99</w:t>
      </w:r>
      <w:r w:rsidRPr="006D4CB5">
        <w:rPr>
          <w:color w:val="000000" w:themeColor="text1"/>
        </w:rPr>
        <w:t>, Leah Wetherill</w:t>
      </w:r>
      <w:r w:rsidRPr="006D4CB5">
        <w:rPr>
          <w:color w:val="000000" w:themeColor="text1"/>
          <w:vertAlign w:val="superscript"/>
        </w:rPr>
        <w:t>100</w:t>
      </w:r>
      <w:r w:rsidRPr="006D4CB5">
        <w:rPr>
          <w:color w:val="000000" w:themeColor="text1"/>
        </w:rPr>
        <w:t>, Xiaolong Xuei</w:t>
      </w:r>
      <w:r w:rsidRPr="006D4CB5">
        <w:rPr>
          <w:color w:val="000000" w:themeColor="text1"/>
          <w:vertAlign w:val="superscript"/>
        </w:rPr>
        <w:t>100</w:t>
      </w:r>
      <w:r w:rsidRPr="006D4CB5">
        <w:rPr>
          <w:color w:val="000000" w:themeColor="text1"/>
        </w:rPr>
        <w:t xml:space="preserve">, </w:t>
      </w:r>
      <w:proofErr w:type="spellStart"/>
      <w:r w:rsidRPr="006D4CB5">
        <w:rPr>
          <w:color w:val="000000" w:themeColor="text1"/>
        </w:rPr>
        <w:t>Dongbing</w:t>
      </w:r>
      <w:proofErr w:type="spellEnd"/>
      <w:r w:rsidRPr="006D4CB5">
        <w:rPr>
          <w:color w:val="000000" w:themeColor="text1"/>
        </w:rPr>
        <w:t xml:space="preserve"> Lai</w:t>
      </w:r>
      <w:r w:rsidRPr="006D4CB5">
        <w:rPr>
          <w:color w:val="000000" w:themeColor="text1"/>
          <w:vertAlign w:val="superscript"/>
        </w:rPr>
        <w:t>100</w:t>
      </w:r>
      <w:r w:rsidRPr="006D4CB5">
        <w:rPr>
          <w:color w:val="000000" w:themeColor="text1"/>
        </w:rPr>
        <w:t>, Sean OConnor</w:t>
      </w:r>
      <w:r w:rsidRPr="006D4CB5">
        <w:rPr>
          <w:color w:val="000000" w:themeColor="text1"/>
          <w:vertAlign w:val="superscript"/>
        </w:rPr>
        <w:t>100</w:t>
      </w:r>
      <w:r w:rsidRPr="006D4CB5">
        <w:rPr>
          <w:color w:val="000000" w:themeColor="text1"/>
        </w:rPr>
        <w:t>, Martin Plawecki</w:t>
      </w:r>
      <w:r w:rsidRPr="006D4CB5">
        <w:rPr>
          <w:color w:val="000000" w:themeColor="text1"/>
          <w:vertAlign w:val="superscript"/>
        </w:rPr>
        <w:t>100</w:t>
      </w:r>
      <w:r w:rsidRPr="006D4CB5">
        <w:rPr>
          <w:color w:val="000000" w:themeColor="text1"/>
        </w:rPr>
        <w:t>, Laura Acion</w:t>
      </w:r>
      <w:r w:rsidRPr="006D4CB5">
        <w:rPr>
          <w:color w:val="000000" w:themeColor="text1"/>
          <w:vertAlign w:val="superscript"/>
        </w:rPr>
        <w:t>101</w:t>
      </w:r>
      <w:r w:rsidRPr="006D4CB5">
        <w:rPr>
          <w:color w:val="000000" w:themeColor="text1"/>
        </w:rPr>
        <w:t>, Grace Chan</w:t>
      </w:r>
      <w:r w:rsidRPr="006D4CB5">
        <w:rPr>
          <w:color w:val="000000" w:themeColor="text1"/>
          <w:vertAlign w:val="superscript"/>
        </w:rPr>
        <w:t>99</w:t>
      </w:r>
      <w:r w:rsidRPr="006D4CB5">
        <w:rPr>
          <w:color w:val="000000" w:themeColor="text1"/>
        </w:rPr>
        <w:t>, David B. Chorlian</w:t>
      </w:r>
      <w:r w:rsidRPr="006D4CB5">
        <w:rPr>
          <w:color w:val="000000" w:themeColor="text1"/>
          <w:vertAlign w:val="superscript"/>
        </w:rPr>
        <w:t>98</w:t>
      </w:r>
      <w:r w:rsidRPr="006D4CB5">
        <w:rPr>
          <w:color w:val="000000" w:themeColor="text1"/>
        </w:rPr>
        <w:t>, Jian Zhang</w:t>
      </w:r>
      <w:r w:rsidRPr="006D4CB5">
        <w:rPr>
          <w:color w:val="000000" w:themeColor="text1"/>
          <w:vertAlign w:val="superscript"/>
        </w:rPr>
        <w:t>98</w:t>
      </w:r>
      <w:r w:rsidRPr="006D4CB5">
        <w:rPr>
          <w:color w:val="000000" w:themeColor="text1"/>
        </w:rPr>
        <w:t>, Sivan Kinreich</w:t>
      </w:r>
      <w:r w:rsidRPr="006D4CB5">
        <w:rPr>
          <w:color w:val="000000" w:themeColor="text1"/>
          <w:vertAlign w:val="superscript"/>
        </w:rPr>
        <w:t>98</w:t>
      </w:r>
      <w:r w:rsidRPr="006D4CB5">
        <w:rPr>
          <w:color w:val="000000" w:themeColor="text1"/>
        </w:rPr>
        <w:t>, Gayathri Pandey</w:t>
      </w:r>
      <w:r w:rsidRPr="006D4CB5">
        <w:rPr>
          <w:color w:val="000000" w:themeColor="text1"/>
          <w:vertAlign w:val="superscript"/>
        </w:rPr>
        <w:t>98</w:t>
      </w:r>
      <w:r w:rsidRPr="006D4CB5">
        <w:rPr>
          <w:color w:val="000000" w:themeColor="text1"/>
        </w:rPr>
        <w:t>, Michael Chao</w:t>
      </w:r>
      <w:r w:rsidRPr="006D4CB5">
        <w:rPr>
          <w:color w:val="000000" w:themeColor="text1"/>
          <w:vertAlign w:val="superscript"/>
        </w:rPr>
        <w:t>98</w:t>
      </w:r>
      <w:r w:rsidRPr="006D4CB5">
        <w:rPr>
          <w:color w:val="000000" w:themeColor="text1"/>
        </w:rPr>
        <w:t>, Andrey Anokhin</w:t>
      </w:r>
      <w:r w:rsidRPr="006D4CB5">
        <w:rPr>
          <w:color w:val="000000" w:themeColor="text1"/>
          <w:vertAlign w:val="superscript"/>
        </w:rPr>
        <w:t>101</w:t>
      </w:r>
      <w:r w:rsidRPr="006D4CB5">
        <w:rPr>
          <w:color w:val="000000" w:themeColor="text1"/>
        </w:rPr>
        <w:t>, Vivia McCutcheon</w:t>
      </w:r>
      <w:r w:rsidRPr="006D4CB5">
        <w:rPr>
          <w:color w:val="000000" w:themeColor="text1"/>
          <w:vertAlign w:val="superscript"/>
        </w:rPr>
        <w:t>101</w:t>
      </w:r>
      <w:r w:rsidRPr="006D4CB5">
        <w:rPr>
          <w:color w:val="000000" w:themeColor="text1"/>
        </w:rPr>
        <w:t>, Scott Saccone</w:t>
      </w:r>
      <w:r w:rsidRPr="006D4CB5">
        <w:rPr>
          <w:color w:val="000000" w:themeColor="text1"/>
          <w:vertAlign w:val="superscript"/>
        </w:rPr>
        <w:t>101</w:t>
      </w:r>
      <w:r w:rsidRPr="006D4CB5">
        <w:rPr>
          <w:color w:val="000000" w:themeColor="text1"/>
        </w:rPr>
        <w:t>, Fazil Aliev</w:t>
      </w:r>
      <w:r w:rsidR="002C15EE">
        <w:rPr>
          <w:color w:val="000000" w:themeColor="text1"/>
          <w:vertAlign w:val="superscript"/>
        </w:rPr>
        <w:t>50</w:t>
      </w:r>
      <w:r w:rsidRPr="006D4CB5">
        <w:rPr>
          <w:color w:val="000000" w:themeColor="text1"/>
        </w:rPr>
        <w:t>, Hemin Chin</w:t>
      </w:r>
      <w:r w:rsidRPr="006D4CB5">
        <w:rPr>
          <w:color w:val="000000" w:themeColor="text1"/>
          <w:vertAlign w:val="superscript"/>
        </w:rPr>
        <w:t>101</w:t>
      </w:r>
      <w:r w:rsidRPr="006D4CB5">
        <w:rPr>
          <w:color w:val="000000" w:themeColor="text1"/>
        </w:rPr>
        <w:t>, &amp; Abbas Parsian</w:t>
      </w:r>
      <w:r w:rsidRPr="006D4CB5">
        <w:rPr>
          <w:color w:val="000000" w:themeColor="text1"/>
          <w:vertAlign w:val="superscript"/>
        </w:rPr>
        <w:t>106</w:t>
      </w:r>
    </w:p>
    <w:p w14:paraId="45962149" w14:textId="77777777" w:rsidR="008E021C" w:rsidRPr="006D4CB5" w:rsidRDefault="008E021C" w:rsidP="008E021C">
      <w:pPr>
        <w:rPr>
          <w:color w:val="000000" w:themeColor="text1"/>
        </w:rPr>
      </w:pPr>
    </w:p>
    <w:p w14:paraId="77FD348B" w14:textId="5FBEE170" w:rsidR="008E021C" w:rsidRPr="006D4CB5" w:rsidRDefault="008E021C" w:rsidP="008E021C">
      <w:pPr>
        <w:rPr>
          <w:color w:val="000000" w:themeColor="text1"/>
        </w:rPr>
      </w:pPr>
      <w:r w:rsidRPr="006D4CB5">
        <w:rPr>
          <w:color w:val="000000" w:themeColor="text1"/>
          <w:vertAlign w:val="superscript"/>
        </w:rPr>
        <w:t>4</w:t>
      </w:r>
      <w:r w:rsidR="002C15EE">
        <w:rPr>
          <w:color w:val="000000" w:themeColor="text1"/>
          <w:vertAlign w:val="superscript"/>
        </w:rPr>
        <w:t>9</w:t>
      </w:r>
      <w:r w:rsidRPr="006D4CB5">
        <w:rPr>
          <w:color w:val="000000" w:themeColor="text1"/>
          <w:vertAlign w:val="superscript"/>
        </w:rPr>
        <w:t xml:space="preserve"> </w:t>
      </w:r>
      <w:r w:rsidRPr="006D4CB5">
        <w:rPr>
          <w:color w:val="000000" w:themeColor="text1"/>
        </w:rPr>
        <w:t>Rutgers Addiction Research Center, Brain Health Institute, Rutgers University, Piscataway, United States</w:t>
      </w:r>
      <w:r w:rsidR="00296605">
        <w:rPr>
          <w:color w:val="000000" w:themeColor="text1"/>
        </w:rPr>
        <w:t xml:space="preserve">. </w:t>
      </w:r>
      <w:r w:rsidR="002C15EE">
        <w:rPr>
          <w:color w:val="000000" w:themeColor="text1"/>
          <w:vertAlign w:val="superscript"/>
        </w:rPr>
        <w:t>50</w:t>
      </w:r>
      <w:r w:rsidRPr="006D4CB5">
        <w:rPr>
          <w:color w:val="000000" w:themeColor="text1"/>
          <w:vertAlign w:val="superscript"/>
        </w:rPr>
        <w:t xml:space="preserve"> </w:t>
      </w:r>
      <w:r w:rsidRPr="006D4CB5">
        <w:rPr>
          <w:color w:val="000000" w:themeColor="text1"/>
        </w:rPr>
        <w:t>Department of Psychiatry, Rutgers Robert Wood Johnson Medical School, Piscataway, United States</w:t>
      </w:r>
      <w:r w:rsidR="00296605">
        <w:rPr>
          <w:color w:val="000000" w:themeColor="text1"/>
        </w:rPr>
        <w:t xml:space="preserve">. </w:t>
      </w:r>
      <w:r w:rsidRPr="006D4CB5">
        <w:rPr>
          <w:color w:val="000000" w:themeColor="text1"/>
          <w:vertAlign w:val="superscript"/>
        </w:rPr>
        <w:t xml:space="preserve">98 </w:t>
      </w:r>
      <w:r w:rsidRPr="006D4CB5">
        <w:rPr>
          <w:color w:val="000000" w:themeColor="text1"/>
        </w:rPr>
        <w:t xml:space="preserve">SUNY Downstate Medical Center, New York City, United </w:t>
      </w:r>
      <w:proofErr w:type="gramStart"/>
      <w:r w:rsidRPr="006D4CB5">
        <w:rPr>
          <w:color w:val="000000" w:themeColor="text1"/>
        </w:rPr>
        <w:t>States.</w:t>
      </w:r>
      <w:r w:rsidR="00296605">
        <w:rPr>
          <w:color w:val="000000" w:themeColor="text1"/>
        </w:rPr>
        <w:t>.</w:t>
      </w:r>
      <w:proofErr w:type="gramEnd"/>
      <w:r w:rsidR="00296605">
        <w:rPr>
          <w:color w:val="000000" w:themeColor="text1"/>
        </w:rPr>
        <w:t xml:space="preserve"> </w:t>
      </w:r>
      <w:r w:rsidRPr="006D4CB5">
        <w:rPr>
          <w:color w:val="000000" w:themeColor="text1"/>
          <w:vertAlign w:val="superscript"/>
        </w:rPr>
        <w:t xml:space="preserve">99 </w:t>
      </w:r>
      <w:r w:rsidRPr="006D4CB5">
        <w:rPr>
          <w:color w:val="000000" w:themeColor="text1"/>
        </w:rPr>
        <w:t xml:space="preserve">University of Connecticut School of Medicine, Farmington, United States. </w:t>
      </w:r>
      <w:r w:rsidRPr="006D4CB5">
        <w:rPr>
          <w:color w:val="000000" w:themeColor="text1"/>
          <w:vertAlign w:val="superscript"/>
        </w:rPr>
        <w:t>100</w:t>
      </w:r>
      <w:r w:rsidRPr="006D4CB5">
        <w:rPr>
          <w:color w:val="000000" w:themeColor="text1"/>
        </w:rPr>
        <w:t>Indiana University School of Medicine, Indianapolis, United States.</w:t>
      </w:r>
      <w:r w:rsidR="00296605">
        <w:rPr>
          <w:color w:val="000000" w:themeColor="text1"/>
        </w:rPr>
        <w:t xml:space="preserve"> </w:t>
      </w:r>
      <w:r w:rsidRPr="006D4CB5">
        <w:rPr>
          <w:color w:val="000000" w:themeColor="text1"/>
          <w:vertAlign w:val="superscript"/>
        </w:rPr>
        <w:t>101</w:t>
      </w:r>
      <w:r w:rsidRPr="006D4CB5">
        <w:rPr>
          <w:color w:val="000000" w:themeColor="text1"/>
        </w:rPr>
        <w:t>Washington University School of Medicine, St. Louis, United States.</w:t>
      </w:r>
      <w:r w:rsidR="00296605">
        <w:rPr>
          <w:color w:val="000000" w:themeColor="text1"/>
        </w:rPr>
        <w:t xml:space="preserve"> </w:t>
      </w:r>
      <w:r w:rsidRPr="006D4CB5">
        <w:rPr>
          <w:color w:val="000000" w:themeColor="text1"/>
          <w:vertAlign w:val="superscript"/>
        </w:rPr>
        <w:t>102</w:t>
      </w:r>
      <w:r w:rsidRPr="006D4CB5">
        <w:rPr>
          <w:color w:val="000000" w:themeColor="text1"/>
        </w:rPr>
        <w:t xml:space="preserve">University of Iowa Carver college of Medicine, Iowa City, United </w:t>
      </w:r>
      <w:r w:rsidR="00296605">
        <w:rPr>
          <w:color w:val="000000" w:themeColor="text1"/>
        </w:rPr>
        <w:t>S</w:t>
      </w:r>
      <w:r w:rsidRPr="006D4CB5">
        <w:rPr>
          <w:color w:val="000000" w:themeColor="text1"/>
        </w:rPr>
        <w:t>tates</w:t>
      </w:r>
      <w:r w:rsidR="00296605">
        <w:rPr>
          <w:color w:val="000000" w:themeColor="text1"/>
        </w:rPr>
        <w:t xml:space="preserve">. </w:t>
      </w:r>
      <w:r w:rsidRPr="006D4CB5">
        <w:rPr>
          <w:color w:val="000000" w:themeColor="text1"/>
          <w:vertAlign w:val="superscript"/>
        </w:rPr>
        <w:t>103</w:t>
      </w:r>
      <w:r w:rsidRPr="006D4CB5">
        <w:rPr>
          <w:color w:val="000000" w:themeColor="text1"/>
        </w:rPr>
        <w:t>University of California San Diego, La Jolla, United States</w:t>
      </w:r>
      <w:r w:rsidR="00296605">
        <w:rPr>
          <w:color w:val="000000" w:themeColor="text1"/>
        </w:rPr>
        <w:t xml:space="preserve">. </w:t>
      </w:r>
      <w:r w:rsidRPr="006D4CB5">
        <w:rPr>
          <w:color w:val="000000" w:themeColor="text1"/>
          <w:vertAlign w:val="superscript"/>
        </w:rPr>
        <w:t>104</w:t>
      </w:r>
      <w:r w:rsidRPr="006D4CB5">
        <w:rPr>
          <w:color w:val="000000" w:themeColor="text1"/>
        </w:rPr>
        <w:t>Texas Biomedical Research Institute, San Antonio, United States</w:t>
      </w:r>
      <w:r w:rsidR="00296605">
        <w:rPr>
          <w:color w:val="000000" w:themeColor="text1"/>
        </w:rPr>
        <w:t xml:space="preserve">. </w:t>
      </w:r>
      <w:r w:rsidRPr="006D4CB5">
        <w:rPr>
          <w:color w:val="000000" w:themeColor="text1"/>
          <w:vertAlign w:val="superscript"/>
        </w:rPr>
        <w:t>105</w:t>
      </w:r>
      <w:r w:rsidRPr="006D4CB5">
        <w:rPr>
          <w:color w:val="000000" w:themeColor="text1"/>
        </w:rPr>
        <w:t>Icahn School of Medicine at Mount Sinai, New York City, United States</w:t>
      </w:r>
      <w:r w:rsidR="00296605">
        <w:rPr>
          <w:color w:val="000000" w:themeColor="text1"/>
        </w:rPr>
        <w:t xml:space="preserve">. </w:t>
      </w:r>
      <w:r w:rsidRPr="006D4CB5">
        <w:rPr>
          <w:color w:val="000000" w:themeColor="text1"/>
          <w:vertAlign w:val="superscript"/>
        </w:rPr>
        <w:t>106</w:t>
      </w:r>
      <w:r w:rsidRPr="006D4CB5">
        <w:rPr>
          <w:color w:val="000000" w:themeColor="text1"/>
        </w:rPr>
        <w:t>Howard University College of Medicine, Washington DC, United States</w:t>
      </w:r>
      <w:r w:rsidR="00296605">
        <w:rPr>
          <w:color w:val="000000" w:themeColor="text1"/>
        </w:rPr>
        <w:t>.</w:t>
      </w:r>
    </w:p>
    <w:p w14:paraId="47D5B3D4" w14:textId="77777777" w:rsidR="008E021C" w:rsidRPr="006D4CB5" w:rsidRDefault="008E021C" w:rsidP="008E021C">
      <w:pPr>
        <w:rPr>
          <w:b/>
          <w:bCs/>
          <w:color w:val="000000" w:themeColor="text1"/>
        </w:rPr>
      </w:pPr>
    </w:p>
    <w:p w14:paraId="6C60A51A" w14:textId="5A128B25" w:rsidR="008E021C" w:rsidRPr="006D4CB5" w:rsidRDefault="008E021C" w:rsidP="008E021C">
      <w:pPr>
        <w:rPr>
          <w:b/>
          <w:bCs/>
          <w:color w:val="000000" w:themeColor="text1"/>
        </w:rPr>
      </w:pPr>
      <w:r w:rsidRPr="006D4CB5">
        <w:rPr>
          <w:b/>
          <w:bCs/>
          <w:color w:val="000000" w:themeColor="text1"/>
        </w:rPr>
        <w:t xml:space="preserve">Spit </w:t>
      </w:r>
      <w:r w:rsidR="00296605">
        <w:rPr>
          <w:b/>
          <w:bCs/>
          <w:color w:val="000000" w:themeColor="text1"/>
        </w:rPr>
        <w:t>for</w:t>
      </w:r>
      <w:r w:rsidRPr="006D4CB5">
        <w:rPr>
          <w:b/>
          <w:bCs/>
          <w:color w:val="000000" w:themeColor="text1"/>
        </w:rPr>
        <w:t xml:space="preserve"> Science</w:t>
      </w:r>
      <w:r w:rsidR="00296605">
        <w:rPr>
          <w:b/>
          <w:bCs/>
          <w:color w:val="000000" w:themeColor="text1"/>
        </w:rPr>
        <w:t xml:space="preserve"> working group</w:t>
      </w:r>
    </w:p>
    <w:p w14:paraId="4541D3E6" w14:textId="4B2E9031" w:rsidR="008E021C" w:rsidRPr="006D4CB5" w:rsidRDefault="008E021C" w:rsidP="008E021C">
      <w:pPr>
        <w:rPr>
          <w:color w:val="000000" w:themeColor="text1"/>
        </w:rPr>
      </w:pPr>
      <w:r w:rsidRPr="006D4CB5">
        <w:rPr>
          <w:color w:val="000000" w:themeColor="text1"/>
        </w:rPr>
        <w:t>Karen Chartier</w:t>
      </w:r>
      <w:r w:rsidRPr="006D4CB5">
        <w:rPr>
          <w:color w:val="000000" w:themeColor="text1"/>
          <w:vertAlign w:val="superscript"/>
        </w:rPr>
        <w:t>107</w:t>
      </w:r>
      <w:r w:rsidRPr="006D4CB5">
        <w:rPr>
          <w:color w:val="000000" w:themeColor="text1"/>
        </w:rPr>
        <w:t>, Ananda Amstadter</w:t>
      </w:r>
      <w:r w:rsidRPr="006D4CB5">
        <w:rPr>
          <w:color w:val="000000" w:themeColor="text1"/>
          <w:vertAlign w:val="superscript"/>
        </w:rPr>
        <w:t>107</w:t>
      </w:r>
      <w:r w:rsidRPr="006D4CB5">
        <w:rPr>
          <w:color w:val="000000" w:themeColor="text1"/>
        </w:rPr>
        <w:t>, Danielle M. Dick</w:t>
      </w:r>
      <w:r w:rsidRPr="006D4CB5">
        <w:rPr>
          <w:color w:val="000000" w:themeColor="text1"/>
          <w:vertAlign w:val="superscript"/>
        </w:rPr>
        <w:t>4</w:t>
      </w:r>
      <w:r w:rsidR="002C15EE">
        <w:rPr>
          <w:color w:val="000000" w:themeColor="text1"/>
          <w:vertAlign w:val="superscript"/>
        </w:rPr>
        <w:t>9</w:t>
      </w:r>
      <w:r w:rsidRPr="006D4CB5">
        <w:rPr>
          <w:color w:val="000000" w:themeColor="text1"/>
          <w:vertAlign w:val="superscript"/>
        </w:rPr>
        <w:t>,</w:t>
      </w:r>
      <w:r w:rsidR="002C15EE">
        <w:rPr>
          <w:color w:val="000000" w:themeColor="text1"/>
          <w:vertAlign w:val="superscript"/>
        </w:rPr>
        <w:t>50</w:t>
      </w:r>
      <w:r w:rsidRPr="006D4CB5">
        <w:rPr>
          <w:color w:val="000000" w:themeColor="text1"/>
        </w:rPr>
        <w:t>, Emily Lilley</w:t>
      </w:r>
      <w:r w:rsidRPr="006D4CB5">
        <w:rPr>
          <w:color w:val="000000" w:themeColor="text1"/>
          <w:vertAlign w:val="superscript"/>
        </w:rPr>
        <w:t>107</w:t>
      </w:r>
      <w:r w:rsidRPr="006D4CB5">
        <w:rPr>
          <w:color w:val="000000" w:themeColor="text1"/>
        </w:rPr>
        <w:t xml:space="preserve">, </w:t>
      </w:r>
      <w:proofErr w:type="spellStart"/>
      <w:r w:rsidRPr="006D4CB5">
        <w:rPr>
          <w:color w:val="000000" w:themeColor="text1"/>
        </w:rPr>
        <w:t>Renolda</w:t>
      </w:r>
      <w:proofErr w:type="spellEnd"/>
      <w:r w:rsidRPr="006D4CB5">
        <w:rPr>
          <w:color w:val="000000" w:themeColor="text1"/>
        </w:rPr>
        <w:t xml:space="preserve"> Gelzinis</w:t>
      </w:r>
      <w:r w:rsidRPr="006D4CB5">
        <w:rPr>
          <w:color w:val="000000" w:themeColor="text1"/>
          <w:vertAlign w:val="superscript"/>
        </w:rPr>
        <w:t>107</w:t>
      </w:r>
      <w:r w:rsidRPr="006D4CB5">
        <w:rPr>
          <w:color w:val="000000" w:themeColor="text1"/>
        </w:rPr>
        <w:t>, Anne Morris</w:t>
      </w:r>
      <w:r w:rsidRPr="006D4CB5">
        <w:rPr>
          <w:color w:val="000000" w:themeColor="text1"/>
          <w:vertAlign w:val="superscript"/>
        </w:rPr>
        <w:t>107</w:t>
      </w:r>
      <w:r w:rsidRPr="006D4CB5">
        <w:rPr>
          <w:color w:val="000000" w:themeColor="text1"/>
        </w:rPr>
        <w:t>, Katie Bountressv, Amy E. Adkins</w:t>
      </w:r>
      <w:r w:rsidRPr="006D4CB5">
        <w:rPr>
          <w:color w:val="000000" w:themeColor="text1"/>
          <w:vertAlign w:val="superscript"/>
        </w:rPr>
        <w:t>107</w:t>
      </w:r>
      <w:r w:rsidRPr="006D4CB5">
        <w:rPr>
          <w:color w:val="000000" w:themeColor="text1"/>
        </w:rPr>
        <w:t>, Nathaniel Thomas</w:t>
      </w:r>
      <w:r w:rsidRPr="006D4CB5">
        <w:rPr>
          <w:color w:val="000000" w:themeColor="text1"/>
          <w:vertAlign w:val="superscript"/>
        </w:rPr>
        <w:t>107</w:t>
      </w:r>
      <w:r w:rsidRPr="006D4CB5">
        <w:rPr>
          <w:color w:val="000000" w:themeColor="text1"/>
        </w:rPr>
        <w:t>, Zoe Neale</w:t>
      </w:r>
      <w:r w:rsidRPr="002C15EE">
        <w:rPr>
          <w:color w:val="000000" w:themeColor="text1"/>
          <w:vertAlign w:val="superscript"/>
        </w:rPr>
        <w:t>108</w:t>
      </w:r>
      <w:r w:rsidRPr="006D4CB5">
        <w:rPr>
          <w:color w:val="000000" w:themeColor="text1"/>
        </w:rPr>
        <w:t>, Kimberly Pedersen</w:t>
      </w:r>
      <w:r w:rsidRPr="006D4CB5">
        <w:rPr>
          <w:color w:val="000000" w:themeColor="text1"/>
          <w:vertAlign w:val="superscript"/>
        </w:rPr>
        <w:t>107</w:t>
      </w:r>
      <w:r w:rsidRPr="006D4CB5">
        <w:rPr>
          <w:color w:val="000000" w:themeColor="text1"/>
        </w:rPr>
        <w:t>, Thomas Bannard</w:t>
      </w:r>
      <w:r w:rsidRPr="006D4CB5">
        <w:rPr>
          <w:color w:val="000000" w:themeColor="text1"/>
          <w:vertAlign w:val="superscript"/>
        </w:rPr>
        <w:t>107</w:t>
      </w:r>
      <w:r w:rsidRPr="006D4CB5">
        <w:rPr>
          <w:color w:val="000000" w:themeColor="text1"/>
        </w:rPr>
        <w:t>, Seung B. Cho</w:t>
      </w:r>
      <w:r w:rsidRPr="006D4CB5">
        <w:rPr>
          <w:color w:val="000000" w:themeColor="text1"/>
          <w:vertAlign w:val="superscript"/>
        </w:rPr>
        <w:t>107</w:t>
      </w:r>
      <w:r w:rsidRPr="006D4CB5">
        <w:rPr>
          <w:color w:val="000000" w:themeColor="text1"/>
        </w:rPr>
        <w:t>, Amy E. Adkins</w:t>
      </w:r>
      <w:r w:rsidRPr="006D4CB5">
        <w:rPr>
          <w:color w:val="000000" w:themeColor="text1"/>
          <w:vertAlign w:val="superscript"/>
        </w:rPr>
        <w:t>107</w:t>
      </w:r>
      <w:r w:rsidRPr="006D4CB5">
        <w:rPr>
          <w:color w:val="000000" w:themeColor="text1"/>
        </w:rPr>
        <w:t>, Kimberly Pedersen</w:t>
      </w:r>
      <w:r w:rsidRPr="006D4CB5">
        <w:rPr>
          <w:color w:val="000000" w:themeColor="text1"/>
          <w:vertAlign w:val="superscript"/>
        </w:rPr>
        <w:t>107</w:t>
      </w:r>
      <w:r w:rsidRPr="006D4CB5">
        <w:rPr>
          <w:color w:val="000000" w:themeColor="text1"/>
        </w:rPr>
        <w:t>, Peter Barr</w:t>
      </w:r>
      <w:r w:rsidRPr="006D4CB5">
        <w:rPr>
          <w:color w:val="000000" w:themeColor="text1"/>
          <w:vertAlign w:val="superscript"/>
        </w:rPr>
        <w:t>108</w:t>
      </w:r>
      <w:r w:rsidRPr="006D4CB5">
        <w:rPr>
          <w:color w:val="000000" w:themeColor="text1"/>
        </w:rPr>
        <w:t>, Holly Byers</w:t>
      </w:r>
      <w:r w:rsidRPr="006D4CB5">
        <w:rPr>
          <w:color w:val="000000" w:themeColor="text1"/>
          <w:vertAlign w:val="superscript"/>
        </w:rPr>
        <w:t>107</w:t>
      </w:r>
      <w:r w:rsidRPr="006D4CB5">
        <w:rPr>
          <w:color w:val="000000" w:themeColor="text1"/>
        </w:rPr>
        <w:t>, Erin C. Berenz</w:t>
      </w:r>
      <w:r w:rsidRPr="006D4CB5">
        <w:rPr>
          <w:color w:val="000000" w:themeColor="text1"/>
          <w:vertAlign w:val="superscript"/>
        </w:rPr>
        <w:t>107</w:t>
      </w:r>
      <w:r w:rsidRPr="006D4CB5">
        <w:rPr>
          <w:color w:val="000000" w:themeColor="text1"/>
        </w:rPr>
        <w:t>, Erin Caraway</w:t>
      </w:r>
      <w:r w:rsidRPr="006D4CB5">
        <w:rPr>
          <w:color w:val="000000" w:themeColor="text1"/>
          <w:vertAlign w:val="superscript"/>
        </w:rPr>
        <w:t>107</w:t>
      </w:r>
      <w:r w:rsidRPr="006D4CB5">
        <w:rPr>
          <w:color w:val="000000" w:themeColor="text1"/>
        </w:rPr>
        <w:t xml:space="preserve">, Seung </w:t>
      </w:r>
      <w:r w:rsidRPr="006D4CB5">
        <w:rPr>
          <w:color w:val="000000" w:themeColor="text1"/>
        </w:rPr>
        <w:lastRenderedPageBreak/>
        <w:t>B. Cho</w:t>
      </w:r>
      <w:r w:rsidRPr="006D4CB5">
        <w:rPr>
          <w:color w:val="000000" w:themeColor="text1"/>
          <w:vertAlign w:val="superscript"/>
        </w:rPr>
        <w:t>107</w:t>
      </w:r>
      <w:r w:rsidRPr="006D4CB5">
        <w:rPr>
          <w:color w:val="000000" w:themeColor="text1"/>
        </w:rPr>
        <w:t>, James S. Clifford</w:t>
      </w:r>
      <w:r w:rsidRPr="006D4CB5">
        <w:rPr>
          <w:color w:val="000000" w:themeColor="text1"/>
          <w:vertAlign w:val="superscript"/>
        </w:rPr>
        <w:t>107</w:t>
      </w:r>
      <w:r w:rsidRPr="006D4CB5">
        <w:rPr>
          <w:color w:val="000000" w:themeColor="text1"/>
        </w:rPr>
        <w:t>, Megan Cooke</w:t>
      </w:r>
      <w:r w:rsidR="002C15EE">
        <w:rPr>
          <w:color w:val="000000" w:themeColor="text1"/>
          <w:vertAlign w:val="superscript"/>
        </w:rPr>
        <w:t>50</w:t>
      </w:r>
      <w:r w:rsidRPr="006D4CB5">
        <w:rPr>
          <w:color w:val="000000" w:themeColor="text1"/>
        </w:rPr>
        <w:t>, Elizabeth Do</w:t>
      </w:r>
      <w:r w:rsidRPr="006D4CB5">
        <w:rPr>
          <w:color w:val="000000" w:themeColor="text1"/>
          <w:vertAlign w:val="superscript"/>
        </w:rPr>
        <w:t>107</w:t>
      </w:r>
      <w:r w:rsidRPr="006D4CB5">
        <w:rPr>
          <w:color w:val="000000" w:themeColor="text1"/>
        </w:rPr>
        <w:t>, Alexis C. Edwards</w:t>
      </w:r>
      <w:r w:rsidRPr="006D4CB5">
        <w:rPr>
          <w:color w:val="000000" w:themeColor="text1"/>
          <w:vertAlign w:val="superscript"/>
        </w:rPr>
        <w:t>107</w:t>
      </w:r>
      <w:r w:rsidRPr="006D4CB5">
        <w:rPr>
          <w:color w:val="000000" w:themeColor="text1"/>
        </w:rPr>
        <w:t>, Neeru Goyal</w:t>
      </w:r>
      <w:r w:rsidRPr="006D4CB5">
        <w:rPr>
          <w:color w:val="000000" w:themeColor="text1"/>
          <w:vertAlign w:val="superscript"/>
        </w:rPr>
        <w:t>107</w:t>
      </w:r>
      <w:r w:rsidRPr="006D4CB5">
        <w:rPr>
          <w:color w:val="000000" w:themeColor="text1"/>
        </w:rPr>
        <w:t>, Laura M. Hack</w:t>
      </w:r>
      <w:r w:rsidRPr="006D4CB5">
        <w:rPr>
          <w:color w:val="000000" w:themeColor="text1"/>
          <w:vertAlign w:val="superscript"/>
        </w:rPr>
        <w:t>107</w:t>
      </w:r>
      <w:r w:rsidRPr="006D4CB5">
        <w:rPr>
          <w:color w:val="000000" w:themeColor="text1"/>
        </w:rPr>
        <w:t>, Lisa J. Halberstadt</w:t>
      </w:r>
      <w:r w:rsidRPr="006D4CB5">
        <w:rPr>
          <w:color w:val="000000" w:themeColor="text1"/>
          <w:vertAlign w:val="superscript"/>
        </w:rPr>
        <w:t>107</w:t>
      </w:r>
      <w:r w:rsidRPr="006D4CB5">
        <w:rPr>
          <w:color w:val="000000" w:themeColor="text1"/>
        </w:rPr>
        <w:t>, Sage Hawn</w:t>
      </w:r>
      <w:r w:rsidRPr="006D4CB5">
        <w:rPr>
          <w:color w:val="000000" w:themeColor="text1"/>
          <w:vertAlign w:val="superscript"/>
        </w:rPr>
        <w:t>107</w:t>
      </w:r>
      <w:r w:rsidRPr="006D4CB5">
        <w:rPr>
          <w:color w:val="000000" w:themeColor="text1"/>
        </w:rPr>
        <w:t>, Sally Kuo</w:t>
      </w:r>
      <w:r w:rsidR="002C15EE">
        <w:rPr>
          <w:color w:val="000000" w:themeColor="text1"/>
          <w:vertAlign w:val="superscript"/>
        </w:rPr>
        <w:t>50</w:t>
      </w:r>
      <w:r w:rsidRPr="006D4CB5">
        <w:rPr>
          <w:color w:val="000000" w:themeColor="text1"/>
        </w:rPr>
        <w:t>, Emily Lasko</w:t>
      </w:r>
      <w:r w:rsidRPr="006D4CB5">
        <w:rPr>
          <w:color w:val="000000" w:themeColor="text1"/>
          <w:vertAlign w:val="superscript"/>
        </w:rPr>
        <w:t>107</w:t>
      </w:r>
      <w:r w:rsidRPr="006D4CB5">
        <w:rPr>
          <w:color w:val="000000" w:themeColor="text1"/>
        </w:rPr>
        <w:t>, Jennifer Lend</w:t>
      </w:r>
      <w:r w:rsidRPr="006D4CB5">
        <w:rPr>
          <w:color w:val="000000" w:themeColor="text1"/>
          <w:vertAlign w:val="superscript"/>
        </w:rPr>
        <w:t>107</w:t>
      </w:r>
      <w:r w:rsidRPr="006D4CB5">
        <w:rPr>
          <w:color w:val="000000" w:themeColor="text1"/>
        </w:rPr>
        <w:t>, Mackenzie Lind</w:t>
      </w:r>
      <w:r w:rsidRPr="006D4CB5">
        <w:rPr>
          <w:color w:val="000000" w:themeColor="text1"/>
          <w:vertAlign w:val="superscript"/>
        </w:rPr>
        <w:t>107</w:t>
      </w:r>
      <w:r w:rsidRPr="006D4CB5">
        <w:rPr>
          <w:color w:val="000000" w:themeColor="text1"/>
        </w:rPr>
        <w:t>, Elizabeth Long</w:t>
      </w:r>
      <w:r w:rsidRPr="006D4CB5">
        <w:rPr>
          <w:color w:val="000000" w:themeColor="text1"/>
          <w:vertAlign w:val="superscript"/>
        </w:rPr>
        <w:t>107</w:t>
      </w:r>
      <w:r w:rsidRPr="006D4CB5">
        <w:rPr>
          <w:color w:val="000000" w:themeColor="text1"/>
        </w:rPr>
        <w:t>, Alexandra Martelli</w:t>
      </w:r>
      <w:r w:rsidRPr="006D4CB5">
        <w:rPr>
          <w:color w:val="000000" w:themeColor="text1"/>
          <w:vertAlign w:val="superscript"/>
        </w:rPr>
        <w:t>107</w:t>
      </w:r>
      <w:r w:rsidRPr="006D4CB5">
        <w:rPr>
          <w:color w:val="000000" w:themeColor="text1"/>
        </w:rPr>
        <w:t>, Jacquelyn L. Meyers</w:t>
      </w:r>
      <w:r w:rsidRPr="006D4CB5">
        <w:rPr>
          <w:color w:val="000000" w:themeColor="text1"/>
          <w:vertAlign w:val="superscript"/>
        </w:rPr>
        <w:t>107</w:t>
      </w:r>
      <w:r w:rsidRPr="006D4CB5">
        <w:rPr>
          <w:color w:val="000000" w:themeColor="text1"/>
        </w:rPr>
        <w:t>, Kerry Mitchell</w:t>
      </w:r>
      <w:r w:rsidRPr="006D4CB5">
        <w:rPr>
          <w:color w:val="000000" w:themeColor="text1"/>
          <w:vertAlign w:val="superscript"/>
        </w:rPr>
        <w:t>107</w:t>
      </w:r>
      <w:r w:rsidRPr="006D4CB5">
        <w:rPr>
          <w:color w:val="000000" w:themeColor="text1"/>
        </w:rPr>
        <w:t>, Ashlee Moore</w:t>
      </w:r>
      <w:r w:rsidRPr="006D4CB5">
        <w:rPr>
          <w:color w:val="000000" w:themeColor="text1"/>
          <w:vertAlign w:val="superscript"/>
        </w:rPr>
        <w:t>107</w:t>
      </w:r>
      <w:r w:rsidRPr="006D4CB5">
        <w:rPr>
          <w:color w:val="000000" w:themeColor="text1"/>
        </w:rPr>
        <w:t>, Arden Moscati</w:t>
      </w:r>
      <w:r w:rsidRPr="006D4CB5">
        <w:rPr>
          <w:color w:val="000000" w:themeColor="text1"/>
          <w:vertAlign w:val="superscript"/>
        </w:rPr>
        <w:t>107</w:t>
      </w:r>
      <w:r w:rsidRPr="006D4CB5">
        <w:rPr>
          <w:color w:val="000000" w:themeColor="text1"/>
        </w:rPr>
        <w:t>, Aashir Nasim</w:t>
      </w:r>
      <w:r w:rsidRPr="006D4CB5">
        <w:rPr>
          <w:color w:val="000000" w:themeColor="text1"/>
          <w:vertAlign w:val="superscript"/>
        </w:rPr>
        <w:t>107</w:t>
      </w:r>
      <w:r w:rsidRPr="006D4CB5">
        <w:rPr>
          <w:color w:val="000000" w:themeColor="text1"/>
        </w:rPr>
        <w:t>, Zoe Neale</w:t>
      </w:r>
      <w:r w:rsidRPr="006D4CB5">
        <w:rPr>
          <w:color w:val="000000" w:themeColor="text1"/>
          <w:vertAlign w:val="superscript"/>
        </w:rPr>
        <w:t>107</w:t>
      </w:r>
      <w:r w:rsidRPr="006D4CB5">
        <w:rPr>
          <w:color w:val="000000" w:themeColor="text1"/>
        </w:rPr>
        <w:t>, Jill Opalesky</w:t>
      </w:r>
      <w:r w:rsidRPr="006D4CB5">
        <w:rPr>
          <w:color w:val="000000" w:themeColor="text1"/>
          <w:vertAlign w:val="superscript"/>
        </w:rPr>
        <w:t>107</w:t>
      </w:r>
      <w:r w:rsidRPr="006D4CB5">
        <w:rPr>
          <w:color w:val="000000" w:themeColor="text1"/>
        </w:rPr>
        <w:t>, Cassie Overstreet</w:t>
      </w:r>
      <w:r w:rsidRPr="006D4CB5">
        <w:rPr>
          <w:color w:val="000000" w:themeColor="text1"/>
          <w:vertAlign w:val="superscript"/>
        </w:rPr>
        <w:t>107</w:t>
      </w:r>
      <w:r w:rsidRPr="006D4CB5">
        <w:rPr>
          <w:color w:val="000000" w:themeColor="text1"/>
        </w:rPr>
        <w:t>, A., Christian Pais</w:t>
      </w:r>
      <w:r w:rsidRPr="006D4CB5">
        <w:rPr>
          <w:color w:val="000000" w:themeColor="text1"/>
          <w:vertAlign w:val="superscript"/>
        </w:rPr>
        <w:t>107</w:t>
      </w:r>
      <w:r w:rsidRPr="006D4CB5">
        <w:rPr>
          <w:color w:val="000000" w:themeColor="text1"/>
        </w:rPr>
        <w:t>, Kimberly Pedersen</w:t>
      </w:r>
      <w:r w:rsidRPr="006D4CB5">
        <w:rPr>
          <w:color w:val="000000" w:themeColor="text1"/>
          <w:vertAlign w:val="superscript"/>
        </w:rPr>
        <w:t>107</w:t>
      </w:r>
      <w:r w:rsidRPr="006D4CB5">
        <w:rPr>
          <w:color w:val="000000" w:themeColor="text1"/>
        </w:rPr>
        <w:t>, Tarah Raldiris</w:t>
      </w:r>
      <w:r w:rsidRPr="006D4CB5">
        <w:rPr>
          <w:color w:val="000000" w:themeColor="text1"/>
          <w:vertAlign w:val="superscript"/>
        </w:rPr>
        <w:t>107</w:t>
      </w:r>
      <w:r w:rsidRPr="006D4CB5">
        <w:rPr>
          <w:color w:val="000000" w:themeColor="text1"/>
        </w:rPr>
        <w:t>, Jessica Salvatore</w:t>
      </w:r>
      <w:r w:rsidR="002C15EE">
        <w:rPr>
          <w:color w:val="000000" w:themeColor="text1"/>
          <w:vertAlign w:val="superscript"/>
        </w:rPr>
        <w:t>50</w:t>
      </w:r>
      <w:r w:rsidRPr="006D4CB5">
        <w:rPr>
          <w:color w:val="000000" w:themeColor="text1"/>
        </w:rPr>
        <w:t>, Jeanne Savage</w:t>
      </w:r>
      <w:r w:rsidR="00AF07C8" w:rsidRPr="006D4CB5">
        <w:rPr>
          <w:color w:val="000000" w:themeColor="text1"/>
          <w:vertAlign w:val="superscript"/>
        </w:rPr>
        <w:t>109</w:t>
      </w:r>
      <w:r w:rsidRPr="006D4CB5">
        <w:rPr>
          <w:color w:val="000000" w:themeColor="text1"/>
        </w:rPr>
        <w:t>, Rebecca Smith</w:t>
      </w:r>
      <w:r w:rsidRPr="006D4CB5">
        <w:rPr>
          <w:color w:val="000000" w:themeColor="text1"/>
          <w:vertAlign w:val="superscript"/>
        </w:rPr>
        <w:t>107</w:t>
      </w:r>
      <w:r w:rsidRPr="006D4CB5">
        <w:rPr>
          <w:color w:val="000000" w:themeColor="text1"/>
        </w:rPr>
        <w:t>, David Sosnowski</w:t>
      </w:r>
      <w:r w:rsidRPr="006D4CB5">
        <w:rPr>
          <w:color w:val="000000" w:themeColor="text1"/>
          <w:vertAlign w:val="superscript"/>
        </w:rPr>
        <w:t>107</w:t>
      </w:r>
      <w:r w:rsidRPr="006D4CB5">
        <w:rPr>
          <w:color w:val="000000" w:themeColor="text1"/>
        </w:rPr>
        <w:t>, Jinni Su</w:t>
      </w:r>
      <w:r w:rsidRPr="006D4CB5">
        <w:rPr>
          <w:color w:val="000000" w:themeColor="text1"/>
          <w:vertAlign w:val="superscript"/>
        </w:rPr>
        <w:t>107</w:t>
      </w:r>
      <w:r w:rsidRPr="006D4CB5">
        <w:rPr>
          <w:color w:val="000000" w:themeColor="text1"/>
        </w:rPr>
        <w:t>, Nathaniel Thomas</w:t>
      </w:r>
      <w:r w:rsidR="002C15EE">
        <w:rPr>
          <w:color w:val="000000" w:themeColor="text1"/>
          <w:vertAlign w:val="superscript"/>
        </w:rPr>
        <w:t>50</w:t>
      </w:r>
      <w:r w:rsidRPr="006D4CB5">
        <w:rPr>
          <w:color w:val="000000" w:themeColor="text1"/>
        </w:rPr>
        <w:t>, Chloe Walker</w:t>
      </w:r>
      <w:r w:rsidRPr="006D4CB5">
        <w:rPr>
          <w:color w:val="000000" w:themeColor="text1"/>
          <w:vertAlign w:val="superscript"/>
        </w:rPr>
        <w:t>107</w:t>
      </w:r>
      <w:r w:rsidRPr="006D4CB5">
        <w:rPr>
          <w:color w:val="000000" w:themeColor="text1"/>
        </w:rPr>
        <w:t>, Marcie Walsh</w:t>
      </w:r>
      <w:r w:rsidRPr="006D4CB5">
        <w:rPr>
          <w:color w:val="000000" w:themeColor="text1"/>
          <w:vertAlign w:val="superscript"/>
        </w:rPr>
        <w:t>107</w:t>
      </w:r>
      <w:r w:rsidRPr="006D4CB5">
        <w:rPr>
          <w:color w:val="000000" w:themeColor="text1"/>
        </w:rPr>
        <w:t>, Teresa Willoughby</w:t>
      </w:r>
      <w:r w:rsidRPr="006D4CB5">
        <w:rPr>
          <w:color w:val="000000" w:themeColor="text1"/>
          <w:vertAlign w:val="superscript"/>
        </w:rPr>
        <w:t>107</w:t>
      </w:r>
      <w:r w:rsidRPr="006D4CB5">
        <w:rPr>
          <w:color w:val="000000" w:themeColor="text1"/>
        </w:rPr>
        <w:t>, Madison Woodroof</w:t>
      </w:r>
      <w:r w:rsidRPr="006D4CB5">
        <w:rPr>
          <w:color w:val="000000" w:themeColor="text1"/>
          <w:vertAlign w:val="superscript"/>
        </w:rPr>
        <w:t>107</w:t>
      </w:r>
      <w:r w:rsidRPr="006D4CB5">
        <w:rPr>
          <w:color w:val="000000" w:themeColor="text1"/>
        </w:rPr>
        <w:t>, Jia Yan</w:t>
      </w:r>
      <w:r w:rsidRPr="006D4CB5">
        <w:rPr>
          <w:color w:val="000000" w:themeColor="text1"/>
          <w:vertAlign w:val="superscript"/>
        </w:rPr>
        <w:t>107</w:t>
      </w:r>
      <w:r w:rsidRPr="006D4CB5">
        <w:rPr>
          <w:color w:val="000000" w:themeColor="text1"/>
        </w:rPr>
        <w:t xml:space="preserve">, </w:t>
      </w:r>
      <w:proofErr w:type="spellStart"/>
      <w:r w:rsidRPr="006D4CB5">
        <w:rPr>
          <w:color w:val="000000" w:themeColor="text1"/>
        </w:rPr>
        <w:t>Cuie</w:t>
      </w:r>
      <w:proofErr w:type="spellEnd"/>
      <w:r w:rsidRPr="006D4CB5">
        <w:rPr>
          <w:color w:val="000000" w:themeColor="text1"/>
        </w:rPr>
        <w:t xml:space="preserve"> Sun</w:t>
      </w:r>
      <w:r w:rsidRPr="006D4CB5">
        <w:rPr>
          <w:color w:val="000000" w:themeColor="text1"/>
          <w:vertAlign w:val="superscript"/>
        </w:rPr>
        <w:t>107</w:t>
      </w:r>
      <w:r w:rsidRPr="006D4CB5">
        <w:rPr>
          <w:color w:val="000000" w:themeColor="text1"/>
        </w:rPr>
        <w:t>, Brandon Wormley</w:t>
      </w:r>
      <w:r w:rsidRPr="006D4CB5">
        <w:rPr>
          <w:color w:val="000000" w:themeColor="text1"/>
          <w:vertAlign w:val="superscript"/>
        </w:rPr>
        <w:t>107</w:t>
      </w:r>
      <w:r w:rsidRPr="006D4CB5">
        <w:rPr>
          <w:color w:val="000000" w:themeColor="text1"/>
        </w:rPr>
        <w:t>, Brien Riley</w:t>
      </w:r>
      <w:r w:rsidRPr="006D4CB5">
        <w:rPr>
          <w:color w:val="000000" w:themeColor="text1"/>
          <w:vertAlign w:val="superscript"/>
        </w:rPr>
        <w:t>107</w:t>
      </w:r>
      <w:r w:rsidRPr="006D4CB5">
        <w:rPr>
          <w:color w:val="000000" w:themeColor="text1"/>
        </w:rPr>
        <w:t>, Fazil Aliev</w:t>
      </w:r>
      <w:r w:rsidR="002C15EE">
        <w:rPr>
          <w:color w:val="000000" w:themeColor="text1"/>
          <w:vertAlign w:val="superscript"/>
        </w:rPr>
        <w:t>50</w:t>
      </w:r>
      <w:r w:rsidRPr="006D4CB5">
        <w:rPr>
          <w:color w:val="000000" w:themeColor="text1"/>
        </w:rPr>
        <w:t>, Roseann Peterson</w:t>
      </w:r>
      <w:r w:rsidRPr="006D4CB5">
        <w:rPr>
          <w:color w:val="000000" w:themeColor="text1"/>
          <w:vertAlign w:val="superscript"/>
        </w:rPr>
        <w:t>108</w:t>
      </w:r>
      <w:r w:rsidRPr="006D4CB5">
        <w:rPr>
          <w:color w:val="000000" w:themeColor="text1"/>
        </w:rPr>
        <w:t>, Bradley T. Webb</w:t>
      </w:r>
      <w:r w:rsidRPr="006D4CB5">
        <w:rPr>
          <w:color w:val="000000" w:themeColor="text1"/>
          <w:vertAlign w:val="superscript"/>
        </w:rPr>
        <w:t>107</w:t>
      </w:r>
    </w:p>
    <w:p w14:paraId="096B0057" w14:textId="77777777" w:rsidR="008E021C" w:rsidRPr="006D4CB5" w:rsidRDefault="008E021C" w:rsidP="008E021C">
      <w:pPr>
        <w:rPr>
          <w:color w:val="000000" w:themeColor="text1"/>
          <w:vertAlign w:val="superscript"/>
        </w:rPr>
      </w:pPr>
    </w:p>
    <w:p w14:paraId="33D476C8" w14:textId="15A0D2A9" w:rsidR="008E021C" w:rsidRPr="006D4CB5" w:rsidRDefault="008E021C" w:rsidP="002C15EE">
      <w:pPr>
        <w:rPr>
          <w:color w:val="000000" w:themeColor="text1"/>
        </w:rPr>
      </w:pPr>
      <w:r w:rsidRPr="006D4CB5">
        <w:rPr>
          <w:color w:val="000000" w:themeColor="text1"/>
          <w:vertAlign w:val="superscript"/>
        </w:rPr>
        <w:t>4</w:t>
      </w:r>
      <w:r w:rsidR="002C15EE">
        <w:rPr>
          <w:color w:val="000000" w:themeColor="text1"/>
          <w:vertAlign w:val="superscript"/>
        </w:rPr>
        <w:t>9</w:t>
      </w:r>
      <w:r w:rsidRPr="006D4CB5">
        <w:rPr>
          <w:color w:val="000000" w:themeColor="text1"/>
          <w:vertAlign w:val="superscript"/>
        </w:rPr>
        <w:t xml:space="preserve"> </w:t>
      </w:r>
      <w:r w:rsidRPr="006D4CB5">
        <w:rPr>
          <w:color w:val="000000" w:themeColor="text1"/>
        </w:rPr>
        <w:t>Rutgers Addiction Research Center, Brain Health Institute, Rutgers University, Piscataway, United States</w:t>
      </w:r>
      <w:r w:rsidR="00296605">
        <w:rPr>
          <w:color w:val="000000" w:themeColor="text1"/>
        </w:rPr>
        <w:t xml:space="preserve">. </w:t>
      </w:r>
      <w:r w:rsidR="002C15EE">
        <w:rPr>
          <w:color w:val="000000" w:themeColor="text1"/>
          <w:vertAlign w:val="superscript"/>
        </w:rPr>
        <w:t>50</w:t>
      </w:r>
      <w:r w:rsidRPr="006D4CB5">
        <w:rPr>
          <w:color w:val="000000" w:themeColor="text1"/>
          <w:vertAlign w:val="superscript"/>
        </w:rPr>
        <w:t xml:space="preserve"> </w:t>
      </w:r>
      <w:r w:rsidRPr="006D4CB5">
        <w:rPr>
          <w:color w:val="000000" w:themeColor="text1"/>
        </w:rPr>
        <w:t>Department of Psychiatry, Rutgers Robert Wood Johnson Medical School, Piscataway, United States</w:t>
      </w:r>
      <w:r w:rsidR="00296605">
        <w:rPr>
          <w:color w:val="000000" w:themeColor="text1"/>
        </w:rPr>
        <w:t xml:space="preserve">. </w:t>
      </w:r>
      <w:r w:rsidRPr="006D4CB5">
        <w:rPr>
          <w:color w:val="000000" w:themeColor="text1"/>
          <w:vertAlign w:val="superscript"/>
        </w:rPr>
        <w:t>107</w:t>
      </w:r>
      <w:r w:rsidRPr="006D4CB5">
        <w:rPr>
          <w:color w:val="000000" w:themeColor="text1"/>
        </w:rPr>
        <w:t>Virginia Commonwealth University, Richmond, United States</w:t>
      </w:r>
      <w:r w:rsidR="00296605">
        <w:rPr>
          <w:color w:val="000000" w:themeColor="text1"/>
        </w:rPr>
        <w:t xml:space="preserve">. </w:t>
      </w:r>
      <w:r w:rsidRPr="006D4CB5">
        <w:rPr>
          <w:color w:val="000000" w:themeColor="text1"/>
          <w:vertAlign w:val="superscript"/>
        </w:rPr>
        <w:t>108</w:t>
      </w:r>
      <w:r w:rsidRPr="006D4CB5">
        <w:rPr>
          <w:color w:val="000000" w:themeColor="text1"/>
        </w:rPr>
        <w:t>State University of New York Downstate Health Sciences University, Brooklyn, United States</w:t>
      </w:r>
      <w:r w:rsidR="00296605">
        <w:rPr>
          <w:color w:val="000000" w:themeColor="text1"/>
        </w:rPr>
        <w:t xml:space="preserve">. </w:t>
      </w:r>
      <w:r w:rsidRPr="006D4CB5">
        <w:rPr>
          <w:color w:val="000000" w:themeColor="text1"/>
          <w:vertAlign w:val="superscript"/>
        </w:rPr>
        <w:t>109</w:t>
      </w:r>
      <w:r w:rsidRPr="006D4CB5">
        <w:rPr>
          <w:color w:val="000000" w:themeColor="text1"/>
        </w:rPr>
        <w:t>Vrije Universiteit Amsterdam, Amsterdam, Netherlands</w:t>
      </w:r>
    </w:p>
    <w:sectPr w:rsidR="008E021C" w:rsidRPr="006D4CB5" w:rsidSect="003C193C">
      <w:headerReference w:type="even" r:id="rId14"/>
      <w:headerReference w:type="default" r:id="rId1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B35157" w14:textId="77777777" w:rsidR="00CA5587" w:rsidRDefault="00CA5587">
      <w:r>
        <w:separator/>
      </w:r>
    </w:p>
  </w:endnote>
  <w:endnote w:type="continuationSeparator" w:id="0">
    <w:p w14:paraId="5280AC89" w14:textId="77777777" w:rsidR="00CA5587" w:rsidRDefault="00CA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5B9E5" w14:textId="77777777" w:rsidR="00CA5587" w:rsidRDefault="00CA5587">
      <w:r>
        <w:separator/>
      </w:r>
    </w:p>
  </w:footnote>
  <w:footnote w:type="continuationSeparator" w:id="0">
    <w:p w14:paraId="46B603C9" w14:textId="77777777" w:rsidR="00CA5587" w:rsidRDefault="00CA5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5496018"/>
      <w:docPartObj>
        <w:docPartGallery w:val="Page Numbers (Top of Page)"/>
        <w:docPartUnique/>
      </w:docPartObj>
    </w:sdtPr>
    <w:sdtContent>
      <w:p w14:paraId="041502EE" w14:textId="1AAF9539" w:rsidR="00076353" w:rsidRDefault="00076353" w:rsidP="001664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36D3B">
          <w:rPr>
            <w:rStyle w:val="PageNumber"/>
            <w:noProof/>
          </w:rPr>
          <w:t>1</w:t>
        </w:r>
        <w:r>
          <w:rPr>
            <w:rStyle w:val="PageNumber"/>
          </w:rPr>
          <w:fldChar w:fldCharType="end"/>
        </w:r>
      </w:p>
    </w:sdtContent>
  </w:sdt>
  <w:p w14:paraId="351E0C2D" w14:textId="77777777" w:rsidR="00076353" w:rsidRDefault="00076353" w:rsidP="0016642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6016076"/>
      <w:docPartObj>
        <w:docPartGallery w:val="Page Numbers (Top of Page)"/>
        <w:docPartUnique/>
      </w:docPartObj>
    </w:sdtPr>
    <w:sdtContent>
      <w:p w14:paraId="2D02977B" w14:textId="77777777" w:rsidR="00076353" w:rsidRDefault="00076353" w:rsidP="0016642F">
        <w:pPr>
          <w:pStyle w:val="Header"/>
          <w:framePr w:wrap="none" w:vAnchor="text" w:hAnchor="margin" w:xAlign="right" w:y="1"/>
          <w:rPr>
            <w:rStyle w:val="PageNumber"/>
          </w:rPr>
        </w:pPr>
        <w:r w:rsidRPr="003C193C">
          <w:rPr>
            <w:rStyle w:val="PageNumber"/>
            <w:rFonts w:ascii="Times New Roman" w:hAnsi="Times New Roman" w:cs="Times New Roman"/>
          </w:rPr>
          <w:fldChar w:fldCharType="begin"/>
        </w:r>
        <w:r w:rsidRPr="003C193C">
          <w:rPr>
            <w:rStyle w:val="PageNumber"/>
            <w:rFonts w:ascii="Times New Roman" w:hAnsi="Times New Roman" w:cs="Times New Roman"/>
          </w:rPr>
          <w:instrText xml:space="preserve"> PAGE </w:instrText>
        </w:r>
        <w:r w:rsidRPr="003C193C">
          <w:rPr>
            <w:rStyle w:val="PageNumber"/>
            <w:rFonts w:ascii="Times New Roman" w:hAnsi="Times New Roman" w:cs="Times New Roman"/>
          </w:rPr>
          <w:fldChar w:fldCharType="separate"/>
        </w:r>
        <w:r w:rsidRPr="003C193C">
          <w:rPr>
            <w:rStyle w:val="PageNumber"/>
            <w:rFonts w:ascii="Times New Roman" w:hAnsi="Times New Roman" w:cs="Times New Roman"/>
            <w:noProof/>
          </w:rPr>
          <w:t>1</w:t>
        </w:r>
        <w:r w:rsidRPr="003C193C">
          <w:rPr>
            <w:rStyle w:val="PageNumber"/>
            <w:rFonts w:ascii="Times New Roman" w:hAnsi="Times New Roman" w:cs="Times New Roman"/>
          </w:rPr>
          <w:fldChar w:fldCharType="end"/>
        </w:r>
      </w:p>
    </w:sdtContent>
  </w:sdt>
  <w:p w14:paraId="577A0374" w14:textId="26D96350" w:rsidR="00076353" w:rsidRPr="003C193C" w:rsidRDefault="003C193C" w:rsidP="0016642F">
    <w:pPr>
      <w:pStyle w:val="Header"/>
      <w:ind w:right="360"/>
      <w:rPr>
        <w:rFonts w:ascii="Times New Roman" w:hAnsi="Times New Roman" w:cs="Times New Roman"/>
      </w:rPr>
    </w:pPr>
    <w:r w:rsidRPr="003C193C">
      <w:rPr>
        <w:rFonts w:ascii="Times New Roman" w:hAnsi="Times New Roman" w:cs="Times New Roman"/>
      </w:rPr>
      <w:t>Big Five GWAS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E6137A"/>
    <w:multiLevelType w:val="hybridMultilevel"/>
    <w:tmpl w:val="1B36483A"/>
    <w:lvl w:ilvl="0" w:tplc="E836DD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F3EFC"/>
    <w:multiLevelType w:val="hybridMultilevel"/>
    <w:tmpl w:val="AA90DCA8"/>
    <w:lvl w:ilvl="0" w:tplc="DC5E8D9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A62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1335"/>
    <w:multiLevelType w:val="hybridMultilevel"/>
    <w:tmpl w:val="1D140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BC5C81"/>
    <w:multiLevelType w:val="hybridMultilevel"/>
    <w:tmpl w:val="F3A6D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D62F9"/>
    <w:multiLevelType w:val="hybridMultilevel"/>
    <w:tmpl w:val="A3382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76EDA"/>
    <w:multiLevelType w:val="hybridMultilevel"/>
    <w:tmpl w:val="88500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E7921"/>
    <w:multiLevelType w:val="hybridMultilevel"/>
    <w:tmpl w:val="C578385C"/>
    <w:lvl w:ilvl="0" w:tplc="0409000F">
      <w:start w:val="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260FB7"/>
    <w:multiLevelType w:val="hybridMultilevel"/>
    <w:tmpl w:val="07C2F9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D12200"/>
    <w:multiLevelType w:val="hybridMultilevel"/>
    <w:tmpl w:val="09F41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F30F24"/>
    <w:multiLevelType w:val="hybridMultilevel"/>
    <w:tmpl w:val="49BC48C2"/>
    <w:lvl w:ilvl="0" w:tplc="D10C4C98">
      <w:start w:val="1"/>
      <w:numFmt w:val="bullet"/>
      <w:lvlText w:val="-"/>
      <w:lvlJc w:val="left"/>
      <w:pPr>
        <w:ind w:left="720" w:hanging="360"/>
      </w:pPr>
      <w:rPr>
        <w:rFonts w:ascii="Aptos" w:hAnsi="Aptos" w:hint="default"/>
      </w:rPr>
    </w:lvl>
    <w:lvl w:ilvl="1" w:tplc="F3A6EC86">
      <w:start w:val="1"/>
      <w:numFmt w:val="bullet"/>
      <w:lvlText w:val="o"/>
      <w:lvlJc w:val="left"/>
      <w:pPr>
        <w:ind w:left="1440" w:hanging="360"/>
      </w:pPr>
      <w:rPr>
        <w:rFonts w:ascii="Courier New" w:hAnsi="Courier New" w:hint="default"/>
      </w:rPr>
    </w:lvl>
    <w:lvl w:ilvl="2" w:tplc="74E631BE">
      <w:start w:val="1"/>
      <w:numFmt w:val="bullet"/>
      <w:lvlText w:val=""/>
      <w:lvlJc w:val="left"/>
      <w:pPr>
        <w:ind w:left="2160" w:hanging="360"/>
      </w:pPr>
      <w:rPr>
        <w:rFonts w:ascii="Wingdings" w:hAnsi="Wingdings" w:hint="default"/>
      </w:rPr>
    </w:lvl>
    <w:lvl w:ilvl="3" w:tplc="92F436FE">
      <w:start w:val="1"/>
      <w:numFmt w:val="bullet"/>
      <w:lvlText w:val=""/>
      <w:lvlJc w:val="left"/>
      <w:pPr>
        <w:ind w:left="2880" w:hanging="360"/>
      </w:pPr>
      <w:rPr>
        <w:rFonts w:ascii="Symbol" w:hAnsi="Symbol" w:hint="default"/>
      </w:rPr>
    </w:lvl>
    <w:lvl w:ilvl="4" w:tplc="24006552">
      <w:start w:val="1"/>
      <w:numFmt w:val="bullet"/>
      <w:lvlText w:val="o"/>
      <w:lvlJc w:val="left"/>
      <w:pPr>
        <w:ind w:left="3600" w:hanging="360"/>
      </w:pPr>
      <w:rPr>
        <w:rFonts w:ascii="Courier New" w:hAnsi="Courier New" w:hint="default"/>
      </w:rPr>
    </w:lvl>
    <w:lvl w:ilvl="5" w:tplc="86C82E4E">
      <w:start w:val="1"/>
      <w:numFmt w:val="bullet"/>
      <w:lvlText w:val=""/>
      <w:lvlJc w:val="left"/>
      <w:pPr>
        <w:ind w:left="4320" w:hanging="360"/>
      </w:pPr>
      <w:rPr>
        <w:rFonts w:ascii="Wingdings" w:hAnsi="Wingdings" w:hint="default"/>
      </w:rPr>
    </w:lvl>
    <w:lvl w:ilvl="6" w:tplc="C7768C7A">
      <w:start w:val="1"/>
      <w:numFmt w:val="bullet"/>
      <w:lvlText w:val=""/>
      <w:lvlJc w:val="left"/>
      <w:pPr>
        <w:ind w:left="5040" w:hanging="360"/>
      </w:pPr>
      <w:rPr>
        <w:rFonts w:ascii="Symbol" w:hAnsi="Symbol" w:hint="default"/>
      </w:rPr>
    </w:lvl>
    <w:lvl w:ilvl="7" w:tplc="887EE4D2">
      <w:start w:val="1"/>
      <w:numFmt w:val="bullet"/>
      <w:lvlText w:val="o"/>
      <w:lvlJc w:val="left"/>
      <w:pPr>
        <w:ind w:left="5760" w:hanging="360"/>
      </w:pPr>
      <w:rPr>
        <w:rFonts w:ascii="Courier New" w:hAnsi="Courier New" w:hint="default"/>
      </w:rPr>
    </w:lvl>
    <w:lvl w:ilvl="8" w:tplc="D0D638B6">
      <w:start w:val="1"/>
      <w:numFmt w:val="bullet"/>
      <w:lvlText w:val=""/>
      <w:lvlJc w:val="left"/>
      <w:pPr>
        <w:ind w:left="6480" w:hanging="360"/>
      </w:pPr>
      <w:rPr>
        <w:rFonts w:ascii="Wingdings" w:hAnsi="Wingdings" w:hint="default"/>
      </w:rPr>
    </w:lvl>
  </w:abstractNum>
  <w:abstractNum w:abstractNumId="11" w15:restartNumberingAfterBreak="0">
    <w:nsid w:val="6FF14DBC"/>
    <w:multiLevelType w:val="hybridMultilevel"/>
    <w:tmpl w:val="845EAE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53259D0"/>
    <w:multiLevelType w:val="hybridMultilevel"/>
    <w:tmpl w:val="AFA4BA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60D55"/>
    <w:multiLevelType w:val="hybridMultilevel"/>
    <w:tmpl w:val="38DCD9A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8742535">
    <w:abstractNumId w:val="10"/>
  </w:num>
  <w:num w:numId="2" w16cid:durableId="728115201">
    <w:abstractNumId w:val="13"/>
  </w:num>
  <w:num w:numId="3" w16cid:durableId="1126586243">
    <w:abstractNumId w:val="9"/>
  </w:num>
  <w:num w:numId="4" w16cid:durableId="109394484">
    <w:abstractNumId w:val="3"/>
  </w:num>
  <w:num w:numId="5" w16cid:durableId="300817345">
    <w:abstractNumId w:val="12"/>
  </w:num>
  <w:num w:numId="6" w16cid:durableId="275217285">
    <w:abstractNumId w:val="4"/>
  </w:num>
  <w:num w:numId="7" w16cid:durableId="702942003">
    <w:abstractNumId w:val="6"/>
  </w:num>
  <w:num w:numId="8" w16cid:durableId="402413527">
    <w:abstractNumId w:val="1"/>
  </w:num>
  <w:num w:numId="9" w16cid:durableId="239368927">
    <w:abstractNumId w:val="8"/>
  </w:num>
  <w:num w:numId="10" w16cid:durableId="1951623525">
    <w:abstractNumId w:val="2"/>
  </w:num>
  <w:num w:numId="11" w16cid:durableId="1776562223">
    <w:abstractNumId w:val="11"/>
  </w:num>
  <w:num w:numId="12" w16cid:durableId="1131557038">
    <w:abstractNumId w:val="5"/>
  </w:num>
  <w:num w:numId="13" w16cid:durableId="304967500">
    <w:abstractNumId w:val="0"/>
  </w:num>
  <w:num w:numId="14" w16cid:durableId="39120009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53"/>
    <w:rsid w:val="00004F61"/>
    <w:rsid w:val="00005897"/>
    <w:rsid w:val="00005B7A"/>
    <w:rsid w:val="00006C10"/>
    <w:rsid w:val="0001092F"/>
    <w:rsid w:val="00011A8A"/>
    <w:rsid w:val="00015E0F"/>
    <w:rsid w:val="000203DD"/>
    <w:rsid w:val="00023CEB"/>
    <w:rsid w:val="00025C2F"/>
    <w:rsid w:val="00031E8D"/>
    <w:rsid w:val="0003441C"/>
    <w:rsid w:val="00042C76"/>
    <w:rsid w:val="00056A98"/>
    <w:rsid w:val="00057929"/>
    <w:rsid w:val="000605B0"/>
    <w:rsid w:val="00061ED4"/>
    <w:rsid w:val="00065F92"/>
    <w:rsid w:val="00073DAC"/>
    <w:rsid w:val="0007584B"/>
    <w:rsid w:val="00076353"/>
    <w:rsid w:val="00076AAC"/>
    <w:rsid w:val="00081EF8"/>
    <w:rsid w:val="00086C0D"/>
    <w:rsid w:val="000A1360"/>
    <w:rsid w:val="000A2745"/>
    <w:rsid w:val="000A2B2B"/>
    <w:rsid w:val="000A310D"/>
    <w:rsid w:val="000A558F"/>
    <w:rsid w:val="000B251D"/>
    <w:rsid w:val="000B2C31"/>
    <w:rsid w:val="000B6707"/>
    <w:rsid w:val="000C59DE"/>
    <w:rsid w:val="000D171B"/>
    <w:rsid w:val="000D40E2"/>
    <w:rsid w:val="000D5A84"/>
    <w:rsid w:val="000D6136"/>
    <w:rsid w:val="000D6F3B"/>
    <w:rsid w:val="000F2F3F"/>
    <w:rsid w:val="00110D49"/>
    <w:rsid w:val="00110F92"/>
    <w:rsid w:val="00125146"/>
    <w:rsid w:val="001321FF"/>
    <w:rsid w:val="00134559"/>
    <w:rsid w:val="00137808"/>
    <w:rsid w:val="00137E5A"/>
    <w:rsid w:val="00143385"/>
    <w:rsid w:val="00146BDA"/>
    <w:rsid w:val="001537E3"/>
    <w:rsid w:val="0015452F"/>
    <w:rsid w:val="00157F73"/>
    <w:rsid w:val="0016642F"/>
    <w:rsid w:val="00174E4B"/>
    <w:rsid w:val="001838D4"/>
    <w:rsid w:val="00190614"/>
    <w:rsid w:val="0019197D"/>
    <w:rsid w:val="001A07C1"/>
    <w:rsid w:val="001A2A40"/>
    <w:rsid w:val="001A6797"/>
    <w:rsid w:val="001A7B28"/>
    <w:rsid w:val="001B1DAF"/>
    <w:rsid w:val="001B218D"/>
    <w:rsid w:val="001B60A5"/>
    <w:rsid w:val="001B70C0"/>
    <w:rsid w:val="001C23E9"/>
    <w:rsid w:val="001C3E04"/>
    <w:rsid w:val="001C5988"/>
    <w:rsid w:val="001C5D3E"/>
    <w:rsid w:val="001C77A6"/>
    <w:rsid w:val="001D3D27"/>
    <w:rsid w:val="001E0D1C"/>
    <w:rsid w:val="001E251E"/>
    <w:rsid w:val="001E3E53"/>
    <w:rsid w:val="001E75B2"/>
    <w:rsid w:val="001F00AD"/>
    <w:rsid w:val="001F1B36"/>
    <w:rsid w:val="001F35EA"/>
    <w:rsid w:val="00202CE9"/>
    <w:rsid w:val="00216523"/>
    <w:rsid w:val="00230168"/>
    <w:rsid w:val="0023376A"/>
    <w:rsid w:val="0023678E"/>
    <w:rsid w:val="00257128"/>
    <w:rsid w:val="002618A8"/>
    <w:rsid w:val="0026558B"/>
    <w:rsid w:val="00266191"/>
    <w:rsid w:val="00270A63"/>
    <w:rsid w:val="002739EC"/>
    <w:rsid w:val="00273C12"/>
    <w:rsid w:val="00274CBF"/>
    <w:rsid w:val="00284D27"/>
    <w:rsid w:val="00285572"/>
    <w:rsid w:val="0028579A"/>
    <w:rsid w:val="00287526"/>
    <w:rsid w:val="00292176"/>
    <w:rsid w:val="00294276"/>
    <w:rsid w:val="00294CCD"/>
    <w:rsid w:val="00296605"/>
    <w:rsid w:val="002A50E2"/>
    <w:rsid w:val="002A7532"/>
    <w:rsid w:val="002A7759"/>
    <w:rsid w:val="002B023E"/>
    <w:rsid w:val="002B52A9"/>
    <w:rsid w:val="002C1136"/>
    <w:rsid w:val="002C15EE"/>
    <w:rsid w:val="002C698D"/>
    <w:rsid w:val="002C7B9D"/>
    <w:rsid w:val="002D3A25"/>
    <w:rsid w:val="002D65FC"/>
    <w:rsid w:val="002D6CC5"/>
    <w:rsid w:val="002E2414"/>
    <w:rsid w:val="002F732A"/>
    <w:rsid w:val="003065B3"/>
    <w:rsid w:val="003119EB"/>
    <w:rsid w:val="003138BF"/>
    <w:rsid w:val="00316181"/>
    <w:rsid w:val="00323179"/>
    <w:rsid w:val="0032425E"/>
    <w:rsid w:val="00326533"/>
    <w:rsid w:val="00327EF7"/>
    <w:rsid w:val="00345FD2"/>
    <w:rsid w:val="00351AB2"/>
    <w:rsid w:val="00357608"/>
    <w:rsid w:val="003640A1"/>
    <w:rsid w:val="0036556A"/>
    <w:rsid w:val="00366515"/>
    <w:rsid w:val="00371FD7"/>
    <w:rsid w:val="00381261"/>
    <w:rsid w:val="00381BC9"/>
    <w:rsid w:val="00390035"/>
    <w:rsid w:val="0039085F"/>
    <w:rsid w:val="00391F09"/>
    <w:rsid w:val="00392C15"/>
    <w:rsid w:val="003A2A11"/>
    <w:rsid w:val="003A3A47"/>
    <w:rsid w:val="003A5DC4"/>
    <w:rsid w:val="003A5F1F"/>
    <w:rsid w:val="003B6D1A"/>
    <w:rsid w:val="003C1887"/>
    <w:rsid w:val="003C193C"/>
    <w:rsid w:val="003C1AFC"/>
    <w:rsid w:val="003C2CE8"/>
    <w:rsid w:val="003E205C"/>
    <w:rsid w:val="003E341D"/>
    <w:rsid w:val="003E72B9"/>
    <w:rsid w:val="003E7780"/>
    <w:rsid w:val="003E7F61"/>
    <w:rsid w:val="003F4FD2"/>
    <w:rsid w:val="004064C0"/>
    <w:rsid w:val="004068E8"/>
    <w:rsid w:val="00410ABD"/>
    <w:rsid w:val="00413362"/>
    <w:rsid w:val="004259C4"/>
    <w:rsid w:val="00426D7E"/>
    <w:rsid w:val="00432CC4"/>
    <w:rsid w:val="0043551E"/>
    <w:rsid w:val="004472FE"/>
    <w:rsid w:val="0045265C"/>
    <w:rsid w:val="00454D06"/>
    <w:rsid w:val="00455464"/>
    <w:rsid w:val="00465816"/>
    <w:rsid w:val="00465ADE"/>
    <w:rsid w:val="00465B74"/>
    <w:rsid w:val="004819AF"/>
    <w:rsid w:val="0048240E"/>
    <w:rsid w:val="00496522"/>
    <w:rsid w:val="00496C4E"/>
    <w:rsid w:val="004A733A"/>
    <w:rsid w:val="004A7B65"/>
    <w:rsid w:val="004B0323"/>
    <w:rsid w:val="004B28B6"/>
    <w:rsid w:val="004C3B40"/>
    <w:rsid w:val="004C3F47"/>
    <w:rsid w:val="004E4F12"/>
    <w:rsid w:val="004F0A3B"/>
    <w:rsid w:val="004F4413"/>
    <w:rsid w:val="004F46B3"/>
    <w:rsid w:val="004F56EA"/>
    <w:rsid w:val="005148BC"/>
    <w:rsid w:val="005175E9"/>
    <w:rsid w:val="0052029E"/>
    <w:rsid w:val="005327EC"/>
    <w:rsid w:val="00533072"/>
    <w:rsid w:val="005504B0"/>
    <w:rsid w:val="00554BAD"/>
    <w:rsid w:val="00554DA4"/>
    <w:rsid w:val="005557B2"/>
    <w:rsid w:val="005567F2"/>
    <w:rsid w:val="005606F3"/>
    <w:rsid w:val="00565405"/>
    <w:rsid w:val="00566C22"/>
    <w:rsid w:val="0057110C"/>
    <w:rsid w:val="00571501"/>
    <w:rsid w:val="00572CB4"/>
    <w:rsid w:val="00580ECD"/>
    <w:rsid w:val="005831EA"/>
    <w:rsid w:val="0058619C"/>
    <w:rsid w:val="00593D12"/>
    <w:rsid w:val="00596E82"/>
    <w:rsid w:val="005A3110"/>
    <w:rsid w:val="005A70B4"/>
    <w:rsid w:val="005B2983"/>
    <w:rsid w:val="005B3A3F"/>
    <w:rsid w:val="005B75A6"/>
    <w:rsid w:val="005C73A9"/>
    <w:rsid w:val="005C7A6D"/>
    <w:rsid w:val="005D024E"/>
    <w:rsid w:val="005D7F5A"/>
    <w:rsid w:val="005E3F99"/>
    <w:rsid w:val="005E403E"/>
    <w:rsid w:val="005E5F40"/>
    <w:rsid w:val="005E707D"/>
    <w:rsid w:val="005F0902"/>
    <w:rsid w:val="005F7843"/>
    <w:rsid w:val="00605493"/>
    <w:rsid w:val="00611FEC"/>
    <w:rsid w:val="00617830"/>
    <w:rsid w:val="00622150"/>
    <w:rsid w:val="006228A4"/>
    <w:rsid w:val="00630863"/>
    <w:rsid w:val="00634303"/>
    <w:rsid w:val="00636038"/>
    <w:rsid w:val="0063645C"/>
    <w:rsid w:val="006411F9"/>
    <w:rsid w:val="006430D2"/>
    <w:rsid w:val="006516D5"/>
    <w:rsid w:val="006548CA"/>
    <w:rsid w:val="00654C54"/>
    <w:rsid w:val="006570D7"/>
    <w:rsid w:val="006709B2"/>
    <w:rsid w:val="00683BB4"/>
    <w:rsid w:val="006915D9"/>
    <w:rsid w:val="006916A2"/>
    <w:rsid w:val="006924D5"/>
    <w:rsid w:val="006A38D4"/>
    <w:rsid w:val="006A4438"/>
    <w:rsid w:val="006B02C8"/>
    <w:rsid w:val="006B30CE"/>
    <w:rsid w:val="006B5674"/>
    <w:rsid w:val="006B6ACD"/>
    <w:rsid w:val="006B74C6"/>
    <w:rsid w:val="006C0133"/>
    <w:rsid w:val="006C1894"/>
    <w:rsid w:val="006C2D2F"/>
    <w:rsid w:val="006C7384"/>
    <w:rsid w:val="006D0F4C"/>
    <w:rsid w:val="006D4CB5"/>
    <w:rsid w:val="006D6FA4"/>
    <w:rsid w:val="006D7957"/>
    <w:rsid w:val="006E165C"/>
    <w:rsid w:val="006E549A"/>
    <w:rsid w:val="006F1FA6"/>
    <w:rsid w:val="007006CA"/>
    <w:rsid w:val="00700C13"/>
    <w:rsid w:val="00702733"/>
    <w:rsid w:val="0071615E"/>
    <w:rsid w:val="00716F7E"/>
    <w:rsid w:val="007208F8"/>
    <w:rsid w:val="00723032"/>
    <w:rsid w:val="007237DA"/>
    <w:rsid w:val="00726F42"/>
    <w:rsid w:val="00733993"/>
    <w:rsid w:val="007342BB"/>
    <w:rsid w:val="00741F99"/>
    <w:rsid w:val="00743516"/>
    <w:rsid w:val="00751A6E"/>
    <w:rsid w:val="00752607"/>
    <w:rsid w:val="00767C2E"/>
    <w:rsid w:val="0077025F"/>
    <w:rsid w:val="00771B25"/>
    <w:rsid w:val="00772F60"/>
    <w:rsid w:val="00792F47"/>
    <w:rsid w:val="00793D8D"/>
    <w:rsid w:val="00795A82"/>
    <w:rsid w:val="007971C1"/>
    <w:rsid w:val="007A616C"/>
    <w:rsid w:val="007B2216"/>
    <w:rsid w:val="007B6F75"/>
    <w:rsid w:val="007B7380"/>
    <w:rsid w:val="007C5BF6"/>
    <w:rsid w:val="007D0BF5"/>
    <w:rsid w:val="007D0E3E"/>
    <w:rsid w:val="007D37B6"/>
    <w:rsid w:val="007E2346"/>
    <w:rsid w:val="007E7F7F"/>
    <w:rsid w:val="007F0D11"/>
    <w:rsid w:val="007F1923"/>
    <w:rsid w:val="008013EB"/>
    <w:rsid w:val="00803741"/>
    <w:rsid w:val="00804BDA"/>
    <w:rsid w:val="0080582D"/>
    <w:rsid w:val="00805FB5"/>
    <w:rsid w:val="00812E8B"/>
    <w:rsid w:val="00813197"/>
    <w:rsid w:val="00834996"/>
    <w:rsid w:val="00836D3B"/>
    <w:rsid w:val="00841173"/>
    <w:rsid w:val="008433D1"/>
    <w:rsid w:val="00843CD7"/>
    <w:rsid w:val="00863CB9"/>
    <w:rsid w:val="008828B2"/>
    <w:rsid w:val="00893308"/>
    <w:rsid w:val="008A1356"/>
    <w:rsid w:val="008A5EAD"/>
    <w:rsid w:val="008B4512"/>
    <w:rsid w:val="008B4E9B"/>
    <w:rsid w:val="008C25AB"/>
    <w:rsid w:val="008C554F"/>
    <w:rsid w:val="008C6BC5"/>
    <w:rsid w:val="008D25F1"/>
    <w:rsid w:val="008D311D"/>
    <w:rsid w:val="008E021C"/>
    <w:rsid w:val="008F11E1"/>
    <w:rsid w:val="008F293D"/>
    <w:rsid w:val="008F729F"/>
    <w:rsid w:val="00903E03"/>
    <w:rsid w:val="00907A95"/>
    <w:rsid w:val="00907C85"/>
    <w:rsid w:val="009101BA"/>
    <w:rsid w:val="009116B8"/>
    <w:rsid w:val="00913A95"/>
    <w:rsid w:val="00924219"/>
    <w:rsid w:val="00924393"/>
    <w:rsid w:val="00924EAF"/>
    <w:rsid w:val="009420B9"/>
    <w:rsid w:val="00943904"/>
    <w:rsid w:val="00943BEB"/>
    <w:rsid w:val="00953DE4"/>
    <w:rsid w:val="009560F5"/>
    <w:rsid w:val="00982DB4"/>
    <w:rsid w:val="0098757F"/>
    <w:rsid w:val="0099053B"/>
    <w:rsid w:val="009A6F24"/>
    <w:rsid w:val="009B2C6E"/>
    <w:rsid w:val="009B3429"/>
    <w:rsid w:val="009B7BB8"/>
    <w:rsid w:val="009C4149"/>
    <w:rsid w:val="009C418A"/>
    <w:rsid w:val="009C627F"/>
    <w:rsid w:val="009C7F06"/>
    <w:rsid w:val="009E264D"/>
    <w:rsid w:val="009F4B03"/>
    <w:rsid w:val="00A03E85"/>
    <w:rsid w:val="00A05A5D"/>
    <w:rsid w:val="00A1072A"/>
    <w:rsid w:val="00A12345"/>
    <w:rsid w:val="00A23B39"/>
    <w:rsid w:val="00A37A84"/>
    <w:rsid w:val="00A51071"/>
    <w:rsid w:val="00A544C1"/>
    <w:rsid w:val="00A63D75"/>
    <w:rsid w:val="00A64A57"/>
    <w:rsid w:val="00A731D9"/>
    <w:rsid w:val="00A774C5"/>
    <w:rsid w:val="00A80568"/>
    <w:rsid w:val="00A833DC"/>
    <w:rsid w:val="00A85B82"/>
    <w:rsid w:val="00A911E9"/>
    <w:rsid w:val="00A9400A"/>
    <w:rsid w:val="00A96838"/>
    <w:rsid w:val="00AA5A43"/>
    <w:rsid w:val="00AA6306"/>
    <w:rsid w:val="00AA647E"/>
    <w:rsid w:val="00AA75B9"/>
    <w:rsid w:val="00AB2C62"/>
    <w:rsid w:val="00AB579F"/>
    <w:rsid w:val="00AC288E"/>
    <w:rsid w:val="00AC2B6C"/>
    <w:rsid w:val="00AD1317"/>
    <w:rsid w:val="00AD2DF1"/>
    <w:rsid w:val="00AE28B1"/>
    <w:rsid w:val="00AF07C8"/>
    <w:rsid w:val="00B0071D"/>
    <w:rsid w:val="00B00864"/>
    <w:rsid w:val="00B02F17"/>
    <w:rsid w:val="00B145CD"/>
    <w:rsid w:val="00B40EDD"/>
    <w:rsid w:val="00B4305B"/>
    <w:rsid w:val="00B46223"/>
    <w:rsid w:val="00B50FC4"/>
    <w:rsid w:val="00B6118A"/>
    <w:rsid w:val="00B61CDF"/>
    <w:rsid w:val="00B63597"/>
    <w:rsid w:val="00B7286B"/>
    <w:rsid w:val="00B83508"/>
    <w:rsid w:val="00B84A82"/>
    <w:rsid w:val="00B933BC"/>
    <w:rsid w:val="00B96FED"/>
    <w:rsid w:val="00BA28A4"/>
    <w:rsid w:val="00BA489A"/>
    <w:rsid w:val="00BA4D5C"/>
    <w:rsid w:val="00BB1000"/>
    <w:rsid w:val="00BB5354"/>
    <w:rsid w:val="00BD2811"/>
    <w:rsid w:val="00BD5E41"/>
    <w:rsid w:val="00BE1443"/>
    <w:rsid w:val="00BF4E94"/>
    <w:rsid w:val="00BF69D1"/>
    <w:rsid w:val="00C01152"/>
    <w:rsid w:val="00C0273C"/>
    <w:rsid w:val="00C13A6D"/>
    <w:rsid w:val="00C161CD"/>
    <w:rsid w:val="00C166B4"/>
    <w:rsid w:val="00C26299"/>
    <w:rsid w:val="00C30B47"/>
    <w:rsid w:val="00C329A8"/>
    <w:rsid w:val="00C34DFD"/>
    <w:rsid w:val="00C46ABD"/>
    <w:rsid w:val="00C46BD6"/>
    <w:rsid w:val="00C50830"/>
    <w:rsid w:val="00C5323B"/>
    <w:rsid w:val="00C56CB1"/>
    <w:rsid w:val="00C61848"/>
    <w:rsid w:val="00C622E3"/>
    <w:rsid w:val="00C62FCB"/>
    <w:rsid w:val="00C6581A"/>
    <w:rsid w:val="00C66EE0"/>
    <w:rsid w:val="00C84075"/>
    <w:rsid w:val="00C90AE2"/>
    <w:rsid w:val="00C9145C"/>
    <w:rsid w:val="00C92528"/>
    <w:rsid w:val="00CA1CBD"/>
    <w:rsid w:val="00CA5587"/>
    <w:rsid w:val="00CB3B6D"/>
    <w:rsid w:val="00CB48BE"/>
    <w:rsid w:val="00CB52F1"/>
    <w:rsid w:val="00CB5CFA"/>
    <w:rsid w:val="00CB7254"/>
    <w:rsid w:val="00CC133D"/>
    <w:rsid w:val="00CC3854"/>
    <w:rsid w:val="00CE2760"/>
    <w:rsid w:val="00CF1DA3"/>
    <w:rsid w:val="00D07A08"/>
    <w:rsid w:val="00D12626"/>
    <w:rsid w:val="00D12813"/>
    <w:rsid w:val="00D14A84"/>
    <w:rsid w:val="00D222B3"/>
    <w:rsid w:val="00D25602"/>
    <w:rsid w:val="00D26CFA"/>
    <w:rsid w:val="00D27FCB"/>
    <w:rsid w:val="00D30835"/>
    <w:rsid w:val="00D3240F"/>
    <w:rsid w:val="00D5038C"/>
    <w:rsid w:val="00D51AE2"/>
    <w:rsid w:val="00D54C75"/>
    <w:rsid w:val="00D5741E"/>
    <w:rsid w:val="00D61E35"/>
    <w:rsid w:val="00D62277"/>
    <w:rsid w:val="00D753E9"/>
    <w:rsid w:val="00D755E6"/>
    <w:rsid w:val="00D801BD"/>
    <w:rsid w:val="00D91F6F"/>
    <w:rsid w:val="00D93071"/>
    <w:rsid w:val="00D94D0F"/>
    <w:rsid w:val="00D94EA2"/>
    <w:rsid w:val="00DA4F8D"/>
    <w:rsid w:val="00DA6B17"/>
    <w:rsid w:val="00DB47BD"/>
    <w:rsid w:val="00DB748E"/>
    <w:rsid w:val="00DC0447"/>
    <w:rsid w:val="00DD3D7D"/>
    <w:rsid w:val="00DD43C2"/>
    <w:rsid w:val="00DD4B7F"/>
    <w:rsid w:val="00DD6A2E"/>
    <w:rsid w:val="00DD7E40"/>
    <w:rsid w:val="00DE1EDE"/>
    <w:rsid w:val="00DE5EB7"/>
    <w:rsid w:val="00DE68BE"/>
    <w:rsid w:val="00DF1123"/>
    <w:rsid w:val="00DF1635"/>
    <w:rsid w:val="00DF165C"/>
    <w:rsid w:val="00DF2630"/>
    <w:rsid w:val="00DF3A37"/>
    <w:rsid w:val="00DF7308"/>
    <w:rsid w:val="00DF7CCA"/>
    <w:rsid w:val="00E03570"/>
    <w:rsid w:val="00E0419F"/>
    <w:rsid w:val="00E076B9"/>
    <w:rsid w:val="00E12CF7"/>
    <w:rsid w:val="00E1379E"/>
    <w:rsid w:val="00E16112"/>
    <w:rsid w:val="00E22D10"/>
    <w:rsid w:val="00E26327"/>
    <w:rsid w:val="00E30AAF"/>
    <w:rsid w:val="00E44E1C"/>
    <w:rsid w:val="00E46909"/>
    <w:rsid w:val="00E4751B"/>
    <w:rsid w:val="00E53374"/>
    <w:rsid w:val="00E616F1"/>
    <w:rsid w:val="00E62264"/>
    <w:rsid w:val="00E72077"/>
    <w:rsid w:val="00E77990"/>
    <w:rsid w:val="00E81CD4"/>
    <w:rsid w:val="00E81FD7"/>
    <w:rsid w:val="00E82DD5"/>
    <w:rsid w:val="00E83E1F"/>
    <w:rsid w:val="00E8696C"/>
    <w:rsid w:val="00EA7D9F"/>
    <w:rsid w:val="00EB3D6B"/>
    <w:rsid w:val="00EB3E5B"/>
    <w:rsid w:val="00EB5E37"/>
    <w:rsid w:val="00EB6B6E"/>
    <w:rsid w:val="00EC07A6"/>
    <w:rsid w:val="00EC23B9"/>
    <w:rsid w:val="00EC2D1E"/>
    <w:rsid w:val="00EC6A0F"/>
    <w:rsid w:val="00EC7765"/>
    <w:rsid w:val="00ED3141"/>
    <w:rsid w:val="00ED3960"/>
    <w:rsid w:val="00EF10BC"/>
    <w:rsid w:val="00EF2600"/>
    <w:rsid w:val="00EF3AE6"/>
    <w:rsid w:val="00EF5872"/>
    <w:rsid w:val="00F01004"/>
    <w:rsid w:val="00F01240"/>
    <w:rsid w:val="00F14E18"/>
    <w:rsid w:val="00F14F6F"/>
    <w:rsid w:val="00F15AB6"/>
    <w:rsid w:val="00F166A3"/>
    <w:rsid w:val="00F236B5"/>
    <w:rsid w:val="00F269A2"/>
    <w:rsid w:val="00F34548"/>
    <w:rsid w:val="00F35C9B"/>
    <w:rsid w:val="00F36E83"/>
    <w:rsid w:val="00F37352"/>
    <w:rsid w:val="00F37AC5"/>
    <w:rsid w:val="00F40AEF"/>
    <w:rsid w:val="00F41E9D"/>
    <w:rsid w:val="00F43374"/>
    <w:rsid w:val="00F45C40"/>
    <w:rsid w:val="00F6249C"/>
    <w:rsid w:val="00F6431F"/>
    <w:rsid w:val="00F6494D"/>
    <w:rsid w:val="00F66956"/>
    <w:rsid w:val="00F736A1"/>
    <w:rsid w:val="00F77DFD"/>
    <w:rsid w:val="00F808DA"/>
    <w:rsid w:val="00F8526E"/>
    <w:rsid w:val="00F90298"/>
    <w:rsid w:val="00F934BC"/>
    <w:rsid w:val="00FA441C"/>
    <w:rsid w:val="00FB2EE4"/>
    <w:rsid w:val="00FC2189"/>
    <w:rsid w:val="00FC540B"/>
    <w:rsid w:val="00FD101B"/>
    <w:rsid w:val="00FD2004"/>
    <w:rsid w:val="00FD4AFB"/>
    <w:rsid w:val="00FD4E9D"/>
    <w:rsid w:val="00FD625B"/>
    <w:rsid w:val="00FD62B8"/>
    <w:rsid w:val="00FD6776"/>
    <w:rsid w:val="00FD766F"/>
    <w:rsid w:val="00FD7D87"/>
    <w:rsid w:val="00FF270D"/>
    <w:rsid w:val="00FF3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DF6B66"/>
  <w15:chartTrackingRefBased/>
  <w15:docId w15:val="{38BFF7BD-CA63-2347-ABF1-B0D6B7E2B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88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76353"/>
    <w:pPr>
      <w:keepNext/>
      <w:keepLines/>
      <w:spacing w:before="360" w:after="80" w:line="279" w:lineRule="auto"/>
      <w:outlineLvl w:val="0"/>
    </w:pPr>
    <w:rPr>
      <w:rFonts w:asciiTheme="majorHAnsi" w:eastAsiaTheme="majorEastAsia" w:hAnsiTheme="majorHAnsi" w:cstheme="majorBidi"/>
      <w:color w:val="0F4761" w:themeColor="accent1" w:themeShade="BF"/>
      <w:sz w:val="40"/>
      <w:szCs w:val="40"/>
      <w:lang w:eastAsia="ja-JP"/>
    </w:rPr>
  </w:style>
  <w:style w:type="paragraph" w:styleId="Heading2">
    <w:name w:val="heading 2"/>
    <w:basedOn w:val="Normal"/>
    <w:next w:val="Normal"/>
    <w:link w:val="Heading2Char"/>
    <w:uiPriority w:val="9"/>
    <w:unhideWhenUsed/>
    <w:qFormat/>
    <w:rsid w:val="00076353"/>
    <w:pPr>
      <w:keepNext/>
      <w:keepLines/>
      <w:spacing w:before="160" w:after="80" w:line="279" w:lineRule="auto"/>
      <w:outlineLvl w:val="1"/>
    </w:pPr>
    <w:rPr>
      <w:rFonts w:asciiTheme="majorHAnsi" w:eastAsiaTheme="majorEastAsia" w:hAnsiTheme="majorHAnsi" w:cstheme="majorBidi"/>
      <w:color w:val="0F4761" w:themeColor="accent1" w:themeShade="BF"/>
      <w:sz w:val="32"/>
      <w:szCs w:val="32"/>
      <w:lang w:eastAsia="ja-JP"/>
    </w:rPr>
  </w:style>
  <w:style w:type="paragraph" w:styleId="Heading3">
    <w:name w:val="heading 3"/>
    <w:basedOn w:val="Normal"/>
    <w:next w:val="Normal"/>
    <w:link w:val="Heading3Char"/>
    <w:uiPriority w:val="9"/>
    <w:unhideWhenUsed/>
    <w:qFormat/>
    <w:rsid w:val="00076353"/>
    <w:pPr>
      <w:keepNext/>
      <w:keepLines/>
      <w:spacing w:before="160" w:after="80" w:line="279" w:lineRule="auto"/>
      <w:outlineLvl w:val="2"/>
    </w:pPr>
    <w:rPr>
      <w:rFonts w:asciiTheme="minorHAnsi" w:eastAsiaTheme="majorEastAsia" w:hAnsiTheme="minorHAnsi" w:cstheme="majorBidi"/>
      <w:color w:val="0F4761" w:themeColor="accent1" w:themeShade="BF"/>
      <w:sz w:val="28"/>
      <w:szCs w:val="28"/>
      <w:lang w:eastAsia="ja-JP"/>
    </w:rPr>
  </w:style>
  <w:style w:type="paragraph" w:styleId="Heading4">
    <w:name w:val="heading 4"/>
    <w:basedOn w:val="Normal"/>
    <w:next w:val="Normal"/>
    <w:link w:val="Heading4Char"/>
    <w:uiPriority w:val="9"/>
    <w:unhideWhenUsed/>
    <w:qFormat/>
    <w:rsid w:val="00076353"/>
    <w:pPr>
      <w:keepNext/>
      <w:keepLines/>
      <w:spacing w:before="80" w:after="40" w:line="279" w:lineRule="auto"/>
      <w:outlineLvl w:val="3"/>
    </w:pPr>
    <w:rPr>
      <w:rFonts w:asciiTheme="minorHAnsi" w:eastAsiaTheme="majorEastAsia" w:hAnsiTheme="minorHAnsi" w:cstheme="majorBidi"/>
      <w:i/>
      <w:iCs/>
      <w:color w:val="0F4761" w:themeColor="accent1" w:themeShade="BF"/>
      <w:lang w:eastAsia="ja-JP"/>
    </w:rPr>
  </w:style>
  <w:style w:type="paragraph" w:styleId="Heading5">
    <w:name w:val="heading 5"/>
    <w:basedOn w:val="Normal"/>
    <w:next w:val="Normal"/>
    <w:link w:val="Heading5Char"/>
    <w:uiPriority w:val="9"/>
    <w:unhideWhenUsed/>
    <w:qFormat/>
    <w:rsid w:val="00076353"/>
    <w:pPr>
      <w:keepNext/>
      <w:keepLines/>
      <w:spacing w:before="80" w:after="40" w:line="279" w:lineRule="auto"/>
      <w:outlineLvl w:val="4"/>
    </w:pPr>
    <w:rPr>
      <w:rFonts w:asciiTheme="minorHAnsi" w:eastAsiaTheme="majorEastAsia" w:hAnsiTheme="minorHAnsi" w:cstheme="majorBidi"/>
      <w:color w:val="0F4761" w:themeColor="accent1" w:themeShade="BF"/>
      <w:lang w:eastAsia="ja-JP"/>
    </w:rPr>
  </w:style>
  <w:style w:type="paragraph" w:styleId="Heading6">
    <w:name w:val="heading 6"/>
    <w:basedOn w:val="Normal"/>
    <w:next w:val="Normal"/>
    <w:link w:val="Heading6Char"/>
    <w:uiPriority w:val="9"/>
    <w:unhideWhenUsed/>
    <w:qFormat/>
    <w:rsid w:val="00076353"/>
    <w:pPr>
      <w:keepNext/>
      <w:keepLines/>
      <w:spacing w:before="40" w:line="279" w:lineRule="auto"/>
      <w:outlineLvl w:val="5"/>
    </w:pPr>
    <w:rPr>
      <w:rFonts w:asciiTheme="minorHAnsi" w:eastAsiaTheme="majorEastAsia" w:hAnsiTheme="minorHAnsi" w:cstheme="majorBidi"/>
      <w:i/>
      <w:iCs/>
      <w:color w:val="595959" w:themeColor="text1" w:themeTint="A6"/>
      <w:lang w:eastAsia="ja-JP"/>
    </w:rPr>
  </w:style>
  <w:style w:type="paragraph" w:styleId="Heading7">
    <w:name w:val="heading 7"/>
    <w:basedOn w:val="Normal"/>
    <w:next w:val="Normal"/>
    <w:link w:val="Heading7Char"/>
    <w:uiPriority w:val="9"/>
    <w:unhideWhenUsed/>
    <w:qFormat/>
    <w:rsid w:val="00076353"/>
    <w:pPr>
      <w:keepNext/>
      <w:keepLines/>
      <w:spacing w:before="40" w:line="279" w:lineRule="auto"/>
      <w:outlineLvl w:val="6"/>
    </w:pPr>
    <w:rPr>
      <w:rFonts w:asciiTheme="minorHAnsi" w:eastAsiaTheme="majorEastAsia" w:hAnsiTheme="minorHAnsi" w:cstheme="majorBidi"/>
      <w:color w:val="595959" w:themeColor="text1" w:themeTint="A6"/>
      <w:lang w:eastAsia="ja-JP"/>
    </w:rPr>
  </w:style>
  <w:style w:type="paragraph" w:styleId="Heading8">
    <w:name w:val="heading 8"/>
    <w:basedOn w:val="Normal"/>
    <w:next w:val="Normal"/>
    <w:link w:val="Heading8Char"/>
    <w:uiPriority w:val="9"/>
    <w:unhideWhenUsed/>
    <w:qFormat/>
    <w:rsid w:val="00076353"/>
    <w:pPr>
      <w:keepNext/>
      <w:keepLines/>
      <w:spacing w:line="279" w:lineRule="auto"/>
      <w:outlineLvl w:val="7"/>
    </w:pPr>
    <w:rPr>
      <w:rFonts w:asciiTheme="minorHAnsi" w:eastAsiaTheme="majorEastAsia" w:hAnsiTheme="minorHAnsi" w:cstheme="majorBidi"/>
      <w:i/>
      <w:iCs/>
      <w:color w:val="272727" w:themeColor="text1" w:themeTint="D8"/>
      <w:lang w:eastAsia="ja-JP"/>
    </w:rPr>
  </w:style>
  <w:style w:type="paragraph" w:styleId="Heading9">
    <w:name w:val="heading 9"/>
    <w:basedOn w:val="Normal"/>
    <w:next w:val="Normal"/>
    <w:link w:val="Heading9Char"/>
    <w:uiPriority w:val="9"/>
    <w:unhideWhenUsed/>
    <w:qFormat/>
    <w:rsid w:val="00076353"/>
    <w:pPr>
      <w:keepNext/>
      <w:keepLines/>
      <w:spacing w:line="279" w:lineRule="auto"/>
      <w:outlineLvl w:val="8"/>
    </w:pPr>
    <w:rPr>
      <w:rFonts w:asciiTheme="minorHAnsi" w:eastAsiaTheme="majorEastAsia" w:hAnsiTheme="minorHAnsi"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6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6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76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76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076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07635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076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076353"/>
    <w:rPr>
      <w:rFonts w:eastAsiaTheme="majorEastAsia" w:cstheme="majorBidi"/>
      <w:color w:val="272727" w:themeColor="text1" w:themeTint="D8"/>
    </w:rPr>
  </w:style>
  <w:style w:type="paragraph" w:styleId="Title">
    <w:name w:val="Title"/>
    <w:basedOn w:val="Normal"/>
    <w:next w:val="Normal"/>
    <w:link w:val="TitleChar"/>
    <w:uiPriority w:val="10"/>
    <w:qFormat/>
    <w:rsid w:val="00076353"/>
    <w:pPr>
      <w:spacing w:after="80"/>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076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353"/>
    <w:pPr>
      <w:numPr>
        <w:ilvl w:val="1"/>
      </w:numPr>
      <w:spacing w:after="160" w:line="279" w:lineRule="auto"/>
    </w:pPr>
    <w:rPr>
      <w:rFonts w:asciiTheme="minorHAnsi" w:eastAsiaTheme="majorEastAsia" w:hAnsiTheme="minorHAnsi"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sid w:val="00076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353"/>
    <w:pPr>
      <w:spacing w:before="160" w:after="160" w:line="279" w:lineRule="auto"/>
      <w:jc w:val="center"/>
    </w:pPr>
    <w:rPr>
      <w:rFonts w:asciiTheme="minorHAnsi" w:eastAsiaTheme="minorEastAsia" w:hAnsiTheme="minorHAnsi" w:cstheme="minorBidi"/>
      <w:i/>
      <w:iCs/>
      <w:color w:val="404040" w:themeColor="text1" w:themeTint="BF"/>
      <w:lang w:eastAsia="ja-JP"/>
    </w:rPr>
  </w:style>
  <w:style w:type="character" w:customStyle="1" w:styleId="QuoteChar">
    <w:name w:val="Quote Char"/>
    <w:basedOn w:val="DefaultParagraphFont"/>
    <w:link w:val="Quote"/>
    <w:uiPriority w:val="29"/>
    <w:rsid w:val="00076353"/>
    <w:rPr>
      <w:i/>
      <w:iCs/>
      <w:color w:val="404040" w:themeColor="text1" w:themeTint="BF"/>
    </w:rPr>
  </w:style>
  <w:style w:type="paragraph" w:styleId="ListParagraph">
    <w:name w:val="List Paragraph"/>
    <w:basedOn w:val="Normal"/>
    <w:uiPriority w:val="34"/>
    <w:qFormat/>
    <w:rsid w:val="00076353"/>
    <w:pPr>
      <w:spacing w:after="160" w:line="279" w:lineRule="auto"/>
      <w:ind w:left="720"/>
      <w:contextualSpacing/>
    </w:pPr>
    <w:rPr>
      <w:rFonts w:asciiTheme="minorHAnsi" w:eastAsiaTheme="minorEastAsia" w:hAnsiTheme="minorHAnsi" w:cstheme="minorBidi"/>
      <w:lang w:eastAsia="ja-JP"/>
    </w:rPr>
  </w:style>
  <w:style w:type="character" w:styleId="IntenseEmphasis">
    <w:name w:val="Intense Emphasis"/>
    <w:basedOn w:val="DefaultParagraphFont"/>
    <w:uiPriority w:val="21"/>
    <w:qFormat/>
    <w:rsid w:val="00076353"/>
    <w:rPr>
      <w:i/>
      <w:iCs/>
      <w:color w:val="0F4761" w:themeColor="accent1" w:themeShade="BF"/>
    </w:rPr>
  </w:style>
  <w:style w:type="paragraph" w:styleId="IntenseQuote">
    <w:name w:val="Intense Quote"/>
    <w:basedOn w:val="Normal"/>
    <w:next w:val="Normal"/>
    <w:link w:val="IntenseQuoteChar"/>
    <w:uiPriority w:val="30"/>
    <w:qFormat/>
    <w:rsid w:val="00076353"/>
    <w:pPr>
      <w:pBdr>
        <w:top w:val="single" w:sz="4" w:space="10" w:color="0F4761" w:themeColor="accent1" w:themeShade="BF"/>
        <w:bottom w:val="single" w:sz="4" w:space="10" w:color="0F4761" w:themeColor="accent1" w:themeShade="BF"/>
      </w:pBdr>
      <w:spacing w:before="360" w:after="360" w:line="279" w:lineRule="auto"/>
      <w:ind w:left="864" w:right="864"/>
      <w:jc w:val="center"/>
    </w:pPr>
    <w:rPr>
      <w:rFonts w:asciiTheme="minorHAnsi" w:eastAsiaTheme="minorEastAsia" w:hAnsiTheme="minorHAnsi" w:cstheme="minorBidi"/>
      <w:i/>
      <w:iCs/>
      <w:color w:val="0F4761" w:themeColor="accent1" w:themeShade="BF"/>
      <w:lang w:eastAsia="ja-JP"/>
    </w:rPr>
  </w:style>
  <w:style w:type="character" w:customStyle="1" w:styleId="IntenseQuoteChar">
    <w:name w:val="Intense Quote Char"/>
    <w:basedOn w:val="DefaultParagraphFont"/>
    <w:link w:val="IntenseQuote"/>
    <w:uiPriority w:val="30"/>
    <w:rsid w:val="00076353"/>
    <w:rPr>
      <w:i/>
      <w:iCs/>
      <w:color w:val="0F4761" w:themeColor="accent1" w:themeShade="BF"/>
    </w:rPr>
  </w:style>
  <w:style w:type="character" w:styleId="IntenseReference">
    <w:name w:val="Intense Reference"/>
    <w:basedOn w:val="DefaultParagraphFont"/>
    <w:uiPriority w:val="32"/>
    <w:qFormat/>
    <w:rsid w:val="00076353"/>
    <w:rPr>
      <w:b/>
      <w:bCs/>
      <w:smallCaps/>
      <w:color w:val="0F4761" w:themeColor="accent1" w:themeShade="BF"/>
      <w:spacing w:val="5"/>
    </w:rPr>
  </w:style>
  <w:style w:type="paragraph" w:styleId="CommentText">
    <w:name w:val="annotation text"/>
    <w:basedOn w:val="Normal"/>
    <w:link w:val="CommentTextChar"/>
    <w:uiPriority w:val="99"/>
    <w:semiHidden/>
    <w:unhideWhenUsed/>
    <w:rsid w:val="00076353"/>
    <w:pPr>
      <w:spacing w:after="160"/>
    </w:pPr>
    <w:rPr>
      <w:rFonts w:asciiTheme="minorHAnsi" w:eastAsiaTheme="minorEastAsia" w:hAnsiTheme="minorHAnsi" w:cstheme="minorBidi"/>
      <w:sz w:val="20"/>
      <w:szCs w:val="20"/>
      <w:lang w:eastAsia="ja-JP"/>
    </w:rPr>
  </w:style>
  <w:style w:type="character" w:customStyle="1" w:styleId="CommentTextChar">
    <w:name w:val="Comment Text Char"/>
    <w:basedOn w:val="DefaultParagraphFont"/>
    <w:link w:val="CommentText"/>
    <w:uiPriority w:val="99"/>
    <w:semiHidden/>
    <w:rsid w:val="00076353"/>
    <w:rPr>
      <w:rFonts w:eastAsiaTheme="minorEastAsia"/>
      <w:kern w:val="0"/>
      <w:sz w:val="20"/>
      <w:szCs w:val="20"/>
      <w:lang w:eastAsia="ja-JP"/>
      <w14:ligatures w14:val="none"/>
    </w:rPr>
  </w:style>
  <w:style w:type="character" w:styleId="CommentReference">
    <w:name w:val="annotation reference"/>
    <w:basedOn w:val="DefaultParagraphFont"/>
    <w:uiPriority w:val="99"/>
    <w:semiHidden/>
    <w:unhideWhenUsed/>
    <w:rsid w:val="00076353"/>
    <w:rPr>
      <w:sz w:val="16"/>
      <w:szCs w:val="16"/>
    </w:rPr>
  </w:style>
  <w:style w:type="paragraph" w:styleId="Revision">
    <w:name w:val="Revision"/>
    <w:hidden/>
    <w:uiPriority w:val="99"/>
    <w:semiHidden/>
    <w:rsid w:val="00076353"/>
    <w:pPr>
      <w:spacing w:after="0" w:line="240" w:lineRule="auto"/>
    </w:pPr>
    <w:rPr>
      <w:rFonts w:eastAsiaTheme="minorEastAsia"/>
      <w:kern w:val="0"/>
      <w:lang w:eastAsia="ja-JP"/>
      <w14:ligatures w14:val="none"/>
    </w:rPr>
  </w:style>
  <w:style w:type="paragraph" w:styleId="CommentSubject">
    <w:name w:val="annotation subject"/>
    <w:basedOn w:val="CommentText"/>
    <w:next w:val="CommentText"/>
    <w:link w:val="CommentSubjectChar"/>
    <w:uiPriority w:val="99"/>
    <w:semiHidden/>
    <w:unhideWhenUsed/>
    <w:rsid w:val="00076353"/>
    <w:rPr>
      <w:b/>
      <w:bCs/>
    </w:rPr>
  </w:style>
  <w:style w:type="character" w:customStyle="1" w:styleId="CommentSubjectChar">
    <w:name w:val="Comment Subject Char"/>
    <w:basedOn w:val="CommentTextChar"/>
    <w:link w:val="CommentSubject"/>
    <w:uiPriority w:val="99"/>
    <w:semiHidden/>
    <w:rsid w:val="00076353"/>
    <w:rPr>
      <w:rFonts w:eastAsiaTheme="minorEastAsia"/>
      <w:b/>
      <w:bCs/>
      <w:kern w:val="0"/>
      <w:sz w:val="20"/>
      <w:szCs w:val="20"/>
      <w:lang w:eastAsia="ja-JP"/>
      <w14:ligatures w14:val="none"/>
    </w:rPr>
  </w:style>
  <w:style w:type="character" w:styleId="Hyperlink">
    <w:name w:val="Hyperlink"/>
    <w:basedOn w:val="DefaultParagraphFont"/>
    <w:uiPriority w:val="99"/>
    <w:unhideWhenUsed/>
    <w:rsid w:val="00076353"/>
    <w:rPr>
      <w:color w:val="467886" w:themeColor="hyperlink"/>
      <w:u w:val="single"/>
    </w:rPr>
  </w:style>
  <w:style w:type="character" w:styleId="UnresolvedMention">
    <w:name w:val="Unresolved Mention"/>
    <w:basedOn w:val="DefaultParagraphFont"/>
    <w:uiPriority w:val="99"/>
    <w:semiHidden/>
    <w:unhideWhenUsed/>
    <w:rsid w:val="00076353"/>
    <w:rPr>
      <w:color w:val="605E5C"/>
      <w:shd w:val="clear" w:color="auto" w:fill="E1DFDD"/>
    </w:rPr>
  </w:style>
  <w:style w:type="character" w:styleId="PlaceholderText">
    <w:name w:val="Placeholder Text"/>
    <w:basedOn w:val="DefaultParagraphFont"/>
    <w:uiPriority w:val="99"/>
    <w:semiHidden/>
    <w:rsid w:val="00076353"/>
    <w:rPr>
      <w:color w:val="666666"/>
    </w:rPr>
  </w:style>
  <w:style w:type="paragraph" w:styleId="NormalWeb">
    <w:name w:val="Normal (Web)"/>
    <w:basedOn w:val="Normal"/>
    <w:uiPriority w:val="99"/>
    <w:unhideWhenUsed/>
    <w:rsid w:val="00076353"/>
    <w:pPr>
      <w:spacing w:before="100" w:beforeAutospacing="1" w:after="100" w:afterAutospacing="1"/>
    </w:pPr>
  </w:style>
  <w:style w:type="paragraph" w:styleId="Header">
    <w:name w:val="header"/>
    <w:basedOn w:val="Normal"/>
    <w:link w:val="HeaderChar"/>
    <w:uiPriority w:val="99"/>
    <w:unhideWhenUsed/>
    <w:rsid w:val="00076353"/>
    <w:pPr>
      <w:tabs>
        <w:tab w:val="center" w:pos="4680"/>
        <w:tab w:val="right" w:pos="9360"/>
      </w:tabs>
    </w:pPr>
    <w:rPr>
      <w:rFonts w:asciiTheme="minorHAnsi" w:eastAsiaTheme="minorEastAsia" w:hAnsiTheme="minorHAnsi" w:cstheme="minorBidi"/>
      <w:lang w:eastAsia="ja-JP"/>
    </w:rPr>
  </w:style>
  <w:style w:type="character" w:customStyle="1" w:styleId="HeaderChar">
    <w:name w:val="Header Char"/>
    <w:basedOn w:val="DefaultParagraphFont"/>
    <w:link w:val="Header"/>
    <w:uiPriority w:val="99"/>
    <w:rsid w:val="00076353"/>
    <w:rPr>
      <w:rFonts w:eastAsiaTheme="minorEastAsia"/>
      <w:kern w:val="0"/>
      <w:lang w:eastAsia="ja-JP"/>
      <w14:ligatures w14:val="none"/>
    </w:rPr>
  </w:style>
  <w:style w:type="paragraph" w:styleId="Footer">
    <w:name w:val="footer"/>
    <w:basedOn w:val="Normal"/>
    <w:link w:val="FooterChar"/>
    <w:uiPriority w:val="99"/>
    <w:unhideWhenUsed/>
    <w:rsid w:val="00076353"/>
    <w:pPr>
      <w:tabs>
        <w:tab w:val="center" w:pos="4680"/>
        <w:tab w:val="right" w:pos="9360"/>
      </w:tabs>
    </w:pPr>
    <w:rPr>
      <w:rFonts w:asciiTheme="minorHAnsi" w:eastAsiaTheme="minorEastAsia" w:hAnsiTheme="minorHAnsi" w:cstheme="minorBidi"/>
      <w:lang w:eastAsia="ja-JP"/>
    </w:rPr>
  </w:style>
  <w:style w:type="character" w:customStyle="1" w:styleId="FooterChar">
    <w:name w:val="Footer Char"/>
    <w:basedOn w:val="DefaultParagraphFont"/>
    <w:link w:val="Footer"/>
    <w:uiPriority w:val="99"/>
    <w:rsid w:val="00076353"/>
    <w:rPr>
      <w:rFonts w:eastAsiaTheme="minorEastAsia"/>
      <w:kern w:val="0"/>
      <w:lang w:eastAsia="ja-JP"/>
      <w14:ligatures w14:val="none"/>
    </w:rPr>
  </w:style>
  <w:style w:type="character" w:styleId="PageNumber">
    <w:name w:val="page number"/>
    <w:basedOn w:val="DefaultParagraphFont"/>
    <w:uiPriority w:val="99"/>
    <w:semiHidden/>
    <w:unhideWhenUsed/>
    <w:rsid w:val="00076353"/>
  </w:style>
  <w:style w:type="table" w:styleId="TableGrid">
    <w:name w:val="Table Grid"/>
    <w:basedOn w:val="TableNormal"/>
    <w:uiPriority w:val="39"/>
    <w:rsid w:val="00076353"/>
    <w:pPr>
      <w:spacing w:after="0" w:line="240" w:lineRule="auto"/>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76353"/>
    <w:rPr>
      <w:i/>
      <w:iCs/>
    </w:rPr>
  </w:style>
  <w:style w:type="numbering" w:customStyle="1" w:styleId="NoList1">
    <w:name w:val="No List1"/>
    <w:next w:val="NoList"/>
    <w:uiPriority w:val="99"/>
    <w:semiHidden/>
    <w:unhideWhenUsed/>
    <w:rsid w:val="00076353"/>
  </w:style>
  <w:style w:type="character" w:customStyle="1" w:styleId="docsum-authors">
    <w:name w:val="docsum-authors"/>
    <w:basedOn w:val="DefaultParagraphFont"/>
    <w:rsid w:val="00076353"/>
  </w:style>
  <w:style w:type="character" w:customStyle="1" w:styleId="docsum-journal-citation">
    <w:name w:val="docsum-journal-citation"/>
    <w:basedOn w:val="DefaultParagraphFont"/>
    <w:rsid w:val="00076353"/>
  </w:style>
  <w:style w:type="character" w:customStyle="1" w:styleId="element-citation">
    <w:name w:val="element-citation"/>
    <w:basedOn w:val="DefaultParagraphFont"/>
    <w:rsid w:val="00076353"/>
  </w:style>
  <w:style w:type="character" w:customStyle="1" w:styleId="ref-journal">
    <w:name w:val="ref-journal"/>
    <w:basedOn w:val="DefaultParagraphFont"/>
    <w:rsid w:val="00076353"/>
  </w:style>
  <w:style w:type="character" w:styleId="Strong">
    <w:name w:val="Strong"/>
    <w:basedOn w:val="DefaultParagraphFont"/>
    <w:uiPriority w:val="22"/>
    <w:qFormat/>
    <w:rsid w:val="00076353"/>
    <w:rPr>
      <w:b/>
      <w:bCs/>
    </w:rPr>
  </w:style>
  <w:style w:type="character" w:customStyle="1" w:styleId="morecontent">
    <w:name w:val="morecontent"/>
    <w:basedOn w:val="DefaultParagraphFont"/>
    <w:rsid w:val="00076353"/>
  </w:style>
  <w:style w:type="character" w:customStyle="1" w:styleId="article-title-and-info">
    <w:name w:val="article-title-and-info"/>
    <w:basedOn w:val="DefaultParagraphFont"/>
    <w:rsid w:val="00076353"/>
  </w:style>
  <w:style w:type="paragraph" w:customStyle="1" w:styleId="EndNoteBibliography">
    <w:name w:val="EndNote Bibliography"/>
    <w:basedOn w:val="Normal"/>
    <w:link w:val="EndNoteBibliographyChar"/>
    <w:rsid w:val="00076353"/>
    <w:rPr>
      <w:noProof/>
    </w:rPr>
  </w:style>
  <w:style w:type="character" w:customStyle="1" w:styleId="EndNoteBibliographyChar">
    <w:name w:val="EndNote Bibliography Char"/>
    <w:basedOn w:val="DefaultParagraphFont"/>
    <w:link w:val="EndNoteBibliography"/>
    <w:rsid w:val="00076353"/>
    <w:rPr>
      <w:rFonts w:ascii="Times New Roman" w:eastAsia="Times New Roman" w:hAnsi="Times New Roman" w:cs="Times New Roman"/>
      <w:noProof/>
      <w:kern w:val="0"/>
      <w14:ligatures w14:val="none"/>
    </w:rPr>
  </w:style>
  <w:style w:type="table" w:customStyle="1" w:styleId="TableGrid1">
    <w:name w:val="Table Grid1"/>
    <w:basedOn w:val="TableNormal"/>
    <w:next w:val="TableGrid"/>
    <w:uiPriority w:val="39"/>
    <w:rsid w:val="00076353"/>
    <w:pPr>
      <w:spacing w:after="0" w:line="240" w:lineRule="auto"/>
    </w:pPr>
    <w:rPr>
      <w:rFonts w:eastAsiaTheme="minorEastAsia"/>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76353"/>
  </w:style>
  <w:style w:type="paragraph" w:customStyle="1" w:styleId="paragraph">
    <w:name w:val="paragraph"/>
    <w:basedOn w:val="Normal"/>
    <w:rsid w:val="00076353"/>
    <w:pPr>
      <w:spacing w:before="100" w:beforeAutospacing="1" w:after="100" w:afterAutospacing="1"/>
    </w:pPr>
  </w:style>
  <w:style w:type="character" w:customStyle="1" w:styleId="normaltextrun">
    <w:name w:val="normaltextrun"/>
    <w:basedOn w:val="DefaultParagraphFont"/>
    <w:rsid w:val="00076353"/>
  </w:style>
  <w:style w:type="character" w:customStyle="1" w:styleId="eop">
    <w:name w:val="eop"/>
    <w:basedOn w:val="DefaultParagraphFont"/>
    <w:rsid w:val="00076353"/>
  </w:style>
  <w:style w:type="character" w:customStyle="1" w:styleId="scxw235588659">
    <w:name w:val="scxw235588659"/>
    <w:basedOn w:val="DefaultParagraphFont"/>
    <w:rsid w:val="00076353"/>
  </w:style>
  <w:style w:type="character" w:customStyle="1" w:styleId="wacimagecontainer">
    <w:name w:val="wacimagecontainer"/>
    <w:basedOn w:val="DefaultParagraphFont"/>
    <w:rsid w:val="00076353"/>
  </w:style>
  <w:style w:type="character" w:customStyle="1" w:styleId="tabchar">
    <w:name w:val="tabchar"/>
    <w:basedOn w:val="DefaultParagraphFont"/>
    <w:rsid w:val="00076353"/>
  </w:style>
  <w:style w:type="character" w:customStyle="1" w:styleId="wacprogress">
    <w:name w:val="wacprogress"/>
    <w:basedOn w:val="DefaultParagraphFont"/>
    <w:rsid w:val="00076353"/>
  </w:style>
  <w:style w:type="paragraph" w:styleId="Caption">
    <w:name w:val="caption"/>
    <w:basedOn w:val="Normal"/>
    <w:next w:val="Normal"/>
    <w:uiPriority w:val="35"/>
    <w:unhideWhenUsed/>
    <w:qFormat/>
    <w:rsid w:val="00076353"/>
    <w:pPr>
      <w:spacing w:after="200"/>
    </w:pPr>
    <w:rPr>
      <w:i/>
      <w:iCs/>
      <w:color w:val="0E2841" w:themeColor="text2"/>
      <w:sz w:val="18"/>
      <w:szCs w:val="18"/>
      <w:lang w:eastAsia="en-GB"/>
    </w:rPr>
  </w:style>
  <w:style w:type="character" w:styleId="FollowedHyperlink">
    <w:name w:val="FollowedHyperlink"/>
    <w:basedOn w:val="DefaultParagraphFont"/>
    <w:uiPriority w:val="99"/>
    <w:semiHidden/>
    <w:unhideWhenUsed/>
    <w:rsid w:val="00076353"/>
    <w:rPr>
      <w:color w:val="96607D" w:themeColor="followedHyperlink"/>
      <w:u w:val="single"/>
    </w:rPr>
  </w:style>
  <w:style w:type="character" w:customStyle="1" w:styleId="katex-mathml">
    <w:name w:val="katex-mathml"/>
    <w:basedOn w:val="DefaultParagraphFont"/>
    <w:rsid w:val="00076353"/>
  </w:style>
  <w:style w:type="character" w:customStyle="1" w:styleId="mord">
    <w:name w:val="mord"/>
    <w:basedOn w:val="DefaultParagraphFont"/>
    <w:rsid w:val="00076353"/>
  </w:style>
  <w:style w:type="character" w:customStyle="1" w:styleId="mrel">
    <w:name w:val="mrel"/>
    <w:basedOn w:val="DefaultParagraphFont"/>
    <w:rsid w:val="00076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s.gov.uk/methodology/geography/geographicalproducts/areaclassifications" TargetMode="External"/><Relationship Id="rId13" Type="http://schemas.openxmlformats.org/officeDocument/2006/relationships/hyperlink" Target="http://www.metaanalysis.com/downloads/Meta-analysis_fixed_effect_vs_random_%20effects_sv.pdf" TargetMode="External"/><Relationship Id="rId3" Type="http://schemas.openxmlformats.org/officeDocument/2006/relationships/settings" Target="settings.xml"/><Relationship Id="rId7" Type="http://schemas.openxmlformats.org/officeDocument/2006/relationships/hyperlink" Target="https://osf.io/rsc49" TargetMode="External"/><Relationship Id="rId12" Type="http://schemas.openxmlformats.org/officeDocument/2006/relationships/hyperlink" Target="http://www.geneticcluster.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topics/medicine-and-dentistry/childbirt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sciencedirect.com/topics/medicine-and-dentistry/third-trimester-pregnancy" TargetMode="External"/><Relationship Id="rId4" Type="http://schemas.openxmlformats.org/officeDocument/2006/relationships/webSettings" Target="webSettings.xml"/><Relationship Id="rId9" Type="http://schemas.openxmlformats.org/officeDocument/2006/relationships/hyperlink" Target="https://www.gov.uk/government/statistical-data-sets/local-enterprise-partnerships-leps-rural-urban-gis-shapefil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72</Pages>
  <Words>38819</Words>
  <Characters>221269</Characters>
  <Application>Microsoft Office Word</Application>
  <DocSecurity>0</DocSecurity>
  <Lines>1843</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Schwaba, Tedmond</dc:creator>
  <cp:keywords/>
  <dc:description/>
  <cp:lastModifiedBy>Friend, Ted</cp:lastModifiedBy>
  <cp:revision>12</cp:revision>
  <cp:lastPrinted>2025-05-14T20:19:00Z</cp:lastPrinted>
  <dcterms:created xsi:type="dcterms:W3CDTF">2026-07-18T22:31:00Z</dcterms:created>
  <dcterms:modified xsi:type="dcterms:W3CDTF">2026-07-25T19:37:00Z</dcterms:modified>
</cp:coreProperties>
</file>